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25BA1" w14:textId="77777777" w:rsidR="00736F4A" w:rsidRDefault="00100640">
      <w:pPr>
        <w:widowControl w:val="0"/>
        <w:spacing w:line="240" w:lineRule="auto"/>
        <w:rPr>
          <w:lang w:val="hu-HU"/>
        </w:rPr>
      </w:pPr>
      <w:r>
        <w:rPr>
          <w:b/>
          <w:bCs/>
          <w:lang w:val="hu-HU"/>
        </w:rPr>
        <w:t>1.</w:t>
      </w:r>
      <w:r>
        <w:rPr>
          <w:b/>
          <w:bCs/>
          <w:lang w:val="hu-HU"/>
        </w:rPr>
        <w:tab/>
        <w:t>A GYÓGYSZER NEVE</w:t>
      </w:r>
    </w:p>
    <w:p w14:paraId="5131FF23" w14:textId="77777777" w:rsidR="00736F4A" w:rsidRDefault="00736F4A">
      <w:pPr>
        <w:widowControl w:val="0"/>
        <w:spacing w:line="240" w:lineRule="auto"/>
        <w:rPr>
          <w:lang w:val="hu-HU"/>
        </w:rPr>
      </w:pPr>
    </w:p>
    <w:p w14:paraId="0615CA48" w14:textId="77777777" w:rsidR="00736F4A" w:rsidRDefault="00100640">
      <w:pPr>
        <w:widowControl w:val="0"/>
        <w:spacing w:line="240" w:lineRule="auto"/>
        <w:rPr>
          <w:lang w:val="hu-HU"/>
        </w:rPr>
      </w:pPr>
      <w:r>
        <w:rPr>
          <w:lang w:val="hu-HU"/>
        </w:rPr>
        <w:t>Danengo 150 mg kemény kapszula</w:t>
      </w:r>
    </w:p>
    <w:p w14:paraId="0CFDDED0" w14:textId="77777777" w:rsidR="00736F4A" w:rsidRDefault="00736F4A">
      <w:pPr>
        <w:widowControl w:val="0"/>
        <w:spacing w:line="240" w:lineRule="auto"/>
        <w:rPr>
          <w:lang w:val="hu-HU"/>
        </w:rPr>
      </w:pPr>
    </w:p>
    <w:p w14:paraId="02597CF3" w14:textId="77777777" w:rsidR="00736F4A" w:rsidRDefault="00736F4A">
      <w:pPr>
        <w:widowControl w:val="0"/>
        <w:spacing w:line="240" w:lineRule="auto"/>
        <w:rPr>
          <w:lang w:val="hu-HU"/>
        </w:rPr>
      </w:pPr>
    </w:p>
    <w:p w14:paraId="3E1B3046" w14:textId="77777777" w:rsidR="00736F4A" w:rsidRDefault="00100640">
      <w:pPr>
        <w:widowControl w:val="0"/>
        <w:spacing w:line="240" w:lineRule="auto"/>
        <w:rPr>
          <w:b/>
          <w:bCs/>
          <w:lang w:val="hu-HU"/>
        </w:rPr>
      </w:pPr>
      <w:r>
        <w:rPr>
          <w:b/>
          <w:bCs/>
          <w:lang w:val="hu-HU"/>
        </w:rPr>
        <w:t>2.</w:t>
      </w:r>
      <w:r>
        <w:rPr>
          <w:b/>
          <w:bCs/>
          <w:lang w:val="hu-HU"/>
        </w:rPr>
        <w:tab/>
        <w:t>MINŐSÉGI ÉS MENNYISÉGI ÖSSZETÉTEL</w:t>
      </w:r>
    </w:p>
    <w:p w14:paraId="3417B78A" w14:textId="77777777" w:rsidR="00736F4A" w:rsidRDefault="00736F4A">
      <w:pPr>
        <w:widowControl w:val="0"/>
        <w:spacing w:line="240" w:lineRule="auto"/>
        <w:rPr>
          <w:bCs/>
          <w:lang w:val="hu-HU"/>
        </w:rPr>
      </w:pPr>
    </w:p>
    <w:p w14:paraId="0CE8E5E7" w14:textId="77777777" w:rsidR="00736F4A" w:rsidRDefault="00100640">
      <w:pPr>
        <w:spacing w:line="240" w:lineRule="auto"/>
        <w:rPr>
          <w:lang w:val="hu-HU"/>
        </w:rPr>
      </w:pPr>
      <w:r>
        <w:rPr>
          <w:lang w:val="hu-HU"/>
        </w:rPr>
        <w:t>150 mg dabigatrán-etexilátot tartalmaz (dabigatrán-etexilát-mezilát formájában) kemény kapszulánként.</w:t>
      </w:r>
    </w:p>
    <w:p w14:paraId="5DC88E4E" w14:textId="77777777" w:rsidR="00736F4A" w:rsidRDefault="00736F4A">
      <w:pPr>
        <w:spacing w:line="240" w:lineRule="auto"/>
        <w:rPr>
          <w:lang w:val="hu-HU"/>
        </w:rPr>
      </w:pPr>
    </w:p>
    <w:p w14:paraId="720839CC" w14:textId="77777777" w:rsidR="00736F4A" w:rsidRDefault="00100640">
      <w:pPr>
        <w:spacing w:line="240" w:lineRule="auto"/>
        <w:rPr>
          <w:lang w:val="hu-HU"/>
        </w:rPr>
      </w:pPr>
      <w:r>
        <w:t>A segédanyagok teljes listáját lásd a 6.1 pontban.</w:t>
      </w:r>
    </w:p>
    <w:p w14:paraId="409E43CA" w14:textId="77777777" w:rsidR="00736F4A" w:rsidRDefault="00736F4A">
      <w:pPr>
        <w:widowControl w:val="0"/>
        <w:spacing w:line="240" w:lineRule="auto"/>
        <w:rPr>
          <w:b/>
          <w:bCs/>
          <w:lang w:val="hu-HU"/>
        </w:rPr>
      </w:pPr>
    </w:p>
    <w:p w14:paraId="129B7FD1" w14:textId="77777777" w:rsidR="00736F4A" w:rsidRDefault="00736F4A">
      <w:pPr>
        <w:widowControl w:val="0"/>
        <w:spacing w:line="240" w:lineRule="auto"/>
        <w:rPr>
          <w:b/>
          <w:bCs/>
          <w:lang w:val="hu-HU"/>
        </w:rPr>
      </w:pPr>
    </w:p>
    <w:p w14:paraId="728329D3" w14:textId="77777777" w:rsidR="00736F4A" w:rsidRDefault="00100640">
      <w:pPr>
        <w:spacing w:line="240" w:lineRule="auto"/>
        <w:ind w:left="567" w:hanging="567"/>
        <w:rPr>
          <w:b/>
          <w:bCs/>
          <w:lang w:val="hu-HU"/>
        </w:rPr>
      </w:pPr>
      <w:r>
        <w:rPr>
          <w:b/>
          <w:bCs/>
          <w:lang w:val="hu-HU"/>
        </w:rPr>
        <w:t>3.</w:t>
      </w:r>
      <w:r>
        <w:rPr>
          <w:b/>
          <w:bCs/>
          <w:lang w:val="hu-HU"/>
        </w:rPr>
        <w:tab/>
        <w:t>GYÓGYSZERFORMA</w:t>
      </w:r>
    </w:p>
    <w:p w14:paraId="2CE866A2" w14:textId="77777777" w:rsidR="00736F4A" w:rsidRDefault="00736F4A">
      <w:pPr>
        <w:spacing w:line="240" w:lineRule="auto"/>
        <w:ind w:left="567" w:hanging="567"/>
        <w:rPr>
          <w:b/>
          <w:bCs/>
          <w:lang w:val="hu-HU"/>
        </w:rPr>
      </w:pPr>
    </w:p>
    <w:p w14:paraId="6AB62CBD" w14:textId="77777777" w:rsidR="00736F4A" w:rsidRDefault="00100640">
      <w:pPr>
        <w:spacing w:line="240" w:lineRule="auto"/>
        <w:rPr>
          <w:lang w:val="hu-HU"/>
        </w:rPr>
      </w:pPr>
      <w:r>
        <w:rPr>
          <w:lang w:val="hu-HU"/>
        </w:rPr>
        <w:t>Kemény kapszula (kapszula).</w:t>
      </w:r>
    </w:p>
    <w:p w14:paraId="69DF5155" w14:textId="77777777" w:rsidR="00736F4A" w:rsidRDefault="00736F4A">
      <w:pPr>
        <w:spacing w:line="240" w:lineRule="auto"/>
        <w:rPr>
          <w:lang w:val="hu-HU"/>
        </w:rPr>
      </w:pPr>
    </w:p>
    <w:p w14:paraId="374021B1" w14:textId="77777777" w:rsidR="00736F4A" w:rsidRDefault="00100640">
      <w:pPr>
        <w:autoSpaceDE w:val="0"/>
        <w:autoSpaceDN w:val="0"/>
        <w:adjustRightInd w:val="0"/>
        <w:spacing w:line="240" w:lineRule="auto"/>
        <w:rPr>
          <w:lang w:val="hu-HU"/>
        </w:rPr>
      </w:pPr>
      <w:r>
        <w:rPr>
          <w:lang w:val="hu-HU"/>
        </w:rPr>
        <w:t>Sárgás színű vagy világossárga színű pelletekkel töltött, „0”-ás méretű (kb. 24 mm hosszú) kapszula, melynek felső része kék, alsó része fehér vagy majdnem fehér színű és hosszirányban fekete ’150’ jelöléssel van ellátva.</w:t>
      </w:r>
    </w:p>
    <w:p w14:paraId="325947C9" w14:textId="77777777" w:rsidR="00736F4A" w:rsidRDefault="00736F4A">
      <w:pPr>
        <w:spacing w:line="240" w:lineRule="auto"/>
        <w:rPr>
          <w:lang w:val="hu-HU"/>
        </w:rPr>
      </w:pPr>
    </w:p>
    <w:p w14:paraId="2623C49C" w14:textId="77777777" w:rsidR="00736F4A" w:rsidRDefault="00736F4A">
      <w:pPr>
        <w:spacing w:line="240" w:lineRule="auto"/>
        <w:rPr>
          <w:lang w:val="hu-HU"/>
        </w:rPr>
      </w:pPr>
    </w:p>
    <w:p w14:paraId="453A5F4D" w14:textId="77777777" w:rsidR="00736F4A" w:rsidRDefault="00100640">
      <w:pPr>
        <w:spacing w:line="240" w:lineRule="auto"/>
        <w:ind w:left="567" w:hanging="567"/>
        <w:outlineLvl w:val="0"/>
        <w:rPr>
          <w:b/>
          <w:bCs/>
          <w:lang w:val="hu-HU"/>
        </w:rPr>
      </w:pPr>
      <w:r>
        <w:rPr>
          <w:b/>
          <w:bCs/>
          <w:lang w:val="hu-HU"/>
        </w:rPr>
        <w:t>4.</w:t>
      </w:r>
      <w:r>
        <w:rPr>
          <w:b/>
          <w:bCs/>
          <w:lang w:val="hu-HU"/>
        </w:rPr>
        <w:tab/>
        <w:t>KLINIKAI JELLEMZŐK</w:t>
      </w:r>
    </w:p>
    <w:p w14:paraId="6B66E383" w14:textId="77777777" w:rsidR="00736F4A" w:rsidRDefault="00736F4A">
      <w:pPr>
        <w:spacing w:line="240" w:lineRule="auto"/>
        <w:ind w:left="567" w:hanging="567"/>
        <w:outlineLvl w:val="0"/>
        <w:rPr>
          <w:b/>
          <w:bCs/>
          <w:lang w:val="hu-HU"/>
        </w:rPr>
      </w:pPr>
    </w:p>
    <w:p w14:paraId="653310EC" w14:textId="77777777" w:rsidR="00736F4A" w:rsidRDefault="00100640">
      <w:pPr>
        <w:spacing w:line="240" w:lineRule="auto"/>
        <w:ind w:left="567" w:hanging="567"/>
        <w:outlineLvl w:val="0"/>
        <w:rPr>
          <w:b/>
          <w:bCs/>
          <w:lang w:val="hu-HU"/>
        </w:rPr>
      </w:pPr>
      <w:r>
        <w:rPr>
          <w:b/>
          <w:bCs/>
          <w:lang w:val="hu-HU"/>
        </w:rPr>
        <w:t>4.1</w:t>
      </w:r>
      <w:r>
        <w:rPr>
          <w:b/>
          <w:bCs/>
          <w:lang w:val="hu-HU"/>
        </w:rPr>
        <w:tab/>
        <w:t>Terápiás javallatok</w:t>
      </w:r>
    </w:p>
    <w:p w14:paraId="731D2325" w14:textId="77777777" w:rsidR="00736F4A" w:rsidRDefault="00736F4A">
      <w:pPr>
        <w:autoSpaceDE w:val="0"/>
        <w:autoSpaceDN w:val="0"/>
        <w:adjustRightInd w:val="0"/>
        <w:spacing w:line="240" w:lineRule="auto"/>
        <w:rPr>
          <w:lang w:val="hu-HU"/>
        </w:rPr>
      </w:pPr>
    </w:p>
    <w:p w14:paraId="3FDA347C" w14:textId="77777777" w:rsidR="00736F4A" w:rsidRDefault="00100640">
      <w:pPr>
        <w:spacing w:line="240" w:lineRule="auto"/>
        <w:ind w:left="7" w:right="191"/>
      </w:pPr>
      <w:r>
        <w:t>A stroke és a szisztémás embolizáció prevenciója nem billentyű eredetű pitvarfibrillációban (NVAF) szenvedő felnőtt betegeknél, akiknél egy vagy több kockázati tényező áll fenn, mint például korábbi stroke vagy tranziens ischaemiás attack (TIA), életkor ≥ 75 év, szívelégtelenség (≥ NYHA II. stádium), diabetes mellitus, hypertonia.</w:t>
      </w:r>
    </w:p>
    <w:p w14:paraId="311C3E35" w14:textId="77777777" w:rsidR="00736F4A" w:rsidRDefault="00736F4A">
      <w:pPr>
        <w:spacing w:line="240" w:lineRule="auto"/>
        <w:ind w:left="7" w:right="191"/>
      </w:pPr>
    </w:p>
    <w:p w14:paraId="238B43D5" w14:textId="77777777" w:rsidR="00736F4A" w:rsidRDefault="00100640">
      <w:pPr>
        <w:spacing w:line="240" w:lineRule="auto"/>
        <w:ind w:left="7" w:right="9"/>
      </w:pPr>
      <w:r>
        <w:t>Mélyvénás thrombosis (MVT) és pulmonalis embolia (PE) kezelése, és az MVT és PE kiújulásának megelőzése felnőtt betegeknél.</w:t>
      </w:r>
    </w:p>
    <w:p w14:paraId="30B60E48" w14:textId="77777777" w:rsidR="00736F4A" w:rsidRDefault="00736F4A">
      <w:pPr>
        <w:autoSpaceDE w:val="0"/>
        <w:autoSpaceDN w:val="0"/>
        <w:adjustRightInd w:val="0"/>
        <w:spacing w:line="240" w:lineRule="auto"/>
        <w:rPr>
          <w:lang w:val="hu-HU"/>
        </w:rPr>
      </w:pPr>
    </w:p>
    <w:p w14:paraId="534EBA12" w14:textId="08294589" w:rsidR="00736F4A" w:rsidRDefault="00100640">
      <w:pPr>
        <w:spacing w:line="240" w:lineRule="auto"/>
        <w:ind w:right="9"/>
        <w:rPr>
          <w:rFonts w:eastAsia="Calibri"/>
          <w:color w:val="000000"/>
          <w:lang w:val="hu-HU" w:eastAsia="hu-HU"/>
        </w:rPr>
      </w:pPr>
      <w:r>
        <w:rPr>
          <w:color w:val="000000"/>
          <w:lang w:val="hu-HU" w:eastAsia="hu-HU"/>
        </w:rPr>
        <w:t xml:space="preserve">Vénás thromboemboliás események (VTE) kezelése és VTE kiújulásának megelőzése gyermekeknél és serdülőknél, </w:t>
      </w:r>
      <w:r>
        <w:t>attól kezdve, hogy a gyermek képes pépes ételt lenyelni,</w:t>
      </w:r>
      <w:r>
        <w:rPr>
          <w:color w:val="000000"/>
          <w:lang w:val="hu-HU" w:eastAsia="hu-HU"/>
        </w:rPr>
        <w:t xml:space="preserve"> a 18. életév betöltéséig</w:t>
      </w:r>
      <w:r>
        <w:rPr>
          <w:rFonts w:eastAsia="Calibri"/>
          <w:color w:val="000000"/>
          <w:lang w:val="hu-HU" w:eastAsia="hu-HU"/>
        </w:rPr>
        <w:t>.</w:t>
      </w:r>
    </w:p>
    <w:p w14:paraId="0E451D2F" w14:textId="77777777" w:rsidR="00736F4A" w:rsidRDefault="00736F4A">
      <w:pPr>
        <w:autoSpaceDE w:val="0"/>
        <w:autoSpaceDN w:val="0"/>
        <w:adjustRightInd w:val="0"/>
        <w:spacing w:line="240" w:lineRule="auto"/>
        <w:rPr>
          <w:lang w:val="hu-HU"/>
        </w:rPr>
      </w:pPr>
    </w:p>
    <w:p w14:paraId="0C7D42FC" w14:textId="77777777" w:rsidR="00736F4A" w:rsidRDefault="00100640">
      <w:pPr>
        <w:autoSpaceDE w:val="0"/>
        <w:autoSpaceDN w:val="0"/>
        <w:adjustRightInd w:val="0"/>
        <w:spacing w:line="240" w:lineRule="auto"/>
        <w:rPr>
          <w:lang w:val="hu-HU"/>
        </w:rPr>
      </w:pPr>
      <w:r>
        <w:rPr>
          <w:lang w:val="hu-HU"/>
        </w:rPr>
        <w:t>Az életkornak megfelelő adagolási formákért lásd a 4.2 pontot.</w:t>
      </w:r>
    </w:p>
    <w:p w14:paraId="3C7F65C9" w14:textId="77777777" w:rsidR="00736F4A" w:rsidRDefault="00736F4A">
      <w:pPr>
        <w:spacing w:line="240" w:lineRule="auto"/>
        <w:rPr>
          <w:lang w:val="hu-HU"/>
        </w:rPr>
      </w:pPr>
    </w:p>
    <w:p w14:paraId="7E70983F" w14:textId="77777777" w:rsidR="00736F4A" w:rsidRDefault="00100640">
      <w:pPr>
        <w:spacing w:line="240" w:lineRule="auto"/>
        <w:ind w:left="567" w:hanging="567"/>
        <w:outlineLvl w:val="0"/>
        <w:rPr>
          <w:b/>
          <w:bCs/>
          <w:lang w:val="hu-HU"/>
        </w:rPr>
      </w:pPr>
      <w:r>
        <w:rPr>
          <w:b/>
          <w:bCs/>
          <w:lang w:val="hu-HU"/>
        </w:rPr>
        <w:t>4.2</w:t>
      </w:r>
      <w:r>
        <w:rPr>
          <w:b/>
          <w:bCs/>
          <w:lang w:val="hu-HU"/>
        </w:rPr>
        <w:tab/>
        <w:t>Adagolás és alkalmazás</w:t>
      </w:r>
    </w:p>
    <w:p w14:paraId="408DACFC" w14:textId="77777777" w:rsidR="00736F4A" w:rsidRDefault="00736F4A">
      <w:pPr>
        <w:spacing w:line="240" w:lineRule="auto"/>
        <w:ind w:left="567" w:hanging="567"/>
        <w:outlineLvl w:val="0"/>
        <w:rPr>
          <w:b/>
          <w:bCs/>
          <w:lang w:val="hu-HU"/>
        </w:rPr>
      </w:pPr>
    </w:p>
    <w:p w14:paraId="16322261" w14:textId="77777777" w:rsidR="00736F4A" w:rsidRDefault="00100640">
      <w:pPr>
        <w:spacing w:line="240" w:lineRule="auto"/>
        <w:rPr>
          <w:u w:val="single"/>
          <w:lang w:val="hu-HU"/>
        </w:rPr>
      </w:pPr>
      <w:r>
        <w:rPr>
          <w:u w:val="single"/>
          <w:lang w:val="hu-HU"/>
        </w:rPr>
        <w:t>Adagolás</w:t>
      </w:r>
    </w:p>
    <w:p w14:paraId="1C5DAD1F" w14:textId="77777777" w:rsidR="00736F4A" w:rsidRDefault="00736F4A">
      <w:pPr>
        <w:spacing w:line="240" w:lineRule="auto"/>
        <w:rPr>
          <w:u w:val="single"/>
          <w:lang w:val="hu-HU"/>
        </w:rPr>
      </w:pPr>
    </w:p>
    <w:p w14:paraId="50C7357C" w14:textId="77777777" w:rsidR="00736F4A" w:rsidRDefault="00100640">
      <w:pPr>
        <w:autoSpaceDE w:val="0"/>
        <w:autoSpaceDN w:val="0"/>
        <w:adjustRightInd w:val="0"/>
        <w:spacing w:line="240" w:lineRule="auto"/>
      </w:pPr>
      <w:r>
        <w:t xml:space="preserve">A </w:t>
      </w:r>
      <w:r>
        <w:rPr>
          <w:lang w:val="hu-HU"/>
        </w:rPr>
        <w:t xml:space="preserve">Danengo </w:t>
      </w:r>
      <w:r>
        <w:t xml:space="preserve">kapszula felnőtteknek és 8. életévüket betöltött, valamint az ennél idősebb gyermekeknek és serdülőknek adható, akik képesek egészben lenyelni a kapszulákat. </w:t>
      </w:r>
      <w:r>
        <w:rPr>
          <w:lang w:val="hu-HU"/>
        </w:rPr>
        <w:t>A 8 év alatti gyermekek kezelésére rendelkezésre állnak más megfelelő gyógyszerformák.</w:t>
      </w:r>
    </w:p>
    <w:p w14:paraId="055BAADF" w14:textId="77777777" w:rsidR="00736F4A" w:rsidRDefault="00736F4A">
      <w:pPr>
        <w:autoSpaceDE w:val="0"/>
        <w:autoSpaceDN w:val="0"/>
        <w:adjustRightInd w:val="0"/>
        <w:spacing w:line="240" w:lineRule="auto"/>
        <w:rPr>
          <w:lang w:val="hu-HU"/>
        </w:rPr>
      </w:pPr>
    </w:p>
    <w:p w14:paraId="28B6D1CE" w14:textId="77777777" w:rsidR="00736F4A" w:rsidRDefault="00100640">
      <w:pPr>
        <w:autoSpaceDE w:val="0"/>
        <w:autoSpaceDN w:val="0"/>
        <w:adjustRightInd w:val="0"/>
        <w:spacing w:line="240" w:lineRule="auto"/>
        <w:rPr>
          <w:lang w:val="hu-HU"/>
        </w:rPr>
      </w:pPr>
      <w:r>
        <w:rPr>
          <w:lang w:val="hu-HU"/>
        </w:rPr>
        <w:t>Gyógyszerformák közti váltás esetén szükséges lehet a felírt dózis módosítása. A felírt dózist az adott gyógyszerforma adagolási táblázata alapján, a gyermek testtömegének és életkorának megfelelően kell megállapítani.</w:t>
      </w:r>
    </w:p>
    <w:p w14:paraId="089B866F" w14:textId="77777777" w:rsidR="00736F4A" w:rsidRDefault="00736F4A">
      <w:pPr>
        <w:spacing w:line="240" w:lineRule="auto"/>
        <w:ind w:right="9"/>
      </w:pPr>
    </w:p>
    <w:p w14:paraId="51810573" w14:textId="77777777" w:rsidR="00736F4A" w:rsidRDefault="00100640">
      <w:pPr>
        <w:spacing w:line="240" w:lineRule="auto"/>
        <w:ind w:left="7"/>
      </w:pPr>
      <w:r>
        <w:rPr>
          <w:b/>
          <w:i/>
          <w:u w:val="single" w:color="000000"/>
        </w:rPr>
        <w:t>A stroke és a szisztémás embolizáció prevenciója nem billentyű eredetű pitvarfibrillációban</w:t>
      </w:r>
      <w:r>
        <w:rPr>
          <w:b/>
          <w:i/>
        </w:rPr>
        <w:t xml:space="preserve"> </w:t>
      </w:r>
      <w:r>
        <w:rPr>
          <w:b/>
          <w:i/>
          <w:u w:val="single" w:color="000000"/>
        </w:rPr>
        <w:t>szenvedő, egy vagy több rizikótényezővel rendelkező felnőtt betegeknél (SPAF)</w:t>
      </w:r>
    </w:p>
    <w:p w14:paraId="5DBADE4C" w14:textId="77777777" w:rsidR="00736F4A" w:rsidRDefault="00100640">
      <w:pPr>
        <w:spacing w:line="240" w:lineRule="auto"/>
        <w:ind w:left="7" w:right="354"/>
        <w:rPr>
          <w:b/>
          <w:i/>
          <w:u w:val="single" w:color="000000"/>
        </w:rPr>
      </w:pPr>
      <w:r>
        <w:rPr>
          <w:b/>
          <w:i/>
          <w:u w:val="single" w:color="000000"/>
        </w:rPr>
        <w:t>Az MVT és PE kezelése és az MVT és PE kiújulásának megelőzése felnőtt betegeknél (MVT/PE)</w:t>
      </w:r>
    </w:p>
    <w:p w14:paraId="64EEFB6C" w14:textId="77777777" w:rsidR="00736F4A" w:rsidRDefault="00736F4A">
      <w:pPr>
        <w:spacing w:line="240" w:lineRule="auto"/>
        <w:ind w:left="7" w:right="9"/>
      </w:pPr>
    </w:p>
    <w:p w14:paraId="3F305B11" w14:textId="77777777" w:rsidR="00736F4A" w:rsidRDefault="00100640">
      <w:pPr>
        <w:spacing w:line="240" w:lineRule="auto"/>
        <w:ind w:left="7" w:right="354"/>
      </w:pPr>
      <w:r>
        <w:t>A dabigatrán-etexilát adagolási javaslata SPAF, MVT és PE esetén az 1. táblázatban található.</w:t>
      </w:r>
    </w:p>
    <w:p w14:paraId="3D22662E" w14:textId="77777777" w:rsidR="00736F4A" w:rsidRDefault="00736F4A">
      <w:pPr>
        <w:spacing w:line="240" w:lineRule="auto"/>
        <w:ind w:left="7" w:right="9"/>
      </w:pPr>
    </w:p>
    <w:p w14:paraId="6BB6C5BB" w14:textId="77777777" w:rsidR="00736F4A" w:rsidRDefault="00100640">
      <w:pPr>
        <w:spacing w:line="240" w:lineRule="auto"/>
        <w:ind w:left="7" w:right="9"/>
        <w:rPr>
          <w:b/>
          <w:bCs/>
        </w:rPr>
      </w:pPr>
      <w:r>
        <w:rPr>
          <w:b/>
          <w:bCs/>
        </w:rPr>
        <w:t>1. táblázat: Adagolási javaslat SPAF, MVT és PE esetén</w:t>
      </w:r>
    </w:p>
    <w:p w14:paraId="5DCC7AA9" w14:textId="77777777" w:rsidR="00736F4A" w:rsidRDefault="00736F4A">
      <w:pPr>
        <w:spacing w:line="240" w:lineRule="auto"/>
        <w:ind w:left="7" w:right="9"/>
      </w:pPr>
    </w:p>
    <w:tbl>
      <w:tblPr>
        <w:tblW w:w="9322" w:type="dxa"/>
        <w:tblInd w:w="17" w:type="dxa"/>
        <w:tblCellMar>
          <w:top w:w="51" w:type="dxa"/>
          <w:right w:w="115" w:type="dxa"/>
        </w:tblCellMar>
        <w:tblLook w:val="04A0" w:firstRow="1" w:lastRow="0" w:firstColumn="1" w:lastColumn="0" w:noHBand="0" w:noVBand="1"/>
      </w:tblPr>
      <w:tblGrid>
        <w:gridCol w:w="4219"/>
        <w:gridCol w:w="5103"/>
      </w:tblGrid>
      <w:tr w:rsidR="00736F4A" w14:paraId="4017E420" w14:textId="77777777">
        <w:trPr>
          <w:trHeight w:val="382"/>
        </w:trPr>
        <w:tc>
          <w:tcPr>
            <w:tcW w:w="4219" w:type="dxa"/>
            <w:tcBorders>
              <w:top w:val="single" w:sz="4" w:space="0" w:color="000000"/>
              <w:left w:val="single" w:sz="4" w:space="0" w:color="000000"/>
              <w:bottom w:val="single" w:sz="4" w:space="0" w:color="000000"/>
              <w:right w:val="single" w:sz="4" w:space="0" w:color="000000"/>
            </w:tcBorders>
          </w:tcPr>
          <w:p w14:paraId="088A9C9C" w14:textId="77777777" w:rsidR="00736F4A" w:rsidRDefault="00736F4A">
            <w:pPr>
              <w:keepNext/>
              <w:spacing w:line="240" w:lineRule="auto"/>
              <w:rPr>
                <w:lang w:val="hu-HU"/>
              </w:rPr>
            </w:pPr>
          </w:p>
        </w:tc>
        <w:tc>
          <w:tcPr>
            <w:tcW w:w="5102" w:type="dxa"/>
            <w:tcBorders>
              <w:top w:val="single" w:sz="4" w:space="0" w:color="000000"/>
              <w:left w:val="single" w:sz="4" w:space="0" w:color="000000"/>
              <w:bottom w:val="single" w:sz="4" w:space="0" w:color="000000"/>
              <w:right w:val="single" w:sz="4" w:space="0" w:color="000000"/>
            </w:tcBorders>
          </w:tcPr>
          <w:p w14:paraId="48A6BFC6" w14:textId="77777777" w:rsidR="00736F4A" w:rsidRDefault="00100640">
            <w:pPr>
              <w:keepNext/>
              <w:spacing w:line="240" w:lineRule="auto"/>
              <w:rPr>
                <w:lang w:val="hu-HU"/>
              </w:rPr>
            </w:pPr>
            <w:r>
              <w:rPr>
                <w:b/>
                <w:lang w:val="hu-HU"/>
              </w:rPr>
              <w:t>Javasolt dózis</w:t>
            </w:r>
          </w:p>
        </w:tc>
      </w:tr>
      <w:tr w:rsidR="00736F4A" w14:paraId="0E6242F4" w14:textId="77777777">
        <w:trPr>
          <w:trHeight w:val="1397"/>
        </w:trPr>
        <w:tc>
          <w:tcPr>
            <w:tcW w:w="4219" w:type="dxa"/>
            <w:tcBorders>
              <w:top w:val="single" w:sz="4" w:space="0" w:color="000000"/>
              <w:left w:val="single" w:sz="4" w:space="0" w:color="000000"/>
              <w:bottom w:val="single" w:sz="4" w:space="0" w:color="000000"/>
              <w:right w:val="single" w:sz="4" w:space="0" w:color="000000"/>
            </w:tcBorders>
          </w:tcPr>
          <w:p w14:paraId="6F976741" w14:textId="77777777" w:rsidR="00736F4A" w:rsidRDefault="00100640">
            <w:pPr>
              <w:spacing w:line="240" w:lineRule="auto"/>
              <w:rPr>
                <w:lang w:val="hu-HU"/>
              </w:rPr>
            </w:pPr>
            <w:r>
              <w:rPr>
                <w:lang w:val="hu-HU"/>
              </w:rPr>
              <w:t>A stroke és a szisztémás embolizáció prevenciója nem billentyű eredetű pitvarfibrillációban szenvedő, egy vagy több rizikótényezővel rendelkező felnőtt betegeknél (SPAF)</w:t>
            </w:r>
          </w:p>
        </w:tc>
        <w:tc>
          <w:tcPr>
            <w:tcW w:w="5102" w:type="dxa"/>
            <w:tcBorders>
              <w:top w:val="single" w:sz="4" w:space="0" w:color="000000"/>
              <w:left w:val="single" w:sz="4" w:space="0" w:color="000000"/>
              <w:bottom w:val="single" w:sz="4" w:space="0" w:color="000000"/>
              <w:right w:val="single" w:sz="4" w:space="0" w:color="000000"/>
            </w:tcBorders>
            <w:vAlign w:val="center"/>
          </w:tcPr>
          <w:p w14:paraId="1E611B55" w14:textId="77777777" w:rsidR="00736F4A" w:rsidRDefault="00100640">
            <w:pPr>
              <w:spacing w:line="240" w:lineRule="auto"/>
              <w:rPr>
                <w:lang w:val="hu-HU"/>
              </w:rPr>
            </w:pPr>
            <w:r>
              <w:rPr>
                <w:lang w:val="hu-HU"/>
              </w:rPr>
              <w:t>300 mg dabigatrán-etexilát, naponta kétszer 1 darab 150 mg-os kapszula formájában</w:t>
            </w:r>
          </w:p>
        </w:tc>
      </w:tr>
      <w:tr w:rsidR="00736F4A" w14:paraId="79E79A1B" w14:textId="77777777">
        <w:trPr>
          <w:trHeight w:val="888"/>
        </w:trPr>
        <w:tc>
          <w:tcPr>
            <w:tcW w:w="4219" w:type="dxa"/>
            <w:tcBorders>
              <w:top w:val="single" w:sz="4" w:space="0" w:color="000000"/>
              <w:left w:val="single" w:sz="4" w:space="0" w:color="000000"/>
              <w:bottom w:val="single" w:sz="4" w:space="0" w:color="000000"/>
              <w:right w:val="single" w:sz="4" w:space="0" w:color="000000"/>
            </w:tcBorders>
          </w:tcPr>
          <w:p w14:paraId="6AAF5185" w14:textId="77777777" w:rsidR="00736F4A" w:rsidRDefault="00100640">
            <w:pPr>
              <w:spacing w:line="240" w:lineRule="auto"/>
              <w:rPr>
                <w:lang w:val="hu-HU"/>
              </w:rPr>
            </w:pPr>
            <w:r>
              <w:rPr>
                <w:lang w:val="hu-HU"/>
              </w:rPr>
              <w:t>Az MVT és PE kezelése és az MVT és PE kiújulásának megelőzése felnőtt betegeknél (MVT/PE)</w:t>
            </w:r>
          </w:p>
        </w:tc>
        <w:tc>
          <w:tcPr>
            <w:tcW w:w="5102" w:type="dxa"/>
            <w:tcBorders>
              <w:top w:val="single" w:sz="4" w:space="0" w:color="000000"/>
              <w:left w:val="single" w:sz="4" w:space="0" w:color="000000"/>
              <w:bottom w:val="single" w:sz="4" w:space="0" w:color="000000"/>
              <w:right w:val="single" w:sz="4" w:space="0" w:color="000000"/>
            </w:tcBorders>
          </w:tcPr>
          <w:p w14:paraId="62D75513" w14:textId="77777777" w:rsidR="00736F4A" w:rsidRDefault="00100640">
            <w:pPr>
              <w:spacing w:line="240" w:lineRule="auto"/>
              <w:rPr>
                <w:lang w:val="hu-HU"/>
              </w:rPr>
            </w:pPr>
            <w:r>
              <w:rPr>
                <w:lang w:val="hu-HU"/>
              </w:rPr>
              <w:t>300 mg dabigatrán-etexilát, naponta kétszer 1 darab 150 mg-os kapszula formájában, legalább 5 napos parenterális antikoaguláns-kezelést követően</w:t>
            </w:r>
          </w:p>
        </w:tc>
      </w:tr>
      <w:tr w:rsidR="00736F4A" w14:paraId="69130F6A" w14:textId="77777777">
        <w:trPr>
          <w:trHeight w:val="504"/>
        </w:trPr>
        <w:tc>
          <w:tcPr>
            <w:tcW w:w="4219" w:type="dxa"/>
            <w:tcBorders>
              <w:top w:val="single" w:sz="4" w:space="0" w:color="000000"/>
              <w:left w:val="single" w:sz="4" w:space="0" w:color="000000"/>
              <w:bottom w:val="single" w:sz="4" w:space="0" w:color="000000"/>
              <w:right w:val="single" w:sz="4" w:space="0" w:color="000000"/>
            </w:tcBorders>
            <w:vAlign w:val="center"/>
          </w:tcPr>
          <w:p w14:paraId="451006B4" w14:textId="77777777" w:rsidR="00736F4A" w:rsidRDefault="00100640">
            <w:pPr>
              <w:spacing w:line="240" w:lineRule="auto"/>
              <w:rPr>
                <w:lang w:val="hu-HU"/>
              </w:rPr>
            </w:pPr>
            <w:r>
              <w:rPr>
                <w:b/>
                <w:i/>
                <w:u w:val="single" w:color="000000"/>
                <w:lang w:val="hu-HU"/>
              </w:rPr>
              <w:t>Dóziscsökkentés javasolt</w:t>
            </w:r>
          </w:p>
        </w:tc>
        <w:tc>
          <w:tcPr>
            <w:tcW w:w="5102" w:type="dxa"/>
            <w:tcBorders>
              <w:top w:val="single" w:sz="4" w:space="0" w:color="000000"/>
              <w:left w:val="single" w:sz="4" w:space="0" w:color="000000"/>
              <w:bottom w:val="single" w:sz="4" w:space="0" w:color="000000"/>
              <w:right w:val="single" w:sz="4" w:space="0" w:color="000000"/>
            </w:tcBorders>
          </w:tcPr>
          <w:p w14:paraId="12DDFBD7" w14:textId="77777777" w:rsidR="00736F4A" w:rsidRDefault="00736F4A">
            <w:pPr>
              <w:spacing w:line="240" w:lineRule="auto"/>
              <w:rPr>
                <w:lang w:val="hu-HU"/>
              </w:rPr>
            </w:pPr>
          </w:p>
        </w:tc>
      </w:tr>
      <w:tr w:rsidR="00736F4A" w14:paraId="49B57A4C" w14:textId="77777777">
        <w:trPr>
          <w:trHeight w:val="382"/>
        </w:trPr>
        <w:tc>
          <w:tcPr>
            <w:tcW w:w="4219" w:type="dxa"/>
            <w:tcBorders>
              <w:top w:val="single" w:sz="4" w:space="0" w:color="000000"/>
              <w:left w:val="single" w:sz="4" w:space="0" w:color="000000"/>
              <w:bottom w:val="single" w:sz="4" w:space="0" w:color="000000"/>
              <w:right w:val="single" w:sz="4" w:space="0" w:color="000000"/>
            </w:tcBorders>
          </w:tcPr>
          <w:p w14:paraId="1B434B13" w14:textId="77777777" w:rsidR="00736F4A" w:rsidRDefault="00100640">
            <w:pPr>
              <w:spacing w:line="240" w:lineRule="auto"/>
              <w:rPr>
                <w:lang w:val="hu-HU"/>
              </w:rPr>
            </w:pPr>
            <w:r>
              <w:rPr>
                <w:lang w:val="hu-HU"/>
              </w:rPr>
              <w:t>80 éves és annál idősebb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14:paraId="7FA3CB26" w14:textId="77777777" w:rsidR="00736F4A" w:rsidRDefault="00100640">
            <w:pPr>
              <w:spacing w:line="240" w:lineRule="auto"/>
              <w:rPr>
                <w:lang w:val="hu-HU"/>
              </w:rPr>
            </w:pPr>
            <w:r>
              <w:rPr>
                <w:lang w:val="hu-HU"/>
              </w:rPr>
              <w:t>220 mg dabigatrán-etexilát, naponta kétszer 1 darab 110 mg-os kapszula formájában</w:t>
            </w:r>
          </w:p>
        </w:tc>
      </w:tr>
      <w:tr w:rsidR="00736F4A" w14:paraId="4AE543AC"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52219B70" w14:textId="77777777" w:rsidR="00736F4A" w:rsidRDefault="00100640">
            <w:pPr>
              <w:spacing w:line="240" w:lineRule="auto"/>
              <w:rPr>
                <w:lang w:val="hu-HU"/>
              </w:rPr>
            </w:pPr>
            <w:r>
              <w:rPr>
                <w:lang w:val="hu-HU"/>
              </w:rPr>
              <w:t>Egyidejűleg verapamilt kapó betegek</w:t>
            </w:r>
          </w:p>
        </w:tc>
        <w:tc>
          <w:tcPr>
            <w:tcW w:w="0" w:type="auto"/>
            <w:vMerge/>
            <w:tcBorders>
              <w:top w:val="nil"/>
              <w:left w:val="single" w:sz="4" w:space="0" w:color="000000"/>
              <w:bottom w:val="single" w:sz="4" w:space="0" w:color="000000"/>
              <w:right w:val="single" w:sz="4" w:space="0" w:color="000000"/>
            </w:tcBorders>
          </w:tcPr>
          <w:p w14:paraId="6E54EBC1" w14:textId="77777777" w:rsidR="00736F4A" w:rsidRDefault="00736F4A">
            <w:pPr>
              <w:spacing w:line="240" w:lineRule="auto"/>
              <w:rPr>
                <w:lang w:val="hu-HU"/>
              </w:rPr>
            </w:pPr>
          </w:p>
        </w:tc>
      </w:tr>
      <w:tr w:rsidR="00736F4A" w14:paraId="6D207163" w14:textId="77777777">
        <w:trPr>
          <w:trHeight w:val="502"/>
        </w:trPr>
        <w:tc>
          <w:tcPr>
            <w:tcW w:w="4219" w:type="dxa"/>
            <w:tcBorders>
              <w:top w:val="single" w:sz="4" w:space="0" w:color="000000"/>
              <w:left w:val="single" w:sz="4" w:space="0" w:color="000000"/>
              <w:bottom w:val="single" w:sz="4" w:space="0" w:color="000000"/>
              <w:right w:val="single" w:sz="4" w:space="0" w:color="000000"/>
            </w:tcBorders>
            <w:vAlign w:val="center"/>
          </w:tcPr>
          <w:p w14:paraId="5862015D" w14:textId="77777777" w:rsidR="00736F4A" w:rsidRDefault="00100640">
            <w:pPr>
              <w:spacing w:line="240" w:lineRule="auto"/>
              <w:rPr>
                <w:lang w:val="hu-HU"/>
              </w:rPr>
            </w:pPr>
            <w:r>
              <w:rPr>
                <w:b/>
                <w:i/>
                <w:u w:val="single" w:color="000000"/>
                <w:lang w:val="hu-HU"/>
              </w:rPr>
              <w:t>Dóziscsökkentés megfontolandó</w:t>
            </w:r>
          </w:p>
        </w:tc>
        <w:tc>
          <w:tcPr>
            <w:tcW w:w="5102" w:type="dxa"/>
            <w:tcBorders>
              <w:top w:val="single" w:sz="4" w:space="0" w:color="000000"/>
              <w:left w:val="single" w:sz="4" w:space="0" w:color="000000"/>
              <w:bottom w:val="single" w:sz="4" w:space="0" w:color="000000"/>
              <w:right w:val="single" w:sz="4" w:space="0" w:color="000000"/>
            </w:tcBorders>
          </w:tcPr>
          <w:p w14:paraId="42DB2B7F" w14:textId="77777777" w:rsidR="00736F4A" w:rsidRDefault="00736F4A">
            <w:pPr>
              <w:spacing w:line="240" w:lineRule="auto"/>
              <w:rPr>
                <w:lang w:val="hu-HU"/>
              </w:rPr>
            </w:pPr>
          </w:p>
        </w:tc>
      </w:tr>
      <w:tr w:rsidR="00736F4A" w14:paraId="34A5A60D"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10AAE365" w14:textId="77777777" w:rsidR="00736F4A" w:rsidRDefault="00100640">
            <w:pPr>
              <w:spacing w:line="240" w:lineRule="auto"/>
              <w:rPr>
                <w:lang w:val="hu-HU"/>
              </w:rPr>
            </w:pPr>
            <w:r>
              <w:rPr>
                <w:lang w:val="hu-HU"/>
              </w:rPr>
              <w:t>75-80 év közötti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14:paraId="06E25A0F" w14:textId="77777777" w:rsidR="00736F4A" w:rsidRDefault="00100640">
            <w:pPr>
              <w:spacing w:line="240" w:lineRule="auto"/>
              <w:rPr>
                <w:lang w:val="hu-HU"/>
              </w:rPr>
            </w:pPr>
            <w:r>
              <w:rPr>
                <w:lang w:val="hu-HU"/>
              </w:rPr>
              <w:t>a dabigatrán-etexilát napi dózisa 300 mg vagy 220 mg, amit egyénileg, a thromboemboliás kockázat és a vérzésveszély alapján kell meghatározni</w:t>
            </w:r>
          </w:p>
        </w:tc>
      </w:tr>
      <w:tr w:rsidR="00736F4A" w14:paraId="03124F46" w14:textId="77777777">
        <w:trPr>
          <w:trHeight w:val="636"/>
        </w:trPr>
        <w:tc>
          <w:tcPr>
            <w:tcW w:w="4219" w:type="dxa"/>
            <w:tcBorders>
              <w:top w:val="single" w:sz="4" w:space="0" w:color="000000"/>
              <w:left w:val="single" w:sz="4" w:space="0" w:color="000000"/>
              <w:bottom w:val="single" w:sz="4" w:space="0" w:color="000000"/>
              <w:right w:val="single" w:sz="4" w:space="0" w:color="000000"/>
            </w:tcBorders>
          </w:tcPr>
          <w:p w14:paraId="51E007D4" w14:textId="77777777" w:rsidR="00736F4A" w:rsidRDefault="00100640">
            <w:pPr>
              <w:spacing w:line="240" w:lineRule="auto"/>
              <w:rPr>
                <w:lang w:val="hu-HU"/>
              </w:rPr>
            </w:pPr>
            <w:r>
              <w:rPr>
                <w:lang w:val="hu-HU"/>
              </w:rPr>
              <w:t>Közepesen súlyos fokú vesekárosodásban szenvedő betegek (CrCl 30-50 ml/perc)</w:t>
            </w:r>
          </w:p>
        </w:tc>
        <w:tc>
          <w:tcPr>
            <w:tcW w:w="0" w:type="auto"/>
            <w:vMerge/>
            <w:tcBorders>
              <w:top w:val="nil"/>
              <w:left w:val="single" w:sz="4" w:space="0" w:color="000000"/>
              <w:bottom w:val="nil"/>
              <w:right w:val="single" w:sz="4" w:space="0" w:color="000000"/>
            </w:tcBorders>
          </w:tcPr>
          <w:p w14:paraId="1A993852" w14:textId="77777777" w:rsidR="00736F4A" w:rsidRDefault="00736F4A">
            <w:pPr>
              <w:spacing w:line="240" w:lineRule="auto"/>
              <w:rPr>
                <w:lang w:val="hu-HU"/>
              </w:rPr>
            </w:pPr>
          </w:p>
        </w:tc>
      </w:tr>
      <w:tr w:rsidR="00736F4A" w14:paraId="27590CB6" w14:textId="77777777">
        <w:trPr>
          <w:trHeight w:val="888"/>
        </w:trPr>
        <w:tc>
          <w:tcPr>
            <w:tcW w:w="4219" w:type="dxa"/>
            <w:tcBorders>
              <w:top w:val="single" w:sz="4" w:space="0" w:color="000000"/>
              <w:left w:val="single" w:sz="4" w:space="0" w:color="000000"/>
              <w:bottom w:val="single" w:sz="4" w:space="0" w:color="000000"/>
              <w:right w:val="single" w:sz="4" w:space="0" w:color="000000"/>
            </w:tcBorders>
          </w:tcPr>
          <w:p w14:paraId="7077EDB8" w14:textId="77777777" w:rsidR="00736F4A" w:rsidRDefault="00100640">
            <w:pPr>
              <w:spacing w:line="240" w:lineRule="auto"/>
              <w:rPr>
                <w:lang w:val="hu-HU"/>
              </w:rPr>
            </w:pPr>
            <w:r>
              <w:rPr>
                <w:lang w:val="hu-HU"/>
              </w:rPr>
              <w:t>Gastritisben, oesophagitisben vagy gastrooesophagealis refluxban szenvedő betegek</w:t>
            </w:r>
          </w:p>
        </w:tc>
        <w:tc>
          <w:tcPr>
            <w:tcW w:w="0" w:type="auto"/>
            <w:vMerge/>
            <w:tcBorders>
              <w:top w:val="nil"/>
              <w:left w:val="single" w:sz="4" w:space="0" w:color="000000"/>
              <w:bottom w:val="nil"/>
              <w:right w:val="single" w:sz="4" w:space="0" w:color="000000"/>
            </w:tcBorders>
          </w:tcPr>
          <w:p w14:paraId="43E79C04" w14:textId="77777777" w:rsidR="00736F4A" w:rsidRDefault="00736F4A">
            <w:pPr>
              <w:spacing w:line="240" w:lineRule="auto"/>
              <w:rPr>
                <w:lang w:val="hu-HU"/>
              </w:rPr>
            </w:pPr>
          </w:p>
        </w:tc>
      </w:tr>
      <w:tr w:rsidR="00736F4A" w14:paraId="5840BDC7"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1E4971FE" w14:textId="77777777" w:rsidR="00736F4A" w:rsidRDefault="00100640">
            <w:pPr>
              <w:spacing w:line="240" w:lineRule="auto"/>
              <w:rPr>
                <w:lang w:val="hu-HU"/>
              </w:rPr>
            </w:pPr>
            <w:r>
              <w:rPr>
                <w:lang w:val="hu-HU"/>
              </w:rPr>
              <w:t>További, fokozott vérzési kockázatú betegek</w:t>
            </w:r>
          </w:p>
        </w:tc>
        <w:tc>
          <w:tcPr>
            <w:tcW w:w="0" w:type="auto"/>
            <w:vMerge/>
            <w:tcBorders>
              <w:top w:val="nil"/>
              <w:left w:val="single" w:sz="4" w:space="0" w:color="000000"/>
              <w:bottom w:val="single" w:sz="4" w:space="0" w:color="000000"/>
              <w:right w:val="single" w:sz="4" w:space="0" w:color="000000"/>
            </w:tcBorders>
          </w:tcPr>
          <w:p w14:paraId="02A6E8E1" w14:textId="77777777" w:rsidR="00736F4A" w:rsidRDefault="00736F4A">
            <w:pPr>
              <w:spacing w:line="240" w:lineRule="auto"/>
              <w:rPr>
                <w:lang w:val="hu-HU"/>
              </w:rPr>
            </w:pPr>
          </w:p>
        </w:tc>
      </w:tr>
    </w:tbl>
    <w:p w14:paraId="46BD646B" w14:textId="77777777" w:rsidR="00736F4A" w:rsidRDefault="00736F4A">
      <w:pPr>
        <w:spacing w:line="240" w:lineRule="auto"/>
        <w:ind w:left="7" w:right="9"/>
      </w:pPr>
    </w:p>
    <w:p w14:paraId="6AC247A4" w14:textId="77777777" w:rsidR="00736F4A" w:rsidRDefault="00100640">
      <w:pPr>
        <w:spacing w:line="240" w:lineRule="auto"/>
        <w:ind w:left="7" w:right="9"/>
      </w:pPr>
      <w:r>
        <w:t>Az MVT/PE-s betegek esetén a dabigatrán-etexilát 220 mg-os napi dózisának napi kétszer 1 darab 110 mg-os kapszula formájában történő szedésére vonatkozó javaslat farmakokinetikai és farmakodinámiás elemzéseken alapul, és klinikai körülmények között nem vizsgálták ezt az adagolási módot. Továbbiakat lásd lent, valamint a 4.4, 4.5, 5.1 és 5.2 pontokban.</w:t>
      </w:r>
    </w:p>
    <w:p w14:paraId="3A435890" w14:textId="77777777" w:rsidR="00736F4A" w:rsidRDefault="00736F4A">
      <w:pPr>
        <w:spacing w:line="240" w:lineRule="auto"/>
        <w:ind w:left="7" w:right="9"/>
      </w:pPr>
    </w:p>
    <w:p w14:paraId="44A95B10" w14:textId="77777777" w:rsidR="00736F4A" w:rsidRDefault="00100640">
      <w:pPr>
        <w:spacing w:line="240" w:lineRule="auto"/>
        <w:ind w:left="7" w:right="9"/>
      </w:pPr>
      <w:r>
        <w:t>A dabigatrán-etexiláttal szembeni intolerancia esetében a betegeket utasítani kell, hogy azonnal forduljanak kezelőorvosukhoz, hogy az egy másik, megfelelő kezelésre válthasson a pitvarfibrillációval kapcsolatos stroke és szisztémás embolizáció megelőzése vagy az MVT/PE megelőzése érdekében.</w:t>
      </w:r>
    </w:p>
    <w:p w14:paraId="30174AFB" w14:textId="77777777" w:rsidR="00736F4A" w:rsidRDefault="00736F4A">
      <w:pPr>
        <w:spacing w:line="240" w:lineRule="auto"/>
        <w:ind w:left="7" w:right="9"/>
      </w:pPr>
    </w:p>
    <w:p w14:paraId="08A454AE" w14:textId="77777777" w:rsidR="00736F4A" w:rsidRDefault="00100640">
      <w:pPr>
        <w:spacing w:line="240" w:lineRule="auto"/>
        <w:ind w:left="7" w:right="9"/>
      </w:pPr>
      <w:r>
        <w:rPr>
          <w:i/>
          <w:u w:val="single" w:color="000000"/>
        </w:rPr>
        <w:t>A vesefunkció ellenőrzése a dabigatrán-etexilát-kezelés megkezdése előtt és a kezelés során</w:t>
      </w:r>
    </w:p>
    <w:p w14:paraId="2351545B" w14:textId="77777777" w:rsidR="00736F4A" w:rsidRDefault="00736F4A">
      <w:pPr>
        <w:spacing w:line="240" w:lineRule="auto"/>
        <w:ind w:left="7" w:right="9"/>
      </w:pPr>
    </w:p>
    <w:p w14:paraId="021DE2EE" w14:textId="77777777" w:rsidR="00736F4A" w:rsidRDefault="00100640">
      <w:pPr>
        <w:spacing w:line="240" w:lineRule="auto"/>
        <w:ind w:left="7" w:right="9"/>
      </w:pPr>
      <w:r>
        <w:t>Minden betegnél, különösen az idős betegeknél (75 év felett), mivel a vesekárosodás gyakorisága ebben a korosztályban nagyobb lehet:</w:t>
      </w:r>
    </w:p>
    <w:p w14:paraId="4F977CF5" w14:textId="77777777" w:rsidR="00736F4A" w:rsidRDefault="00100640">
      <w:pPr>
        <w:numPr>
          <w:ilvl w:val="0"/>
          <w:numId w:val="25"/>
        </w:numPr>
        <w:tabs>
          <w:tab w:val="clear" w:pos="567"/>
        </w:tabs>
        <w:spacing w:line="240" w:lineRule="auto"/>
        <w:ind w:right="9" w:hanging="566"/>
      </w:pPr>
      <w:r>
        <w:t>A dabigatrán-etexilát-kezelés elkezdése előtt a kreatinin-clearance (CrCl) meghatározásával a vesefunkciót ellenőrizni kell annak érdekében, hogy kizárhatóak legyenek azok a betegek, akik súlyos fokú vesekárosodásban szenvednek (azaz: CrCl &lt; 30 ml/perc) (lásd 4.3, 4.4 és 5.2 pont).</w:t>
      </w:r>
    </w:p>
    <w:p w14:paraId="01A19B33" w14:textId="77777777" w:rsidR="00736F4A" w:rsidRDefault="00100640">
      <w:pPr>
        <w:numPr>
          <w:ilvl w:val="0"/>
          <w:numId w:val="25"/>
        </w:numPr>
        <w:tabs>
          <w:tab w:val="clear" w:pos="567"/>
        </w:tabs>
        <w:spacing w:line="240" w:lineRule="auto"/>
        <w:ind w:right="9" w:hanging="566"/>
      </w:pPr>
      <w:r>
        <w:t>A veseműködést ellenőrizni kell, ha a kezelés alatt a veseműködés rosszabbodására lehet számítani (pl. hypovolaemia, dehidráció és bizonyos gyógyszerek egyidejű alkalmazása esetén).</w:t>
      </w:r>
    </w:p>
    <w:p w14:paraId="2FCBB5FD" w14:textId="77777777" w:rsidR="00736F4A" w:rsidRDefault="00736F4A">
      <w:pPr>
        <w:spacing w:line="240" w:lineRule="auto"/>
        <w:ind w:left="7" w:right="9"/>
      </w:pPr>
    </w:p>
    <w:p w14:paraId="3511892C" w14:textId="77777777" w:rsidR="00736F4A" w:rsidRDefault="00100640">
      <w:pPr>
        <w:spacing w:line="240" w:lineRule="auto"/>
        <w:ind w:left="7" w:right="9"/>
      </w:pPr>
      <w:r>
        <w:t>További követelmények enyhe és közepesen súlyos fokú vesekárosodásban szenvedő betegeknél és 75 év feletti betegeknél:</w:t>
      </w:r>
    </w:p>
    <w:p w14:paraId="7CC82F4A" w14:textId="77777777" w:rsidR="00736F4A" w:rsidRDefault="00100640">
      <w:pPr>
        <w:numPr>
          <w:ilvl w:val="0"/>
          <w:numId w:val="25"/>
        </w:numPr>
        <w:tabs>
          <w:tab w:val="clear" w:pos="567"/>
        </w:tabs>
        <w:spacing w:line="240" w:lineRule="auto"/>
        <w:ind w:right="9" w:hanging="566"/>
      </w:pPr>
      <w:r>
        <w:t xml:space="preserve">A dabigatrán-etexiláttal kezelt betegek veseműködését évente legalább egyszer, bizonyos klinikai helyzetekben pedig – amikor a veseműködés romlására vagy (további) rosszabbodására </w:t>
      </w:r>
      <w:r>
        <w:lastRenderedPageBreak/>
        <w:t>lehet számítani (pl. hypovolaemia, dehidráció és bizonyos gyógyszerek egyidejű alkalmazása esetén) – szükség szerint gyakrabban kell ellenőrizni.</w:t>
      </w:r>
    </w:p>
    <w:p w14:paraId="26CB2B53" w14:textId="77777777" w:rsidR="00736F4A" w:rsidRDefault="00736F4A">
      <w:pPr>
        <w:spacing w:line="240" w:lineRule="auto"/>
        <w:ind w:left="7" w:right="9"/>
      </w:pPr>
    </w:p>
    <w:p w14:paraId="5B49CD91" w14:textId="77777777" w:rsidR="00736F4A" w:rsidRDefault="00100640">
      <w:pPr>
        <w:spacing w:line="240" w:lineRule="auto"/>
        <w:ind w:left="7" w:right="9"/>
      </w:pPr>
      <w:r>
        <w:t>A vesefunkció (ml/percben mért CrCl) becslésére a Cockcroft-Gault módszert használják.</w:t>
      </w:r>
    </w:p>
    <w:p w14:paraId="39601947" w14:textId="77777777" w:rsidR="00736F4A" w:rsidRDefault="00736F4A">
      <w:pPr>
        <w:spacing w:line="240" w:lineRule="auto"/>
        <w:ind w:left="7" w:right="9"/>
      </w:pPr>
    </w:p>
    <w:p w14:paraId="36B69E52" w14:textId="77777777" w:rsidR="00736F4A" w:rsidRDefault="00100640">
      <w:pPr>
        <w:spacing w:line="240" w:lineRule="auto"/>
        <w:ind w:left="7"/>
      </w:pPr>
      <w:r>
        <w:rPr>
          <w:i/>
          <w:u w:val="single" w:color="000000"/>
        </w:rPr>
        <w:t>A kezelés időtartama</w:t>
      </w:r>
    </w:p>
    <w:p w14:paraId="16E48E5A" w14:textId="77777777" w:rsidR="00736F4A" w:rsidRDefault="00736F4A">
      <w:pPr>
        <w:spacing w:line="240" w:lineRule="auto"/>
        <w:ind w:left="7" w:right="9"/>
      </w:pPr>
    </w:p>
    <w:p w14:paraId="5935CF03" w14:textId="77777777" w:rsidR="00736F4A" w:rsidRDefault="00100640">
      <w:pPr>
        <w:spacing w:line="240" w:lineRule="auto"/>
        <w:ind w:left="7" w:right="9"/>
      </w:pPr>
      <w:r>
        <w:t>A dabigatrán-etexilát-kezelés időtartamát SPAF, MVT és PE esetén a 2. táblázat ismerteti.</w:t>
      </w:r>
    </w:p>
    <w:p w14:paraId="00538866" w14:textId="77777777" w:rsidR="00736F4A" w:rsidRDefault="00736F4A">
      <w:pPr>
        <w:spacing w:line="240" w:lineRule="auto"/>
        <w:ind w:left="7" w:right="9"/>
      </w:pPr>
    </w:p>
    <w:p w14:paraId="1FA47085" w14:textId="77777777" w:rsidR="00736F4A" w:rsidRDefault="00100640">
      <w:pPr>
        <w:tabs>
          <w:tab w:val="center" w:pos="3521"/>
        </w:tabs>
        <w:spacing w:line="240" w:lineRule="auto"/>
        <w:ind w:left="-3"/>
        <w:rPr>
          <w:b/>
        </w:rPr>
      </w:pPr>
      <w:r>
        <w:rPr>
          <w:b/>
        </w:rPr>
        <w:t>2. táblázat. A kezelés időtartama SPAF, MVT/PE esetén</w:t>
      </w:r>
    </w:p>
    <w:p w14:paraId="027D7264" w14:textId="77777777" w:rsidR="00736F4A" w:rsidRDefault="00736F4A">
      <w:pPr>
        <w:spacing w:line="240" w:lineRule="auto"/>
        <w:ind w:left="7" w:right="9"/>
      </w:pPr>
    </w:p>
    <w:tbl>
      <w:tblPr>
        <w:tblW w:w="9060" w:type="dxa"/>
        <w:tblInd w:w="17" w:type="dxa"/>
        <w:tblCellMar>
          <w:top w:w="51" w:type="dxa"/>
          <w:right w:w="115" w:type="dxa"/>
        </w:tblCellMar>
        <w:tblLook w:val="04A0" w:firstRow="1" w:lastRow="0" w:firstColumn="1" w:lastColumn="0" w:noHBand="0" w:noVBand="1"/>
      </w:tblPr>
      <w:tblGrid>
        <w:gridCol w:w="1373"/>
        <w:gridCol w:w="7687"/>
      </w:tblGrid>
      <w:tr w:rsidR="00736F4A" w14:paraId="085336C8" w14:textId="77777777">
        <w:trPr>
          <w:trHeight w:val="384"/>
        </w:trPr>
        <w:tc>
          <w:tcPr>
            <w:tcW w:w="1373" w:type="dxa"/>
            <w:tcBorders>
              <w:top w:val="single" w:sz="4" w:space="0" w:color="000000"/>
              <w:left w:val="single" w:sz="4" w:space="0" w:color="000000"/>
              <w:bottom w:val="single" w:sz="4" w:space="0" w:color="000000"/>
              <w:right w:val="single" w:sz="4" w:space="0" w:color="000000"/>
            </w:tcBorders>
          </w:tcPr>
          <w:p w14:paraId="219A208D" w14:textId="77777777" w:rsidR="00736F4A" w:rsidRDefault="00100640">
            <w:pPr>
              <w:spacing w:line="240" w:lineRule="auto"/>
              <w:rPr>
                <w:lang w:val="hu-HU"/>
              </w:rPr>
            </w:pPr>
            <w:r>
              <w:rPr>
                <w:b/>
                <w:lang w:val="hu-HU"/>
              </w:rPr>
              <w:t>Javallat</w:t>
            </w:r>
          </w:p>
        </w:tc>
        <w:tc>
          <w:tcPr>
            <w:tcW w:w="7687" w:type="dxa"/>
            <w:tcBorders>
              <w:top w:val="single" w:sz="4" w:space="0" w:color="000000"/>
              <w:left w:val="single" w:sz="4" w:space="0" w:color="000000"/>
              <w:bottom w:val="single" w:sz="4" w:space="0" w:color="000000"/>
              <w:right w:val="single" w:sz="4" w:space="0" w:color="000000"/>
            </w:tcBorders>
          </w:tcPr>
          <w:p w14:paraId="30DF79DF" w14:textId="77777777" w:rsidR="00736F4A" w:rsidRDefault="00100640">
            <w:pPr>
              <w:spacing w:line="240" w:lineRule="auto"/>
              <w:rPr>
                <w:lang w:val="hu-HU"/>
              </w:rPr>
            </w:pPr>
            <w:r>
              <w:rPr>
                <w:b/>
                <w:lang w:val="hu-HU"/>
              </w:rPr>
              <w:t>A kezelés időtartama</w:t>
            </w:r>
          </w:p>
        </w:tc>
      </w:tr>
      <w:tr w:rsidR="00736F4A" w14:paraId="6474D48B" w14:textId="77777777">
        <w:trPr>
          <w:trHeight w:val="384"/>
        </w:trPr>
        <w:tc>
          <w:tcPr>
            <w:tcW w:w="1373" w:type="dxa"/>
            <w:tcBorders>
              <w:top w:val="single" w:sz="4" w:space="0" w:color="000000"/>
              <w:left w:val="single" w:sz="4" w:space="0" w:color="000000"/>
              <w:bottom w:val="single" w:sz="4" w:space="0" w:color="000000"/>
              <w:right w:val="single" w:sz="4" w:space="0" w:color="000000"/>
            </w:tcBorders>
          </w:tcPr>
          <w:p w14:paraId="7B69572B" w14:textId="77777777" w:rsidR="00736F4A" w:rsidRDefault="00100640">
            <w:pPr>
              <w:spacing w:line="240" w:lineRule="auto"/>
              <w:rPr>
                <w:lang w:val="hu-HU"/>
              </w:rPr>
            </w:pPr>
            <w:r>
              <w:rPr>
                <w:lang w:val="hu-HU"/>
              </w:rPr>
              <w:t>SPAF</w:t>
            </w:r>
          </w:p>
        </w:tc>
        <w:tc>
          <w:tcPr>
            <w:tcW w:w="7687" w:type="dxa"/>
            <w:tcBorders>
              <w:top w:val="single" w:sz="4" w:space="0" w:color="000000"/>
              <w:left w:val="single" w:sz="4" w:space="0" w:color="000000"/>
              <w:bottom w:val="single" w:sz="4" w:space="0" w:color="000000"/>
              <w:right w:val="single" w:sz="4" w:space="0" w:color="000000"/>
            </w:tcBorders>
          </w:tcPr>
          <w:p w14:paraId="1341F586" w14:textId="77777777" w:rsidR="00736F4A" w:rsidRDefault="00100640">
            <w:pPr>
              <w:spacing w:line="240" w:lineRule="auto"/>
              <w:rPr>
                <w:lang w:val="hu-HU"/>
              </w:rPr>
            </w:pPr>
            <w:r>
              <w:rPr>
                <w:lang w:val="hu-HU"/>
              </w:rPr>
              <w:t>A kezelést hosszú távon folytatni kell.</w:t>
            </w:r>
          </w:p>
        </w:tc>
      </w:tr>
      <w:tr w:rsidR="00736F4A" w14:paraId="091E6051" w14:textId="77777777">
        <w:trPr>
          <w:trHeight w:val="1766"/>
        </w:trPr>
        <w:tc>
          <w:tcPr>
            <w:tcW w:w="1373" w:type="dxa"/>
            <w:tcBorders>
              <w:top w:val="single" w:sz="4" w:space="0" w:color="000000"/>
              <w:left w:val="single" w:sz="4" w:space="0" w:color="000000"/>
              <w:bottom w:val="single" w:sz="4" w:space="0" w:color="000000"/>
              <w:right w:val="single" w:sz="4" w:space="0" w:color="000000"/>
            </w:tcBorders>
          </w:tcPr>
          <w:p w14:paraId="710AC18B" w14:textId="77777777" w:rsidR="00736F4A" w:rsidRDefault="00100640">
            <w:pPr>
              <w:spacing w:line="240" w:lineRule="auto"/>
              <w:rPr>
                <w:lang w:val="hu-HU"/>
              </w:rPr>
            </w:pPr>
            <w:r>
              <w:rPr>
                <w:lang w:val="hu-HU"/>
              </w:rPr>
              <w:t>MVT/PE</w:t>
            </w:r>
          </w:p>
        </w:tc>
        <w:tc>
          <w:tcPr>
            <w:tcW w:w="7687" w:type="dxa"/>
            <w:tcBorders>
              <w:top w:val="single" w:sz="4" w:space="0" w:color="000000"/>
              <w:left w:val="single" w:sz="4" w:space="0" w:color="000000"/>
              <w:bottom w:val="single" w:sz="4" w:space="0" w:color="000000"/>
              <w:right w:val="single" w:sz="4" w:space="0" w:color="000000"/>
            </w:tcBorders>
          </w:tcPr>
          <w:p w14:paraId="44AFE4A9" w14:textId="77777777" w:rsidR="00736F4A" w:rsidRDefault="00100640">
            <w:pPr>
              <w:spacing w:line="240" w:lineRule="auto"/>
              <w:rPr>
                <w:lang w:val="hu-HU"/>
              </w:rPr>
            </w:pPr>
            <w:r>
              <w:rPr>
                <w:lang w:val="hu-HU"/>
              </w:rPr>
              <w:t>A kezelés időtartamát egyénileg, a kezelés előnyeinek és a vérzés kockázatának gondos értékelését követően kell meghatározni (lásd 4.4 pont).</w:t>
            </w:r>
          </w:p>
          <w:p w14:paraId="2AE40847" w14:textId="77777777" w:rsidR="00736F4A" w:rsidRDefault="00100640">
            <w:pPr>
              <w:spacing w:line="240" w:lineRule="auto"/>
              <w:rPr>
                <w:lang w:val="hu-HU"/>
              </w:rPr>
            </w:pPr>
            <w:r>
              <w:rPr>
                <w:lang w:val="hu-HU"/>
              </w:rPr>
              <w:t>A rövid időtartamú terápiának (legalább 3 hónap) az átmeneti rizikófaktorokon (pl. műtét a közelmúltban, trauma, immobilizáció), míg a hosszútávú kezelésnek a folyamatosan fennálló kockázati tényezőkön vagy idiopátiás MVT-n, illetve PE-n kell alapulnia.</w:t>
            </w:r>
          </w:p>
        </w:tc>
      </w:tr>
    </w:tbl>
    <w:p w14:paraId="6D61B2B4" w14:textId="77777777" w:rsidR="00736F4A" w:rsidRDefault="00736F4A">
      <w:pPr>
        <w:spacing w:line="240" w:lineRule="auto"/>
        <w:ind w:left="7" w:right="9"/>
      </w:pPr>
    </w:p>
    <w:p w14:paraId="581194D5" w14:textId="77777777" w:rsidR="00736F4A" w:rsidRDefault="00100640">
      <w:pPr>
        <w:spacing w:line="240" w:lineRule="auto"/>
        <w:ind w:left="7"/>
      </w:pPr>
      <w:r>
        <w:rPr>
          <w:i/>
          <w:u w:val="single" w:color="000000"/>
        </w:rPr>
        <w:t>Kihagyott dózis</w:t>
      </w:r>
    </w:p>
    <w:p w14:paraId="35878985" w14:textId="77777777" w:rsidR="00736F4A" w:rsidRDefault="00100640">
      <w:pPr>
        <w:spacing w:line="240" w:lineRule="auto"/>
        <w:ind w:left="7" w:right="9"/>
      </w:pPr>
      <w:r>
        <w:t>A dabigatrán-etexilát kimaradt dózisa pótolható legkésőbb 6 órával a következő esedékes dózis előtt. A következő esedékes dózis előtti 6 órán belül az elfelejtett dózist ki kell hagyni.</w:t>
      </w:r>
    </w:p>
    <w:p w14:paraId="2BB37A80" w14:textId="77777777" w:rsidR="00736F4A" w:rsidRDefault="00736F4A">
      <w:pPr>
        <w:spacing w:line="240" w:lineRule="auto"/>
        <w:ind w:left="7" w:right="9"/>
      </w:pPr>
    </w:p>
    <w:p w14:paraId="1F6F4968" w14:textId="77777777" w:rsidR="00736F4A" w:rsidRDefault="00100640">
      <w:pPr>
        <w:spacing w:line="240" w:lineRule="auto"/>
        <w:ind w:left="7" w:right="9"/>
      </w:pPr>
      <w:r>
        <w:t>Nem szabad kétszeres dózist bevenni az egyes kihagyott dózisok pótlására.</w:t>
      </w:r>
    </w:p>
    <w:p w14:paraId="0B5FEA82" w14:textId="77777777" w:rsidR="00736F4A" w:rsidRDefault="00736F4A">
      <w:pPr>
        <w:spacing w:line="240" w:lineRule="auto"/>
        <w:ind w:left="7" w:right="9"/>
      </w:pPr>
    </w:p>
    <w:p w14:paraId="79B43AE4" w14:textId="77777777" w:rsidR="00736F4A" w:rsidRDefault="00100640">
      <w:pPr>
        <w:spacing w:line="240" w:lineRule="auto"/>
        <w:ind w:left="7"/>
      </w:pPr>
      <w:r>
        <w:rPr>
          <w:i/>
          <w:u w:val="single" w:color="000000"/>
        </w:rPr>
        <w:t>A dabigatrán-etexilát-kezelés leállítása</w:t>
      </w:r>
    </w:p>
    <w:p w14:paraId="1244297A" w14:textId="77777777" w:rsidR="00736F4A" w:rsidRDefault="00736F4A">
      <w:pPr>
        <w:spacing w:line="240" w:lineRule="auto"/>
        <w:ind w:left="7" w:right="9"/>
      </w:pPr>
    </w:p>
    <w:p w14:paraId="5BF7EF7B" w14:textId="77777777" w:rsidR="00736F4A" w:rsidRDefault="00100640">
      <w:pPr>
        <w:spacing w:line="240" w:lineRule="auto"/>
        <w:ind w:left="7" w:right="9"/>
      </w:pPr>
      <w:r>
        <w:t>A dabigatrán-etexilát-kezelés csak orvosi javaslatra állítható le. A betegeknek gastrointestinalis tünetek, pl. dyspepsia megjelenése esetén tájékoztatniuk kell kezelőorvosukat (lásd 4.8 pont).</w:t>
      </w:r>
    </w:p>
    <w:p w14:paraId="51AB2A6F" w14:textId="77777777" w:rsidR="00736F4A" w:rsidRDefault="00736F4A">
      <w:pPr>
        <w:spacing w:line="240" w:lineRule="auto"/>
        <w:ind w:left="7" w:right="9"/>
      </w:pPr>
    </w:p>
    <w:p w14:paraId="2E87BB9E" w14:textId="77777777" w:rsidR="00736F4A" w:rsidRDefault="00100640">
      <w:pPr>
        <w:spacing w:line="240" w:lineRule="auto"/>
        <w:ind w:left="7"/>
      </w:pPr>
      <w:r>
        <w:rPr>
          <w:i/>
          <w:u w:val="single" w:color="000000"/>
        </w:rPr>
        <w:t>Átállítás</w:t>
      </w:r>
    </w:p>
    <w:p w14:paraId="28356754" w14:textId="77777777" w:rsidR="00736F4A" w:rsidRDefault="00736F4A">
      <w:pPr>
        <w:spacing w:line="240" w:lineRule="auto"/>
        <w:ind w:left="7" w:right="9"/>
      </w:pPr>
    </w:p>
    <w:p w14:paraId="23C9CD92" w14:textId="77777777" w:rsidR="00736F4A" w:rsidRDefault="00100640">
      <w:pPr>
        <w:spacing w:line="240" w:lineRule="auto"/>
        <w:ind w:left="7" w:right="9"/>
      </w:pPr>
      <w:r>
        <w:t>Dabigatrán-etexilát-kezelésről parenterális antikoaguláns-kezelésre:</w:t>
      </w:r>
    </w:p>
    <w:p w14:paraId="0FE01B88" w14:textId="77777777" w:rsidR="00736F4A" w:rsidRDefault="00100640">
      <w:pPr>
        <w:spacing w:line="240" w:lineRule="auto"/>
        <w:ind w:left="7" w:right="9"/>
      </w:pPr>
      <w:r>
        <w:t>A dabigatrán-etexilátról parenterális antikoaguláns-kezelésre történő átállításkor javasolt 12 órát várni az utolsó dabigatrán-etexilát-dózis bevétele után (lásd 4.5 pont).</w:t>
      </w:r>
    </w:p>
    <w:p w14:paraId="238CDA71" w14:textId="77777777" w:rsidR="00736F4A" w:rsidRDefault="00736F4A">
      <w:pPr>
        <w:spacing w:line="240" w:lineRule="auto"/>
        <w:ind w:left="7" w:right="9"/>
      </w:pPr>
    </w:p>
    <w:p w14:paraId="6DA4F711" w14:textId="77777777" w:rsidR="00736F4A" w:rsidRDefault="00100640">
      <w:pPr>
        <w:spacing w:line="240" w:lineRule="auto"/>
        <w:ind w:left="7" w:right="9"/>
      </w:pPr>
      <w:r>
        <w:t>Parenterális antikoagulánsokról dabigatrán-etexilátra:</w:t>
      </w:r>
    </w:p>
    <w:p w14:paraId="6CA73518" w14:textId="77777777" w:rsidR="00736F4A" w:rsidRDefault="00100640">
      <w:pPr>
        <w:spacing w:line="240" w:lineRule="auto"/>
        <w:ind w:left="7" w:right="9"/>
      </w:pPr>
      <w:r>
        <w:t>Az antikoaguláns-kezelés következő dózisának esedékessége előtt 0-2 órával a parenterális antikoaguláns-kezelést le kell állítani, és a dabigatrán-etexilát-kezelést meg kell kezdeni, illetve a folyamatos kezelés (pl. intravénás nem frakcionált heparin [UFH]) esetén az antikoaguláns-terápia leállításakor kell megkezdeni a dabigatrán-etexilát alkalmazását (lásd 4.5 pont).</w:t>
      </w:r>
    </w:p>
    <w:p w14:paraId="65ACC58A" w14:textId="77777777" w:rsidR="00736F4A" w:rsidRDefault="00736F4A">
      <w:pPr>
        <w:spacing w:line="240" w:lineRule="auto"/>
        <w:ind w:left="7" w:right="9"/>
      </w:pPr>
    </w:p>
    <w:p w14:paraId="302327A9" w14:textId="77777777" w:rsidR="00736F4A" w:rsidRDefault="00100640">
      <w:pPr>
        <w:spacing w:line="240" w:lineRule="auto"/>
        <w:ind w:left="7" w:right="9"/>
      </w:pPr>
      <w:r>
        <w:t>Dabigatrán-etexilátról K-vitamin-antagonistákra (KVA):</w:t>
      </w:r>
    </w:p>
    <w:p w14:paraId="4FB540C8" w14:textId="77777777" w:rsidR="00736F4A" w:rsidRDefault="00100640">
      <w:pPr>
        <w:spacing w:line="240" w:lineRule="auto"/>
        <w:ind w:left="7" w:right="9"/>
      </w:pPr>
      <w:r>
        <w:t>A KVA adagolásának elkezdését a következők szerint a CrCl alapján kell időzíteni:</w:t>
      </w:r>
    </w:p>
    <w:p w14:paraId="77830FF2" w14:textId="77777777" w:rsidR="00736F4A" w:rsidRDefault="00100640">
      <w:pPr>
        <w:numPr>
          <w:ilvl w:val="0"/>
          <w:numId w:val="27"/>
        </w:numPr>
        <w:tabs>
          <w:tab w:val="clear" w:pos="567"/>
        </w:tabs>
        <w:spacing w:line="240" w:lineRule="auto"/>
        <w:ind w:left="567" w:hanging="567"/>
      </w:pPr>
      <w:r>
        <w:t>CrCl ≥ 50 ml/perc, a KVA adagolását 3 nappal a dabigatrán-etexilát adagolásának abbahagyása előtt kell elkezdeni.</w:t>
      </w:r>
    </w:p>
    <w:p w14:paraId="7A07A834" w14:textId="77777777" w:rsidR="00736F4A" w:rsidRDefault="00100640">
      <w:pPr>
        <w:numPr>
          <w:ilvl w:val="0"/>
          <w:numId w:val="27"/>
        </w:numPr>
        <w:tabs>
          <w:tab w:val="clear" w:pos="567"/>
        </w:tabs>
        <w:spacing w:line="240" w:lineRule="auto"/>
        <w:ind w:left="567" w:hanging="567"/>
      </w:pPr>
      <w:r>
        <w:t>CrCl ≥ 30 - &lt; 50 ml/perc, a KVA adagolását 2 nappal a dabigatrán-etexilát adagolásának abbahagyása előtt kell elkezdeni.</w:t>
      </w:r>
    </w:p>
    <w:p w14:paraId="12CCC54F" w14:textId="77777777" w:rsidR="00736F4A" w:rsidRDefault="00736F4A">
      <w:pPr>
        <w:spacing w:line="240" w:lineRule="auto"/>
        <w:ind w:left="7" w:right="9"/>
      </w:pPr>
    </w:p>
    <w:p w14:paraId="54BA2943" w14:textId="77777777" w:rsidR="00736F4A" w:rsidRDefault="00100640">
      <w:pPr>
        <w:spacing w:line="240" w:lineRule="auto"/>
        <w:ind w:left="7" w:right="9"/>
      </w:pPr>
      <w:r>
        <w:t>Mivel a dabigatrán-etexilát befolyásolhatja a nemzetközi normalizált arányt (</w:t>
      </w:r>
      <w:r>
        <w:rPr>
          <w:color w:val="000000"/>
          <w:lang w:bidi="en-US"/>
        </w:rPr>
        <w:t xml:space="preserve">International Normalised Ratio: </w:t>
      </w:r>
      <w:r>
        <w:t>INR-t), az INR csak akkor mutatja megfelelően a KVA hatását, ha a dabigatrán-etexilát-kezelést már legalább 2 napja leállították.</w:t>
      </w:r>
    </w:p>
    <w:p w14:paraId="04CDC6B6" w14:textId="77777777" w:rsidR="00736F4A" w:rsidRDefault="00100640">
      <w:pPr>
        <w:spacing w:line="240" w:lineRule="auto"/>
        <w:ind w:left="7" w:right="9"/>
      </w:pPr>
      <w:r>
        <w:t>Addig az INR értékeket körültekintően kell értelmezni.</w:t>
      </w:r>
    </w:p>
    <w:p w14:paraId="654CDFA6" w14:textId="77777777" w:rsidR="00736F4A" w:rsidRDefault="00736F4A">
      <w:pPr>
        <w:spacing w:line="240" w:lineRule="auto"/>
        <w:ind w:left="7" w:right="9"/>
      </w:pPr>
    </w:p>
    <w:p w14:paraId="512CD199" w14:textId="77777777" w:rsidR="00736F4A" w:rsidRDefault="00100640">
      <w:pPr>
        <w:spacing w:line="240" w:lineRule="auto"/>
        <w:ind w:left="7" w:right="9"/>
      </w:pPr>
      <w:r>
        <w:t>KVA-ról dabigatrán-etexilátra:</w:t>
      </w:r>
    </w:p>
    <w:p w14:paraId="3F71C2CF" w14:textId="77777777" w:rsidR="00736F4A" w:rsidRDefault="00100640">
      <w:pPr>
        <w:spacing w:line="240" w:lineRule="auto"/>
        <w:ind w:left="7" w:right="133"/>
      </w:pPr>
      <w:r>
        <w:t>A KVA-kezelést le kell állítani. A dabigatrán-etexilát adása akkor kezdhető el, ha az INR &lt; 2,0.</w:t>
      </w:r>
    </w:p>
    <w:p w14:paraId="0A4B4C14" w14:textId="77777777" w:rsidR="00736F4A" w:rsidRDefault="00736F4A">
      <w:pPr>
        <w:spacing w:line="240" w:lineRule="auto"/>
        <w:ind w:left="7" w:right="9"/>
      </w:pPr>
    </w:p>
    <w:p w14:paraId="05B25CAF" w14:textId="77777777" w:rsidR="00736F4A" w:rsidRDefault="00100640">
      <w:pPr>
        <w:spacing w:line="240" w:lineRule="auto"/>
        <w:ind w:left="7" w:right="133"/>
      </w:pPr>
      <w:r>
        <w:rPr>
          <w:i/>
          <w:u w:val="single" w:color="000000"/>
        </w:rPr>
        <w:t>Cardioversio (SPAF)</w:t>
      </w:r>
    </w:p>
    <w:p w14:paraId="269A48A4" w14:textId="77777777" w:rsidR="00736F4A" w:rsidRDefault="00736F4A">
      <w:pPr>
        <w:spacing w:line="240" w:lineRule="auto"/>
        <w:ind w:left="7" w:right="9"/>
      </w:pPr>
    </w:p>
    <w:p w14:paraId="07E195B8" w14:textId="77777777" w:rsidR="00736F4A" w:rsidRDefault="00100640">
      <w:pPr>
        <w:spacing w:line="240" w:lineRule="auto"/>
        <w:ind w:left="7" w:right="9"/>
      </w:pPr>
      <w:r>
        <w:t>A betegek a cardioversio alatt folytathatják a dabigatrán-etexilát szedését.</w:t>
      </w:r>
    </w:p>
    <w:p w14:paraId="74397B06" w14:textId="77777777" w:rsidR="00736F4A" w:rsidRDefault="00736F4A">
      <w:pPr>
        <w:spacing w:line="240" w:lineRule="auto"/>
        <w:ind w:left="7" w:right="9"/>
      </w:pPr>
    </w:p>
    <w:p w14:paraId="5C318472" w14:textId="77777777" w:rsidR="00736F4A" w:rsidRDefault="00100640">
      <w:pPr>
        <w:spacing w:line="240" w:lineRule="auto"/>
        <w:ind w:left="7"/>
      </w:pPr>
      <w:r>
        <w:rPr>
          <w:i/>
          <w:u w:val="single" w:color="000000"/>
        </w:rPr>
        <w:t>Katéteres ablatio pitvarfibrilláció esetén (SPAF)</w:t>
      </w:r>
    </w:p>
    <w:p w14:paraId="72B2FF93" w14:textId="77777777" w:rsidR="00736F4A" w:rsidRDefault="00736F4A">
      <w:pPr>
        <w:spacing w:line="240" w:lineRule="auto"/>
        <w:ind w:left="7" w:right="9"/>
      </w:pPr>
    </w:p>
    <w:p w14:paraId="58039566" w14:textId="77777777" w:rsidR="00736F4A" w:rsidRDefault="00100640">
      <w:pPr>
        <w:spacing w:line="240" w:lineRule="auto"/>
        <w:ind w:right="9"/>
        <w:rPr>
          <w:color w:val="000000"/>
          <w:lang w:val="hu-HU" w:eastAsia="hu-HU"/>
        </w:rPr>
      </w:pPr>
      <w:r>
        <w:rPr>
          <w:color w:val="000000"/>
          <w:lang w:val="hu-HU" w:eastAsia="hu-HU"/>
        </w:rPr>
        <w:t>Végezhető katéteres ablatio napi kétszer 150 mg dabigatrán-etexilát-kezelésben részesülő betegeknél. Nincs szükség a dabigatrán-etexilát-kezelés megszakítására (lásd 5.1 pont).</w:t>
      </w:r>
    </w:p>
    <w:p w14:paraId="1C875295" w14:textId="77777777" w:rsidR="00736F4A" w:rsidRDefault="00736F4A">
      <w:pPr>
        <w:spacing w:line="240" w:lineRule="auto"/>
        <w:ind w:left="7" w:right="9"/>
      </w:pPr>
    </w:p>
    <w:p w14:paraId="0E77E085" w14:textId="77777777" w:rsidR="00736F4A" w:rsidRDefault="00100640">
      <w:pPr>
        <w:spacing w:line="240" w:lineRule="auto"/>
        <w:ind w:left="7"/>
      </w:pPr>
      <w:r>
        <w:rPr>
          <w:i/>
          <w:u w:val="single" w:color="000000"/>
        </w:rPr>
        <w:t>Percutan coronariaintervenció (PCI) stent alkalmazásával (SPAF)</w:t>
      </w:r>
    </w:p>
    <w:p w14:paraId="27ECFF3F" w14:textId="77777777" w:rsidR="00736F4A" w:rsidRDefault="00736F4A">
      <w:pPr>
        <w:spacing w:line="240" w:lineRule="auto"/>
        <w:ind w:left="7" w:right="9"/>
      </w:pPr>
    </w:p>
    <w:p w14:paraId="4A08DED1" w14:textId="77777777" w:rsidR="00736F4A" w:rsidRDefault="00100640">
      <w:pPr>
        <w:spacing w:line="240" w:lineRule="auto"/>
        <w:ind w:left="7" w:right="9"/>
      </w:pPr>
      <w:r>
        <w:t>A nem billentyű eredetű pitvarfibrilláló betegek esetén, akiknél stent alkalmazásával végeztek PCI-t, a haemostasis elérése után a dabigatrán-etexilát más thrombocita-aggregáció-gátlókkal együtt is alkalmazható (lásd 5.1 pont).</w:t>
      </w:r>
    </w:p>
    <w:p w14:paraId="5158C3FA" w14:textId="77777777" w:rsidR="00736F4A" w:rsidRDefault="00736F4A">
      <w:pPr>
        <w:spacing w:line="240" w:lineRule="auto"/>
        <w:ind w:left="7" w:right="9"/>
      </w:pPr>
    </w:p>
    <w:p w14:paraId="556335AC" w14:textId="77777777" w:rsidR="00736F4A" w:rsidRDefault="00100640">
      <w:pPr>
        <w:spacing w:line="240" w:lineRule="auto"/>
        <w:ind w:left="7"/>
      </w:pPr>
      <w:r>
        <w:rPr>
          <w:i/>
          <w:u w:val="single" w:color="000000"/>
        </w:rPr>
        <w:t>Különleges betegcsoportok</w:t>
      </w:r>
    </w:p>
    <w:p w14:paraId="5A0ED7E2" w14:textId="77777777" w:rsidR="00736F4A" w:rsidRDefault="00736F4A">
      <w:pPr>
        <w:spacing w:line="240" w:lineRule="auto"/>
        <w:ind w:left="7"/>
        <w:rPr>
          <w:iCs/>
        </w:rPr>
      </w:pPr>
    </w:p>
    <w:p w14:paraId="067CCF20" w14:textId="77777777" w:rsidR="00736F4A" w:rsidRDefault="00100640">
      <w:pPr>
        <w:spacing w:line="240" w:lineRule="auto"/>
        <w:ind w:left="7"/>
      </w:pPr>
      <w:r>
        <w:rPr>
          <w:i/>
        </w:rPr>
        <w:t>Idősek</w:t>
      </w:r>
    </w:p>
    <w:p w14:paraId="7D229FD1" w14:textId="77777777" w:rsidR="00736F4A" w:rsidRDefault="00736F4A">
      <w:pPr>
        <w:spacing w:line="240" w:lineRule="auto"/>
        <w:ind w:left="7" w:right="9"/>
      </w:pPr>
    </w:p>
    <w:p w14:paraId="345A00AC" w14:textId="77777777" w:rsidR="00736F4A" w:rsidRDefault="00100640">
      <w:pPr>
        <w:spacing w:line="240" w:lineRule="auto"/>
        <w:ind w:left="7" w:right="9"/>
      </w:pPr>
      <w:r>
        <w:t>Az ezen betegpopulációt érintő dózismódosításokat lásd fent az 1. táblázatban.</w:t>
      </w:r>
    </w:p>
    <w:p w14:paraId="7BD8A81D" w14:textId="77777777" w:rsidR="00736F4A" w:rsidRDefault="00736F4A">
      <w:pPr>
        <w:spacing w:line="240" w:lineRule="auto"/>
        <w:ind w:left="7" w:right="9"/>
      </w:pPr>
    </w:p>
    <w:p w14:paraId="41B65460" w14:textId="77777777" w:rsidR="00736F4A" w:rsidRDefault="00100640">
      <w:pPr>
        <w:spacing w:line="240" w:lineRule="auto"/>
        <w:ind w:left="7"/>
      </w:pPr>
      <w:r>
        <w:rPr>
          <w:i/>
        </w:rPr>
        <w:t>Fokozott vérzési kockázatú betegek</w:t>
      </w:r>
    </w:p>
    <w:p w14:paraId="0ACFB9D3" w14:textId="77777777" w:rsidR="00736F4A" w:rsidRDefault="00736F4A">
      <w:pPr>
        <w:spacing w:line="240" w:lineRule="auto"/>
        <w:ind w:left="7" w:right="9"/>
      </w:pPr>
    </w:p>
    <w:p w14:paraId="5E188A0C" w14:textId="77777777" w:rsidR="00736F4A" w:rsidRDefault="00100640">
      <w:pPr>
        <w:spacing w:line="240" w:lineRule="auto"/>
        <w:ind w:left="7" w:right="9"/>
      </w:pPr>
      <w:r>
        <w:t>A fokozott vérzési kockázatú betegeket (lásd 4.4, 4.5, 5.1 és 5.2 pontok) klinikailag szorosan kell monitorozni (keresni kell a vérzés vagy anaemia jeleit). A dózis módosítását az orvos dönti el a potenciális előnyök és a kockázatok betegenként egyénileg történő mérlegelése után (lásd 1. táblázat fent). Az alvadási vizsgálat (lásd 4.4) segíthet azonosítani a túlzott dabigatrán-expozíció miatt fokozott vérzési kockázatú betegeket. Ha túlzott dabigatrán-expozíciót mutatnak ki nagy vérzési kockázatú betegnél, 220 mg-os csökkentett napi dózis adása javasolt napi kétszer egy darab 110 mg-os kapszula formájában. Klinikailag jelentős vérzés jelentkezése esetén a kezelést meg kell szakítani.</w:t>
      </w:r>
    </w:p>
    <w:p w14:paraId="6E74E99D" w14:textId="77777777" w:rsidR="00736F4A" w:rsidRDefault="00736F4A">
      <w:pPr>
        <w:spacing w:line="240" w:lineRule="auto"/>
        <w:ind w:left="7" w:right="9"/>
      </w:pPr>
    </w:p>
    <w:p w14:paraId="16332486" w14:textId="77777777" w:rsidR="00736F4A" w:rsidRDefault="00100640">
      <w:pPr>
        <w:spacing w:line="240" w:lineRule="auto"/>
        <w:ind w:left="7" w:right="9"/>
      </w:pPr>
      <w:r>
        <w:t>Gastritis, oesophagitis vagy gastrooesophagealis reflux esetén a gastrointestinalis vérzés fokozott kockázata miatt csökkentett dózis alkalmazása megfontolható (lásd 1. táblázat fent és 4.4 pont).</w:t>
      </w:r>
    </w:p>
    <w:p w14:paraId="430CDF27" w14:textId="77777777" w:rsidR="00736F4A" w:rsidRDefault="00736F4A">
      <w:pPr>
        <w:spacing w:line="240" w:lineRule="auto"/>
        <w:ind w:left="7" w:right="9"/>
      </w:pPr>
    </w:p>
    <w:p w14:paraId="5FD9B707" w14:textId="77777777" w:rsidR="00736F4A" w:rsidRDefault="00100640">
      <w:pPr>
        <w:spacing w:line="240" w:lineRule="auto"/>
        <w:ind w:left="7"/>
      </w:pPr>
      <w:r>
        <w:rPr>
          <w:i/>
        </w:rPr>
        <w:t>Vesekárosodás</w:t>
      </w:r>
    </w:p>
    <w:p w14:paraId="3E4F7BE8" w14:textId="77777777" w:rsidR="00736F4A" w:rsidRDefault="00736F4A">
      <w:pPr>
        <w:spacing w:line="240" w:lineRule="auto"/>
        <w:ind w:left="7" w:right="9"/>
      </w:pPr>
    </w:p>
    <w:p w14:paraId="0A51507F" w14:textId="77777777" w:rsidR="00736F4A" w:rsidRDefault="00100640">
      <w:pPr>
        <w:spacing w:line="240" w:lineRule="auto"/>
        <w:ind w:left="7" w:right="9"/>
      </w:pPr>
      <w:r>
        <w:t>A dabigatrán-etexilát-kezelés a súlyos fokú vesekárosodásban szenvedő betegeknél (30 ml/perc alatti kreatinin-clearance [CrCl]) ellenjavallt (lásd 4.3 pont).</w:t>
      </w:r>
    </w:p>
    <w:p w14:paraId="6C89CA1D" w14:textId="77777777" w:rsidR="00736F4A" w:rsidRDefault="00736F4A">
      <w:pPr>
        <w:spacing w:line="240" w:lineRule="auto"/>
        <w:ind w:left="7" w:right="9"/>
      </w:pPr>
    </w:p>
    <w:p w14:paraId="7D1B9A4A" w14:textId="77777777" w:rsidR="00736F4A" w:rsidRDefault="00100640">
      <w:pPr>
        <w:spacing w:line="240" w:lineRule="auto"/>
        <w:ind w:left="7" w:right="9"/>
      </w:pPr>
      <w:r>
        <w:t>A dózis módosítása enyhe (CrCl 50- ≤ 80 ml/perc) vesekárosodásban nem szükséges. Közepesen súlyos fokú vesekárosodásban (CrCl 30</w:t>
      </w:r>
      <w:r>
        <w:noBreakHyphen/>
        <w:t>50 ml/perc) szenvedő betegek ajánlott dabigatrán-etexilát dózisa szintén 300 mg (naponta kétszer egy darab 150 mg-os kapszula formájában). Mindazonáltal a magas vérzési kockázatú betegeknél a dabigatrán-etexilát napi dózisának 220 mg-ra (kétszer egy darab 110 mg-os kapszula formájában) való csökkentése is megfontolandó (lásd 4.4 és 5.2 pont). A vesekárosodásban szenvedő betegek szoros klinikai megfigyelése javasolt.</w:t>
      </w:r>
    </w:p>
    <w:p w14:paraId="26FB0E7B" w14:textId="77777777" w:rsidR="00736F4A" w:rsidRDefault="00736F4A">
      <w:pPr>
        <w:spacing w:line="240" w:lineRule="auto"/>
        <w:ind w:left="7" w:right="9"/>
      </w:pPr>
    </w:p>
    <w:p w14:paraId="0867596E" w14:textId="77777777" w:rsidR="00736F4A" w:rsidRDefault="00100640">
      <w:pPr>
        <w:spacing w:line="240" w:lineRule="auto"/>
        <w:ind w:left="7"/>
      </w:pPr>
      <w:r>
        <w:rPr>
          <w:i/>
        </w:rPr>
        <w:t>A dabigatrán-etexilát egyidejű alkalmazása gyenge és közepesen erős P-glikoprotein- (P-gp-) inhibitorokkal, pl. amiodaronnal, kinidinnel vagy verapamillal</w:t>
      </w:r>
    </w:p>
    <w:p w14:paraId="7FDE9524" w14:textId="77777777" w:rsidR="00736F4A" w:rsidRDefault="00736F4A">
      <w:pPr>
        <w:spacing w:line="240" w:lineRule="auto"/>
        <w:ind w:left="7" w:right="9"/>
      </w:pPr>
    </w:p>
    <w:p w14:paraId="190C9186" w14:textId="77777777" w:rsidR="00736F4A" w:rsidRDefault="00100640">
      <w:pPr>
        <w:spacing w:line="240" w:lineRule="auto"/>
        <w:ind w:left="7" w:right="9"/>
      </w:pPr>
      <w:r>
        <w:t>A dózis módosítása nem szükséges amiodaronnal vagy kinidinnel történő együttes alkalmazáskor (lásd 4.4, 4.5 és 5.2 pont).</w:t>
      </w:r>
    </w:p>
    <w:p w14:paraId="12377682" w14:textId="77777777" w:rsidR="00736F4A" w:rsidRDefault="00736F4A">
      <w:pPr>
        <w:spacing w:line="240" w:lineRule="auto"/>
        <w:ind w:left="7" w:right="9"/>
      </w:pPr>
    </w:p>
    <w:p w14:paraId="74CA0EDF" w14:textId="77777777" w:rsidR="00736F4A" w:rsidRDefault="00100640">
      <w:pPr>
        <w:spacing w:line="240" w:lineRule="auto"/>
        <w:ind w:left="7" w:right="9"/>
      </w:pPr>
      <w:r>
        <w:lastRenderedPageBreak/>
        <w:t>Dóziscsökkentés javasolt azoknál a betegeknél, akik egyidejűleg verapamilt is kapnak (lásd 1. táblázat fent, valamint 4.4 és 4.5 pont). Ebben az esetben a dabigatrán-etexilátot és a verapamilt egyszerre kell bevenni.</w:t>
      </w:r>
    </w:p>
    <w:p w14:paraId="06A98351" w14:textId="77777777" w:rsidR="00736F4A" w:rsidRDefault="00736F4A">
      <w:pPr>
        <w:spacing w:line="240" w:lineRule="auto"/>
        <w:ind w:left="7" w:right="9"/>
      </w:pPr>
    </w:p>
    <w:p w14:paraId="301F691B" w14:textId="77777777" w:rsidR="00736F4A" w:rsidRDefault="00100640">
      <w:pPr>
        <w:spacing w:line="240" w:lineRule="auto"/>
        <w:ind w:left="7"/>
      </w:pPr>
      <w:r>
        <w:rPr>
          <w:i/>
        </w:rPr>
        <w:t>Testtömeg</w:t>
      </w:r>
    </w:p>
    <w:p w14:paraId="401010DE" w14:textId="77777777" w:rsidR="00736F4A" w:rsidRDefault="00736F4A">
      <w:pPr>
        <w:spacing w:line="240" w:lineRule="auto"/>
        <w:ind w:left="7" w:right="9"/>
      </w:pPr>
    </w:p>
    <w:p w14:paraId="4363E93E" w14:textId="77777777" w:rsidR="00736F4A" w:rsidRDefault="00100640">
      <w:pPr>
        <w:spacing w:line="240" w:lineRule="auto"/>
        <w:ind w:left="7" w:right="9"/>
      </w:pPr>
      <w:r>
        <w:t>A dózis módosítása nem szükséges (lásd 5.2 pont), de az 50 kg alatti testtömegű betegeknél szoros klinikai követés javasolt (lásd 4.4 pont).</w:t>
      </w:r>
    </w:p>
    <w:p w14:paraId="6AF7CC22" w14:textId="77777777" w:rsidR="00736F4A" w:rsidRDefault="00736F4A">
      <w:pPr>
        <w:spacing w:line="240" w:lineRule="auto"/>
        <w:ind w:left="7" w:right="9"/>
      </w:pPr>
    </w:p>
    <w:p w14:paraId="3F5F21AC" w14:textId="77777777" w:rsidR="00736F4A" w:rsidRDefault="00100640">
      <w:pPr>
        <w:spacing w:line="240" w:lineRule="auto"/>
        <w:ind w:left="7"/>
      </w:pPr>
      <w:r>
        <w:rPr>
          <w:i/>
        </w:rPr>
        <w:t>Nem</w:t>
      </w:r>
    </w:p>
    <w:p w14:paraId="3F9B9DEC" w14:textId="77777777" w:rsidR="00736F4A" w:rsidRDefault="00736F4A">
      <w:pPr>
        <w:spacing w:line="240" w:lineRule="auto"/>
        <w:ind w:left="7" w:right="9"/>
      </w:pPr>
    </w:p>
    <w:p w14:paraId="500649CA" w14:textId="77777777" w:rsidR="00736F4A" w:rsidRDefault="00100640">
      <w:pPr>
        <w:spacing w:line="240" w:lineRule="auto"/>
        <w:ind w:left="7" w:right="9"/>
      </w:pPr>
      <w:r>
        <w:t>A dózis módosítása nem szükséges (lásd 5.2 pont).</w:t>
      </w:r>
    </w:p>
    <w:p w14:paraId="1C49A92B" w14:textId="77777777" w:rsidR="00736F4A" w:rsidRDefault="00736F4A">
      <w:pPr>
        <w:spacing w:line="240" w:lineRule="auto"/>
        <w:ind w:left="7" w:right="9"/>
      </w:pPr>
    </w:p>
    <w:p w14:paraId="50EBA7D8" w14:textId="77777777" w:rsidR="00736F4A" w:rsidRDefault="00100640">
      <w:pPr>
        <w:spacing w:line="240" w:lineRule="auto"/>
        <w:ind w:left="7"/>
      </w:pPr>
      <w:r>
        <w:rPr>
          <w:i/>
        </w:rPr>
        <w:t>Gyermekek és serdülők</w:t>
      </w:r>
    </w:p>
    <w:p w14:paraId="7B92DF68" w14:textId="77777777" w:rsidR="00736F4A" w:rsidRDefault="00736F4A">
      <w:pPr>
        <w:spacing w:line="240" w:lineRule="auto"/>
        <w:ind w:left="7" w:right="9"/>
      </w:pPr>
    </w:p>
    <w:p w14:paraId="4C91A618" w14:textId="77777777" w:rsidR="00736F4A" w:rsidRDefault="00100640">
      <w:pPr>
        <w:spacing w:line="240" w:lineRule="auto"/>
        <w:ind w:left="7" w:right="9"/>
      </w:pPr>
      <w:r>
        <w:t>A dabigatrán-etexilátnak nincs releváns alkalmazása a gyermekeknél és serdülőknél a következő indikációban: a stroke és a szisztémás embolizáció prevenciója nem billentyű eredetű pitvarfibrillációban szenvedő betegeknél.</w:t>
      </w:r>
    </w:p>
    <w:p w14:paraId="0A9DD6BD" w14:textId="77777777" w:rsidR="00736F4A" w:rsidRDefault="00736F4A">
      <w:pPr>
        <w:autoSpaceDE w:val="0"/>
        <w:autoSpaceDN w:val="0"/>
        <w:adjustRightInd w:val="0"/>
        <w:spacing w:line="240" w:lineRule="auto"/>
        <w:rPr>
          <w:lang w:val="hu-HU"/>
        </w:rPr>
      </w:pPr>
    </w:p>
    <w:p w14:paraId="6443D957" w14:textId="77777777" w:rsidR="00736F4A" w:rsidRDefault="00100640">
      <w:pPr>
        <w:autoSpaceDE w:val="0"/>
        <w:autoSpaceDN w:val="0"/>
        <w:adjustRightInd w:val="0"/>
        <w:spacing w:line="240" w:lineRule="auto"/>
        <w:rPr>
          <w:b/>
          <w:bCs/>
          <w:i/>
          <w:iCs/>
          <w:u w:val="single"/>
          <w:lang w:val="hu-HU"/>
        </w:rPr>
      </w:pPr>
      <w:r>
        <w:rPr>
          <w:b/>
          <w:bCs/>
          <w:i/>
          <w:iCs/>
          <w:u w:val="single"/>
          <w:lang w:val="hu-HU"/>
        </w:rPr>
        <w:t>VTE kezelése és VTE kiújulásának megelőzése gyermekeknél és serdülőknél</w:t>
      </w:r>
    </w:p>
    <w:p w14:paraId="19F5BFCA" w14:textId="77777777" w:rsidR="00736F4A" w:rsidRDefault="00736F4A">
      <w:pPr>
        <w:autoSpaceDE w:val="0"/>
        <w:autoSpaceDN w:val="0"/>
        <w:adjustRightInd w:val="0"/>
        <w:spacing w:line="240" w:lineRule="auto"/>
        <w:rPr>
          <w:b/>
          <w:bCs/>
          <w:i/>
          <w:iCs/>
          <w:u w:val="single"/>
          <w:lang w:val="hu-HU"/>
        </w:rPr>
      </w:pPr>
    </w:p>
    <w:p w14:paraId="03CB726A" w14:textId="77777777" w:rsidR="00736F4A" w:rsidRDefault="00100640">
      <w:pPr>
        <w:autoSpaceDE w:val="0"/>
        <w:autoSpaceDN w:val="0"/>
        <w:adjustRightInd w:val="0"/>
        <w:spacing w:line="240" w:lineRule="auto"/>
        <w:rPr>
          <w:lang w:val="hu-HU"/>
        </w:rPr>
      </w:pPr>
      <w:r>
        <w:rPr>
          <w:lang w:val="hu-HU"/>
        </w:rPr>
        <w:t>VTE kezelésekor gyermekeknél és serdülőknél a kezelést legalább 5 napos parenterális antikoaguláns kezelést követően kell megkezdeni. A VTE kiújulásának megelőzése érdekében végzett kezelést a korábbi kezelés folytatásaként kell alkalmazni.</w:t>
      </w:r>
    </w:p>
    <w:p w14:paraId="2EF111AB" w14:textId="77777777" w:rsidR="00736F4A" w:rsidRDefault="00736F4A">
      <w:pPr>
        <w:autoSpaceDE w:val="0"/>
        <w:autoSpaceDN w:val="0"/>
        <w:adjustRightInd w:val="0"/>
        <w:spacing w:line="240" w:lineRule="auto"/>
        <w:rPr>
          <w:lang w:val="hu-HU"/>
        </w:rPr>
      </w:pPr>
    </w:p>
    <w:p w14:paraId="713F99B2" w14:textId="77777777" w:rsidR="00736F4A" w:rsidRDefault="00100640">
      <w:pPr>
        <w:autoSpaceDE w:val="0"/>
        <w:autoSpaceDN w:val="0"/>
        <w:adjustRightInd w:val="0"/>
        <w:spacing w:line="240" w:lineRule="auto"/>
        <w:rPr>
          <w:lang w:val="hu-HU"/>
        </w:rPr>
      </w:pPr>
      <w:r>
        <w:rPr>
          <w:b/>
          <w:bCs/>
          <w:lang w:val="hu-HU"/>
        </w:rPr>
        <w:t>A dabigatrán-etexilát kapszulát naponta kétszer kell bevenni</w:t>
      </w:r>
      <w:r>
        <w:rPr>
          <w:lang w:val="hu-HU"/>
        </w:rPr>
        <w:t>, egy dózist reggel és egy dózist este, minden nap körülbelül azonos időben. A bevételek között eltelt időnek a lehető legközelebb kell lennie 12 órához.</w:t>
      </w:r>
    </w:p>
    <w:p w14:paraId="2FF833EE" w14:textId="77777777" w:rsidR="00736F4A" w:rsidRDefault="00736F4A">
      <w:pPr>
        <w:autoSpaceDE w:val="0"/>
        <w:autoSpaceDN w:val="0"/>
        <w:adjustRightInd w:val="0"/>
        <w:spacing w:line="240" w:lineRule="auto"/>
        <w:rPr>
          <w:lang w:val="hu-HU"/>
        </w:rPr>
      </w:pPr>
    </w:p>
    <w:p w14:paraId="5FED0B73" w14:textId="77777777" w:rsidR="00736F4A" w:rsidRDefault="00100640">
      <w:pPr>
        <w:autoSpaceDE w:val="0"/>
        <w:autoSpaceDN w:val="0"/>
        <w:adjustRightInd w:val="0"/>
        <w:spacing w:line="240" w:lineRule="auto"/>
        <w:rPr>
          <w:lang w:val="hu-HU"/>
        </w:rPr>
      </w:pPr>
      <w:r>
        <w:rPr>
          <w:lang w:val="hu-HU"/>
        </w:rPr>
        <w:t>A dabigatrán-etexilát kapszula javasolt dózisa a beteg testtömegétől és életkorától függ, amint azt a 3. táblázat mutatja. A dózist a kezelés előrehaladtával testtömeg és életkor szerint módosítani kell.</w:t>
      </w:r>
    </w:p>
    <w:p w14:paraId="23DD1A63" w14:textId="77777777" w:rsidR="00736F4A" w:rsidRDefault="00736F4A">
      <w:pPr>
        <w:autoSpaceDE w:val="0"/>
        <w:autoSpaceDN w:val="0"/>
        <w:adjustRightInd w:val="0"/>
        <w:spacing w:line="240" w:lineRule="auto"/>
        <w:rPr>
          <w:lang w:val="hu-HU"/>
        </w:rPr>
      </w:pPr>
    </w:p>
    <w:p w14:paraId="744A191C" w14:textId="77777777" w:rsidR="00736F4A" w:rsidRDefault="00100640">
      <w:pPr>
        <w:autoSpaceDE w:val="0"/>
        <w:autoSpaceDN w:val="0"/>
        <w:adjustRightInd w:val="0"/>
        <w:spacing w:line="240" w:lineRule="auto"/>
        <w:rPr>
          <w:lang w:val="hu-HU"/>
        </w:rPr>
      </w:pPr>
      <w:r>
        <w:rPr>
          <w:lang w:val="hu-HU"/>
        </w:rPr>
        <w:t>Az adagolási táblázatban nem szereplő testtömeg- és életkor-kombinációk esetén nem adható adagolási javaslat.</w:t>
      </w:r>
    </w:p>
    <w:p w14:paraId="59B23C82" w14:textId="77777777" w:rsidR="00736F4A" w:rsidRDefault="00736F4A">
      <w:pPr>
        <w:autoSpaceDE w:val="0"/>
        <w:autoSpaceDN w:val="0"/>
        <w:adjustRightInd w:val="0"/>
        <w:spacing w:line="240" w:lineRule="auto"/>
        <w:rPr>
          <w:lang w:val="hu-HU"/>
        </w:rPr>
      </w:pPr>
    </w:p>
    <w:p w14:paraId="25C83273" w14:textId="77777777" w:rsidR="00736F4A" w:rsidRDefault="00100640">
      <w:pPr>
        <w:spacing w:line="240" w:lineRule="auto"/>
        <w:rPr>
          <w:b/>
        </w:rPr>
      </w:pPr>
      <w:r>
        <w:rPr>
          <w:b/>
        </w:rPr>
        <w:t xml:space="preserve">3. táblázat. </w:t>
      </w:r>
      <w:r>
        <w:rPr>
          <w:b/>
          <w:lang w:val="hu-HU"/>
        </w:rPr>
        <w:t>A táblázatban a dabigatrán-etexilát egyszeri és teljes napi dózisa van feltüntetve, milligramm (mg) értékben meghatározva, a beteg kilogrammban megadott testtömege (kg) és évben megadott életkora alapján.</w:t>
      </w:r>
    </w:p>
    <w:p w14:paraId="0C443CD9" w14:textId="77777777" w:rsidR="00736F4A" w:rsidRDefault="00736F4A">
      <w:pPr>
        <w:widowControl w:val="0"/>
        <w:ind w:left="720" w:hanging="720"/>
        <w:rPr>
          <w:b/>
          <w:color w:val="000000"/>
          <w:u w:val="single"/>
          <w:lang w:val="en-US"/>
        </w:rPr>
      </w:pPr>
    </w:p>
    <w:tbl>
      <w:tblPr>
        <w:tblW w:w="91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86"/>
        <w:gridCol w:w="2266"/>
        <w:gridCol w:w="2266"/>
        <w:gridCol w:w="2266"/>
      </w:tblGrid>
      <w:tr w:rsidR="00736F4A" w14:paraId="3725B01D" w14:textId="77777777">
        <w:trPr>
          <w:trHeight w:val="253"/>
        </w:trPr>
        <w:tc>
          <w:tcPr>
            <w:tcW w:w="4652" w:type="dxa"/>
            <w:gridSpan w:val="2"/>
          </w:tcPr>
          <w:p w14:paraId="30DF06DB" w14:textId="77777777" w:rsidR="00736F4A" w:rsidRDefault="00100640">
            <w:pPr>
              <w:widowControl w:val="0"/>
              <w:autoSpaceDE w:val="0"/>
              <w:autoSpaceDN w:val="0"/>
              <w:spacing w:line="234" w:lineRule="exact"/>
              <w:ind w:left="1046"/>
              <w:rPr>
                <w:rFonts w:eastAsia="Calibri"/>
                <w:b/>
                <w:lang w:val="en-US"/>
              </w:rPr>
            </w:pPr>
            <w:r>
              <w:rPr>
                <w:rFonts w:eastAsia="Calibri"/>
                <w:b/>
                <w:lang w:val="en-US"/>
              </w:rPr>
              <w:t>Testtömeg/életkor kombinációk</w:t>
            </w:r>
          </w:p>
        </w:tc>
        <w:tc>
          <w:tcPr>
            <w:tcW w:w="2266" w:type="dxa"/>
            <w:vMerge w:val="restart"/>
          </w:tcPr>
          <w:p w14:paraId="7716D7F9" w14:textId="77777777" w:rsidR="00736F4A" w:rsidRDefault="00100640">
            <w:pPr>
              <w:widowControl w:val="0"/>
              <w:autoSpaceDE w:val="0"/>
              <w:autoSpaceDN w:val="0"/>
              <w:spacing w:line="254" w:lineRule="exact"/>
              <w:ind w:left="595" w:right="585" w:firstLine="10"/>
              <w:rPr>
                <w:rFonts w:eastAsia="Calibri"/>
                <w:b/>
                <w:lang w:val="en-US"/>
              </w:rPr>
            </w:pPr>
            <w:r>
              <w:rPr>
                <w:rFonts w:eastAsia="Calibri"/>
                <w:b/>
                <w:lang w:val="en-US"/>
              </w:rPr>
              <w:t>Egyszeri dózis (mg)</w:t>
            </w:r>
          </w:p>
        </w:tc>
        <w:tc>
          <w:tcPr>
            <w:tcW w:w="2266" w:type="dxa"/>
            <w:vMerge w:val="restart"/>
          </w:tcPr>
          <w:p w14:paraId="4268522F" w14:textId="77777777" w:rsidR="00736F4A" w:rsidRDefault="00100640">
            <w:pPr>
              <w:widowControl w:val="0"/>
              <w:tabs>
                <w:tab w:val="clear" w:pos="567"/>
                <w:tab w:val="left" w:pos="882"/>
              </w:tabs>
              <w:autoSpaceDE w:val="0"/>
              <w:autoSpaceDN w:val="0"/>
              <w:spacing w:line="254" w:lineRule="exact"/>
              <w:ind w:left="598" w:right="362"/>
              <w:rPr>
                <w:rFonts w:eastAsia="Calibri"/>
                <w:b/>
                <w:lang w:val="en-US"/>
              </w:rPr>
            </w:pPr>
            <w:r>
              <w:rPr>
                <w:rFonts w:eastAsia="Calibri"/>
                <w:b/>
                <w:lang w:val="en-US"/>
              </w:rPr>
              <w:t>Teljes napi dózis (mg)</w:t>
            </w:r>
          </w:p>
        </w:tc>
      </w:tr>
      <w:tr w:rsidR="00736F4A" w14:paraId="6B22EA23" w14:textId="77777777">
        <w:trPr>
          <w:trHeight w:val="251"/>
        </w:trPr>
        <w:tc>
          <w:tcPr>
            <w:tcW w:w="2386" w:type="dxa"/>
          </w:tcPr>
          <w:p w14:paraId="3BE2169C" w14:textId="77777777" w:rsidR="00736F4A" w:rsidRDefault="00100640">
            <w:pPr>
              <w:widowControl w:val="0"/>
              <w:autoSpaceDE w:val="0"/>
              <w:autoSpaceDN w:val="0"/>
              <w:spacing w:line="232" w:lineRule="exact"/>
              <w:ind w:left="107"/>
              <w:rPr>
                <w:rFonts w:eastAsia="Calibri"/>
                <w:b/>
                <w:lang w:val="en-US"/>
              </w:rPr>
            </w:pPr>
            <w:r>
              <w:rPr>
                <w:rFonts w:eastAsia="Calibri"/>
                <w:b/>
                <w:lang w:val="en-US"/>
              </w:rPr>
              <w:t>Testtömeg (kg)</w:t>
            </w:r>
          </w:p>
        </w:tc>
        <w:tc>
          <w:tcPr>
            <w:tcW w:w="2266" w:type="dxa"/>
          </w:tcPr>
          <w:p w14:paraId="6B8A42D9" w14:textId="77777777" w:rsidR="00736F4A" w:rsidRDefault="00100640">
            <w:pPr>
              <w:widowControl w:val="0"/>
              <w:autoSpaceDE w:val="0"/>
              <w:autoSpaceDN w:val="0"/>
              <w:spacing w:line="232" w:lineRule="exact"/>
              <w:ind w:left="107"/>
              <w:rPr>
                <w:rFonts w:eastAsia="Calibri"/>
                <w:b/>
                <w:lang w:val="en-US"/>
              </w:rPr>
            </w:pPr>
            <w:r>
              <w:rPr>
                <w:rFonts w:eastAsia="Calibri"/>
                <w:b/>
                <w:lang w:val="en-US"/>
              </w:rPr>
              <w:t>Életkor (év)</w:t>
            </w:r>
          </w:p>
        </w:tc>
        <w:tc>
          <w:tcPr>
            <w:tcW w:w="2266" w:type="dxa"/>
            <w:vMerge/>
            <w:tcBorders>
              <w:top w:val="nil"/>
            </w:tcBorders>
          </w:tcPr>
          <w:p w14:paraId="3233796A" w14:textId="77777777" w:rsidR="00736F4A" w:rsidRDefault="00736F4A">
            <w:pPr>
              <w:widowControl w:val="0"/>
              <w:autoSpaceDE w:val="0"/>
              <w:autoSpaceDN w:val="0"/>
              <w:rPr>
                <w:rFonts w:eastAsia="Calibri"/>
                <w:sz w:val="2"/>
                <w:szCs w:val="2"/>
                <w:lang w:val="en-US"/>
              </w:rPr>
            </w:pPr>
          </w:p>
        </w:tc>
        <w:tc>
          <w:tcPr>
            <w:tcW w:w="2266" w:type="dxa"/>
            <w:vMerge/>
            <w:tcBorders>
              <w:top w:val="nil"/>
            </w:tcBorders>
          </w:tcPr>
          <w:p w14:paraId="7BC5B7A3" w14:textId="77777777" w:rsidR="00736F4A" w:rsidRDefault="00736F4A">
            <w:pPr>
              <w:widowControl w:val="0"/>
              <w:autoSpaceDE w:val="0"/>
              <w:autoSpaceDN w:val="0"/>
              <w:rPr>
                <w:rFonts w:eastAsia="Calibri"/>
                <w:sz w:val="2"/>
                <w:szCs w:val="2"/>
                <w:lang w:val="en-US"/>
              </w:rPr>
            </w:pPr>
          </w:p>
        </w:tc>
      </w:tr>
      <w:tr w:rsidR="00736F4A" w14:paraId="64D3B5ED" w14:textId="77777777">
        <w:trPr>
          <w:trHeight w:val="254"/>
        </w:trPr>
        <w:tc>
          <w:tcPr>
            <w:tcW w:w="2386" w:type="dxa"/>
          </w:tcPr>
          <w:p w14:paraId="357D3FB8"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11 </w:t>
            </w:r>
            <w:r>
              <w:t>–</w:t>
            </w:r>
            <w:r>
              <w:rPr>
                <w:rFonts w:eastAsia="Calibri"/>
                <w:lang w:val="en-US"/>
              </w:rPr>
              <w:t xml:space="preserve"> &lt;13</w:t>
            </w:r>
          </w:p>
        </w:tc>
        <w:tc>
          <w:tcPr>
            <w:tcW w:w="2266" w:type="dxa"/>
          </w:tcPr>
          <w:p w14:paraId="21024B30"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8 </w:t>
            </w:r>
            <w:r>
              <w:t>–</w:t>
            </w:r>
            <w:r>
              <w:rPr>
                <w:rFonts w:eastAsia="Calibri"/>
                <w:lang w:val="en-US"/>
              </w:rPr>
              <w:t xml:space="preserve"> &lt;9</w:t>
            </w:r>
          </w:p>
        </w:tc>
        <w:tc>
          <w:tcPr>
            <w:tcW w:w="2266" w:type="dxa"/>
          </w:tcPr>
          <w:p w14:paraId="700B4601"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75</w:t>
            </w:r>
          </w:p>
        </w:tc>
        <w:tc>
          <w:tcPr>
            <w:tcW w:w="2266" w:type="dxa"/>
          </w:tcPr>
          <w:p w14:paraId="7B897ED5"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150</w:t>
            </w:r>
          </w:p>
        </w:tc>
      </w:tr>
      <w:tr w:rsidR="00736F4A" w14:paraId="21D2C7E4" w14:textId="77777777">
        <w:trPr>
          <w:trHeight w:val="253"/>
        </w:trPr>
        <w:tc>
          <w:tcPr>
            <w:tcW w:w="2386" w:type="dxa"/>
          </w:tcPr>
          <w:p w14:paraId="28F72B60"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13 </w:t>
            </w:r>
            <w:r>
              <w:t xml:space="preserve">– </w:t>
            </w:r>
            <w:r>
              <w:rPr>
                <w:rFonts w:eastAsia="Calibri"/>
                <w:lang w:val="en-US"/>
              </w:rPr>
              <w:t>&lt;16</w:t>
            </w:r>
          </w:p>
        </w:tc>
        <w:tc>
          <w:tcPr>
            <w:tcW w:w="2266" w:type="dxa"/>
          </w:tcPr>
          <w:p w14:paraId="2D47D965"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8 </w:t>
            </w:r>
            <w:r>
              <w:t>–</w:t>
            </w:r>
            <w:r>
              <w:rPr>
                <w:rFonts w:eastAsia="Calibri"/>
                <w:lang w:val="en-US"/>
              </w:rPr>
              <w:t xml:space="preserve"> &lt;11</w:t>
            </w:r>
          </w:p>
        </w:tc>
        <w:tc>
          <w:tcPr>
            <w:tcW w:w="2266" w:type="dxa"/>
          </w:tcPr>
          <w:p w14:paraId="386BB12A"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110</w:t>
            </w:r>
          </w:p>
        </w:tc>
        <w:tc>
          <w:tcPr>
            <w:tcW w:w="2266" w:type="dxa"/>
          </w:tcPr>
          <w:p w14:paraId="167857F3"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220</w:t>
            </w:r>
          </w:p>
        </w:tc>
      </w:tr>
      <w:tr w:rsidR="00736F4A" w14:paraId="21FD86C9" w14:textId="77777777">
        <w:trPr>
          <w:trHeight w:val="251"/>
        </w:trPr>
        <w:tc>
          <w:tcPr>
            <w:tcW w:w="2386" w:type="dxa"/>
          </w:tcPr>
          <w:p w14:paraId="2E4B3BAA" w14:textId="77777777" w:rsidR="00736F4A" w:rsidRDefault="00100640">
            <w:pPr>
              <w:widowControl w:val="0"/>
              <w:autoSpaceDE w:val="0"/>
              <w:autoSpaceDN w:val="0"/>
              <w:spacing w:line="232" w:lineRule="exact"/>
              <w:ind w:left="107"/>
              <w:rPr>
                <w:rFonts w:eastAsia="Calibri"/>
                <w:lang w:val="en-US"/>
              </w:rPr>
            </w:pPr>
            <w:r>
              <w:rPr>
                <w:rFonts w:eastAsia="Calibri"/>
                <w:lang w:val="en-US"/>
              </w:rPr>
              <w:t xml:space="preserve">16 </w:t>
            </w:r>
            <w:r>
              <w:t>–</w:t>
            </w:r>
            <w:r>
              <w:rPr>
                <w:rFonts w:eastAsia="Calibri"/>
                <w:lang w:val="en-US"/>
              </w:rPr>
              <w:t xml:space="preserve"> &lt;21</w:t>
            </w:r>
          </w:p>
        </w:tc>
        <w:tc>
          <w:tcPr>
            <w:tcW w:w="2266" w:type="dxa"/>
          </w:tcPr>
          <w:p w14:paraId="173CA753" w14:textId="77777777" w:rsidR="00736F4A" w:rsidRDefault="00100640">
            <w:pPr>
              <w:widowControl w:val="0"/>
              <w:autoSpaceDE w:val="0"/>
              <w:autoSpaceDN w:val="0"/>
              <w:spacing w:line="232" w:lineRule="exact"/>
              <w:ind w:left="107"/>
              <w:rPr>
                <w:rFonts w:eastAsia="Calibri"/>
                <w:lang w:val="en-US"/>
              </w:rPr>
            </w:pPr>
            <w:r>
              <w:rPr>
                <w:rFonts w:eastAsia="Calibri"/>
                <w:lang w:val="en-US"/>
              </w:rPr>
              <w:t xml:space="preserve">8 </w:t>
            </w:r>
            <w:r>
              <w:t>–</w:t>
            </w:r>
            <w:r>
              <w:rPr>
                <w:rFonts w:eastAsia="Calibri"/>
                <w:lang w:val="en-US"/>
              </w:rPr>
              <w:t xml:space="preserve"> &lt;14</w:t>
            </w:r>
          </w:p>
        </w:tc>
        <w:tc>
          <w:tcPr>
            <w:tcW w:w="2266" w:type="dxa"/>
          </w:tcPr>
          <w:p w14:paraId="0CEBE855" w14:textId="77777777" w:rsidR="00736F4A" w:rsidRDefault="00100640">
            <w:pPr>
              <w:widowControl w:val="0"/>
              <w:autoSpaceDE w:val="0"/>
              <w:autoSpaceDN w:val="0"/>
              <w:spacing w:line="232" w:lineRule="exact"/>
              <w:ind w:left="944" w:right="942"/>
              <w:rPr>
                <w:rFonts w:eastAsia="Calibri"/>
                <w:lang w:val="en-US"/>
              </w:rPr>
            </w:pPr>
            <w:r>
              <w:rPr>
                <w:rFonts w:eastAsia="Calibri"/>
                <w:lang w:val="en-US"/>
              </w:rPr>
              <w:t>110</w:t>
            </w:r>
          </w:p>
        </w:tc>
        <w:tc>
          <w:tcPr>
            <w:tcW w:w="2266" w:type="dxa"/>
          </w:tcPr>
          <w:p w14:paraId="513CBBCD" w14:textId="77777777" w:rsidR="00736F4A" w:rsidRDefault="00100640">
            <w:pPr>
              <w:widowControl w:val="0"/>
              <w:autoSpaceDE w:val="0"/>
              <w:autoSpaceDN w:val="0"/>
              <w:spacing w:line="232" w:lineRule="exact"/>
              <w:ind w:left="944" w:right="942"/>
              <w:rPr>
                <w:rFonts w:eastAsia="Calibri"/>
                <w:lang w:val="en-US"/>
              </w:rPr>
            </w:pPr>
            <w:r>
              <w:rPr>
                <w:rFonts w:eastAsia="Calibri"/>
                <w:lang w:val="en-US"/>
              </w:rPr>
              <w:t>220</w:t>
            </w:r>
          </w:p>
        </w:tc>
      </w:tr>
      <w:tr w:rsidR="00736F4A" w14:paraId="598C803C" w14:textId="77777777">
        <w:trPr>
          <w:trHeight w:val="253"/>
        </w:trPr>
        <w:tc>
          <w:tcPr>
            <w:tcW w:w="2386" w:type="dxa"/>
          </w:tcPr>
          <w:p w14:paraId="1628824C"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21 </w:t>
            </w:r>
            <w:r>
              <w:t>–</w:t>
            </w:r>
            <w:r>
              <w:rPr>
                <w:rFonts w:eastAsia="Calibri"/>
                <w:lang w:val="en-US"/>
              </w:rPr>
              <w:t xml:space="preserve"> &lt;26</w:t>
            </w:r>
          </w:p>
        </w:tc>
        <w:tc>
          <w:tcPr>
            <w:tcW w:w="2266" w:type="dxa"/>
          </w:tcPr>
          <w:p w14:paraId="2B1B56B5"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8 </w:t>
            </w:r>
            <w:r>
              <w:t>–</w:t>
            </w:r>
            <w:r>
              <w:rPr>
                <w:rFonts w:eastAsia="Calibri"/>
                <w:lang w:val="en-US"/>
              </w:rPr>
              <w:t xml:space="preserve"> &lt;16</w:t>
            </w:r>
          </w:p>
        </w:tc>
        <w:tc>
          <w:tcPr>
            <w:tcW w:w="2266" w:type="dxa"/>
          </w:tcPr>
          <w:p w14:paraId="52DA20F7"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150</w:t>
            </w:r>
          </w:p>
        </w:tc>
        <w:tc>
          <w:tcPr>
            <w:tcW w:w="2266" w:type="dxa"/>
          </w:tcPr>
          <w:p w14:paraId="152F7AF3"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300</w:t>
            </w:r>
          </w:p>
        </w:tc>
      </w:tr>
      <w:tr w:rsidR="00736F4A" w14:paraId="02C70FFE" w14:textId="77777777">
        <w:trPr>
          <w:trHeight w:val="251"/>
        </w:trPr>
        <w:tc>
          <w:tcPr>
            <w:tcW w:w="2386" w:type="dxa"/>
          </w:tcPr>
          <w:p w14:paraId="7E207454" w14:textId="77777777" w:rsidR="00736F4A" w:rsidRDefault="00100640">
            <w:pPr>
              <w:widowControl w:val="0"/>
              <w:autoSpaceDE w:val="0"/>
              <w:autoSpaceDN w:val="0"/>
              <w:spacing w:line="232" w:lineRule="exact"/>
              <w:ind w:left="107"/>
              <w:rPr>
                <w:rFonts w:eastAsia="Calibri"/>
                <w:lang w:val="en-US"/>
              </w:rPr>
            </w:pPr>
            <w:r>
              <w:rPr>
                <w:rFonts w:eastAsia="Calibri"/>
                <w:lang w:val="en-US"/>
              </w:rPr>
              <w:t xml:space="preserve">26 </w:t>
            </w:r>
            <w:r>
              <w:t>–</w:t>
            </w:r>
            <w:r>
              <w:rPr>
                <w:rFonts w:eastAsia="Calibri"/>
                <w:lang w:val="en-US"/>
              </w:rPr>
              <w:t xml:space="preserve"> &lt;31</w:t>
            </w:r>
          </w:p>
        </w:tc>
        <w:tc>
          <w:tcPr>
            <w:tcW w:w="2266" w:type="dxa"/>
          </w:tcPr>
          <w:p w14:paraId="3E1BC85B" w14:textId="77777777" w:rsidR="00736F4A" w:rsidRDefault="00100640">
            <w:pPr>
              <w:widowControl w:val="0"/>
              <w:autoSpaceDE w:val="0"/>
              <w:autoSpaceDN w:val="0"/>
              <w:spacing w:line="232" w:lineRule="exact"/>
              <w:ind w:left="107"/>
              <w:rPr>
                <w:rFonts w:eastAsia="Calibri"/>
                <w:lang w:val="en-US"/>
              </w:rPr>
            </w:pPr>
            <w:r>
              <w:rPr>
                <w:rFonts w:eastAsia="Calibri"/>
                <w:lang w:val="en-US"/>
              </w:rPr>
              <w:t xml:space="preserve">8 </w:t>
            </w:r>
            <w:r>
              <w:t>–</w:t>
            </w:r>
            <w:r>
              <w:rPr>
                <w:rFonts w:eastAsia="Calibri"/>
                <w:lang w:val="en-US"/>
              </w:rPr>
              <w:t xml:space="preserve"> &lt;18</w:t>
            </w:r>
          </w:p>
        </w:tc>
        <w:tc>
          <w:tcPr>
            <w:tcW w:w="2266" w:type="dxa"/>
          </w:tcPr>
          <w:p w14:paraId="4AE21F0E" w14:textId="77777777" w:rsidR="00736F4A" w:rsidRDefault="00100640">
            <w:pPr>
              <w:widowControl w:val="0"/>
              <w:autoSpaceDE w:val="0"/>
              <w:autoSpaceDN w:val="0"/>
              <w:spacing w:line="232" w:lineRule="exact"/>
              <w:ind w:left="944" w:right="942"/>
              <w:rPr>
                <w:rFonts w:eastAsia="Calibri"/>
                <w:lang w:val="en-US"/>
              </w:rPr>
            </w:pPr>
            <w:r>
              <w:rPr>
                <w:rFonts w:eastAsia="Calibri"/>
                <w:lang w:val="en-US"/>
              </w:rPr>
              <w:t>150</w:t>
            </w:r>
          </w:p>
        </w:tc>
        <w:tc>
          <w:tcPr>
            <w:tcW w:w="2266" w:type="dxa"/>
          </w:tcPr>
          <w:p w14:paraId="5FCE2750" w14:textId="77777777" w:rsidR="00736F4A" w:rsidRDefault="00100640">
            <w:pPr>
              <w:widowControl w:val="0"/>
              <w:autoSpaceDE w:val="0"/>
              <w:autoSpaceDN w:val="0"/>
              <w:spacing w:line="232" w:lineRule="exact"/>
              <w:ind w:left="944" w:right="942"/>
              <w:rPr>
                <w:rFonts w:eastAsia="Calibri"/>
                <w:lang w:val="en-US"/>
              </w:rPr>
            </w:pPr>
            <w:r>
              <w:rPr>
                <w:rFonts w:eastAsia="Calibri"/>
                <w:lang w:val="en-US"/>
              </w:rPr>
              <w:t>300</w:t>
            </w:r>
          </w:p>
        </w:tc>
      </w:tr>
      <w:tr w:rsidR="00736F4A" w14:paraId="708A7AB4" w14:textId="77777777">
        <w:trPr>
          <w:trHeight w:val="253"/>
        </w:trPr>
        <w:tc>
          <w:tcPr>
            <w:tcW w:w="2386" w:type="dxa"/>
          </w:tcPr>
          <w:p w14:paraId="29BD3447"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31 </w:t>
            </w:r>
            <w:r>
              <w:t>–</w:t>
            </w:r>
            <w:r>
              <w:rPr>
                <w:rFonts w:eastAsia="Calibri"/>
                <w:lang w:val="en-US"/>
              </w:rPr>
              <w:t xml:space="preserve"> &lt;41</w:t>
            </w:r>
          </w:p>
        </w:tc>
        <w:tc>
          <w:tcPr>
            <w:tcW w:w="2266" w:type="dxa"/>
          </w:tcPr>
          <w:p w14:paraId="5A8B59B1"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8 </w:t>
            </w:r>
            <w:r>
              <w:t>–</w:t>
            </w:r>
            <w:r>
              <w:rPr>
                <w:rFonts w:eastAsia="Calibri"/>
                <w:lang w:val="en-US"/>
              </w:rPr>
              <w:t xml:space="preserve"> &lt;18</w:t>
            </w:r>
          </w:p>
        </w:tc>
        <w:tc>
          <w:tcPr>
            <w:tcW w:w="2266" w:type="dxa"/>
          </w:tcPr>
          <w:p w14:paraId="2EFCBA3C"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185</w:t>
            </w:r>
          </w:p>
        </w:tc>
        <w:tc>
          <w:tcPr>
            <w:tcW w:w="2266" w:type="dxa"/>
          </w:tcPr>
          <w:p w14:paraId="30816EF5"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370</w:t>
            </w:r>
          </w:p>
        </w:tc>
      </w:tr>
      <w:tr w:rsidR="00736F4A" w14:paraId="76BB2B21" w14:textId="77777777">
        <w:trPr>
          <w:trHeight w:val="251"/>
        </w:trPr>
        <w:tc>
          <w:tcPr>
            <w:tcW w:w="2386" w:type="dxa"/>
          </w:tcPr>
          <w:p w14:paraId="0B923318" w14:textId="77777777" w:rsidR="00736F4A" w:rsidRDefault="00100640">
            <w:pPr>
              <w:widowControl w:val="0"/>
              <w:autoSpaceDE w:val="0"/>
              <w:autoSpaceDN w:val="0"/>
              <w:spacing w:line="232" w:lineRule="exact"/>
              <w:ind w:left="107"/>
              <w:rPr>
                <w:rFonts w:eastAsia="Calibri"/>
                <w:lang w:val="en-US"/>
              </w:rPr>
            </w:pPr>
            <w:r>
              <w:rPr>
                <w:rFonts w:eastAsia="Calibri"/>
                <w:lang w:val="en-US"/>
              </w:rPr>
              <w:t xml:space="preserve">41 </w:t>
            </w:r>
            <w:r>
              <w:t>–</w:t>
            </w:r>
            <w:r>
              <w:rPr>
                <w:rFonts w:eastAsia="Calibri"/>
                <w:lang w:val="en-US"/>
              </w:rPr>
              <w:t xml:space="preserve"> &lt;51</w:t>
            </w:r>
          </w:p>
        </w:tc>
        <w:tc>
          <w:tcPr>
            <w:tcW w:w="2266" w:type="dxa"/>
          </w:tcPr>
          <w:p w14:paraId="02BEE22F" w14:textId="77777777" w:rsidR="00736F4A" w:rsidRDefault="00100640">
            <w:pPr>
              <w:widowControl w:val="0"/>
              <w:autoSpaceDE w:val="0"/>
              <w:autoSpaceDN w:val="0"/>
              <w:spacing w:line="232" w:lineRule="exact"/>
              <w:ind w:left="107"/>
              <w:rPr>
                <w:rFonts w:eastAsia="Calibri"/>
                <w:lang w:val="en-US"/>
              </w:rPr>
            </w:pPr>
            <w:r>
              <w:rPr>
                <w:rFonts w:eastAsia="Calibri"/>
                <w:lang w:val="en-US"/>
              </w:rPr>
              <w:t xml:space="preserve">8 </w:t>
            </w:r>
            <w:r>
              <w:t>–</w:t>
            </w:r>
            <w:r>
              <w:rPr>
                <w:rFonts w:eastAsia="Calibri"/>
                <w:lang w:val="en-US"/>
              </w:rPr>
              <w:t xml:space="preserve"> &lt;18</w:t>
            </w:r>
          </w:p>
        </w:tc>
        <w:tc>
          <w:tcPr>
            <w:tcW w:w="2266" w:type="dxa"/>
          </w:tcPr>
          <w:p w14:paraId="6FF7DCF8" w14:textId="77777777" w:rsidR="00736F4A" w:rsidRDefault="00100640">
            <w:pPr>
              <w:widowControl w:val="0"/>
              <w:autoSpaceDE w:val="0"/>
              <w:autoSpaceDN w:val="0"/>
              <w:spacing w:line="232" w:lineRule="exact"/>
              <w:ind w:left="944" w:right="942"/>
              <w:rPr>
                <w:rFonts w:eastAsia="Calibri"/>
                <w:lang w:val="en-US"/>
              </w:rPr>
            </w:pPr>
            <w:r>
              <w:rPr>
                <w:rFonts w:eastAsia="Calibri"/>
                <w:lang w:val="en-US"/>
              </w:rPr>
              <w:t>220</w:t>
            </w:r>
          </w:p>
        </w:tc>
        <w:tc>
          <w:tcPr>
            <w:tcW w:w="2266" w:type="dxa"/>
          </w:tcPr>
          <w:p w14:paraId="12E50345" w14:textId="77777777" w:rsidR="00736F4A" w:rsidRDefault="00100640">
            <w:pPr>
              <w:widowControl w:val="0"/>
              <w:autoSpaceDE w:val="0"/>
              <w:autoSpaceDN w:val="0"/>
              <w:spacing w:line="232" w:lineRule="exact"/>
              <w:ind w:left="944" w:right="942"/>
              <w:rPr>
                <w:rFonts w:eastAsia="Calibri"/>
                <w:lang w:val="en-US"/>
              </w:rPr>
            </w:pPr>
            <w:r>
              <w:rPr>
                <w:rFonts w:eastAsia="Calibri"/>
                <w:lang w:val="en-US"/>
              </w:rPr>
              <w:t>440</w:t>
            </w:r>
          </w:p>
        </w:tc>
      </w:tr>
      <w:tr w:rsidR="00736F4A" w14:paraId="06702B1F" w14:textId="77777777">
        <w:trPr>
          <w:trHeight w:val="254"/>
        </w:trPr>
        <w:tc>
          <w:tcPr>
            <w:tcW w:w="2386" w:type="dxa"/>
          </w:tcPr>
          <w:p w14:paraId="0572929E"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51 </w:t>
            </w:r>
            <w:r>
              <w:t>–</w:t>
            </w:r>
            <w:r>
              <w:rPr>
                <w:rFonts w:eastAsia="Calibri"/>
                <w:lang w:val="en-US"/>
              </w:rPr>
              <w:t xml:space="preserve"> &lt;61</w:t>
            </w:r>
          </w:p>
        </w:tc>
        <w:tc>
          <w:tcPr>
            <w:tcW w:w="2266" w:type="dxa"/>
          </w:tcPr>
          <w:p w14:paraId="176F742B"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8 </w:t>
            </w:r>
            <w:r>
              <w:t>–</w:t>
            </w:r>
            <w:r>
              <w:rPr>
                <w:rFonts w:eastAsia="Calibri"/>
                <w:lang w:val="en-US"/>
              </w:rPr>
              <w:t xml:space="preserve"> &lt;18</w:t>
            </w:r>
          </w:p>
        </w:tc>
        <w:tc>
          <w:tcPr>
            <w:tcW w:w="2266" w:type="dxa"/>
          </w:tcPr>
          <w:p w14:paraId="29C85503"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260</w:t>
            </w:r>
          </w:p>
        </w:tc>
        <w:tc>
          <w:tcPr>
            <w:tcW w:w="2266" w:type="dxa"/>
          </w:tcPr>
          <w:p w14:paraId="05722132"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520</w:t>
            </w:r>
          </w:p>
        </w:tc>
      </w:tr>
      <w:tr w:rsidR="00736F4A" w14:paraId="422C2A1A" w14:textId="77777777">
        <w:trPr>
          <w:trHeight w:val="253"/>
        </w:trPr>
        <w:tc>
          <w:tcPr>
            <w:tcW w:w="2386" w:type="dxa"/>
          </w:tcPr>
          <w:p w14:paraId="18330155"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61 </w:t>
            </w:r>
            <w:r>
              <w:t>–</w:t>
            </w:r>
            <w:r>
              <w:rPr>
                <w:rFonts w:eastAsia="Calibri"/>
                <w:lang w:val="en-US"/>
              </w:rPr>
              <w:t xml:space="preserve"> &lt;71</w:t>
            </w:r>
          </w:p>
        </w:tc>
        <w:tc>
          <w:tcPr>
            <w:tcW w:w="2266" w:type="dxa"/>
          </w:tcPr>
          <w:p w14:paraId="77C6CEC6"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8 </w:t>
            </w:r>
            <w:r>
              <w:t>–</w:t>
            </w:r>
            <w:r>
              <w:rPr>
                <w:rFonts w:eastAsia="Calibri"/>
                <w:lang w:val="en-US"/>
              </w:rPr>
              <w:t xml:space="preserve"> &lt;18</w:t>
            </w:r>
          </w:p>
        </w:tc>
        <w:tc>
          <w:tcPr>
            <w:tcW w:w="2266" w:type="dxa"/>
          </w:tcPr>
          <w:p w14:paraId="20F78B47"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300</w:t>
            </w:r>
          </w:p>
        </w:tc>
        <w:tc>
          <w:tcPr>
            <w:tcW w:w="2266" w:type="dxa"/>
          </w:tcPr>
          <w:p w14:paraId="53A6D452"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600</w:t>
            </w:r>
          </w:p>
        </w:tc>
      </w:tr>
      <w:tr w:rsidR="00736F4A" w14:paraId="32F380F8" w14:textId="77777777">
        <w:trPr>
          <w:trHeight w:val="251"/>
        </w:trPr>
        <w:tc>
          <w:tcPr>
            <w:tcW w:w="2386" w:type="dxa"/>
          </w:tcPr>
          <w:p w14:paraId="3357F8E5" w14:textId="77777777" w:rsidR="00736F4A" w:rsidRDefault="00100640">
            <w:pPr>
              <w:widowControl w:val="0"/>
              <w:autoSpaceDE w:val="0"/>
              <w:autoSpaceDN w:val="0"/>
              <w:spacing w:line="232" w:lineRule="exact"/>
              <w:ind w:left="107"/>
              <w:rPr>
                <w:rFonts w:eastAsia="Calibri"/>
                <w:lang w:val="en-US"/>
              </w:rPr>
            </w:pPr>
            <w:r>
              <w:rPr>
                <w:rFonts w:eastAsia="Calibri"/>
                <w:lang w:val="en-US"/>
              </w:rPr>
              <w:t xml:space="preserve">71 </w:t>
            </w:r>
            <w:r>
              <w:t>–</w:t>
            </w:r>
            <w:r>
              <w:rPr>
                <w:rFonts w:eastAsia="Calibri"/>
                <w:lang w:val="en-US"/>
              </w:rPr>
              <w:t xml:space="preserve"> &lt;81</w:t>
            </w:r>
          </w:p>
        </w:tc>
        <w:tc>
          <w:tcPr>
            <w:tcW w:w="2266" w:type="dxa"/>
          </w:tcPr>
          <w:p w14:paraId="50F42DAD" w14:textId="77777777" w:rsidR="00736F4A" w:rsidRDefault="00100640">
            <w:pPr>
              <w:widowControl w:val="0"/>
              <w:autoSpaceDE w:val="0"/>
              <w:autoSpaceDN w:val="0"/>
              <w:spacing w:line="232" w:lineRule="exact"/>
              <w:ind w:left="107"/>
              <w:rPr>
                <w:rFonts w:eastAsia="Calibri"/>
                <w:lang w:val="en-US"/>
              </w:rPr>
            </w:pPr>
            <w:r>
              <w:rPr>
                <w:rFonts w:eastAsia="Calibri"/>
                <w:lang w:val="en-US"/>
              </w:rPr>
              <w:t xml:space="preserve">8 </w:t>
            </w:r>
            <w:r>
              <w:t>–</w:t>
            </w:r>
            <w:r>
              <w:rPr>
                <w:rFonts w:eastAsia="Calibri"/>
                <w:lang w:val="en-US"/>
              </w:rPr>
              <w:t xml:space="preserve"> &lt;18</w:t>
            </w:r>
          </w:p>
        </w:tc>
        <w:tc>
          <w:tcPr>
            <w:tcW w:w="2266" w:type="dxa"/>
          </w:tcPr>
          <w:p w14:paraId="42892070" w14:textId="77777777" w:rsidR="00736F4A" w:rsidRDefault="00100640">
            <w:pPr>
              <w:widowControl w:val="0"/>
              <w:autoSpaceDE w:val="0"/>
              <w:autoSpaceDN w:val="0"/>
              <w:spacing w:line="232" w:lineRule="exact"/>
              <w:ind w:left="944" w:right="942"/>
              <w:rPr>
                <w:rFonts w:eastAsia="Calibri"/>
                <w:lang w:val="en-US"/>
              </w:rPr>
            </w:pPr>
            <w:r>
              <w:rPr>
                <w:rFonts w:eastAsia="Calibri"/>
                <w:lang w:val="en-US"/>
              </w:rPr>
              <w:t>300</w:t>
            </w:r>
          </w:p>
        </w:tc>
        <w:tc>
          <w:tcPr>
            <w:tcW w:w="2266" w:type="dxa"/>
          </w:tcPr>
          <w:p w14:paraId="21AE3351" w14:textId="77777777" w:rsidR="00736F4A" w:rsidRDefault="00100640">
            <w:pPr>
              <w:widowControl w:val="0"/>
              <w:autoSpaceDE w:val="0"/>
              <w:autoSpaceDN w:val="0"/>
              <w:spacing w:line="232" w:lineRule="exact"/>
              <w:ind w:left="944" w:right="942"/>
              <w:rPr>
                <w:rFonts w:eastAsia="Calibri"/>
                <w:lang w:val="en-US"/>
              </w:rPr>
            </w:pPr>
            <w:r>
              <w:rPr>
                <w:rFonts w:eastAsia="Calibri"/>
                <w:lang w:val="en-US"/>
              </w:rPr>
              <w:t>600</w:t>
            </w:r>
          </w:p>
        </w:tc>
      </w:tr>
      <w:tr w:rsidR="00736F4A" w14:paraId="1693D814" w14:textId="77777777">
        <w:trPr>
          <w:trHeight w:val="253"/>
        </w:trPr>
        <w:tc>
          <w:tcPr>
            <w:tcW w:w="2386" w:type="dxa"/>
          </w:tcPr>
          <w:p w14:paraId="42A77C11" w14:textId="77777777" w:rsidR="00736F4A" w:rsidRDefault="00100640">
            <w:pPr>
              <w:widowControl w:val="0"/>
              <w:autoSpaceDE w:val="0"/>
              <w:autoSpaceDN w:val="0"/>
              <w:spacing w:line="234" w:lineRule="exact"/>
              <w:ind w:left="107"/>
              <w:rPr>
                <w:rFonts w:eastAsia="Calibri"/>
                <w:lang w:val="en-US"/>
              </w:rPr>
            </w:pPr>
            <w:r>
              <w:rPr>
                <w:rFonts w:eastAsia="Calibri"/>
                <w:lang w:val="en-US"/>
              </w:rPr>
              <w:t>&gt;81</w:t>
            </w:r>
          </w:p>
        </w:tc>
        <w:tc>
          <w:tcPr>
            <w:tcW w:w="2266" w:type="dxa"/>
          </w:tcPr>
          <w:p w14:paraId="2E4F6714" w14:textId="77777777" w:rsidR="00736F4A" w:rsidRDefault="00100640">
            <w:pPr>
              <w:widowControl w:val="0"/>
              <w:autoSpaceDE w:val="0"/>
              <w:autoSpaceDN w:val="0"/>
              <w:spacing w:line="234" w:lineRule="exact"/>
              <w:ind w:left="107"/>
              <w:rPr>
                <w:rFonts w:eastAsia="Calibri"/>
                <w:lang w:val="en-US"/>
              </w:rPr>
            </w:pPr>
            <w:r>
              <w:rPr>
                <w:rFonts w:eastAsia="Calibri"/>
                <w:lang w:val="en-US"/>
              </w:rPr>
              <w:t xml:space="preserve">10 </w:t>
            </w:r>
            <w:r>
              <w:t>–</w:t>
            </w:r>
            <w:r>
              <w:rPr>
                <w:rFonts w:eastAsia="Calibri"/>
                <w:lang w:val="en-US"/>
              </w:rPr>
              <w:t xml:space="preserve"> &lt;18</w:t>
            </w:r>
          </w:p>
        </w:tc>
        <w:tc>
          <w:tcPr>
            <w:tcW w:w="2266" w:type="dxa"/>
          </w:tcPr>
          <w:p w14:paraId="37322802"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300</w:t>
            </w:r>
          </w:p>
        </w:tc>
        <w:tc>
          <w:tcPr>
            <w:tcW w:w="2266" w:type="dxa"/>
          </w:tcPr>
          <w:p w14:paraId="1A35A1FB" w14:textId="77777777" w:rsidR="00736F4A" w:rsidRDefault="00100640">
            <w:pPr>
              <w:widowControl w:val="0"/>
              <w:autoSpaceDE w:val="0"/>
              <w:autoSpaceDN w:val="0"/>
              <w:spacing w:line="234" w:lineRule="exact"/>
              <w:ind w:left="944" w:right="942"/>
              <w:rPr>
                <w:rFonts w:eastAsia="Calibri"/>
                <w:lang w:val="en-US"/>
              </w:rPr>
            </w:pPr>
            <w:r>
              <w:rPr>
                <w:rFonts w:eastAsia="Calibri"/>
                <w:lang w:val="en-US"/>
              </w:rPr>
              <w:t>600</w:t>
            </w:r>
          </w:p>
        </w:tc>
      </w:tr>
    </w:tbl>
    <w:p w14:paraId="40D52C17" w14:textId="77777777" w:rsidR="00736F4A" w:rsidRDefault="00100640">
      <w:pPr>
        <w:spacing w:line="240" w:lineRule="auto"/>
        <w:ind w:left="7" w:right="9"/>
      </w:pPr>
      <w:r>
        <w:t>Több kapszula kombinálásával alkalmazható egyszeri dózisok:</w:t>
      </w:r>
    </w:p>
    <w:tbl>
      <w:tblPr>
        <w:tblW w:w="6367" w:type="dxa"/>
        <w:tblInd w:w="12" w:type="dxa"/>
        <w:tblCellMar>
          <w:left w:w="0" w:type="dxa"/>
          <w:right w:w="0" w:type="dxa"/>
        </w:tblCellMar>
        <w:tblLook w:val="04A0" w:firstRow="1" w:lastRow="0" w:firstColumn="1" w:lastColumn="0" w:noHBand="0" w:noVBand="1"/>
      </w:tblPr>
      <w:tblGrid>
        <w:gridCol w:w="1133"/>
        <w:gridCol w:w="5234"/>
      </w:tblGrid>
      <w:tr w:rsidR="00736F4A" w14:paraId="509DCA9B" w14:textId="77777777">
        <w:trPr>
          <w:trHeight w:val="480"/>
        </w:trPr>
        <w:tc>
          <w:tcPr>
            <w:tcW w:w="1133" w:type="dxa"/>
          </w:tcPr>
          <w:p w14:paraId="4D094A5E" w14:textId="77777777" w:rsidR="00736F4A" w:rsidRDefault="00100640">
            <w:pPr>
              <w:spacing w:line="240" w:lineRule="auto"/>
              <w:rPr>
                <w:lang w:val="hu-HU"/>
              </w:rPr>
            </w:pPr>
            <w:r>
              <w:rPr>
                <w:lang w:val="hu-HU"/>
              </w:rPr>
              <w:t>300 mg:</w:t>
            </w:r>
          </w:p>
        </w:tc>
        <w:tc>
          <w:tcPr>
            <w:tcW w:w="5234" w:type="dxa"/>
          </w:tcPr>
          <w:p w14:paraId="7876D415" w14:textId="77777777" w:rsidR="00736F4A" w:rsidRDefault="00100640">
            <w:pPr>
              <w:tabs>
                <w:tab w:val="left" w:pos="2881"/>
              </w:tabs>
              <w:spacing w:line="240" w:lineRule="auto"/>
              <w:ind w:right="1221"/>
              <w:rPr>
                <w:lang w:val="hu-HU"/>
              </w:rPr>
            </w:pPr>
            <w:r>
              <w:rPr>
                <w:lang w:val="hu-HU"/>
              </w:rPr>
              <w:t>két 150 mg-os kapszula vagy</w:t>
            </w:r>
          </w:p>
          <w:p w14:paraId="01B324F7" w14:textId="77777777" w:rsidR="00736F4A" w:rsidRDefault="00100640">
            <w:pPr>
              <w:tabs>
                <w:tab w:val="left" w:pos="2881"/>
              </w:tabs>
              <w:spacing w:line="240" w:lineRule="auto"/>
              <w:ind w:right="1221"/>
              <w:rPr>
                <w:lang w:val="hu-HU"/>
              </w:rPr>
            </w:pPr>
            <w:r>
              <w:rPr>
                <w:lang w:val="hu-HU"/>
              </w:rPr>
              <w:t>négy 75 mg-os kapszula</w:t>
            </w:r>
          </w:p>
        </w:tc>
      </w:tr>
      <w:tr w:rsidR="00736F4A" w14:paraId="7073C972" w14:textId="77777777">
        <w:trPr>
          <w:trHeight w:val="506"/>
        </w:trPr>
        <w:tc>
          <w:tcPr>
            <w:tcW w:w="1133" w:type="dxa"/>
          </w:tcPr>
          <w:p w14:paraId="507282F6" w14:textId="77777777" w:rsidR="00736F4A" w:rsidRDefault="00100640">
            <w:pPr>
              <w:spacing w:line="240" w:lineRule="auto"/>
              <w:rPr>
                <w:lang w:val="hu-HU"/>
              </w:rPr>
            </w:pPr>
            <w:r>
              <w:rPr>
                <w:lang w:val="hu-HU"/>
              </w:rPr>
              <w:t>260 mg:</w:t>
            </w:r>
          </w:p>
        </w:tc>
        <w:tc>
          <w:tcPr>
            <w:tcW w:w="5234" w:type="dxa"/>
          </w:tcPr>
          <w:p w14:paraId="5417025D" w14:textId="77777777" w:rsidR="00736F4A" w:rsidRDefault="00100640">
            <w:pPr>
              <w:spacing w:line="240" w:lineRule="auto"/>
              <w:rPr>
                <w:lang w:val="hu-HU"/>
              </w:rPr>
            </w:pPr>
            <w:r>
              <w:rPr>
                <w:lang w:val="hu-HU"/>
              </w:rPr>
              <w:t>egy 110 mg-os és egy 150 mg-os kapszula vagy</w:t>
            </w:r>
          </w:p>
          <w:p w14:paraId="11C29250" w14:textId="77777777" w:rsidR="00736F4A" w:rsidRDefault="00100640">
            <w:pPr>
              <w:spacing w:line="240" w:lineRule="auto"/>
              <w:rPr>
                <w:lang w:val="hu-HU"/>
              </w:rPr>
            </w:pPr>
            <w:r>
              <w:rPr>
                <w:lang w:val="hu-HU"/>
              </w:rPr>
              <w:t>egy 110 mg-os és két 75 mg-os kapszula</w:t>
            </w:r>
          </w:p>
        </w:tc>
      </w:tr>
      <w:tr w:rsidR="00736F4A" w14:paraId="3A3EE884" w14:textId="77777777">
        <w:trPr>
          <w:trHeight w:val="253"/>
        </w:trPr>
        <w:tc>
          <w:tcPr>
            <w:tcW w:w="1133" w:type="dxa"/>
          </w:tcPr>
          <w:p w14:paraId="25041812" w14:textId="77777777" w:rsidR="00736F4A" w:rsidRDefault="00100640">
            <w:pPr>
              <w:spacing w:line="240" w:lineRule="auto"/>
              <w:rPr>
                <w:lang w:val="hu-HU"/>
              </w:rPr>
            </w:pPr>
            <w:r>
              <w:rPr>
                <w:lang w:val="hu-HU"/>
              </w:rPr>
              <w:lastRenderedPageBreak/>
              <w:t>220 mg:</w:t>
            </w:r>
          </w:p>
        </w:tc>
        <w:tc>
          <w:tcPr>
            <w:tcW w:w="5234" w:type="dxa"/>
          </w:tcPr>
          <w:p w14:paraId="291C358B" w14:textId="77777777" w:rsidR="00736F4A" w:rsidRDefault="00100640">
            <w:pPr>
              <w:spacing w:line="240" w:lineRule="auto"/>
              <w:rPr>
                <w:lang w:val="hu-HU"/>
              </w:rPr>
            </w:pPr>
            <w:r>
              <w:rPr>
                <w:lang w:val="hu-HU"/>
              </w:rPr>
              <w:t>két 110 mg-os kapszula</w:t>
            </w:r>
          </w:p>
        </w:tc>
      </w:tr>
      <w:tr w:rsidR="00736F4A" w14:paraId="442495D4" w14:textId="77777777">
        <w:trPr>
          <w:trHeight w:val="252"/>
        </w:trPr>
        <w:tc>
          <w:tcPr>
            <w:tcW w:w="1133" w:type="dxa"/>
          </w:tcPr>
          <w:p w14:paraId="1A6AF3AF" w14:textId="77777777" w:rsidR="00736F4A" w:rsidRDefault="00100640">
            <w:pPr>
              <w:spacing w:line="240" w:lineRule="auto"/>
              <w:rPr>
                <w:lang w:val="hu-HU"/>
              </w:rPr>
            </w:pPr>
            <w:r>
              <w:rPr>
                <w:lang w:val="hu-HU"/>
              </w:rPr>
              <w:t>185 mg:</w:t>
            </w:r>
          </w:p>
        </w:tc>
        <w:tc>
          <w:tcPr>
            <w:tcW w:w="5234" w:type="dxa"/>
          </w:tcPr>
          <w:p w14:paraId="1413515A" w14:textId="77777777" w:rsidR="00736F4A" w:rsidRDefault="00100640">
            <w:pPr>
              <w:spacing w:line="240" w:lineRule="auto"/>
              <w:rPr>
                <w:lang w:val="hu-HU"/>
              </w:rPr>
            </w:pPr>
            <w:r>
              <w:rPr>
                <w:lang w:val="hu-HU"/>
              </w:rPr>
              <w:t>egy 75 mg-os és egy 110 mg-os kapszula</w:t>
            </w:r>
          </w:p>
        </w:tc>
      </w:tr>
      <w:tr w:rsidR="00736F4A" w14:paraId="4F62E175" w14:textId="77777777">
        <w:trPr>
          <w:trHeight w:val="481"/>
        </w:trPr>
        <w:tc>
          <w:tcPr>
            <w:tcW w:w="1133" w:type="dxa"/>
          </w:tcPr>
          <w:p w14:paraId="4A94BF54" w14:textId="77777777" w:rsidR="00736F4A" w:rsidRDefault="00100640">
            <w:pPr>
              <w:spacing w:line="240" w:lineRule="auto"/>
              <w:rPr>
                <w:lang w:val="hu-HU"/>
              </w:rPr>
            </w:pPr>
            <w:r>
              <w:rPr>
                <w:lang w:val="hu-HU"/>
              </w:rPr>
              <w:t>150 mg:</w:t>
            </w:r>
          </w:p>
        </w:tc>
        <w:tc>
          <w:tcPr>
            <w:tcW w:w="5234" w:type="dxa"/>
          </w:tcPr>
          <w:p w14:paraId="477CE723" w14:textId="77777777" w:rsidR="00736F4A" w:rsidRDefault="00100640">
            <w:pPr>
              <w:spacing w:line="240" w:lineRule="auto"/>
              <w:ind w:right="1331"/>
              <w:rPr>
                <w:lang w:val="hu-HU"/>
              </w:rPr>
            </w:pPr>
            <w:r>
              <w:rPr>
                <w:lang w:val="hu-HU"/>
              </w:rPr>
              <w:t>egy 150 mg-os kapszula vagy</w:t>
            </w:r>
          </w:p>
          <w:p w14:paraId="1DBBF997" w14:textId="77777777" w:rsidR="00736F4A" w:rsidRDefault="00100640">
            <w:pPr>
              <w:spacing w:line="240" w:lineRule="auto"/>
              <w:ind w:right="1331"/>
              <w:rPr>
                <w:lang w:val="hu-HU"/>
              </w:rPr>
            </w:pPr>
            <w:r>
              <w:rPr>
                <w:lang w:val="hu-HU"/>
              </w:rPr>
              <w:t>két 75 mg-os kapszula</w:t>
            </w:r>
          </w:p>
        </w:tc>
      </w:tr>
    </w:tbl>
    <w:p w14:paraId="1F7029E9" w14:textId="77777777" w:rsidR="00736F4A" w:rsidRDefault="00736F4A">
      <w:pPr>
        <w:autoSpaceDE w:val="0"/>
        <w:autoSpaceDN w:val="0"/>
        <w:adjustRightInd w:val="0"/>
        <w:spacing w:line="240" w:lineRule="auto"/>
        <w:rPr>
          <w:lang w:val="hu-HU"/>
        </w:rPr>
      </w:pPr>
    </w:p>
    <w:p w14:paraId="2D049268" w14:textId="77777777" w:rsidR="00736F4A" w:rsidRDefault="00100640">
      <w:pPr>
        <w:spacing w:line="240" w:lineRule="auto"/>
        <w:ind w:left="7"/>
      </w:pPr>
      <w:r>
        <w:rPr>
          <w:i/>
          <w:u w:val="single" w:color="000000"/>
        </w:rPr>
        <w:t>A vesefunkció ellenőrzése a kezelés megkezdése előtt és a kezelés során</w:t>
      </w:r>
    </w:p>
    <w:p w14:paraId="2371738E" w14:textId="77777777" w:rsidR="00736F4A" w:rsidRDefault="00736F4A">
      <w:pPr>
        <w:spacing w:line="240" w:lineRule="auto"/>
        <w:ind w:left="7" w:right="9"/>
      </w:pPr>
    </w:p>
    <w:p w14:paraId="526AC4E8" w14:textId="77777777" w:rsidR="00736F4A" w:rsidRDefault="00100640">
      <w:pPr>
        <w:spacing w:line="240" w:lineRule="auto"/>
        <w:ind w:left="7" w:right="9"/>
      </w:pPr>
      <w:r>
        <w:t>A kezelés megkezdése előtt a becsült glomeruláris filtrációs rátát (eGFR) a Schwartz-formula segítségével kell meghatározni (a kreatinin vizsgálatára szolgáló módszert a helyi laboratóriumban kell ellenőrizni).</w:t>
      </w:r>
    </w:p>
    <w:p w14:paraId="6510EC91" w14:textId="77777777" w:rsidR="00736F4A" w:rsidRDefault="00100640">
      <w:pPr>
        <w:spacing w:line="240" w:lineRule="auto"/>
        <w:ind w:left="7" w:right="9"/>
      </w:pPr>
      <w:r>
        <w:t>A dabigatrán-etexilát-kezelés az eGFR &lt; 50 ml/perc/1,73m</w:t>
      </w:r>
      <w:r>
        <w:rPr>
          <w:vertAlign w:val="superscript"/>
        </w:rPr>
        <w:t>2</w:t>
      </w:r>
      <w:r>
        <w:t xml:space="preserve"> értékkel rendelkező gyermekeknél és serdülőknél ellenjavallt (lásd 4.3 pont).</w:t>
      </w:r>
    </w:p>
    <w:p w14:paraId="55507348" w14:textId="77777777" w:rsidR="00736F4A" w:rsidRDefault="00100640">
      <w:pPr>
        <w:spacing w:line="240" w:lineRule="auto"/>
        <w:ind w:left="7" w:right="9"/>
      </w:pPr>
      <w:r>
        <w:t>Az eGFR ≥ 50 ml/perc/1,73m</w:t>
      </w:r>
      <w:r>
        <w:rPr>
          <w:vertAlign w:val="superscript"/>
        </w:rPr>
        <w:t>2</w:t>
      </w:r>
      <w:r>
        <w:t xml:space="preserve"> értékkel rendelkező betegeket a 3. táblázat szerinti dózissal kell kezelni.</w:t>
      </w:r>
    </w:p>
    <w:p w14:paraId="0A636D9F" w14:textId="77777777" w:rsidR="00736F4A" w:rsidRDefault="00100640">
      <w:pPr>
        <w:spacing w:line="240" w:lineRule="auto"/>
        <w:ind w:left="7" w:right="9"/>
      </w:pPr>
      <w:r>
        <w:t>A kezelés alatt bizonyos klinikai helyzetekben ellenőrizni kell a vesefunkciót, amikor a vesefunkció romlását lehet gyanítani (pl. hypovolaemia, dehidráció, valamint bizonyos együttesen alkalmazott gyógyszerek stb.).</w:t>
      </w:r>
    </w:p>
    <w:p w14:paraId="237125C9" w14:textId="77777777" w:rsidR="00736F4A" w:rsidRDefault="00736F4A">
      <w:pPr>
        <w:autoSpaceDE w:val="0"/>
        <w:autoSpaceDN w:val="0"/>
        <w:adjustRightInd w:val="0"/>
        <w:spacing w:line="240" w:lineRule="auto"/>
        <w:rPr>
          <w:lang w:val="hu-HU"/>
        </w:rPr>
      </w:pPr>
    </w:p>
    <w:p w14:paraId="46C34C43" w14:textId="77777777" w:rsidR="00736F4A" w:rsidRDefault="00100640">
      <w:pPr>
        <w:spacing w:line="240" w:lineRule="auto"/>
        <w:ind w:left="7"/>
      </w:pPr>
      <w:r>
        <w:rPr>
          <w:i/>
          <w:u w:val="single" w:color="000000"/>
        </w:rPr>
        <w:t>A kezelés időtartama</w:t>
      </w:r>
    </w:p>
    <w:p w14:paraId="4D5181AD" w14:textId="77777777" w:rsidR="00736F4A" w:rsidRDefault="00100640">
      <w:pPr>
        <w:spacing w:line="240" w:lineRule="auto"/>
        <w:ind w:left="7" w:right="9"/>
      </w:pPr>
      <w:r>
        <w:t>A kezelés időtartamát az előny/kockázat arány mérlegelése után, egyedileg kell meghatározni.</w:t>
      </w:r>
    </w:p>
    <w:p w14:paraId="4AE8B3CC" w14:textId="77777777" w:rsidR="00736F4A" w:rsidRDefault="00736F4A">
      <w:pPr>
        <w:autoSpaceDE w:val="0"/>
        <w:autoSpaceDN w:val="0"/>
        <w:adjustRightInd w:val="0"/>
        <w:spacing w:line="240" w:lineRule="auto"/>
        <w:rPr>
          <w:lang w:val="hu-HU"/>
        </w:rPr>
      </w:pPr>
    </w:p>
    <w:p w14:paraId="5C466CCE" w14:textId="77777777" w:rsidR="00736F4A" w:rsidRDefault="00100640">
      <w:pPr>
        <w:spacing w:line="240" w:lineRule="auto"/>
        <w:ind w:left="7"/>
      </w:pPr>
      <w:r>
        <w:rPr>
          <w:i/>
          <w:u w:val="single" w:color="000000"/>
        </w:rPr>
        <w:t>Kihagyott dózis</w:t>
      </w:r>
    </w:p>
    <w:p w14:paraId="14C8F08F" w14:textId="77777777" w:rsidR="00736F4A" w:rsidRDefault="00100640">
      <w:pPr>
        <w:spacing w:line="240" w:lineRule="auto"/>
        <w:ind w:left="7" w:right="342"/>
      </w:pPr>
      <w:r>
        <w:t>A dabigatrán-etexilát kimaradt dózisa még bevehető legkésőbb 6 órával a következő esedékes dózis előtt.</w:t>
      </w:r>
    </w:p>
    <w:p w14:paraId="7BC149A1" w14:textId="77777777" w:rsidR="00736F4A" w:rsidRDefault="00100640">
      <w:pPr>
        <w:spacing w:line="240" w:lineRule="auto"/>
        <w:ind w:left="7" w:right="342"/>
      </w:pPr>
      <w:r>
        <w:t>A következő esedékes dózis előtti 6 órán belül az elfelejtett dózist ki kell hagyni.</w:t>
      </w:r>
    </w:p>
    <w:p w14:paraId="4132A1B8" w14:textId="77777777" w:rsidR="00736F4A" w:rsidRDefault="00100640">
      <w:pPr>
        <w:spacing w:line="240" w:lineRule="auto"/>
        <w:ind w:left="7" w:right="342"/>
      </w:pPr>
      <w:r>
        <w:t>Soha nem szabad kétszeres dózist bevenni az elfelejtett egyszeri dózis pótlására.</w:t>
      </w:r>
    </w:p>
    <w:p w14:paraId="4E72EFFA" w14:textId="77777777" w:rsidR="00736F4A" w:rsidRDefault="00736F4A">
      <w:pPr>
        <w:autoSpaceDE w:val="0"/>
        <w:autoSpaceDN w:val="0"/>
        <w:adjustRightInd w:val="0"/>
        <w:spacing w:line="240" w:lineRule="auto"/>
        <w:rPr>
          <w:lang w:val="hu-HU"/>
        </w:rPr>
      </w:pPr>
    </w:p>
    <w:p w14:paraId="2A6D2562" w14:textId="77777777" w:rsidR="00736F4A" w:rsidRDefault="00100640">
      <w:pPr>
        <w:spacing w:line="240" w:lineRule="auto"/>
        <w:ind w:left="7"/>
      </w:pPr>
      <w:r>
        <w:rPr>
          <w:i/>
          <w:u w:val="single" w:color="000000"/>
        </w:rPr>
        <w:t>A dabigatrán-etexilát-kezelés leállítása</w:t>
      </w:r>
    </w:p>
    <w:p w14:paraId="383FF918" w14:textId="77777777" w:rsidR="00736F4A" w:rsidRDefault="00100640">
      <w:pPr>
        <w:spacing w:line="240" w:lineRule="auto"/>
        <w:ind w:left="7" w:right="9"/>
      </w:pPr>
      <w:r>
        <w:t>A dabigatrán-etexilát-kezelés csak orvosi javaslatra állítható le. A betegeknek vagy gondozóiknak gastrointestinalis tünetek, pl. dyspepsia megjelenése esetén tájékoztatniuk kell a kezelőorvost (lásd 4.8 pont).</w:t>
      </w:r>
    </w:p>
    <w:p w14:paraId="0943D50E" w14:textId="77777777" w:rsidR="00736F4A" w:rsidRDefault="00736F4A">
      <w:pPr>
        <w:autoSpaceDE w:val="0"/>
        <w:autoSpaceDN w:val="0"/>
        <w:adjustRightInd w:val="0"/>
        <w:spacing w:line="240" w:lineRule="auto"/>
        <w:rPr>
          <w:lang w:val="hu-HU"/>
        </w:rPr>
      </w:pPr>
    </w:p>
    <w:p w14:paraId="0A512A91" w14:textId="77777777" w:rsidR="00736F4A" w:rsidRDefault="00100640">
      <w:pPr>
        <w:spacing w:line="240" w:lineRule="auto"/>
        <w:ind w:left="7"/>
      </w:pPr>
      <w:r>
        <w:rPr>
          <w:i/>
          <w:u w:val="single" w:color="000000"/>
        </w:rPr>
        <w:t>Átállítás</w:t>
      </w:r>
    </w:p>
    <w:p w14:paraId="66DAC428" w14:textId="77777777" w:rsidR="00736F4A" w:rsidRDefault="00736F4A">
      <w:pPr>
        <w:spacing w:line="240" w:lineRule="auto"/>
        <w:ind w:left="7" w:right="9"/>
      </w:pPr>
    </w:p>
    <w:p w14:paraId="71A4174F" w14:textId="77777777" w:rsidR="00736F4A" w:rsidRDefault="00100640">
      <w:pPr>
        <w:spacing w:line="240" w:lineRule="auto"/>
        <w:ind w:left="7" w:right="9"/>
        <w:rPr>
          <w:u w:val="single"/>
        </w:rPr>
      </w:pPr>
      <w:r>
        <w:rPr>
          <w:u w:val="single"/>
        </w:rPr>
        <w:t>Dabigatrán-etexilát-kezelésről parenterális antikoaguláns-kezelésre:</w:t>
      </w:r>
    </w:p>
    <w:p w14:paraId="3F1F174D" w14:textId="77777777" w:rsidR="00736F4A" w:rsidRDefault="00100640">
      <w:pPr>
        <w:spacing w:line="240" w:lineRule="auto"/>
        <w:ind w:left="7" w:right="9"/>
      </w:pPr>
      <w:r>
        <w:t>A dabigatrán-etexilátról parenterális antikoaguláns-kezelésre történő átállításkor javasolt 12 órát várni az utolsó dabigatrán-etexilát dózis bevétele után (lásd 4.5 pont).</w:t>
      </w:r>
    </w:p>
    <w:p w14:paraId="26CDCA81" w14:textId="77777777" w:rsidR="00736F4A" w:rsidRDefault="00736F4A">
      <w:pPr>
        <w:spacing w:line="240" w:lineRule="auto"/>
        <w:ind w:left="7" w:right="9"/>
      </w:pPr>
    </w:p>
    <w:p w14:paraId="3FDE6F0F" w14:textId="77777777" w:rsidR="00736F4A" w:rsidRDefault="00100640">
      <w:pPr>
        <w:spacing w:line="240" w:lineRule="auto"/>
        <w:ind w:left="7" w:right="9"/>
        <w:rPr>
          <w:u w:val="single"/>
        </w:rPr>
      </w:pPr>
      <w:r>
        <w:rPr>
          <w:u w:val="single"/>
        </w:rPr>
        <w:t>Parenterális antikoagulánsokról dabigatrán-etexilátra:</w:t>
      </w:r>
    </w:p>
    <w:p w14:paraId="53577521" w14:textId="77777777" w:rsidR="00736F4A" w:rsidRDefault="00100640">
      <w:pPr>
        <w:spacing w:line="240" w:lineRule="auto"/>
        <w:ind w:left="7" w:right="9"/>
      </w:pPr>
      <w:r>
        <w:t>Az antikoaguláns-kezelés következő dózisának esedékessége előtt 0</w:t>
      </w:r>
      <w:r>
        <w:noBreakHyphen/>
        <w:t>2 órával a parenterális antikoaguláns-kezelést abba kell hagyni, és a dabigatrán-etexilát-kezelést meg kell kezdeni, illetve a folyamatos kezelés (pl. intravénás nem frakcionált heparin [</w:t>
      </w:r>
      <w:r>
        <w:rPr>
          <w:color w:val="000000"/>
          <w:lang w:bidi="en-US"/>
        </w:rPr>
        <w:t xml:space="preserve">Unfractionated Heparin </w:t>
      </w:r>
      <w:r>
        <w:t>UFH]) esetén az antikoaguláns-terápia leállításakor kell megkezdeni a dabigatrán-etexilát alkalmazását (lásd 4.5 pont).</w:t>
      </w:r>
    </w:p>
    <w:p w14:paraId="5D35554B" w14:textId="77777777" w:rsidR="00736F4A" w:rsidRDefault="00736F4A">
      <w:pPr>
        <w:spacing w:line="240" w:lineRule="auto"/>
        <w:ind w:left="7" w:right="9"/>
      </w:pPr>
    </w:p>
    <w:p w14:paraId="62160412" w14:textId="77777777" w:rsidR="00736F4A" w:rsidRDefault="00100640">
      <w:pPr>
        <w:spacing w:line="240" w:lineRule="auto"/>
        <w:ind w:left="7" w:right="9"/>
        <w:rPr>
          <w:u w:val="single"/>
        </w:rPr>
      </w:pPr>
      <w:r>
        <w:rPr>
          <w:u w:val="single"/>
        </w:rPr>
        <w:t>Dabigatrán-etexilátról K-vitamin-antagonistákra (KVA):</w:t>
      </w:r>
    </w:p>
    <w:p w14:paraId="01A720FA" w14:textId="77777777" w:rsidR="00736F4A" w:rsidRDefault="00100640">
      <w:pPr>
        <w:spacing w:line="240" w:lineRule="auto"/>
        <w:ind w:left="7" w:right="9"/>
      </w:pPr>
      <w:r>
        <w:t>A betegeknél a KVA adagolását 3 nappal a dabigatrán-etexilát adagolásának abbahagyása előtt kell elkezdeni.</w:t>
      </w:r>
    </w:p>
    <w:p w14:paraId="03A8C2A8" w14:textId="77777777" w:rsidR="00736F4A" w:rsidRDefault="00100640">
      <w:pPr>
        <w:spacing w:line="240" w:lineRule="auto"/>
        <w:ind w:left="7" w:right="9"/>
      </w:pPr>
      <w:r>
        <w:t>Mivel a dabigatrán-etexilát befolyásolhatja az INR-t, az INR csak akkor mutatja megfelelően a KVA hatását, ha a dabigatrán-etexilát-kezelést már legalább 2 napja leállították. Addig az INR értékeket körültekintően kell értelmezni.</w:t>
      </w:r>
    </w:p>
    <w:p w14:paraId="7C406478" w14:textId="77777777" w:rsidR="00736F4A" w:rsidRDefault="00736F4A">
      <w:pPr>
        <w:autoSpaceDE w:val="0"/>
        <w:autoSpaceDN w:val="0"/>
        <w:adjustRightInd w:val="0"/>
        <w:spacing w:line="240" w:lineRule="auto"/>
        <w:rPr>
          <w:lang w:val="hu-HU"/>
        </w:rPr>
      </w:pPr>
    </w:p>
    <w:p w14:paraId="4D5B5932" w14:textId="77777777" w:rsidR="00736F4A" w:rsidRDefault="00100640">
      <w:pPr>
        <w:spacing w:line="240" w:lineRule="auto"/>
        <w:ind w:left="7" w:right="9"/>
        <w:rPr>
          <w:u w:val="single"/>
        </w:rPr>
      </w:pPr>
      <w:r>
        <w:rPr>
          <w:u w:val="single"/>
        </w:rPr>
        <w:t>KVA-ról dabigatrán-etexilátra:</w:t>
      </w:r>
    </w:p>
    <w:p w14:paraId="4479A8A8" w14:textId="77777777" w:rsidR="00736F4A" w:rsidRDefault="00100640">
      <w:pPr>
        <w:spacing w:line="240" w:lineRule="auto"/>
        <w:ind w:left="7" w:right="9"/>
      </w:pPr>
      <w:r>
        <w:t>A KVA-kezelést le kell állítani. A dabigatrán-etexilát adása akkor kezdhető el, ha az INR &lt; 2,0.</w:t>
      </w:r>
    </w:p>
    <w:p w14:paraId="0A48188A" w14:textId="77777777" w:rsidR="00736F4A" w:rsidRDefault="00736F4A">
      <w:pPr>
        <w:autoSpaceDE w:val="0"/>
        <w:autoSpaceDN w:val="0"/>
        <w:adjustRightInd w:val="0"/>
        <w:spacing w:line="240" w:lineRule="auto"/>
        <w:rPr>
          <w:lang w:val="hu-HU"/>
        </w:rPr>
      </w:pPr>
    </w:p>
    <w:p w14:paraId="0AE22201" w14:textId="77777777" w:rsidR="00736F4A" w:rsidRDefault="00100640">
      <w:pPr>
        <w:autoSpaceDE w:val="0"/>
        <w:autoSpaceDN w:val="0"/>
        <w:adjustRightInd w:val="0"/>
        <w:spacing w:line="240" w:lineRule="auto"/>
        <w:rPr>
          <w:u w:val="single"/>
          <w:lang w:val="hu-HU"/>
        </w:rPr>
      </w:pPr>
      <w:r>
        <w:rPr>
          <w:u w:val="single"/>
          <w:lang w:val="hu-HU"/>
        </w:rPr>
        <w:t>Az alkalmazás módja</w:t>
      </w:r>
    </w:p>
    <w:p w14:paraId="203F38DD" w14:textId="77777777" w:rsidR="00736F4A" w:rsidRDefault="00736F4A">
      <w:pPr>
        <w:autoSpaceDE w:val="0"/>
        <w:autoSpaceDN w:val="0"/>
        <w:adjustRightInd w:val="0"/>
        <w:spacing w:line="240" w:lineRule="auto"/>
        <w:rPr>
          <w:lang w:val="hu-HU"/>
        </w:rPr>
      </w:pPr>
    </w:p>
    <w:p w14:paraId="3475281D" w14:textId="77777777" w:rsidR="00736F4A" w:rsidRDefault="00100640">
      <w:pPr>
        <w:spacing w:line="240" w:lineRule="auto"/>
        <w:ind w:left="7" w:right="9"/>
      </w:pPr>
      <w:r>
        <w:t>Szájon át történő alkalmazásra.</w:t>
      </w:r>
    </w:p>
    <w:p w14:paraId="0D90B25C" w14:textId="77777777" w:rsidR="00736F4A" w:rsidRDefault="00100640">
      <w:pPr>
        <w:spacing w:line="240" w:lineRule="auto"/>
        <w:ind w:left="7" w:right="9"/>
      </w:pPr>
      <w:r>
        <w:lastRenderedPageBreak/>
        <w:t>A kapszulák étkezés közben, vagy étkezéstől függetlenül egyaránt bevehetőek. A kapszulákat egészben, a gyomorba jutás elősegítése érdekében egy pohár vízzel kell bevenni.</w:t>
      </w:r>
    </w:p>
    <w:p w14:paraId="03173464" w14:textId="77777777" w:rsidR="00736F4A" w:rsidRDefault="00100640">
      <w:pPr>
        <w:spacing w:line="240" w:lineRule="auto"/>
        <w:ind w:left="7" w:right="9"/>
      </w:pPr>
      <w:r>
        <w:t>A betegek figyelmét fel kell hívni arra, hogy ne nyissák ki a kapszulát, mivel ez fokozhatja a vérzés kockázatát (lásd 5.2 pont).</w:t>
      </w:r>
    </w:p>
    <w:p w14:paraId="2C417FF3" w14:textId="77777777" w:rsidR="00736F4A" w:rsidRDefault="00736F4A">
      <w:pPr>
        <w:spacing w:line="240" w:lineRule="auto"/>
        <w:rPr>
          <w:lang w:val="hu-HU"/>
        </w:rPr>
      </w:pPr>
    </w:p>
    <w:p w14:paraId="67D659C8" w14:textId="77777777" w:rsidR="00736F4A" w:rsidRDefault="00100640">
      <w:pPr>
        <w:spacing w:line="240" w:lineRule="auto"/>
        <w:ind w:left="567" w:hanging="567"/>
        <w:outlineLvl w:val="0"/>
        <w:rPr>
          <w:b/>
          <w:bCs/>
          <w:lang w:val="hu-HU"/>
        </w:rPr>
      </w:pPr>
      <w:r>
        <w:rPr>
          <w:b/>
          <w:bCs/>
          <w:lang w:val="hu-HU"/>
        </w:rPr>
        <w:t>4.3</w:t>
      </w:r>
      <w:r>
        <w:rPr>
          <w:b/>
          <w:bCs/>
          <w:lang w:val="hu-HU"/>
        </w:rPr>
        <w:tab/>
        <w:t>Ellenjavallatok</w:t>
      </w:r>
    </w:p>
    <w:p w14:paraId="253F2998" w14:textId="77777777" w:rsidR="00736F4A" w:rsidRDefault="00736F4A">
      <w:pPr>
        <w:spacing w:line="240" w:lineRule="auto"/>
        <w:rPr>
          <w:lang w:val="hu-HU"/>
        </w:rPr>
      </w:pPr>
    </w:p>
    <w:p w14:paraId="032B8131" w14:textId="77777777" w:rsidR="00736F4A" w:rsidRDefault="00100640">
      <w:pPr>
        <w:numPr>
          <w:ilvl w:val="0"/>
          <w:numId w:val="20"/>
        </w:numPr>
        <w:tabs>
          <w:tab w:val="clear" w:pos="567"/>
        </w:tabs>
        <w:spacing w:line="240" w:lineRule="auto"/>
        <w:ind w:right="9" w:hanging="566"/>
      </w:pPr>
      <w:r>
        <w:t>A készítmény hatóanyagával vagy a 6.1 pontban felsorolt bármely segédanyagával szembeni túlérzékenység;</w:t>
      </w:r>
    </w:p>
    <w:p w14:paraId="3707E787" w14:textId="77777777" w:rsidR="00736F4A" w:rsidRDefault="00100640">
      <w:pPr>
        <w:numPr>
          <w:ilvl w:val="0"/>
          <w:numId w:val="20"/>
        </w:numPr>
        <w:tabs>
          <w:tab w:val="clear" w:pos="567"/>
        </w:tabs>
        <w:spacing w:line="240" w:lineRule="auto"/>
        <w:ind w:right="9" w:hanging="566"/>
      </w:pPr>
      <w:r>
        <w:t>súlyos fokú vesekárosodás (CrCl &lt; 30 ml/perc) felnőtt betegeknél;</w:t>
      </w:r>
    </w:p>
    <w:p w14:paraId="4549FEC3" w14:textId="77777777" w:rsidR="00736F4A" w:rsidRDefault="00100640">
      <w:pPr>
        <w:numPr>
          <w:ilvl w:val="0"/>
          <w:numId w:val="20"/>
        </w:numPr>
        <w:tabs>
          <w:tab w:val="clear" w:pos="567"/>
        </w:tabs>
        <w:spacing w:line="240" w:lineRule="auto"/>
        <w:ind w:right="9" w:hanging="566"/>
      </w:pPr>
      <w:r>
        <w:t>eGFR &lt; 50 ml/perc/1,73m</w:t>
      </w:r>
      <w:r>
        <w:rPr>
          <w:vertAlign w:val="superscript"/>
        </w:rPr>
        <w:t>2</w:t>
      </w:r>
      <w:r>
        <w:t xml:space="preserve"> gyermekeknél és serdülőknél;</w:t>
      </w:r>
    </w:p>
    <w:p w14:paraId="42BF4BB7" w14:textId="77777777" w:rsidR="00736F4A" w:rsidRDefault="00100640">
      <w:pPr>
        <w:numPr>
          <w:ilvl w:val="0"/>
          <w:numId w:val="20"/>
        </w:numPr>
        <w:tabs>
          <w:tab w:val="clear" w:pos="567"/>
        </w:tabs>
        <w:spacing w:line="240" w:lineRule="auto"/>
        <w:ind w:right="9" w:hanging="566"/>
      </w:pPr>
      <w:r>
        <w:t>aktív, klinikailag jelentős vérzés;</w:t>
      </w:r>
    </w:p>
    <w:p w14:paraId="3FC89342" w14:textId="77777777" w:rsidR="00736F4A" w:rsidRDefault="00100640">
      <w:pPr>
        <w:numPr>
          <w:ilvl w:val="0"/>
          <w:numId w:val="20"/>
        </w:numPr>
        <w:tabs>
          <w:tab w:val="clear" w:pos="567"/>
        </w:tabs>
        <w:spacing w:line="240" w:lineRule="auto"/>
        <w:ind w:right="9" w:hanging="566"/>
      </w:pPr>
      <w:r>
        <w:t>a vérzés megnövekedett kockázatával járónak ítélt sérülések vagy egyéb állapotok. Ezek közé tartozhat a fennálló vagy közelmúltbeli gastrointestinalis fekélybetegség, nagy vérzésveszéllyel járó rosszindulatú daganat, közelmúltbeli agy- vagy gerincvelő-sérülés, közelmúltbeli agy-, gerinc- vagy szemműtét, közelmúltbeli intracranialis vérzés, ismert vagy feltételezett nyelőcső varixok, arteriovenosus malformatiók, ér-aneurysmák vagy jelentős intraspinalis vagy intracerebralis érrendellenességek.</w:t>
      </w:r>
    </w:p>
    <w:p w14:paraId="0CC61469" w14:textId="77777777" w:rsidR="00736F4A" w:rsidRDefault="00100640">
      <w:pPr>
        <w:numPr>
          <w:ilvl w:val="0"/>
          <w:numId w:val="20"/>
        </w:numPr>
        <w:tabs>
          <w:tab w:val="clear" w:pos="567"/>
        </w:tabs>
        <w:spacing w:line="240" w:lineRule="auto"/>
        <w:ind w:right="9" w:hanging="566"/>
      </w:pPr>
      <w:r>
        <w:t>más antikoagulánssal, pl. nem frakcionált heparinnal (UFH), alacsony molekulatömegű heparinokkal (enoxaparin, dalteparin stb.), heparin-származékokkal (fondaparinux stb.), orális antikoagulánsokkal (warfarin, rivaroxabán, apixabán stb.) történő egyidejű kezelés, kivéve bizonyos speciális eseteket. Ezek lehetnek az antikoaguláns-terápia átállítás időszakai (lásd 4.2 pont), amikor az UFH-t a centrális vénás vagy artériás kanül nyitvatartásához szükséges dózisban adják, vagy amikor az UFH adása szükséges katéteres ablatio alatt pitvarfibrilláció esetén (lásd 4.5 pont).</w:t>
      </w:r>
    </w:p>
    <w:p w14:paraId="2609B3EC" w14:textId="77777777" w:rsidR="00736F4A" w:rsidRDefault="00100640">
      <w:pPr>
        <w:numPr>
          <w:ilvl w:val="0"/>
          <w:numId w:val="20"/>
        </w:numPr>
        <w:tabs>
          <w:tab w:val="clear" w:pos="567"/>
        </w:tabs>
        <w:spacing w:line="240" w:lineRule="auto"/>
        <w:ind w:right="9" w:hanging="566"/>
      </w:pPr>
      <w:r>
        <w:t xml:space="preserve">májkárosodás vagy májbetegség, </w:t>
      </w:r>
      <w:r>
        <w:rPr>
          <w:lang w:val="hu-HU"/>
        </w:rPr>
        <w:t>aminek hatása lehet a túlélésre</w:t>
      </w:r>
      <w:r>
        <w:t>;</w:t>
      </w:r>
    </w:p>
    <w:p w14:paraId="5D482BEA" w14:textId="77777777" w:rsidR="00736F4A" w:rsidRDefault="00100640">
      <w:pPr>
        <w:numPr>
          <w:ilvl w:val="0"/>
          <w:numId w:val="20"/>
        </w:numPr>
        <w:tabs>
          <w:tab w:val="clear" w:pos="567"/>
        </w:tabs>
        <w:spacing w:line="240" w:lineRule="auto"/>
        <w:ind w:right="9" w:hanging="566"/>
      </w:pPr>
      <w:r>
        <w:t>egyidejű kezelés a következő erős P-gp-inhibitorokkal: szisztémás ketokonazollal, ciklosporinnal, itrakonazollal, dronedaronnal vagy fix dózisú kombinációban alkalmazott glekaprevirral/pibrentaszvirral (lásd 4.5 pont);</w:t>
      </w:r>
    </w:p>
    <w:p w14:paraId="34C99F47" w14:textId="77777777" w:rsidR="00736F4A" w:rsidRDefault="00100640">
      <w:pPr>
        <w:numPr>
          <w:ilvl w:val="0"/>
          <w:numId w:val="20"/>
        </w:numPr>
        <w:tabs>
          <w:tab w:val="clear" w:pos="567"/>
        </w:tabs>
        <w:spacing w:line="240" w:lineRule="auto"/>
        <w:ind w:right="9" w:hanging="566"/>
      </w:pPr>
      <w:r>
        <w:t>antikoaguláns-kezelést igénylő műbillentyű beültetés (lásd 5.1 pont).</w:t>
      </w:r>
    </w:p>
    <w:p w14:paraId="35F03685" w14:textId="77777777" w:rsidR="00736F4A" w:rsidRDefault="00736F4A">
      <w:pPr>
        <w:spacing w:line="240" w:lineRule="auto"/>
        <w:rPr>
          <w:lang w:val="hu-HU"/>
        </w:rPr>
      </w:pPr>
    </w:p>
    <w:p w14:paraId="5B6849FB" w14:textId="77777777" w:rsidR="00736F4A" w:rsidRDefault="00100640">
      <w:pPr>
        <w:spacing w:line="240" w:lineRule="auto"/>
        <w:ind w:left="567" w:hanging="567"/>
        <w:outlineLvl w:val="0"/>
        <w:rPr>
          <w:b/>
          <w:bCs/>
          <w:lang w:val="hu-HU"/>
        </w:rPr>
      </w:pPr>
      <w:r>
        <w:rPr>
          <w:b/>
          <w:bCs/>
          <w:lang w:val="hu-HU"/>
        </w:rPr>
        <w:t>4.4</w:t>
      </w:r>
      <w:r>
        <w:rPr>
          <w:b/>
          <w:bCs/>
          <w:lang w:val="hu-HU"/>
        </w:rPr>
        <w:tab/>
        <w:t>Különleges figyelmeztetések és az alkalmazással kapcsolatos óvintézkedések</w:t>
      </w:r>
    </w:p>
    <w:p w14:paraId="4AEB0ED4" w14:textId="77777777" w:rsidR="00736F4A" w:rsidRDefault="00736F4A">
      <w:pPr>
        <w:spacing w:line="240" w:lineRule="auto"/>
        <w:rPr>
          <w:lang w:val="hu-HU"/>
        </w:rPr>
      </w:pPr>
    </w:p>
    <w:p w14:paraId="36A4C364" w14:textId="77777777" w:rsidR="00736F4A" w:rsidRDefault="00100640">
      <w:pPr>
        <w:spacing w:line="240" w:lineRule="auto"/>
        <w:rPr>
          <w:u w:val="single"/>
          <w:lang w:val="hu-HU"/>
        </w:rPr>
      </w:pPr>
      <w:r>
        <w:rPr>
          <w:u w:val="single"/>
          <w:lang w:val="hu-HU"/>
        </w:rPr>
        <w:t>Vérzésveszély</w:t>
      </w:r>
    </w:p>
    <w:p w14:paraId="69E8AE24" w14:textId="77777777" w:rsidR="00736F4A" w:rsidRDefault="00736F4A">
      <w:pPr>
        <w:spacing w:line="240" w:lineRule="auto"/>
        <w:rPr>
          <w:lang w:val="hu-HU"/>
        </w:rPr>
      </w:pPr>
    </w:p>
    <w:p w14:paraId="1E6D7A9D" w14:textId="77777777" w:rsidR="00736F4A" w:rsidRDefault="00100640">
      <w:pPr>
        <w:spacing w:line="240" w:lineRule="auto"/>
        <w:ind w:left="7" w:right="9"/>
      </w:pPr>
      <w:r>
        <w:t>A dabigatrán-etexilátot óvatosan kell alkalmazni olyan állapotokban, amelyek fokozott vérzésveszéllyel járnak, vagy azokban az esetekben, amikor az egyidejű gyógyszerelés a thrombocyta-aggregáció gátlásával befolyásolja a haemostasist. A vérzés a kezelés során bárhol jelentkezhet. A haemoglobinszint és/vagy a haematokritérték tisztázatlan csökkenése vagy vérnyomásesés esetén vérzésforrást kell keresni.</w:t>
      </w:r>
    </w:p>
    <w:p w14:paraId="6905A336" w14:textId="77777777" w:rsidR="00736F4A" w:rsidRDefault="00736F4A">
      <w:pPr>
        <w:spacing w:line="240" w:lineRule="auto"/>
        <w:ind w:left="7" w:right="9"/>
      </w:pPr>
    </w:p>
    <w:p w14:paraId="18534814" w14:textId="77777777" w:rsidR="00736F4A" w:rsidRDefault="00100640">
      <w:pPr>
        <w:spacing w:line="240" w:lineRule="auto"/>
        <w:ind w:left="7" w:right="9"/>
      </w:pPr>
      <w:r>
        <w:t>Felnőtt betegeknél az életveszélyes vagy nem kontrollálható vérzések esetén, amikor a dabigatrán antikoaguláns hatásának gyors felfüggesztésére van szükség, specifikus antagonista szer, az idarucizumab áll rendelkezésre. Az idarucizumab hatásosságát és biztonságosságát nem határozták meg a gyermekeknél és serdülőknél.</w:t>
      </w:r>
    </w:p>
    <w:p w14:paraId="4E00EB9A" w14:textId="77777777" w:rsidR="00736F4A" w:rsidRDefault="00736F4A">
      <w:pPr>
        <w:spacing w:line="240" w:lineRule="auto"/>
        <w:ind w:left="7" w:right="9"/>
      </w:pPr>
    </w:p>
    <w:p w14:paraId="145B3F9A" w14:textId="77777777" w:rsidR="00736F4A" w:rsidRDefault="00100640">
      <w:pPr>
        <w:spacing w:line="240" w:lineRule="auto"/>
        <w:ind w:left="7" w:right="9"/>
      </w:pPr>
      <w:r>
        <w:t>A haemodialízis képes a dabigatrán eltávolítására. Felnőtt betegeknél további választható lehetőségek a friss teljes vér vagy a friss fagyasztott plazma, az alvadási faktor koncentrátum (aktivált vagy nem aktivált), a rekombináns VIIa-faktor vagy a thrombocyta-koncentrátum alkalmazása (lásd még 4.9 pont).</w:t>
      </w:r>
    </w:p>
    <w:p w14:paraId="0BA3A375" w14:textId="77777777" w:rsidR="00736F4A" w:rsidRDefault="00736F4A">
      <w:pPr>
        <w:spacing w:line="240" w:lineRule="auto"/>
        <w:ind w:left="7" w:right="9"/>
      </w:pPr>
    </w:p>
    <w:p w14:paraId="1FC26EF0" w14:textId="77777777" w:rsidR="00736F4A" w:rsidRDefault="00100640">
      <w:pPr>
        <w:spacing w:line="240" w:lineRule="auto"/>
        <w:ind w:left="7" w:right="9"/>
      </w:pPr>
      <w:r>
        <w:t>Klinikai vizsgálatokban a dabigatrán-etexilát esetén nagyobb arányban észleltek jelentős gastrointestinalis (GI) vérzést időseknél (≥ 75 év) a napi kétszer 150 mg dabigatrán-etexilát esetében. További kockázati tényezők (lásd 4. táblázat) többek között a thrombocyta-aggregáció-gátló gyógyszerek, pl. a klopidogrel és az acetilszalicilsav (ASA) vagy a nem-szteroid gyulladáscsökkentő szerek (NSAID) egyidejű alkalmazása, valamint az oesophagitis, gastritis vagy gastrooesophagealis reflux fennállása.</w:t>
      </w:r>
    </w:p>
    <w:p w14:paraId="01269FD8" w14:textId="77777777" w:rsidR="00736F4A" w:rsidRDefault="00736F4A">
      <w:pPr>
        <w:spacing w:line="240" w:lineRule="auto"/>
        <w:rPr>
          <w:lang w:val="hu-HU"/>
        </w:rPr>
      </w:pPr>
    </w:p>
    <w:p w14:paraId="41CECCDA" w14:textId="77777777" w:rsidR="00736F4A" w:rsidRDefault="00100640">
      <w:pPr>
        <w:spacing w:line="240" w:lineRule="auto"/>
        <w:ind w:left="7"/>
      </w:pPr>
      <w:r>
        <w:rPr>
          <w:i/>
          <w:u w:val="single" w:color="000000"/>
        </w:rPr>
        <w:t>Kockázati tényezők</w:t>
      </w:r>
    </w:p>
    <w:p w14:paraId="3595A78E" w14:textId="77777777" w:rsidR="00736F4A" w:rsidRDefault="00736F4A">
      <w:pPr>
        <w:spacing w:line="240" w:lineRule="auto"/>
        <w:ind w:left="7" w:right="3210"/>
      </w:pPr>
    </w:p>
    <w:p w14:paraId="4949C827" w14:textId="77777777" w:rsidR="00736F4A" w:rsidRDefault="00100640">
      <w:pPr>
        <w:spacing w:line="240" w:lineRule="auto"/>
        <w:ind w:left="7" w:right="3210"/>
      </w:pPr>
      <w:r>
        <w:t>A 4. táblázat összefoglalja a vérzésveszélyt fokozó tényezőket.</w:t>
      </w:r>
    </w:p>
    <w:p w14:paraId="2E906AA4" w14:textId="77777777" w:rsidR="00736F4A" w:rsidRDefault="00736F4A">
      <w:pPr>
        <w:spacing w:line="240" w:lineRule="auto"/>
        <w:rPr>
          <w:lang w:val="hu-HU"/>
        </w:rPr>
      </w:pPr>
    </w:p>
    <w:p w14:paraId="7557F3AF" w14:textId="77777777" w:rsidR="00736F4A" w:rsidRDefault="00100640">
      <w:pPr>
        <w:spacing w:line="240" w:lineRule="auto"/>
        <w:ind w:left="7" w:right="3210"/>
        <w:rPr>
          <w:b/>
        </w:rPr>
      </w:pPr>
      <w:r>
        <w:rPr>
          <w:b/>
        </w:rPr>
        <w:t>4. táblázat. A vérzésveszélyt fokozó tényezők</w:t>
      </w:r>
    </w:p>
    <w:p w14:paraId="4A2C862C" w14:textId="77777777" w:rsidR="00736F4A" w:rsidRDefault="00736F4A">
      <w:pPr>
        <w:tabs>
          <w:tab w:val="clear" w:pos="567"/>
        </w:tabs>
        <w:spacing w:line="240" w:lineRule="auto"/>
        <w:ind w:left="7" w:right="3210" w:hanging="10"/>
        <w:rPr>
          <w:color w:val="000000"/>
          <w:lang w:val="hu-HU" w:eastAsia="hu-HU"/>
        </w:rPr>
      </w:pPr>
    </w:p>
    <w:tbl>
      <w:tblPr>
        <w:tblW w:w="9072" w:type="dxa"/>
        <w:tblInd w:w="10" w:type="dxa"/>
        <w:tblCellMar>
          <w:top w:w="51" w:type="dxa"/>
          <w:right w:w="115" w:type="dxa"/>
        </w:tblCellMar>
        <w:tblLook w:val="04A0" w:firstRow="1" w:lastRow="0" w:firstColumn="1" w:lastColumn="0" w:noHBand="0" w:noVBand="1"/>
      </w:tblPr>
      <w:tblGrid>
        <w:gridCol w:w="4433"/>
        <w:gridCol w:w="4639"/>
      </w:tblGrid>
      <w:tr w:rsidR="00736F4A" w14:paraId="61692FFA" w14:textId="77777777">
        <w:trPr>
          <w:trHeight w:val="264"/>
        </w:trPr>
        <w:tc>
          <w:tcPr>
            <w:tcW w:w="4433" w:type="dxa"/>
            <w:tcBorders>
              <w:top w:val="single" w:sz="4" w:space="0" w:color="000000"/>
              <w:left w:val="single" w:sz="4" w:space="0" w:color="000000"/>
              <w:bottom w:val="single" w:sz="4" w:space="0" w:color="000000"/>
              <w:right w:val="single" w:sz="4" w:space="0" w:color="000000"/>
            </w:tcBorders>
          </w:tcPr>
          <w:p w14:paraId="29241ABB" w14:textId="77777777" w:rsidR="00736F4A" w:rsidRDefault="00736F4A">
            <w:pPr>
              <w:tabs>
                <w:tab w:val="clear" w:pos="567"/>
              </w:tabs>
              <w:spacing w:line="240" w:lineRule="auto"/>
              <w:rPr>
                <w:color w:val="000000"/>
                <w:lang w:val="hu-HU" w:eastAsia="hu-HU"/>
              </w:rPr>
            </w:pPr>
          </w:p>
        </w:tc>
        <w:tc>
          <w:tcPr>
            <w:tcW w:w="4639" w:type="dxa"/>
            <w:tcBorders>
              <w:top w:val="single" w:sz="4" w:space="0" w:color="000000"/>
              <w:left w:val="single" w:sz="4" w:space="0" w:color="000000"/>
              <w:bottom w:val="single" w:sz="4" w:space="0" w:color="000000"/>
              <w:right w:val="single" w:sz="4" w:space="0" w:color="000000"/>
            </w:tcBorders>
          </w:tcPr>
          <w:p w14:paraId="69223C1E" w14:textId="77777777" w:rsidR="00736F4A" w:rsidRDefault="00100640">
            <w:pPr>
              <w:tabs>
                <w:tab w:val="clear" w:pos="567"/>
              </w:tabs>
              <w:spacing w:line="240" w:lineRule="auto"/>
              <w:rPr>
                <w:color w:val="000000"/>
                <w:lang w:val="hu-HU" w:eastAsia="hu-HU"/>
              </w:rPr>
            </w:pPr>
            <w:r>
              <w:rPr>
                <w:color w:val="000000"/>
                <w:lang w:val="hu-HU" w:eastAsia="hu-HU"/>
              </w:rPr>
              <w:t>Kockázati tényező</w:t>
            </w:r>
          </w:p>
        </w:tc>
      </w:tr>
      <w:tr w:rsidR="00736F4A" w14:paraId="746C99B4" w14:textId="77777777">
        <w:trPr>
          <w:trHeight w:val="262"/>
        </w:trPr>
        <w:tc>
          <w:tcPr>
            <w:tcW w:w="4433" w:type="dxa"/>
            <w:tcBorders>
              <w:top w:val="single" w:sz="4" w:space="0" w:color="000000"/>
              <w:left w:val="single" w:sz="4" w:space="0" w:color="000000"/>
              <w:bottom w:val="single" w:sz="4" w:space="0" w:color="000000"/>
              <w:right w:val="single" w:sz="4" w:space="0" w:color="000000"/>
            </w:tcBorders>
          </w:tcPr>
          <w:p w14:paraId="1B6264F0" w14:textId="77777777" w:rsidR="00736F4A" w:rsidRDefault="00100640">
            <w:pPr>
              <w:tabs>
                <w:tab w:val="clear" w:pos="567"/>
              </w:tabs>
              <w:spacing w:line="240" w:lineRule="auto"/>
              <w:rPr>
                <w:color w:val="000000"/>
                <w:lang w:val="hu-HU" w:eastAsia="hu-HU"/>
              </w:rPr>
            </w:pPr>
            <w:r>
              <w:rPr>
                <w:color w:val="000000"/>
                <w:lang w:val="hu-HU" w:eastAsia="hu-HU"/>
              </w:rPr>
              <w:t>Farmakodinámiás és kinetikai tényezők</w:t>
            </w:r>
          </w:p>
        </w:tc>
        <w:tc>
          <w:tcPr>
            <w:tcW w:w="4639" w:type="dxa"/>
            <w:tcBorders>
              <w:top w:val="single" w:sz="4" w:space="0" w:color="000000"/>
              <w:left w:val="single" w:sz="4" w:space="0" w:color="000000"/>
              <w:bottom w:val="single" w:sz="4" w:space="0" w:color="000000"/>
              <w:right w:val="single" w:sz="4" w:space="0" w:color="000000"/>
            </w:tcBorders>
          </w:tcPr>
          <w:p w14:paraId="28C6F9DF" w14:textId="77777777" w:rsidR="00736F4A" w:rsidRDefault="00100640">
            <w:pPr>
              <w:tabs>
                <w:tab w:val="clear" w:pos="567"/>
              </w:tabs>
              <w:spacing w:line="240" w:lineRule="auto"/>
              <w:rPr>
                <w:color w:val="000000"/>
                <w:lang w:val="hu-HU" w:eastAsia="hu-HU"/>
              </w:rPr>
            </w:pPr>
            <w:r>
              <w:rPr>
                <w:color w:val="000000"/>
                <w:lang w:val="hu-HU" w:eastAsia="hu-HU"/>
              </w:rPr>
              <w:t>75 év vagy afeletti életkor</w:t>
            </w:r>
          </w:p>
        </w:tc>
      </w:tr>
      <w:tr w:rsidR="00736F4A" w14:paraId="39CA4055" w14:textId="77777777">
        <w:trPr>
          <w:trHeight w:val="2826"/>
        </w:trPr>
        <w:tc>
          <w:tcPr>
            <w:tcW w:w="4433" w:type="dxa"/>
            <w:tcBorders>
              <w:top w:val="single" w:sz="4" w:space="0" w:color="000000"/>
              <w:left w:val="single" w:sz="4" w:space="0" w:color="000000"/>
              <w:bottom w:val="single" w:sz="4" w:space="0" w:color="000000"/>
              <w:right w:val="single" w:sz="4" w:space="0" w:color="000000"/>
            </w:tcBorders>
          </w:tcPr>
          <w:p w14:paraId="0551895A" w14:textId="77777777" w:rsidR="00736F4A" w:rsidRDefault="00100640">
            <w:pPr>
              <w:tabs>
                <w:tab w:val="clear" w:pos="567"/>
              </w:tabs>
              <w:spacing w:line="240" w:lineRule="auto"/>
              <w:rPr>
                <w:color w:val="000000"/>
                <w:lang w:val="hu-HU" w:eastAsia="hu-HU"/>
              </w:rPr>
            </w:pPr>
            <w:r>
              <w:rPr>
                <w:color w:val="000000"/>
                <w:lang w:val="hu-HU" w:eastAsia="hu-HU"/>
              </w:rPr>
              <w:t>A dabigatrán plazmaszintjét emelő tényezők</w:t>
            </w:r>
          </w:p>
        </w:tc>
        <w:tc>
          <w:tcPr>
            <w:tcW w:w="4639" w:type="dxa"/>
            <w:tcBorders>
              <w:top w:val="single" w:sz="4" w:space="0" w:color="000000"/>
              <w:left w:val="single" w:sz="4" w:space="0" w:color="000000"/>
              <w:bottom w:val="single" w:sz="4" w:space="0" w:color="000000"/>
              <w:right w:val="single" w:sz="4" w:space="0" w:color="000000"/>
            </w:tcBorders>
          </w:tcPr>
          <w:p w14:paraId="240EF805" w14:textId="77777777" w:rsidR="00736F4A" w:rsidRDefault="00100640">
            <w:pPr>
              <w:spacing w:line="240" w:lineRule="auto"/>
              <w:rPr>
                <w:lang w:val="hu-HU"/>
              </w:rPr>
            </w:pPr>
            <w:r>
              <w:rPr>
                <w:u w:val="single" w:color="000000"/>
                <w:lang w:val="hu-HU"/>
              </w:rPr>
              <w:t>Jelentős:</w:t>
            </w:r>
          </w:p>
          <w:p w14:paraId="6D4DA5BD" w14:textId="77777777" w:rsidR="00736F4A" w:rsidRDefault="00100640">
            <w:pPr>
              <w:numPr>
                <w:ilvl w:val="0"/>
                <w:numId w:val="21"/>
              </w:numPr>
              <w:tabs>
                <w:tab w:val="clear" w:pos="567"/>
              </w:tabs>
              <w:spacing w:line="240" w:lineRule="auto"/>
              <w:ind w:hanging="566"/>
              <w:rPr>
                <w:lang w:val="hu-HU"/>
              </w:rPr>
            </w:pPr>
            <w:r>
              <w:rPr>
                <w:lang w:val="hu-HU"/>
              </w:rPr>
              <w:t>Felnőtt betegeknél közepesen súlyos fokú vesekárosodás (30</w:t>
            </w:r>
            <w:r>
              <w:rPr>
                <w:lang w:val="hu-HU"/>
              </w:rPr>
              <w:noBreakHyphen/>
              <w:t>50 ml/perc CrCl)</w:t>
            </w:r>
          </w:p>
          <w:p w14:paraId="56DC4044" w14:textId="77777777" w:rsidR="00736F4A" w:rsidRDefault="00100640">
            <w:pPr>
              <w:numPr>
                <w:ilvl w:val="0"/>
                <w:numId w:val="21"/>
              </w:numPr>
              <w:tabs>
                <w:tab w:val="clear" w:pos="567"/>
              </w:tabs>
              <w:spacing w:line="240" w:lineRule="auto"/>
              <w:ind w:hanging="566"/>
              <w:rPr>
                <w:lang w:val="hu-HU"/>
              </w:rPr>
            </w:pPr>
            <w:r>
              <w:rPr>
                <w:lang w:val="hu-HU"/>
              </w:rPr>
              <w:t>Erős P-gp-inhibitorok (lásd 4.3 és 4.5 pont)</w:t>
            </w:r>
          </w:p>
          <w:p w14:paraId="5A9A4D3D" w14:textId="77777777" w:rsidR="00736F4A" w:rsidRDefault="00100640">
            <w:pPr>
              <w:numPr>
                <w:ilvl w:val="0"/>
                <w:numId w:val="21"/>
              </w:numPr>
              <w:tabs>
                <w:tab w:val="clear" w:pos="567"/>
              </w:tabs>
              <w:spacing w:line="240" w:lineRule="auto"/>
              <w:ind w:hanging="566"/>
              <w:rPr>
                <w:lang w:val="hu-HU"/>
              </w:rPr>
            </w:pPr>
            <w:r>
              <w:rPr>
                <w:lang w:val="hu-HU"/>
              </w:rPr>
              <w:t>Egyidejű gyógyszerelés gyenge és közepesen erős P-gp-inhibitorokkal (pl. amiodaron, verapamil, kinidin és tikagrelor, lásd 4.5 pont)</w:t>
            </w:r>
          </w:p>
          <w:p w14:paraId="6C920383" w14:textId="77777777" w:rsidR="00736F4A" w:rsidRDefault="00736F4A">
            <w:pPr>
              <w:tabs>
                <w:tab w:val="clear" w:pos="567"/>
              </w:tabs>
              <w:spacing w:line="240" w:lineRule="auto"/>
              <w:rPr>
                <w:lang w:val="hu-HU"/>
              </w:rPr>
            </w:pPr>
          </w:p>
          <w:p w14:paraId="389D9713" w14:textId="77777777" w:rsidR="00736F4A" w:rsidRDefault="00100640">
            <w:pPr>
              <w:spacing w:line="240" w:lineRule="auto"/>
              <w:rPr>
                <w:lang w:val="hu-HU"/>
              </w:rPr>
            </w:pPr>
            <w:r>
              <w:rPr>
                <w:u w:val="single" w:color="000000"/>
                <w:lang w:val="hu-HU"/>
              </w:rPr>
              <w:t>Kisebb:</w:t>
            </w:r>
          </w:p>
          <w:p w14:paraId="10B98FB1" w14:textId="77777777" w:rsidR="00736F4A" w:rsidRDefault="00100640">
            <w:pPr>
              <w:numPr>
                <w:ilvl w:val="0"/>
                <w:numId w:val="21"/>
              </w:numPr>
              <w:tabs>
                <w:tab w:val="clear" w:pos="567"/>
              </w:tabs>
              <w:spacing w:after="15" w:line="240" w:lineRule="auto"/>
              <w:ind w:hanging="589"/>
              <w:rPr>
                <w:color w:val="000000"/>
                <w:lang w:val="hu-HU" w:eastAsia="hu-HU"/>
              </w:rPr>
            </w:pPr>
            <w:r>
              <w:rPr>
                <w:lang w:val="hu-HU"/>
              </w:rPr>
              <w:t>Alacsony testtömeg (&lt; 50 kg) felnőtt betegeknél</w:t>
            </w:r>
          </w:p>
        </w:tc>
      </w:tr>
      <w:tr w:rsidR="00736F4A" w14:paraId="687E16FC" w14:textId="77777777">
        <w:trPr>
          <w:trHeight w:val="1337"/>
        </w:trPr>
        <w:tc>
          <w:tcPr>
            <w:tcW w:w="4433" w:type="dxa"/>
            <w:tcBorders>
              <w:top w:val="single" w:sz="4" w:space="0" w:color="000000"/>
              <w:left w:val="single" w:sz="4" w:space="0" w:color="000000"/>
              <w:bottom w:val="single" w:sz="4" w:space="0" w:color="000000"/>
              <w:right w:val="single" w:sz="4" w:space="0" w:color="000000"/>
            </w:tcBorders>
          </w:tcPr>
          <w:p w14:paraId="1F12DE37" w14:textId="77777777" w:rsidR="00736F4A" w:rsidRDefault="00100640">
            <w:pPr>
              <w:tabs>
                <w:tab w:val="clear" w:pos="567"/>
              </w:tabs>
              <w:spacing w:line="240" w:lineRule="auto"/>
              <w:rPr>
                <w:color w:val="000000"/>
                <w:lang w:val="hu-HU" w:eastAsia="hu-HU"/>
              </w:rPr>
            </w:pPr>
            <w:r>
              <w:rPr>
                <w:color w:val="000000"/>
                <w:lang w:val="hu-HU" w:eastAsia="hu-HU"/>
              </w:rPr>
              <w:t>Farmakodinámiás interakciók (lásd 4.5 pont)</w:t>
            </w:r>
          </w:p>
        </w:tc>
        <w:tc>
          <w:tcPr>
            <w:tcW w:w="4639" w:type="dxa"/>
            <w:tcBorders>
              <w:top w:val="single" w:sz="4" w:space="0" w:color="000000"/>
              <w:left w:val="single" w:sz="4" w:space="0" w:color="000000"/>
              <w:bottom w:val="single" w:sz="4" w:space="0" w:color="000000"/>
              <w:right w:val="single" w:sz="4" w:space="0" w:color="000000"/>
            </w:tcBorders>
          </w:tcPr>
          <w:p w14:paraId="31E39596" w14:textId="77777777" w:rsidR="00736F4A" w:rsidRDefault="00100640">
            <w:pPr>
              <w:numPr>
                <w:ilvl w:val="0"/>
                <w:numId w:val="22"/>
              </w:numPr>
              <w:tabs>
                <w:tab w:val="clear" w:pos="567"/>
              </w:tabs>
              <w:spacing w:after="15" w:line="240" w:lineRule="auto"/>
              <w:ind w:left="-23"/>
              <w:rPr>
                <w:color w:val="000000"/>
                <w:lang w:val="hu-HU" w:eastAsia="hu-HU"/>
              </w:rPr>
            </w:pPr>
            <w:r>
              <w:rPr>
                <w:color w:val="000000"/>
                <w:lang w:val="hu-HU" w:eastAsia="hu-HU"/>
              </w:rPr>
              <w:t>ASA és egyéb thrombocyta-aggregáció-gátló gyógyszerek, pl. a klopidogrel</w:t>
            </w:r>
          </w:p>
          <w:p w14:paraId="02EE586A" w14:textId="77777777" w:rsidR="00736F4A" w:rsidRDefault="00100640">
            <w:pPr>
              <w:numPr>
                <w:ilvl w:val="0"/>
                <w:numId w:val="22"/>
              </w:numPr>
              <w:tabs>
                <w:tab w:val="clear" w:pos="567"/>
              </w:tabs>
              <w:spacing w:after="15" w:line="240" w:lineRule="auto"/>
              <w:ind w:left="-23"/>
              <w:rPr>
                <w:color w:val="000000"/>
                <w:lang w:val="hu-HU" w:eastAsia="hu-HU"/>
              </w:rPr>
            </w:pPr>
            <w:r>
              <w:rPr>
                <w:color w:val="000000"/>
                <w:lang w:val="hu-HU" w:eastAsia="hu-HU"/>
              </w:rPr>
              <w:t>NSAID-ok</w:t>
            </w:r>
          </w:p>
          <w:p w14:paraId="0CC28179" w14:textId="77777777" w:rsidR="00736F4A" w:rsidRDefault="00100640">
            <w:pPr>
              <w:numPr>
                <w:ilvl w:val="0"/>
                <w:numId w:val="22"/>
              </w:numPr>
              <w:tabs>
                <w:tab w:val="clear" w:pos="567"/>
              </w:tabs>
              <w:spacing w:after="15" w:line="240" w:lineRule="auto"/>
              <w:ind w:left="-23"/>
              <w:rPr>
                <w:color w:val="000000"/>
                <w:lang w:val="hu-HU" w:eastAsia="hu-HU"/>
              </w:rPr>
            </w:pPr>
            <w:r>
              <w:rPr>
                <w:color w:val="000000"/>
                <w:lang w:val="hu-HU" w:eastAsia="hu-HU"/>
              </w:rPr>
              <w:t>SSRI-k vagy SNRI-k</w:t>
            </w:r>
          </w:p>
          <w:p w14:paraId="1CEDC3D2" w14:textId="77777777" w:rsidR="00736F4A" w:rsidRDefault="00100640">
            <w:pPr>
              <w:numPr>
                <w:ilvl w:val="0"/>
                <w:numId w:val="22"/>
              </w:numPr>
              <w:tabs>
                <w:tab w:val="clear" w:pos="567"/>
              </w:tabs>
              <w:spacing w:after="15" w:line="240" w:lineRule="auto"/>
              <w:ind w:left="-23"/>
              <w:rPr>
                <w:color w:val="000000"/>
                <w:lang w:val="hu-HU" w:eastAsia="hu-HU"/>
              </w:rPr>
            </w:pPr>
            <w:r>
              <w:rPr>
                <w:color w:val="000000"/>
                <w:lang w:val="hu-HU" w:eastAsia="hu-HU"/>
              </w:rPr>
              <w:t xml:space="preserve">Egyéb, a haemostasist rontó gyógyszerek </w:t>
            </w:r>
          </w:p>
        </w:tc>
      </w:tr>
      <w:tr w:rsidR="00736F4A" w14:paraId="3D4F80E0" w14:textId="77777777">
        <w:trPr>
          <w:trHeight w:val="2366"/>
        </w:trPr>
        <w:tc>
          <w:tcPr>
            <w:tcW w:w="4433" w:type="dxa"/>
            <w:tcBorders>
              <w:top w:val="single" w:sz="4" w:space="0" w:color="000000"/>
              <w:left w:val="single" w:sz="4" w:space="0" w:color="000000"/>
              <w:bottom w:val="single" w:sz="4" w:space="0" w:color="000000"/>
              <w:right w:val="single" w:sz="4" w:space="0" w:color="000000"/>
            </w:tcBorders>
          </w:tcPr>
          <w:p w14:paraId="4844ABFB" w14:textId="77777777" w:rsidR="00736F4A" w:rsidRDefault="00100640">
            <w:pPr>
              <w:tabs>
                <w:tab w:val="clear" w:pos="567"/>
              </w:tabs>
              <w:spacing w:line="240" w:lineRule="auto"/>
              <w:rPr>
                <w:color w:val="000000"/>
                <w:lang w:val="hu-HU" w:eastAsia="hu-HU"/>
              </w:rPr>
            </w:pPr>
            <w:r>
              <w:rPr>
                <w:color w:val="000000"/>
                <w:lang w:val="hu-HU" w:eastAsia="hu-HU"/>
              </w:rPr>
              <w:t>Speciális vérzésveszéllyel járó betegségek / beavatkozások</w:t>
            </w:r>
          </w:p>
        </w:tc>
        <w:tc>
          <w:tcPr>
            <w:tcW w:w="4639" w:type="dxa"/>
            <w:tcBorders>
              <w:top w:val="single" w:sz="4" w:space="0" w:color="000000"/>
              <w:left w:val="single" w:sz="4" w:space="0" w:color="000000"/>
              <w:bottom w:val="single" w:sz="4" w:space="0" w:color="000000"/>
              <w:right w:val="single" w:sz="4" w:space="0" w:color="000000"/>
            </w:tcBorders>
          </w:tcPr>
          <w:p w14:paraId="0D86AA08" w14:textId="77777777" w:rsidR="00736F4A" w:rsidRDefault="00100640">
            <w:pPr>
              <w:numPr>
                <w:ilvl w:val="0"/>
                <w:numId w:val="23"/>
              </w:numPr>
              <w:tabs>
                <w:tab w:val="clear" w:pos="567"/>
              </w:tabs>
              <w:spacing w:after="15" w:line="240" w:lineRule="auto"/>
              <w:ind w:left="-23"/>
              <w:rPr>
                <w:color w:val="000000"/>
                <w:lang w:val="hu-HU" w:eastAsia="hu-HU"/>
              </w:rPr>
            </w:pPr>
            <w:r>
              <w:rPr>
                <w:color w:val="000000"/>
                <w:lang w:val="hu-HU" w:eastAsia="hu-HU"/>
              </w:rPr>
              <w:t>Veleszületett vagy szerzett véralvadási zavarok</w:t>
            </w:r>
          </w:p>
          <w:p w14:paraId="0235B353" w14:textId="77777777" w:rsidR="00736F4A" w:rsidRDefault="00100640">
            <w:pPr>
              <w:numPr>
                <w:ilvl w:val="0"/>
                <w:numId w:val="23"/>
              </w:numPr>
              <w:tabs>
                <w:tab w:val="clear" w:pos="567"/>
              </w:tabs>
              <w:spacing w:after="15" w:line="240" w:lineRule="auto"/>
              <w:ind w:left="-23"/>
              <w:rPr>
                <w:color w:val="000000"/>
                <w:lang w:val="hu-HU" w:eastAsia="hu-HU"/>
              </w:rPr>
            </w:pPr>
            <w:r>
              <w:rPr>
                <w:color w:val="000000"/>
                <w:lang w:val="hu-HU" w:eastAsia="hu-HU"/>
              </w:rPr>
              <w:t>Thrombocytopenia vagy funkcionális thrombocyta-károsodás</w:t>
            </w:r>
          </w:p>
          <w:p w14:paraId="612D3664" w14:textId="77777777" w:rsidR="00736F4A" w:rsidRDefault="00100640">
            <w:pPr>
              <w:numPr>
                <w:ilvl w:val="0"/>
                <w:numId w:val="23"/>
              </w:numPr>
              <w:tabs>
                <w:tab w:val="clear" w:pos="567"/>
              </w:tabs>
              <w:spacing w:after="15" w:line="240" w:lineRule="auto"/>
              <w:ind w:left="-23"/>
              <w:rPr>
                <w:color w:val="000000"/>
                <w:lang w:val="hu-HU" w:eastAsia="hu-HU"/>
              </w:rPr>
            </w:pPr>
            <w:r>
              <w:rPr>
                <w:color w:val="000000"/>
                <w:lang w:val="hu-HU" w:eastAsia="hu-HU"/>
              </w:rPr>
              <w:t>Közelmúltban végzett biopszia vagy jelentős trauma</w:t>
            </w:r>
          </w:p>
          <w:p w14:paraId="1E8C7FDC" w14:textId="77777777" w:rsidR="00736F4A" w:rsidRDefault="00100640">
            <w:pPr>
              <w:numPr>
                <w:ilvl w:val="0"/>
                <w:numId w:val="23"/>
              </w:numPr>
              <w:tabs>
                <w:tab w:val="clear" w:pos="567"/>
              </w:tabs>
              <w:spacing w:after="15" w:line="240" w:lineRule="auto"/>
              <w:ind w:left="-23"/>
              <w:rPr>
                <w:color w:val="000000"/>
                <w:lang w:val="hu-HU" w:eastAsia="hu-HU"/>
              </w:rPr>
            </w:pPr>
            <w:r>
              <w:rPr>
                <w:color w:val="000000"/>
                <w:lang w:val="hu-HU" w:eastAsia="hu-HU"/>
              </w:rPr>
              <w:t>Bakteriális endocarditis</w:t>
            </w:r>
          </w:p>
          <w:p w14:paraId="0F11EA20" w14:textId="77777777" w:rsidR="00736F4A" w:rsidRDefault="00100640">
            <w:pPr>
              <w:numPr>
                <w:ilvl w:val="0"/>
                <w:numId w:val="23"/>
              </w:numPr>
              <w:tabs>
                <w:tab w:val="clear" w:pos="567"/>
              </w:tabs>
              <w:spacing w:after="15" w:line="240" w:lineRule="auto"/>
              <w:ind w:left="686" w:hanging="709"/>
              <w:rPr>
                <w:color w:val="000000"/>
                <w:lang w:val="hu-HU" w:eastAsia="hu-HU"/>
              </w:rPr>
            </w:pPr>
            <w:r>
              <w:rPr>
                <w:color w:val="000000"/>
                <w:lang w:val="hu-HU" w:eastAsia="hu-HU"/>
              </w:rPr>
              <w:t>Oesophagitis, gastritis vagy gastrooesophagealis reflux</w:t>
            </w:r>
          </w:p>
        </w:tc>
      </w:tr>
    </w:tbl>
    <w:p w14:paraId="2E0FF482" w14:textId="77777777" w:rsidR="00736F4A" w:rsidRDefault="00736F4A">
      <w:pPr>
        <w:spacing w:line="240" w:lineRule="auto"/>
        <w:rPr>
          <w:lang w:val="hu-HU"/>
        </w:rPr>
      </w:pPr>
    </w:p>
    <w:p w14:paraId="3523DE9E" w14:textId="77777777" w:rsidR="00736F4A" w:rsidRDefault="00100640">
      <w:pPr>
        <w:spacing w:line="240" w:lineRule="auto"/>
        <w:ind w:left="7" w:right="9"/>
      </w:pPr>
      <w:r>
        <w:t>50 kg-nál kisebb testtömegű felnőtt betegekre vonatkozóan kevés adat áll rendelkezésre (lásd 5.2 pont).</w:t>
      </w:r>
    </w:p>
    <w:p w14:paraId="3C202080" w14:textId="77777777" w:rsidR="00736F4A" w:rsidRDefault="00736F4A">
      <w:pPr>
        <w:spacing w:line="240" w:lineRule="auto"/>
        <w:ind w:left="7" w:right="9"/>
      </w:pPr>
    </w:p>
    <w:p w14:paraId="378BA4D1" w14:textId="77777777" w:rsidR="00736F4A" w:rsidRDefault="00100640">
      <w:pPr>
        <w:spacing w:line="240" w:lineRule="auto"/>
        <w:ind w:left="7" w:right="9"/>
      </w:pPr>
      <w:r>
        <w:t>A dabigatrán-etexilát és P‑gp-inhibitorok együttes alkalmazását nem vizsgálták gyermekeknél és serdülőknél, azonban esetükben is fokozódhat a vérzés kockázata (lásd 4.5 pont).</w:t>
      </w:r>
    </w:p>
    <w:p w14:paraId="033EC95C" w14:textId="77777777" w:rsidR="00736F4A" w:rsidRDefault="00736F4A">
      <w:pPr>
        <w:spacing w:line="240" w:lineRule="auto"/>
        <w:rPr>
          <w:lang w:val="hu-HU"/>
        </w:rPr>
      </w:pPr>
    </w:p>
    <w:p w14:paraId="1ABF8353" w14:textId="77777777" w:rsidR="00736F4A" w:rsidRDefault="00100640">
      <w:pPr>
        <w:spacing w:line="240" w:lineRule="auto"/>
        <w:ind w:left="7"/>
      </w:pPr>
      <w:r>
        <w:rPr>
          <w:i/>
          <w:u w:val="single" w:color="000000"/>
        </w:rPr>
        <w:t>Óvintézkedések és a vérzésveszély kezelése</w:t>
      </w:r>
    </w:p>
    <w:p w14:paraId="401DC3C6" w14:textId="77777777" w:rsidR="00736F4A" w:rsidRDefault="00736F4A">
      <w:pPr>
        <w:spacing w:line="240" w:lineRule="auto"/>
        <w:ind w:left="7" w:right="9"/>
      </w:pPr>
    </w:p>
    <w:p w14:paraId="50EC4B62" w14:textId="77777777" w:rsidR="00736F4A" w:rsidRDefault="00100640">
      <w:pPr>
        <w:spacing w:line="240" w:lineRule="auto"/>
        <w:ind w:left="7" w:right="9"/>
      </w:pPr>
      <w:r>
        <w:t>A vérzéses szövődmények kezelését lásd még a 4.9 pontban.</w:t>
      </w:r>
    </w:p>
    <w:p w14:paraId="1414E13F" w14:textId="77777777" w:rsidR="00736F4A" w:rsidRDefault="00736F4A">
      <w:pPr>
        <w:spacing w:line="240" w:lineRule="auto"/>
        <w:ind w:left="7" w:right="9"/>
      </w:pPr>
    </w:p>
    <w:p w14:paraId="0011DDEC" w14:textId="77777777" w:rsidR="00736F4A" w:rsidRDefault="00100640">
      <w:pPr>
        <w:pStyle w:val="Szvegtrzs"/>
        <w:widowControl w:val="0"/>
        <w:kinsoku w:val="0"/>
        <w:overflowPunct w:val="0"/>
        <w:ind w:right="0"/>
        <w:rPr>
          <w:i/>
          <w:iCs/>
          <w:color w:val="000000"/>
          <w:szCs w:val="22"/>
        </w:rPr>
      </w:pPr>
      <w:r>
        <w:rPr>
          <w:rFonts w:ascii="TimesNewRoman,Italic" w:hAnsi="TimesNewRoman,Italic" w:cs="TimesNewRoman,Italic"/>
          <w:i/>
          <w:iCs/>
          <w:lang w:val="hu-HU" w:eastAsia="en-GB"/>
        </w:rPr>
        <w:t>Előny/kockázat arány mérlegelése</w:t>
      </w:r>
    </w:p>
    <w:p w14:paraId="487B4468" w14:textId="77777777" w:rsidR="00736F4A" w:rsidRDefault="00736F4A">
      <w:pPr>
        <w:spacing w:line="240" w:lineRule="auto"/>
        <w:ind w:left="7" w:right="9"/>
      </w:pPr>
    </w:p>
    <w:p w14:paraId="3BFC20ED" w14:textId="77777777" w:rsidR="00736F4A" w:rsidRDefault="00100640">
      <w:pPr>
        <w:spacing w:line="240" w:lineRule="auto"/>
        <w:ind w:left="7" w:right="9"/>
      </w:pPr>
      <w:r>
        <w:t>Olyan károsodások, betegségek, eljárások és/vagy gyógyszeres kezelés (pl. NSAID-ok, thrombocyta-aggregáció-gátlók, SSRI-k és SNRI-k, lásd 4.5 pont) esetén, amelyek jelentős mértékben fokozzák a major vérzés kockázatát, az előny-kockázat arány gondos mérlegelésére van szükség. A dabigatrán-etexilát csak akkor adható, ha az előny felülmúlja a vérzési kockázatokat.</w:t>
      </w:r>
    </w:p>
    <w:p w14:paraId="5287EEBA" w14:textId="77777777" w:rsidR="00736F4A" w:rsidRDefault="00736F4A">
      <w:pPr>
        <w:spacing w:line="240" w:lineRule="auto"/>
        <w:ind w:left="7" w:right="9"/>
      </w:pPr>
    </w:p>
    <w:p w14:paraId="43DE2C1D" w14:textId="77777777" w:rsidR="00736F4A" w:rsidRDefault="00100640">
      <w:pPr>
        <w:spacing w:line="240" w:lineRule="auto"/>
        <w:ind w:left="7" w:right="9"/>
      </w:pPr>
      <w:r>
        <w:t xml:space="preserve">A kockázati tényezőkkel rendelkező gyermekekről és serdülőkről – beleértve az aktív meningitisben, encephalitisben és intracranialis abscessusban szenvedő betegeket (lásd 5.1 pont) – csak korlátozott </w:t>
      </w:r>
      <w:r>
        <w:lastRenderedPageBreak/>
        <w:t>klinikai adat érhető el. Ezeknek a betegeknek a dabigatrán-etexilát csak akkor adható, ha a várt előny felülmúlja a vérzési kockázatokat.</w:t>
      </w:r>
    </w:p>
    <w:p w14:paraId="3D4F2682" w14:textId="77777777" w:rsidR="00736F4A" w:rsidRDefault="00736F4A">
      <w:pPr>
        <w:spacing w:line="240" w:lineRule="auto"/>
        <w:rPr>
          <w:lang w:val="hu-HU"/>
        </w:rPr>
      </w:pPr>
    </w:p>
    <w:p w14:paraId="20851821" w14:textId="77777777" w:rsidR="00736F4A" w:rsidRDefault="00100640">
      <w:pPr>
        <w:spacing w:line="240" w:lineRule="auto"/>
        <w:ind w:left="7"/>
      </w:pPr>
      <w:r>
        <w:rPr>
          <w:i/>
        </w:rPr>
        <w:t>Szoros klinikai megfigyelés</w:t>
      </w:r>
    </w:p>
    <w:p w14:paraId="2CFB67BB" w14:textId="77777777" w:rsidR="00736F4A" w:rsidRDefault="00736F4A">
      <w:pPr>
        <w:spacing w:line="240" w:lineRule="auto"/>
        <w:ind w:left="7" w:right="9"/>
      </w:pPr>
    </w:p>
    <w:p w14:paraId="43C73E2F" w14:textId="77777777" w:rsidR="00736F4A" w:rsidRDefault="00100640">
      <w:pPr>
        <w:spacing w:line="240" w:lineRule="auto"/>
        <w:ind w:left="7" w:right="9"/>
      </w:pPr>
      <w:r>
        <w:t xml:space="preserve">A vérzés vagy anaemia jeleinek </w:t>
      </w:r>
      <w:r>
        <w:rPr>
          <w:lang w:val="hu-HU"/>
        </w:rPr>
        <w:t xml:space="preserve">észlelése érdekében a beteg </w:t>
      </w:r>
      <w:r>
        <w:t>szoros megfigyelése javasolt a teljes kezelési időszakban, különösen a kockázati tényezők együttes fennállása esetén (lásd a fenti 4. táblázat). Fokozott figyelem szükséges a dabigatrán-etexilát, illetve a verapamil, az amiodaron, a kinidin vagy a klaritromicin (P-gp-inhibitorok) egyidejű alkalmazásakor, különösen vérzés esetén, és elsősorban a vesekárosodásban szenvedő betegeknél (lásd 4.5 pont).</w:t>
      </w:r>
    </w:p>
    <w:p w14:paraId="4DA97554" w14:textId="77777777" w:rsidR="00736F4A" w:rsidRDefault="00100640">
      <w:pPr>
        <w:spacing w:line="240" w:lineRule="auto"/>
        <w:ind w:left="7" w:right="9"/>
      </w:pPr>
      <w:r>
        <w:t xml:space="preserve">A vérzés jeleinek </w:t>
      </w:r>
      <w:r>
        <w:rPr>
          <w:lang w:val="hu-HU"/>
        </w:rPr>
        <w:t xml:space="preserve">észlelése érdekében a beteg </w:t>
      </w:r>
      <w:r>
        <w:t>szoros megfigyelése javasolt az NSAID-okkal egyidejűleg kezelt betegek esetében (lásd 4.5 pont).</w:t>
      </w:r>
    </w:p>
    <w:p w14:paraId="7906F2B3" w14:textId="77777777" w:rsidR="00736F4A" w:rsidRDefault="00736F4A">
      <w:pPr>
        <w:spacing w:line="240" w:lineRule="auto"/>
        <w:rPr>
          <w:lang w:val="hu-HU"/>
        </w:rPr>
      </w:pPr>
    </w:p>
    <w:p w14:paraId="1A99BF68" w14:textId="77777777" w:rsidR="00736F4A" w:rsidRDefault="00100640">
      <w:pPr>
        <w:spacing w:line="240" w:lineRule="auto"/>
        <w:ind w:left="7"/>
      </w:pPr>
      <w:r>
        <w:rPr>
          <w:i/>
        </w:rPr>
        <w:t>A dabigatrán-etexilát-kezelés leállítása</w:t>
      </w:r>
    </w:p>
    <w:p w14:paraId="1750AE5C" w14:textId="77777777" w:rsidR="00736F4A" w:rsidRDefault="00736F4A">
      <w:pPr>
        <w:spacing w:line="240" w:lineRule="auto"/>
        <w:ind w:left="7" w:right="9"/>
      </w:pPr>
    </w:p>
    <w:p w14:paraId="0D3DAE08" w14:textId="77777777" w:rsidR="00736F4A" w:rsidRDefault="00100640">
      <w:pPr>
        <w:spacing w:line="240" w:lineRule="auto"/>
        <w:ind w:left="7" w:right="9"/>
      </w:pPr>
      <w:r>
        <w:t>Akut veseelégtelenség fellépése esetén a dabigatrán-etexilát-kezelést le kell állítani (lásd 4.3 pont).</w:t>
      </w:r>
    </w:p>
    <w:p w14:paraId="124A1BA3" w14:textId="77777777" w:rsidR="00736F4A" w:rsidRDefault="00736F4A">
      <w:pPr>
        <w:spacing w:line="240" w:lineRule="auto"/>
        <w:ind w:left="7" w:right="9"/>
      </w:pPr>
    </w:p>
    <w:p w14:paraId="4012EE91" w14:textId="77777777" w:rsidR="00736F4A" w:rsidRDefault="00100640">
      <w:pPr>
        <w:spacing w:line="240" w:lineRule="auto"/>
        <w:ind w:left="7" w:right="9"/>
      </w:pPr>
      <w:r>
        <w:t>Súlyos vérzés jelentkezése esetén a kezelést le kell állítani, meg kell keresni a vérzés forrását, és megfontolandó egy specifikus antidótum (idarucizumab) alkalmazása felnőtt betegeknél. Az idarucizumab hatásosságát és biztonságosságát nem határozták meg a gyermekeknél és serdülőknél. A haemodialízis képes a dabigatrán eltávolítására.</w:t>
      </w:r>
    </w:p>
    <w:p w14:paraId="31570CEA" w14:textId="77777777" w:rsidR="00736F4A" w:rsidRDefault="00736F4A">
      <w:pPr>
        <w:spacing w:line="240" w:lineRule="auto"/>
        <w:rPr>
          <w:lang w:val="hu-HU"/>
        </w:rPr>
      </w:pPr>
    </w:p>
    <w:p w14:paraId="7397377C" w14:textId="77777777" w:rsidR="00736F4A" w:rsidRDefault="00100640">
      <w:pPr>
        <w:spacing w:line="240" w:lineRule="auto"/>
        <w:ind w:left="7"/>
      </w:pPr>
      <w:r>
        <w:rPr>
          <w:i/>
        </w:rPr>
        <w:t>Protonpumpa-inhibitorok alkalmazása</w:t>
      </w:r>
    </w:p>
    <w:p w14:paraId="0B387F05" w14:textId="77777777" w:rsidR="00736F4A" w:rsidRDefault="00736F4A">
      <w:pPr>
        <w:spacing w:line="240" w:lineRule="auto"/>
        <w:ind w:left="7" w:right="9"/>
      </w:pPr>
    </w:p>
    <w:p w14:paraId="116D96BF" w14:textId="77777777" w:rsidR="00736F4A" w:rsidRDefault="00100640">
      <w:pPr>
        <w:spacing w:line="240" w:lineRule="auto"/>
        <w:ind w:left="7" w:right="9"/>
      </w:pPr>
      <w:r>
        <w:t>A gastrointestinalis vérzés megelőzésére mérlegelhető egy protonpumpa-inhibitor (PPI) adása. Gyermekeknél és serdülőknél a protonpumpa-inhibitorokra vonatkozó helyi javaslatokat kell követni.</w:t>
      </w:r>
    </w:p>
    <w:p w14:paraId="343CCC25" w14:textId="77777777" w:rsidR="00736F4A" w:rsidRDefault="00736F4A">
      <w:pPr>
        <w:spacing w:line="240" w:lineRule="auto"/>
        <w:rPr>
          <w:lang w:val="hu-HU"/>
        </w:rPr>
      </w:pPr>
    </w:p>
    <w:p w14:paraId="1B70681B" w14:textId="77777777" w:rsidR="00736F4A" w:rsidRDefault="00100640">
      <w:pPr>
        <w:spacing w:line="240" w:lineRule="auto"/>
        <w:ind w:left="7"/>
      </w:pPr>
      <w:r>
        <w:rPr>
          <w:i/>
        </w:rPr>
        <w:t>Laboratóriumi koagulációs paraméterek</w:t>
      </w:r>
    </w:p>
    <w:p w14:paraId="4256A448" w14:textId="77777777" w:rsidR="00736F4A" w:rsidRDefault="00736F4A">
      <w:pPr>
        <w:spacing w:line="240" w:lineRule="auto"/>
        <w:ind w:left="7" w:right="9"/>
      </w:pPr>
    </w:p>
    <w:p w14:paraId="10E93B25" w14:textId="77777777" w:rsidR="00736F4A" w:rsidRDefault="00100640">
      <w:pPr>
        <w:spacing w:line="240" w:lineRule="auto"/>
        <w:ind w:left="7" w:right="9"/>
      </w:pPr>
      <w:r>
        <w:t>Noha a gyógyszer általánosságban nem teszi szükségessé a rutinszerű antikoaguláns monitorozást, a további kockázati tényezők jelenléte esetén a dabigatránnal összefüggő alvadásgátlás mérése segíthet észelelni a túlzott dabigatrán-expozíciót.</w:t>
      </w:r>
    </w:p>
    <w:p w14:paraId="5E8EBDE0" w14:textId="77777777" w:rsidR="00736F4A" w:rsidRDefault="00100640">
      <w:pPr>
        <w:spacing w:line="240" w:lineRule="auto"/>
        <w:ind w:left="7" w:right="9"/>
      </w:pPr>
      <w:r>
        <w:t>Hasznos információval szolgálhat a hígított thrombin idő (dTT, hTI), az ekarin alvadási idő (Ecarin Clotting Time: ECT) és az aktivált parciális thromboplastin-idő (aPTT), de az eredményeket körültekintéssel kell értékelni a vizsgálatok közötti variabilitás miatt (lásd 5.1 pont). A nemzetközi normalizált arány (INR) mérése a dabigatrán-etexilátot kapó betegeknél nem megbízható, és fals pozitív INR-emelkedésről számoltak be. Ezért INR-vizsgálatot nem szabad végezni.</w:t>
      </w:r>
    </w:p>
    <w:p w14:paraId="25172680" w14:textId="77777777" w:rsidR="00736F4A" w:rsidRDefault="00736F4A">
      <w:pPr>
        <w:spacing w:line="240" w:lineRule="auto"/>
        <w:ind w:left="7" w:right="9"/>
      </w:pPr>
    </w:p>
    <w:p w14:paraId="042CB41A" w14:textId="77777777" w:rsidR="00736F4A" w:rsidRDefault="00100640">
      <w:pPr>
        <w:spacing w:line="240" w:lineRule="auto"/>
        <w:ind w:left="7" w:right="9"/>
      </w:pPr>
      <w:r>
        <w:t>Az 5. táblázat a véralvadási vizsgálatoknak azokat a mélyponti küszöbértékeit mutatja felnőtt betegeknél, amelyek fokozott vérzésveszélyt jelezhetnek. A gyermekekre és serdülőkre vonatkozó küszöbértékek nem ismertek (lásd 5.1 pont).</w:t>
      </w:r>
    </w:p>
    <w:p w14:paraId="4205F461" w14:textId="77777777" w:rsidR="00736F4A" w:rsidRDefault="00736F4A">
      <w:pPr>
        <w:spacing w:line="240" w:lineRule="auto"/>
        <w:rPr>
          <w:lang w:val="hu-HU"/>
        </w:rPr>
      </w:pPr>
    </w:p>
    <w:p w14:paraId="797D0A25" w14:textId="77777777" w:rsidR="00736F4A" w:rsidRDefault="00100640">
      <w:pPr>
        <w:spacing w:line="240" w:lineRule="auto"/>
        <w:rPr>
          <w:lang w:val="hu-HU"/>
        </w:rPr>
      </w:pPr>
      <w:r>
        <w:rPr>
          <w:b/>
        </w:rPr>
        <w:t>5. táblázat. A véralvadási vizsgálatok mélyponti küszöbértékei felnőtt betegeknél, amelyek fokozott vérzésveszélyt jelenthetnek</w:t>
      </w:r>
    </w:p>
    <w:p w14:paraId="4CFB36A2" w14:textId="77777777" w:rsidR="00736F4A" w:rsidRDefault="00736F4A">
      <w:pPr>
        <w:spacing w:line="240" w:lineRule="auto"/>
        <w:rPr>
          <w:lang w:val="hu-HU"/>
        </w:rPr>
      </w:pPr>
    </w:p>
    <w:tbl>
      <w:tblPr>
        <w:tblW w:w="9072" w:type="dxa"/>
        <w:tblInd w:w="-2" w:type="dxa"/>
        <w:tblCellMar>
          <w:top w:w="51" w:type="dxa"/>
          <w:right w:w="115" w:type="dxa"/>
        </w:tblCellMar>
        <w:tblLook w:val="04A0" w:firstRow="1" w:lastRow="0" w:firstColumn="1" w:lastColumn="0" w:noHBand="0" w:noVBand="1"/>
      </w:tblPr>
      <w:tblGrid>
        <w:gridCol w:w="4858"/>
        <w:gridCol w:w="4214"/>
      </w:tblGrid>
      <w:tr w:rsidR="00736F4A" w14:paraId="67C90A0B" w14:textId="77777777">
        <w:trPr>
          <w:trHeight w:val="264"/>
        </w:trPr>
        <w:tc>
          <w:tcPr>
            <w:tcW w:w="4858" w:type="dxa"/>
            <w:tcBorders>
              <w:top w:val="single" w:sz="4" w:space="0" w:color="000000"/>
              <w:left w:val="single" w:sz="4" w:space="0" w:color="000000"/>
              <w:bottom w:val="single" w:sz="4" w:space="0" w:color="000000"/>
              <w:right w:val="single" w:sz="4" w:space="0" w:color="000000"/>
            </w:tcBorders>
          </w:tcPr>
          <w:p w14:paraId="5C6BD52B" w14:textId="77777777" w:rsidR="00736F4A" w:rsidRDefault="00100640">
            <w:pPr>
              <w:rPr>
                <w:color w:val="000000"/>
                <w:lang w:val="hu-HU"/>
              </w:rPr>
            </w:pPr>
            <w:r>
              <w:rPr>
                <w:color w:val="000000"/>
                <w:lang w:val="hu-HU"/>
              </w:rPr>
              <w:t>Vizsgálat (mélyponti érték)</w:t>
            </w:r>
          </w:p>
        </w:tc>
        <w:tc>
          <w:tcPr>
            <w:tcW w:w="4214" w:type="dxa"/>
            <w:tcBorders>
              <w:top w:val="single" w:sz="4" w:space="0" w:color="000000"/>
              <w:left w:val="single" w:sz="4" w:space="0" w:color="000000"/>
              <w:bottom w:val="single" w:sz="4" w:space="0" w:color="000000"/>
              <w:right w:val="single" w:sz="4" w:space="0" w:color="000000"/>
            </w:tcBorders>
          </w:tcPr>
          <w:p w14:paraId="2FDDB72D" w14:textId="77777777" w:rsidR="00736F4A" w:rsidRDefault="00100640">
            <w:pPr>
              <w:rPr>
                <w:color w:val="000000"/>
                <w:lang w:val="hu-HU"/>
              </w:rPr>
            </w:pPr>
            <w:r>
              <w:rPr>
                <w:color w:val="000000"/>
                <w:lang w:val="hu-HU"/>
              </w:rPr>
              <w:t>Indikáció</w:t>
            </w:r>
          </w:p>
        </w:tc>
      </w:tr>
      <w:tr w:rsidR="00736F4A" w14:paraId="7249E2CC" w14:textId="77777777">
        <w:trPr>
          <w:trHeight w:val="262"/>
        </w:trPr>
        <w:tc>
          <w:tcPr>
            <w:tcW w:w="4858" w:type="dxa"/>
            <w:tcBorders>
              <w:top w:val="single" w:sz="4" w:space="0" w:color="000000"/>
              <w:left w:val="single" w:sz="4" w:space="0" w:color="000000"/>
              <w:bottom w:val="single" w:sz="4" w:space="0" w:color="000000"/>
              <w:right w:val="single" w:sz="4" w:space="0" w:color="000000"/>
            </w:tcBorders>
          </w:tcPr>
          <w:p w14:paraId="269339E4" w14:textId="77777777" w:rsidR="00736F4A" w:rsidRDefault="00736F4A">
            <w:pPr>
              <w:rPr>
                <w:color w:val="000000"/>
                <w:lang w:val="hu-HU"/>
              </w:rPr>
            </w:pPr>
          </w:p>
        </w:tc>
        <w:tc>
          <w:tcPr>
            <w:tcW w:w="4214" w:type="dxa"/>
            <w:tcBorders>
              <w:top w:val="single" w:sz="4" w:space="0" w:color="000000"/>
              <w:left w:val="single" w:sz="4" w:space="0" w:color="000000"/>
              <w:bottom w:val="single" w:sz="4" w:space="0" w:color="000000"/>
              <w:right w:val="single" w:sz="4" w:space="0" w:color="000000"/>
            </w:tcBorders>
          </w:tcPr>
          <w:p w14:paraId="792096E6" w14:textId="77777777" w:rsidR="00736F4A" w:rsidRDefault="00100640">
            <w:pPr>
              <w:rPr>
                <w:color w:val="000000"/>
                <w:lang w:val="hu-HU"/>
              </w:rPr>
            </w:pPr>
            <w:r>
              <w:rPr>
                <w:color w:val="000000"/>
                <w:lang w:val="hu-HU"/>
              </w:rPr>
              <w:t>SPAF és MVT/PE</w:t>
            </w:r>
          </w:p>
        </w:tc>
      </w:tr>
      <w:tr w:rsidR="00736F4A" w14:paraId="1AA908BE" w14:textId="77777777">
        <w:trPr>
          <w:trHeight w:val="264"/>
        </w:trPr>
        <w:tc>
          <w:tcPr>
            <w:tcW w:w="4858" w:type="dxa"/>
            <w:tcBorders>
              <w:top w:val="single" w:sz="4" w:space="0" w:color="000000"/>
              <w:left w:val="single" w:sz="4" w:space="0" w:color="000000"/>
              <w:bottom w:val="single" w:sz="4" w:space="0" w:color="000000"/>
              <w:right w:val="single" w:sz="4" w:space="0" w:color="000000"/>
            </w:tcBorders>
          </w:tcPr>
          <w:p w14:paraId="178EA605" w14:textId="77777777" w:rsidR="00736F4A" w:rsidRDefault="00100640">
            <w:pPr>
              <w:rPr>
                <w:color w:val="000000"/>
                <w:lang w:val="hu-HU"/>
              </w:rPr>
            </w:pPr>
            <w:r>
              <w:rPr>
                <w:color w:val="000000"/>
                <w:lang w:val="hu-HU"/>
              </w:rPr>
              <w:t>dTT [ng/ml]</w:t>
            </w:r>
          </w:p>
        </w:tc>
        <w:tc>
          <w:tcPr>
            <w:tcW w:w="4214" w:type="dxa"/>
            <w:tcBorders>
              <w:top w:val="single" w:sz="4" w:space="0" w:color="000000"/>
              <w:left w:val="single" w:sz="4" w:space="0" w:color="000000"/>
              <w:bottom w:val="single" w:sz="4" w:space="0" w:color="000000"/>
              <w:right w:val="single" w:sz="4" w:space="0" w:color="000000"/>
            </w:tcBorders>
          </w:tcPr>
          <w:p w14:paraId="5683D5AC" w14:textId="77777777" w:rsidR="00736F4A" w:rsidRDefault="00100640">
            <w:pPr>
              <w:rPr>
                <w:color w:val="000000"/>
                <w:lang w:val="hu-HU"/>
              </w:rPr>
            </w:pPr>
            <w:r>
              <w:rPr>
                <w:color w:val="000000"/>
                <w:lang w:val="hu-HU"/>
              </w:rPr>
              <w:t>&gt; 200</w:t>
            </w:r>
          </w:p>
        </w:tc>
      </w:tr>
      <w:tr w:rsidR="00736F4A" w14:paraId="266F1E4C" w14:textId="77777777">
        <w:trPr>
          <w:trHeight w:val="262"/>
        </w:trPr>
        <w:tc>
          <w:tcPr>
            <w:tcW w:w="4858" w:type="dxa"/>
            <w:tcBorders>
              <w:top w:val="single" w:sz="4" w:space="0" w:color="000000"/>
              <w:left w:val="single" w:sz="4" w:space="0" w:color="000000"/>
              <w:bottom w:val="single" w:sz="4" w:space="0" w:color="000000"/>
              <w:right w:val="single" w:sz="4" w:space="0" w:color="000000"/>
            </w:tcBorders>
          </w:tcPr>
          <w:p w14:paraId="61C13205" w14:textId="77777777" w:rsidR="00736F4A" w:rsidRDefault="00100640">
            <w:pPr>
              <w:rPr>
                <w:color w:val="000000"/>
                <w:lang w:val="hu-HU"/>
              </w:rPr>
            </w:pPr>
            <w:r>
              <w:rPr>
                <w:color w:val="000000"/>
                <w:lang w:val="hu-HU"/>
              </w:rPr>
              <w:t>ECT [a normálérték felső határának x-szerese]</w:t>
            </w:r>
          </w:p>
        </w:tc>
        <w:tc>
          <w:tcPr>
            <w:tcW w:w="4214" w:type="dxa"/>
            <w:tcBorders>
              <w:top w:val="single" w:sz="4" w:space="0" w:color="000000"/>
              <w:left w:val="single" w:sz="4" w:space="0" w:color="000000"/>
              <w:bottom w:val="single" w:sz="4" w:space="0" w:color="000000"/>
              <w:right w:val="single" w:sz="4" w:space="0" w:color="000000"/>
            </w:tcBorders>
          </w:tcPr>
          <w:p w14:paraId="4BA8D138" w14:textId="77777777" w:rsidR="00736F4A" w:rsidRDefault="00100640">
            <w:pPr>
              <w:rPr>
                <w:color w:val="000000"/>
                <w:lang w:val="hu-HU"/>
              </w:rPr>
            </w:pPr>
            <w:r>
              <w:rPr>
                <w:color w:val="000000"/>
                <w:lang w:val="hu-HU"/>
              </w:rPr>
              <w:t>&gt; 3</w:t>
            </w:r>
          </w:p>
        </w:tc>
      </w:tr>
      <w:tr w:rsidR="00736F4A" w14:paraId="048CE8A5" w14:textId="77777777">
        <w:trPr>
          <w:trHeight w:val="264"/>
        </w:trPr>
        <w:tc>
          <w:tcPr>
            <w:tcW w:w="4858" w:type="dxa"/>
            <w:tcBorders>
              <w:top w:val="single" w:sz="4" w:space="0" w:color="000000"/>
              <w:left w:val="single" w:sz="4" w:space="0" w:color="000000"/>
              <w:bottom w:val="single" w:sz="4" w:space="0" w:color="000000"/>
              <w:right w:val="single" w:sz="4" w:space="0" w:color="000000"/>
            </w:tcBorders>
          </w:tcPr>
          <w:p w14:paraId="0FEA11FE" w14:textId="77777777" w:rsidR="00736F4A" w:rsidRDefault="00100640">
            <w:pPr>
              <w:rPr>
                <w:color w:val="000000"/>
                <w:lang w:val="hu-HU"/>
              </w:rPr>
            </w:pPr>
            <w:r>
              <w:rPr>
                <w:color w:val="000000"/>
                <w:lang w:val="hu-HU"/>
              </w:rPr>
              <w:t>aPTT [a normálérték felső határának x-szerese]</w:t>
            </w:r>
          </w:p>
        </w:tc>
        <w:tc>
          <w:tcPr>
            <w:tcW w:w="4214" w:type="dxa"/>
            <w:tcBorders>
              <w:top w:val="single" w:sz="4" w:space="0" w:color="000000"/>
              <w:left w:val="single" w:sz="4" w:space="0" w:color="000000"/>
              <w:bottom w:val="single" w:sz="4" w:space="0" w:color="000000"/>
              <w:right w:val="single" w:sz="4" w:space="0" w:color="000000"/>
            </w:tcBorders>
          </w:tcPr>
          <w:p w14:paraId="21C10296" w14:textId="77777777" w:rsidR="00736F4A" w:rsidRDefault="00100640">
            <w:pPr>
              <w:rPr>
                <w:color w:val="000000"/>
                <w:lang w:val="hu-HU"/>
              </w:rPr>
            </w:pPr>
            <w:r>
              <w:rPr>
                <w:color w:val="000000"/>
                <w:lang w:val="hu-HU"/>
              </w:rPr>
              <w:t>&gt; 2</w:t>
            </w:r>
          </w:p>
        </w:tc>
      </w:tr>
      <w:tr w:rsidR="00736F4A" w14:paraId="713E5544" w14:textId="77777777">
        <w:trPr>
          <w:trHeight w:val="264"/>
        </w:trPr>
        <w:tc>
          <w:tcPr>
            <w:tcW w:w="4858" w:type="dxa"/>
            <w:tcBorders>
              <w:top w:val="single" w:sz="4" w:space="0" w:color="000000"/>
              <w:left w:val="single" w:sz="4" w:space="0" w:color="000000"/>
              <w:bottom w:val="single" w:sz="4" w:space="0" w:color="000000"/>
              <w:right w:val="single" w:sz="4" w:space="0" w:color="000000"/>
            </w:tcBorders>
          </w:tcPr>
          <w:p w14:paraId="2CC5C59A" w14:textId="77777777" w:rsidR="00736F4A" w:rsidRDefault="00100640">
            <w:pPr>
              <w:rPr>
                <w:color w:val="000000"/>
                <w:lang w:val="hu-HU"/>
              </w:rPr>
            </w:pPr>
            <w:r>
              <w:rPr>
                <w:color w:val="000000"/>
                <w:lang w:val="hu-HU"/>
              </w:rPr>
              <w:t>INR</w:t>
            </w:r>
          </w:p>
        </w:tc>
        <w:tc>
          <w:tcPr>
            <w:tcW w:w="4214" w:type="dxa"/>
            <w:tcBorders>
              <w:top w:val="single" w:sz="4" w:space="0" w:color="000000"/>
              <w:left w:val="single" w:sz="4" w:space="0" w:color="000000"/>
              <w:bottom w:val="single" w:sz="4" w:space="0" w:color="000000"/>
              <w:right w:val="single" w:sz="4" w:space="0" w:color="000000"/>
            </w:tcBorders>
          </w:tcPr>
          <w:p w14:paraId="3A3A7F9C" w14:textId="77777777" w:rsidR="00736F4A" w:rsidRDefault="00100640">
            <w:pPr>
              <w:rPr>
                <w:color w:val="000000"/>
                <w:lang w:val="hu-HU"/>
              </w:rPr>
            </w:pPr>
            <w:r>
              <w:rPr>
                <w:color w:val="000000"/>
                <w:lang w:val="hu-HU"/>
              </w:rPr>
              <w:t>Nem szabad végezni</w:t>
            </w:r>
          </w:p>
        </w:tc>
      </w:tr>
    </w:tbl>
    <w:p w14:paraId="7F5A0A7C" w14:textId="77777777" w:rsidR="00736F4A" w:rsidRDefault="00736F4A">
      <w:pPr>
        <w:spacing w:line="240" w:lineRule="auto"/>
        <w:rPr>
          <w:lang w:val="hu-HU"/>
        </w:rPr>
      </w:pPr>
    </w:p>
    <w:p w14:paraId="3C512FC2" w14:textId="77777777" w:rsidR="00736F4A" w:rsidRDefault="00100640">
      <w:pPr>
        <w:spacing w:line="240" w:lineRule="auto"/>
        <w:rPr>
          <w:u w:val="single"/>
          <w:lang w:val="hu-HU"/>
        </w:rPr>
      </w:pPr>
      <w:r>
        <w:rPr>
          <w:u w:val="single"/>
          <w:lang w:val="hu-HU"/>
        </w:rPr>
        <w:t>Fibrinolitikus hatású gyógyszerek alkalmazása az akut ischaemiás stroke kezelésére</w:t>
      </w:r>
    </w:p>
    <w:p w14:paraId="11A1F0EF" w14:textId="77777777" w:rsidR="00736F4A" w:rsidRDefault="00736F4A">
      <w:pPr>
        <w:spacing w:line="240" w:lineRule="auto"/>
        <w:rPr>
          <w:lang w:val="hu-HU"/>
        </w:rPr>
      </w:pPr>
    </w:p>
    <w:p w14:paraId="0CA4B0EF" w14:textId="77777777" w:rsidR="00736F4A" w:rsidRDefault="00100640">
      <w:pPr>
        <w:spacing w:line="240" w:lineRule="auto"/>
        <w:rPr>
          <w:lang w:val="hu-HU"/>
        </w:rPr>
      </w:pPr>
      <w:r>
        <w:rPr>
          <w:lang w:val="hu-HU"/>
        </w:rPr>
        <w:lastRenderedPageBreak/>
        <w:t>A fibrinolitikus hatású gyógyszerek alkalmazása mérlegelhető az akut ischaemiás stroke kezelésére, ha a beteg dTT-, ECT- (Ecarin Clotting Time, ekarin alvadási idő) vagy aPTT-értéke nem haladja meg a helyi referencia tartomány szerinti normál érték felső határát (upper limit of normal, ULN).</w:t>
      </w:r>
    </w:p>
    <w:p w14:paraId="25246577" w14:textId="77777777" w:rsidR="00736F4A" w:rsidRDefault="00736F4A">
      <w:pPr>
        <w:spacing w:line="240" w:lineRule="auto"/>
        <w:rPr>
          <w:lang w:val="hu-HU"/>
        </w:rPr>
      </w:pPr>
    </w:p>
    <w:p w14:paraId="00555941" w14:textId="77777777" w:rsidR="00736F4A" w:rsidRDefault="00100640">
      <w:pPr>
        <w:spacing w:line="240" w:lineRule="auto"/>
        <w:rPr>
          <w:u w:val="single"/>
          <w:lang w:val="hu-HU"/>
        </w:rPr>
      </w:pPr>
      <w:r>
        <w:rPr>
          <w:u w:val="single"/>
          <w:lang w:val="hu-HU"/>
        </w:rPr>
        <w:t>Műtét és beavatkozások</w:t>
      </w:r>
    </w:p>
    <w:p w14:paraId="654DCFFA" w14:textId="77777777" w:rsidR="00736F4A" w:rsidRDefault="00736F4A">
      <w:pPr>
        <w:spacing w:line="240" w:lineRule="auto"/>
        <w:rPr>
          <w:u w:val="single"/>
          <w:lang w:val="hu-HU"/>
        </w:rPr>
      </w:pPr>
    </w:p>
    <w:p w14:paraId="7530A0F4" w14:textId="77777777" w:rsidR="00736F4A" w:rsidRDefault="00100640">
      <w:pPr>
        <w:spacing w:line="240" w:lineRule="auto"/>
        <w:rPr>
          <w:lang w:val="hu-HU"/>
        </w:rPr>
      </w:pPr>
      <w:r>
        <w:rPr>
          <w:lang w:val="hu-HU"/>
        </w:rPr>
        <w:t>Dabigatrán-etexilátot kapó betegeknél műtét vagy invazív beavatkozás esetén fokozott a vérzésveszély. Ezért a műtéti beavatkozás a dabigatrán-etexilát-kezelés ideiglenes leállítását teheti szükségessé.</w:t>
      </w:r>
    </w:p>
    <w:p w14:paraId="659BB7E2" w14:textId="77777777" w:rsidR="00736F4A" w:rsidRDefault="00736F4A">
      <w:pPr>
        <w:spacing w:line="240" w:lineRule="auto"/>
        <w:rPr>
          <w:lang w:val="hu-HU"/>
        </w:rPr>
      </w:pPr>
    </w:p>
    <w:p w14:paraId="21EA5410" w14:textId="77777777" w:rsidR="00736F4A" w:rsidRDefault="00100640">
      <w:pPr>
        <w:spacing w:line="240" w:lineRule="auto"/>
        <w:ind w:right="9"/>
        <w:rPr>
          <w:color w:val="000000"/>
          <w:lang w:val="hu-HU" w:eastAsia="hu-HU"/>
        </w:rPr>
      </w:pPr>
      <w:r>
        <w:rPr>
          <w:color w:val="000000"/>
          <w:lang w:val="hu-HU" w:eastAsia="hu-HU"/>
        </w:rPr>
        <w:t>A betegek a cardioversio alatt folytathatják a dabigatrán-etexilát szedését. Nincs szükség a dabigatrán-etexilát-kezelés (napi kétszer 150 mg) megszakítására a pitvarfibrilláció miatt katéteres ablatióban részesülő betegeknél (lásd 4.2 pont).</w:t>
      </w:r>
    </w:p>
    <w:p w14:paraId="35A7A010" w14:textId="77777777" w:rsidR="00736F4A" w:rsidRDefault="00736F4A">
      <w:pPr>
        <w:spacing w:line="240" w:lineRule="auto"/>
        <w:rPr>
          <w:lang w:val="hu-HU"/>
        </w:rPr>
      </w:pPr>
    </w:p>
    <w:p w14:paraId="7AB44CC4" w14:textId="77777777" w:rsidR="00736F4A" w:rsidRDefault="00100640">
      <w:pPr>
        <w:spacing w:line="240" w:lineRule="auto"/>
        <w:rPr>
          <w:lang w:val="hu-HU"/>
        </w:rPr>
      </w:pPr>
      <w:r>
        <w:rPr>
          <w:lang w:val="hu-HU"/>
        </w:rPr>
        <w:t>Óvatosság szükséges, és az alvadásgátló hatás ellenőrzése elengedhetetlen, ha a kezelést valamilyen beavatkozás miatt ideiglenesen leállítják. A dabigatrán clearance-e vesekárosodásban szenvedő betegeknél megnyúlhat (lásd 5.2 pont). Ezt minden beavatkozás előtt figyelembe kell venni. Ilyen esetekben véralvadási vizsgálat (lásd 4.4 és 5.1 pont) segíthet eldönteni, hogy a haemostasis továbbra is károsodott-e.</w:t>
      </w:r>
    </w:p>
    <w:p w14:paraId="71F1FBED" w14:textId="77777777" w:rsidR="00736F4A" w:rsidRDefault="00736F4A">
      <w:pPr>
        <w:spacing w:line="240" w:lineRule="auto"/>
        <w:rPr>
          <w:lang w:val="hu-HU"/>
        </w:rPr>
      </w:pPr>
    </w:p>
    <w:p w14:paraId="6B5AB5B2" w14:textId="77777777" w:rsidR="00736F4A" w:rsidRDefault="00100640">
      <w:pPr>
        <w:spacing w:line="240" w:lineRule="auto"/>
        <w:ind w:left="7"/>
      </w:pPr>
      <w:r>
        <w:rPr>
          <w:i/>
          <w:u w:val="single" w:color="000000"/>
        </w:rPr>
        <w:t>Akut műtét vagy sürgős beavatkozások</w:t>
      </w:r>
    </w:p>
    <w:p w14:paraId="11F95E96" w14:textId="77777777" w:rsidR="00736F4A" w:rsidRDefault="00736F4A">
      <w:pPr>
        <w:spacing w:line="240" w:lineRule="auto"/>
        <w:ind w:left="7" w:right="9"/>
      </w:pPr>
    </w:p>
    <w:p w14:paraId="26AE49C8" w14:textId="77777777" w:rsidR="00736F4A" w:rsidRDefault="00100640">
      <w:pPr>
        <w:spacing w:line="240" w:lineRule="auto"/>
        <w:ind w:left="7" w:right="9"/>
      </w:pPr>
      <w:r>
        <w:t>A dabigatrán-etexilát adását átmenetileg le kell állítani. Ha az antikoaguláns hatás gyors felfüggesztésére van szükség, rendelkezésre áll a dabigatrán specifikus antagonista szere (idarucizumab) a felnőtt betegek számára. Az idarucizumab hatásosságát és biztonságosságát nem határozták meg a gyermekeknél és serdülőknél. A haemodialízis képes a dabigatrán eltávolítására.</w:t>
      </w:r>
    </w:p>
    <w:p w14:paraId="0751345C" w14:textId="77777777" w:rsidR="00736F4A" w:rsidRDefault="00100640">
      <w:pPr>
        <w:spacing w:line="240" w:lineRule="auto"/>
        <w:ind w:left="7" w:right="9"/>
      </w:pPr>
      <w:r>
        <w:t>A dabigatrán-kezelés felfüggesztése a betegeket az alapbetegségük miatti thromboticus kockázatnak teszi ki. A dabigatrán-etexilát-kezelés az idarucizumab adása után 24 órával újra elkezdhető, ha a beteg klinikailag stabil állapotban van és a megfelelő haemostasis kialakult.</w:t>
      </w:r>
    </w:p>
    <w:p w14:paraId="51525176" w14:textId="77777777" w:rsidR="00736F4A" w:rsidRDefault="00736F4A">
      <w:pPr>
        <w:spacing w:line="240" w:lineRule="auto"/>
        <w:ind w:right="9"/>
      </w:pPr>
    </w:p>
    <w:p w14:paraId="5E0C03DE" w14:textId="77777777" w:rsidR="00736F4A" w:rsidRDefault="00100640">
      <w:pPr>
        <w:spacing w:line="240" w:lineRule="auto"/>
        <w:ind w:left="7"/>
      </w:pPr>
      <w:r>
        <w:rPr>
          <w:i/>
          <w:u w:val="single" w:color="000000"/>
        </w:rPr>
        <w:t>Szubakut műtét/beavatkozások</w:t>
      </w:r>
    </w:p>
    <w:p w14:paraId="0DFD39FD" w14:textId="77777777" w:rsidR="00736F4A" w:rsidRDefault="00736F4A">
      <w:pPr>
        <w:spacing w:line="240" w:lineRule="auto"/>
        <w:ind w:left="7" w:right="9"/>
      </w:pPr>
    </w:p>
    <w:p w14:paraId="46A64653" w14:textId="77777777" w:rsidR="00736F4A" w:rsidRDefault="00100640">
      <w:pPr>
        <w:spacing w:line="240" w:lineRule="auto"/>
        <w:ind w:left="7" w:right="9"/>
      </w:pPr>
      <w:r>
        <w:t>A dabigatrán-etexilát adását átmenetileg le kell állítani. A műtétet/beavatkozást lehetőség szerint az utolsó dózis után legalább 12 óráig halasztani kell. Ha a műtét nem halasztható, fokozott vérzésveszélyre lehet számítani. A vérzésveszélyt és a beavatkozás sürgősségét mérlegelni kell egymással szemben.</w:t>
      </w:r>
    </w:p>
    <w:p w14:paraId="73E4A675" w14:textId="77777777" w:rsidR="00736F4A" w:rsidRDefault="00736F4A">
      <w:pPr>
        <w:spacing w:line="240" w:lineRule="auto"/>
        <w:ind w:left="7" w:right="9"/>
      </w:pPr>
    </w:p>
    <w:p w14:paraId="25D2BB36" w14:textId="77777777" w:rsidR="00736F4A" w:rsidRDefault="00100640">
      <w:pPr>
        <w:spacing w:line="240" w:lineRule="auto"/>
        <w:ind w:left="7"/>
      </w:pPr>
      <w:r>
        <w:rPr>
          <w:i/>
          <w:u w:val="single" w:color="000000"/>
        </w:rPr>
        <w:t>Elektív műtét</w:t>
      </w:r>
    </w:p>
    <w:p w14:paraId="2064BEE4" w14:textId="77777777" w:rsidR="00736F4A" w:rsidRDefault="00736F4A">
      <w:pPr>
        <w:spacing w:line="240" w:lineRule="auto"/>
        <w:ind w:left="7" w:right="9"/>
      </w:pPr>
    </w:p>
    <w:p w14:paraId="53FBF41D" w14:textId="77777777" w:rsidR="00736F4A" w:rsidRDefault="00100640">
      <w:pPr>
        <w:spacing w:line="240" w:lineRule="auto"/>
        <w:ind w:left="7" w:right="9"/>
      </w:pPr>
      <w:r>
        <w:t>Ha lehetséges, a dabigatrán-etexilát-kezelést az invazív vagy műtéti beavatkozás előtt legalább 24 órával le kell állítani. Nagyobb vérzésveszélynek kitett betegeknél vagy nagy műtét esetén, amikor teljes haemostasisra lehet szükség, mérlegelni lehet a dabigatrán-etexilát-kezelés 2-4 nappal a műtét előtt történő leállítását.</w:t>
      </w:r>
    </w:p>
    <w:p w14:paraId="03D0DAB9" w14:textId="77777777" w:rsidR="00736F4A" w:rsidRDefault="00736F4A">
      <w:pPr>
        <w:spacing w:line="240" w:lineRule="auto"/>
        <w:ind w:left="7" w:right="9"/>
      </w:pPr>
    </w:p>
    <w:p w14:paraId="7E63AB0B" w14:textId="77777777" w:rsidR="00736F4A" w:rsidRDefault="00100640">
      <w:pPr>
        <w:spacing w:line="240" w:lineRule="auto"/>
        <w:ind w:left="7" w:right="9"/>
      </w:pPr>
      <w:r>
        <w:t>A 6. táblázat összefoglalja az invazív vagy sebészi beavatkozások előtti leállításra vonatkozó szabályokat felnőtt betegeknél.</w:t>
      </w:r>
    </w:p>
    <w:p w14:paraId="50A5BBE8" w14:textId="77777777" w:rsidR="00736F4A" w:rsidRDefault="00736F4A">
      <w:pPr>
        <w:spacing w:line="240" w:lineRule="auto"/>
        <w:rPr>
          <w:lang w:val="hu-HU"/>
        </w:rPr>
      </w:pPr>
    </w:p>
    <w:p w14:paraId="01269751" w14:textId="77777777" w:rsidR="00736F4A" w:rsidRDefault="00100640">
      <w:pPr>
        <w:tabs>
          <w:tab w:val="clear" w:pos="567"/>
        </w:tabs>
        <w:autoSpaceDE w:val="0"/>
        <w:autoSpaceDN w:val="0"/>
        <w:adjustRightInd w:val="0"/>
        <w:spacing w:line="240" w:lineRule="auto"/>
        <w:rPr>
          <w:rFonts w:eastAsia="TimesNewRoman,Bold"/>
          <w:b/>
          <w:bCs/>
          <w:lang w:val="hu-HU" w:eastAsia="en-GB"/>
        </w:rPr>
      </w:pPr>
      <w:r>
        <w:rPr>
          <w:rFonts w:eastAsia="TimesNewRoman,Bold"/>
          <w:b/>
          <w:bCs/>
          <w:lang w:val="hu-HU" w:eastAsia="en-GB"/>
        </w:rPr>
        <w:t>6. táblázat. Az invazív vagy sebészi beavatkozások előtti leállításra vonatkozó szabályok felnőtt betegeknél</w:t>
      </w:r>
    </w:p>
    <w:p w14:paraId="40879E58" w14:textId="77777777" w:rsidR="00736F4A" w:rsidRDefault="00736F4A">
      <w:pPr>
        <w:tabs>
          <w:tab w:val="clear" w:pos="567"/>
        </w:tabs>
        <w:autoSpaceDE w:val="0"/>
        <w:autoSpaceDN w:val="0"/>
        <w:adjustRightInd w:val="0"/>
        <w:spacing w:line="240" w:lineRule="auto"/>
        <w:rPr>
          <w:rFonts w:eastAsia="TimesNewRoman,Bold"/>
          <w:lang w:val="hu-HU" w:eastAsia="en-GB"/>
        </w:rPr>
      </w:pPr>
    </w:p>
    <w:tbl>
      <w:tblPr>
        <w:tblW w:w="9072" w:type="dxa"/>
        <w:tblInd w:w="10" w:type="dxa"/>
        <w:tblCellMar>
          <w:top w:w="51" w:type="dxa"/>
          <w:right w:w="115" w:type="dxa"/>
        </w:tblCellMar>
        <w:tblLook w:val="04A0" w:firstRow="1" w:lastRow="0" w:firstColumn="1" w:lastColumn="0" w:noHBand="0" w:noVBand="1"/>
      </w:tblPr>
      <w:tblGrid>
        <w:gridCol w:w="1591"/>
        <w:gridCol w:w="1867"/>
        <w:gridCol w:w="2832"/>
        <w:gridCol w:w="2782"/>
      </w:tblGrid>
      <w:tr w:rsidR="00736F4A" w14:paraId="7BFD044D" w14:textId="77777777">
        <w:trPr>
          <w:trHeight w:val="451"/>
        </w:trPr>
        <w:tc>
          <w:tcPr>
            <w:tcW w:w="1591" w:type="dxa"/>
            <w:vMerge w:val="restart"/>
            <w:tcBorders>
              <w:top w:val="single" w:sz="4" w:space="0" w:color="000000"/>
              <w:left w:val="single" w:sz="4" w:space="0" w:color="000000"/>
              <w:bottom w:val="single" w:sz="4" w:space="0" w:color="000000"/>
              <w:right w:val="single" w:sz="4" w:space="0" w:color="000000"/>
            </w:tcBorders>
          </w:tcPr>
          <w:p w14:paraId="2DD27E59" w14:textId="77777777" w:rsidR="00736F4A" w:rsidRDefault="00100640">
            <w:pPr>
              <w:tabs>
                <w:tab w:val="clear" w:pos="567"/>
              </w:tabs>
              <w:spacing w:line="240" w:lineRule="auto"/>
              <w:rPr>
                <w:color w:val="000000"/>
                <w:lang w:val="hu-HU" w:eastAsia="hu-HU"/>
              </w:rPr>
            </w:pPr>
            <w:r>
              <w:rPr>
                <w:color w:val="000000"/>
                <w:lang w:val="hu-HU" w:eastAsia="hu-HU"/>
              </w:rPr>
              <w:t>Vesefunkció</w:t>
            </w:r>
          </w:p>
          <w:p w14:paraId="7F45DC3E" w14:textId="77777777" w:rsidR="00736F4A" w:rsidRDefault="00100640">
            <w:pPr>
              <w:tabs>
                <w:tab w:val="clear" w:pos="567"/>
              </w:tabs>
              <w:spacing w:line="240" w:lineRule="auto"/>
              <w:rPr>
                <w:color w:val="000000"/>
                <w:lang w:val="hu-HU" w:eastAsia="hu-HU"/>
              </w:rPr>
            </w:pPr>
            <w:r>
              <w:rPr>
                <w:color w:val="000000"/>
                <w:lang w:val="hu-HU" w:eastAsia="hu-HU"/>
              </w:rPr>
              <w:t>(CrCl ml/perc)</w:t>
            </w:r>
          </w:p>
        </w:tc>
        <w:tc>
          <w:tcPr>
            <w:tcW w:w="1867" w:type="dxa"/>
            <w:vMerge w:val="restart"/>
            <w:tcBorders>
              <w:top w:val="single" w:sz="4" w:space="0" w:color="000000"/>
              <w:left w:val="single" w:sz="4" w:space="0" w:color="000000"/>
              <w:bottom w:val="single" w:sz="4" w:space="0" w:color="000000"/>
              <w:right w:val="single" w:sz="4" w:space="0" w:color="000000"/>
            </w:tcBorders>
          </w:tcPr>
          <w:p w14:paraId="361F3467" w14:textId="77777777" w:rsidR="00736F4A" w:rsidRDefault="00100640">
            <w:pPr>
              <w:tabs>
                <w:tab w:val="clear" w:pos="567"/>
              </w:tabs>
              <w:spacing w:line="240" w:lineRule="auto"/>
              <w:ind w:right="254"/>
              <w:rPr>
                <w:color w:val="000000"/>
                <w:lang w:val="hu-HU" w:eastAsia="hu-HU"/>
              </w:rPr>
            </w:pPr>
            <w:r>
              <w:rPr>
                <w:color w:val="000000"/>
                <w:lang w:val="hu-HU" w:eastAsia="hu-HU"/>
              </w:rPr>
              <w:t>Becsült felezési idő (óra)</w:t>
            </w:r>
          </w:p>
        </w:tc>
        <w:tc>
          <w:tcPr>
            <w:tcW w:w="5614" w:type="dxa"/>
            <w:gridSpan w:val="2"/>
            <w:tcBorders>
              <w:top w:val="single" w:sz="4" w:space="0" w:color="000000"/>
              <w:left w:val="single" w:sz="4" w:space="0" w:color="000000"/>
              <w:bottom w:val="single" w:sz="4" w:space="0" w:color="000000"/>
              <w:right w:val="single" w:sz="4" w:space="0" w:color="000000"/>
            </w:tcBorders>
          </w:tcPr>
          <w:p w14:paraId="662A3340" w14:textId="77777777" w:rsidR="00736F4A" w:rsidRDefault="00100640">
            <w:pPr>
              <w:tabs>
                <w:tab w:val="clear" w:pos="567"/>
              </w:tabs>
              <w:spacing w:line="240" w:lineRule="auto"/>
              <w:ind w:left="10"/>
              <w:rPr>
                <w:color w:val="000000"/>
                <w:lang w:val="hu-HU" w:eastAsia="hu-HU"/>
              </w:rPr>
            </w:pPr>
            <w:r>
              <w:rPr>
                <w:color w:val="000000"/>
                <w:lang w:val="hu-HU" w:eastAsia="hu-HU"/>
              </w:rPr>
              <w:t>A dabigatrán-etexilát-kezelést elektív műtét előtt le kell állítani</w:t>
            </w:r>
          </w:p>
        </w:tc>
      </w:tr>
      <w:tr w:rsidR="00736F4A" w14:paraId="7FC9703F" w14:textId="77777777">
        <w:trPr>
          <w:trHeight w:val="516"/>
        </w:trPr>
        <w:tc>
          <w:tcPr>
            <w:tcW w:w="0" w:type="auto"/>
            <w:vMerge/>
            <w:tcBorders>
              <w:top w:val="nil"/>
              <w:left w:val="single" w:sz="4" w:space="0" w:color="000000"/>
              <w:bottom w:val="single" w:sz="4" w:space="0" w:color="000000"/>
              <w:right w:val="single" w:sz="4" w:space="0" w:color="000000"/>
            </w:tcBorders>
          </w:tcPr>
          <w:p w14:paraId="349AE6F3" w14:textId="77777777" w:rsidR="00736F4A" w:rsidRDefault="00736F4A">
            <w:pPr>
              <w:tabs>
                <w:tab w:val="clear" w:pos="567"/>
              </w:tabs>
              <w:spacing w:line="240" w:lineRule="auto"/>
              <w:rPr>
                <w:color w:val="000000"/>
                <w:lang w:val="hu-HU" w:eastAsia="hu-HU"/>
              </w:rPr>
            </w:pPr>
          </w:p>
        </w:tc>
        <w:tc>
          <w:tcPr>
            <w:tcW w:w="0" w:type="auto"/>
            <w:vMerge/>
            <w:tcBorders>
              <w:top w:val="nil"/>
              <w:left w:val="single" w:sz="4" w:space="0" w:color="000000"/>
              <w:bottom w:val="single" w:sz="4" w:space="0" w:color="000000"/>
              <w:right w:val="single" w:sz="4" w:space="0" w:color="000000"/>
            </w:tcBorders>
          </w:tcPr>
          <w:p w14:paraId="359ABE30" w14:textId="77777777" w:rsidR="00736F4A" w:rsidRDefault="00736F4A">
            <w:pPr>
              <w:tabs>
                <w:tab w:val="clear" w:pos="567"/>
              </w:tabs>
              <w:spacing w:line="240" w:lineRule="auto"/>
              <w:rPr>
                <w:color w:val="000000"/>
                <w:lang w:val="hu-HU" w:eastAsia="hu-HU"/>
              </w:rPr>
            </w:pPr>
          </w:p>
        </w:tc>
        <w:tc>
          <w:tcPr>
            <w:tcW w:w="2832" w:type="dxa"/>
            <w:tcBorders>
              <w:top w:val="single" w:sz="4" w:space="0" w:color="000000"/>
              <w:left w:val="single" w:sz="4" w:space="0" w:color="000000"/>
              <w:bottom w:val="single" w:sz="4" w:space="0" w:color="000000"/>
              <w:right w:val="single" w:sz="4" w:space="0" w:color="000000"/>
            </w:tcBorders>
          </w:tcPr>
          <w:p w14:paraId="0C7EFCF9" w14:textId="77777777" w:rsidR="00736F4A" w:rsidRDefault="00100640">
            <w:pPr>
              <w:tabs>
                <w:tab w:val="clear" w:pos="567"/>
              </w:tabs>
              <w:spacing w:line="240" w:lineRule="auto"/>
              <w:rPr>
                <w:color w:val="000000"/>
                <w:lang w:val="hu-HU" w:eastAsia="hu-HU"/>
              </w:rPr>
            </w:pPr>
            <w:r>
              <w:rPr>
                <w:color w:val="000000"/>
                <w:lang w:val="hu-HU" w:eastAsia="hu-HU"/>
              </w:rPr>
              <w:t>Nagy vérzési kockázat vagy nagyműtét</w:t>
            </w:r>
          </w:p>
        </w:tc>
        <w:tc>
          <w:tcPr>
            <w:tcW w:w="2782" w:type="dxa"/>
            <w:tcBorders>
              <w:top w:val="single" w:sz="4" w:space="0" w:color="000000"/>
              <w:left w:val="single" w:sz="4" w:space="0" w:color="000000"/>
              <w:bottom w:val="single" w:sz="4" w:space="0" w:color="000000"/>
              <w:right w:val="single" w:sz="4" w:space="0" w:color="000000"/>
            </w:tcBorders>
          </w:tcPr>
          <w:p w14:paraId="7EBBA582" w14:textId="77777777" w:rsidR="00736F4A" w:rsidRDefault="00100640">
            <w:pPr>
              <w:tabs>
                <w:tab w:val="clear" w:pos="567"/>
              </w:tabs>
              <w:spacing w:line="240" w:lineRule="auto"/>
              <w:ind w:left="2"/>
              <w:rPr>
                <w:color w:val="000000"/>
                <w:lang w:val="hu-HU" w:eastAsia="hu-HU"/>
              </w:rPr>
            </w:pPr>
            <w:r>
              <w:rPr>
                <w:color w:val="000000"/>
                <w:lang w:val="hu-HU" w:eastAsia="hu-HU"/>
              </w:rPr>
              <w:t>Átlagos kockázat</w:t>
            </w:r>
          </w:p>
        </w:tc>
      </w:tr>
      <w:tr w:rsidR="00736F4A" w14:paraId="226DDBE7" w14:textId="77777777">
        <w:trPr>
          <w:trHeight w:val="264"/>
        </w:trPr>
        <w:tc>
          <w:tcPr>
            <w:tcW w:w="1591" w:type="dxa"/>
            <w:tcBorders>
              <w:top w:val="single" w:sz="4" w:space="0" w:color="000000"/>
              <w:left w:val="single" w:sz="4" w:space="0" w:color="000000"/>
              <w:bottom w:val="single" w:sz="4" w:space="0" w:color="000000"/>
              <w:right w:val="single" w:sz="4" w:space="0" w:color="000000"/>
            </w:tcBorders>
          </w:tcPr>
          <w:p w14:paraId="6DE4232F" w14:textId="77777777" w:rsidR="00736F4A" w:rsidRDefault="00100640">
            <w:pPr>
              <w:tabs>
                <w:tab w:val="clear" w:pos="567"/>
              </w:tabs>
              <w:spacing w:line="240" w:lineRule="auto"/>
              <w:ind w:left="10"/>
              <w:rPr>
                <w:color w:val="000000"/>
                <w:lang w:val="hu-HU" w:eastAsia="hu-HU"/>
              </w:rPr>
            </w:pPr>
            <w:r>
              <w:rPr>
                <w:color w:val="000000"/>
                <w:lang w:val="hu-HU" w:eastAsia="hu-HU"/>
              </w:rPr>
              <w:t>≥ 80</w:t>
            </w:r>
          </w:p>
        </w:tc>
        <w:tc>
          <w:tcPr>
            <w:tcW w:w="1867" w:type="dxa"/>
            <w:tcBorders>
              <w:top w:val="single" w:sz="4" w:space="0" w:color="000000"/>
              <w:left w:val="single" w:sz="4" w:space="0" w:color="000000"/>
              <w:bottom w:val="single" w:sz="4" w:space="0" w:color="000000"/>
              <w:right w:val="single" w:sz="4" w:space="0" w:color="000000"/>
            </w:tcBorders>
          </w:tcPr>
          <w:p w14:paraId="6426BD7B" w14:textId="77777777" w:rsidR="00736F4A" w:rsidRDefault="00100640">
            <w:pPr>
              <w:tabs>
                <w:tab w:val="clear" w:pos="567"/>
              </w:tabs>
              <w:spacing w:line="240" w:lineRule="auto"/>
              <w:ind w:left="10"/>
              <w:rPr>
                <w:color w:val="000000"/>
                <w:lang w:val="hu-HU" w:eastAsia="hu-HU"/>
              </w:rPr>
            </w:pPr>
            <w:r>
              <w:rPr>
                <w:color w:val="000000"/>
                <w:lang w:val="hu-HU" w:eastAsia="hu-HU"/>
              </w:rPr>
              <w:t>~ 13</w:t>
            </w:r>
          </w:p>
        </w:tc>
        <w:tc>
          <w:tcPr>
            <w:tcW w:w="2832" w:type="dxa"/>
            <w:tcBorders>
              <w:top w:val="single" w:sz="4" w:space="0" w:color="000000"/>
              <w:left w:val="single" w:sz="4" w:space="0" w:color="000000"/>
              <w:bottom w:val="single" w:sz="4" w:space="0" w:color="000000"/>
              <w:right w:val="single" w:sz="4" w:space="0" w:color="000000"/>
            </w:tcBorders>
          </w:tcPr>
          <w:p w14:paraId="3D3FF7D1" w14:textId="77777777" w:rsidR="00736F4A" w:rsidRDefault="00100640">
            <w:pPr>
              <w:tabs>
                <w:tab w:val="clear" w:pos="567"/>
              </w:tabs>
              <w:spacing w:line="240" w:lineRule="auto"/>
              <w:rPr>
                <w:color w:val="000000"/>
                <w:lang w:val="hu-HU" w:eastAsia="hu-HU"/>
              </w:rPr>
            </w:pPr>
            <w:r>
              <w:rPr>
                <w:color w:val="000000"/>
                <w:lang w:val="hu-HU" w:eastAsia="hu-HU"/>
              </w:rPr>
              <w:t>2 nappal előtte</w:t>
            </w:r>
          </w:p>
        </w:tc>
        <w:tc>
          <w:tcPr>
            <w:tcW w:w="2782" w:type="dxa"/>
            <w:tcBorders>
              <w:top w:val="single" w:sz="4" w:space="0" w:color="000000"/>
              <w:left w:val="single" w:sz="4" w:space="0" w:color="000000"/>
              <w:bottom w:val="single" w:sz="4" w:space="0" w:color="000000"/>
              <w:right w:val="single" w:sz="4" w:space="0" w:color="000000"/>
            </w:tcBorders>
          </w:tcPr>
          <w:p w14:paraId="5A12E87D" w14:textId="77777777" w:rsidR="00736F4A" w:rsidRDefault="00100640">
            <w:pPr>
              <w:tabs>
                <w:tab w:val="clear" w:pos="567"/>
              </w:tabs>
              <w:spacing w:line="240" w:lineRule="auto"/>
              <w:ind w:left="2"/>
              <w:rPr>
                <w:color w:val="000000"/>
                <w:lang w:val="hu-HU" w:eastAsia="hu-HU"/>
              </w:rPr>
            </w:pPr>
            <w:r>
              <w:rPr>
                <w:color w:val="000000"/>
                <w:lang w:val="hu-HU" w:eastAsia="hu-HU"/>
              </w:rPr>
              <w:t>24 órával előtte</w:t>
            </w:r>
          </w:p>
        </w:tc>
      </w:tr>
      <w:tr w:rsidR="00736F4A" w14:paraId="64227EFA" w14:textId="77777777">
        <w:trPr>
          <w:trHeight w:val="262"/>
        </w:trPr>
        <w:tc>
          <w:tcPr>
            <w:tcW w:w="1591" w:type="dxa"/>
            <w:tcBorders>
              <w:top w:val="single" w:sz="4" w:space="0" w:color="000000"/>
              <w:left w:val="single" w:sz="4" w:space="0" w:color="000000"/>
              <w:bottom w:val="single" w:sz="4" w:space="0" w:color="000000"/>
              <w:right w:val="single" w:sz="4" w:space="0" w:color="000000"/>
            </w:tcBorders>
          </w:tcPr>
          <w:p w14:paraId="6B99F43F" w14:textId="77777777" w:rsidR="00736F4A" w:rsidRDefault="00100640">
            <w:pPr>
              <w:tabs>
                <w:tab w:val="clear" w:pos="567"/>
              </w:tabs>
              <w:spacing w:line="240" w:lineRule="auto"/>
              <w:ind w:left="5"/>
              <w:rPr>
                <w:color w:val="000000"/>
                <w:lang w:val="hu-HU" w:eastAsia="hu-HU"/>
              </w:rPr>
            </w:pPr>
            <w:r>
              <w:rPr>
                <w:color w:val="000000"/>
                <w:lang w:val="hu-HU" w:eastAsia="hu-HU"/>
              </w:rPr>
              <w:t>≥ 50 - &lt; 80</w:t>
            </w:r>
          </w:p>
        </w:tc>
        <w:tc>
          <w:tcPr>
            <w:tcW w:w="1867" w:type="dxa"/>
            <w:tcBorders>
              <w:top w:val="single" w:sz="4" w:space="0" w:color="000000"/>
              <w:left w:val="single" w:sz="4" w:space="0" w:color="000000"/>
              <w:bottom w:val="single" w:sz="4" w:space="0" w:color="000000"/>
              <w:right w:val="single" w:sz="4" w:space="0" w:color="000000"/>
            </w:tcBorders>
          </w:tcPr>
          <w:p w14:paraId="0C3C1218" w14:textId="77777777" w:rsidR="00736F4A" w:rsidRDefault="00100640">
            <w:pPr>
              <w:tabs>
                <w:tab w:val="clear" w:pos="567"/>
              </w:tabs>
              <w:spacing w:line="240" w:lineRule="auto"/>
              <w:ind w:left="10"/>
              <w:rPr>
                <w:color w:val="000000"/>
                <w:lang w:val="hu-HU" w:eastAsia="hu-HU"/>
              </w:rPr>
            </w:pPr>
            <w:r>
              <w:rPr>
                <w:color w:val="000000"/>
                <w:lang w:val="hu-HU" w:eastAsia="hu-HU"/>
              </w:rPr>
              <w:t>~ 15</w:t>
            </w:r>
          </w:p>
        </w:tc>
        <w:tc>
          <w:tcPr>
            <w:tcW w:w="2832" w:type="dxa"/>
            <w:tcBorders>
              <w:top w:val="single" w:sz="4" w:space="0" w:color="000000"/>
              <w:left w:val="single" w:sz="4" w:space="0" w:color="000000"/>
              <w:bottom w:val="single" w:sz="4" w:space="0" w:color="000000"/>
              <w:right w:val="single" w:sz="4" w:space="0" w:color="000000"/>
            </w:tcBorders>
          </w:tcPr>
          <w:p w14:paraId="778EEA46" w14:textId="77777777" w:rsidR="00736F4A" w:rsidRDefault="00100640">
            <w:pPr>
              <w:tabs>
                <w:tab w:val="clear" w:pos="567"/>
              </w:tabs>
              <w:spacing w:line="240" w:lineRule="auto"/>
              <w:rPr>
                <w:color w:val="000000"/>
                <w:lang w:val="hu-HU" w:eastAsia="hu-HU"/>
              </w:rPr>
            </w:pPr>
            <w:r>
              <w:rPr>
                <w:color w:val="000000"/>
                <w:lang w:val="hu-HU" w:eastAsia="hu-HU"/>
              </w:rPr>
              <w:t>2-3 nappal előtte</w:t>
            </w:r>
          </w:p>
        </w:tc>
        <w:tc>
          <w:tcPr>
            <w:tcW w:w="2782" w:type="dxa"/>
            <w:tcBorders>
              <w:top w:val="single" w:sz="4" w:space="0" w:color="000000"/>
              <w:left w:val="single" w:sz="4" w:space="0" w:color="000000"/>
              <w:bottom w:val="single" w:sz="4" w:space="0" w:color="000000"/>
              <w:right w:val="single" w:sz="4" w:space="0" w:color="000000"/>
            </w:tcBorders>
          </w:tcPr>
          <w:p w14:paraId="40BE6B2D" w14:textId="77777777" w:rsidR="00736F4A" w:rsidRDefault="00100640">
            <w:pPr>
              <w:tabs>
                <w:tab w:val="clear" w:pos="567"/>
              </w:tabs>
              <w:spacing w:line="240" w:lineRule="auto"/>
              <w:ind w:left="2"/>
              <w:rPr>
                <w:color w:val="000000"/>
                <w:lang w:val="hu-HU" w:eastAsia="hu-HU"/>
              </w:rPr>
            </w:pPr>
            <w:r>
              <w:rPr>
                <w:color w:val="000000"/>
                <w:lang w:val="hu-HU" w:eastAsia="hu-HU"/>
              </w:rPr>
              <w:t>1-2 nappal előtte</w:t>
            </w:r>
          </w:p>
        </w:tc>
      </w:tr>
      <w:tr w:rsidR="00736F4A" w14:paraId="7CF6BAB5" w14:textId="77777777">
        <w:trPr>
          <w:trHeight w:val="264"/>
        </w:trPr>
        <w:tc>
          <w:tcPr>
            <w:tcW w:w="1591" w:type="dxa"/>
            <w:tcBorders>
              <w:top w:val="single" w:sz="4" w:space="0" w:color="000000"/>
              <w:left w:val="single" w:sz="4" w:space="0" w:color="000000"/>
              <w:bottom w:val="single" w:sz="4" w:space="0" w:color="000000"/>
              <w:right w:val="single" w:sz="4" w:space="0" w:color="000000"/>
            </w:tcBorders>
          </w:tcPr>
          <w:p w14:paraId="1A6E30A9" w14:textId="77777777" w:rsidR="00736F4A" w:rsidRDefault="00100640">
            <w:pPr>
              <w:tabs>
                <w:tab w:val="clear" w:pos="567"/>
              </w:tabs>
              <w:spacing w:line="240" w:lineRule="auto"/>
              <w:ind w:left="5"/>
              <w:rPr>
                <w:color w:val="000000"/>
                <w:lang w:val="hu-HU" w:eastAsia="hu-HU"/>
              </w:rPr>
            </w:pPr>
            <w:r>
              <w:rPr>
                <w:color w:val="000000"/>
                <w:lang w:val="hu-HU" w:eastAsia="hu-HU"/>
              </w:rPr>
              <w:lastRenderedPageBreak/>
              <w:t>≥ 30 - &lt; 50</w:t>
            </w:r>
          </w:p>
        </w:tc>
        <w:tc>
          <w:tcPr>
            <w:tcW w:w="1867" w:type="dxa"/>
            <w:tcBorders>
              <w:top w:val="single" w:sz="4" w:space="0" w:color="000000"/>
              <w:left w:val="single" w:sz="4" w:space="0" w:color="000000"/>
              <w:bottom w:val="single" w:sz="4" w:space="0" w:color="000000"/>
              <w:right w:val="single" w:sz="4" w:space="0" w:color="000000"/>
            </w:tcBorders>
          </w:tcPr>
          <w:p w14:paraId="104D9632" w14:textId="77777777" w:rsidR="00736F4A" w:rsidRDefault="00100640">
            <w:pPr>
              <w:tabs>
                <w:tab w:val="clear" w:pos="567"/>
              </w:tabs>
              <w:spacing w:line="240" w:lineRule="auto"/>
              <w:ind w:left="10"/>
              <w:rPr>
                <w:color w:val="000000"/>
                <w:lang w:val="hu-HU" w:eastAsia="hu-HU"/>
              </w:rPr>
            </w:pPr>
            <w:r>
              <w:rPr>
                <w:color w:val="000000"/>
                <w:lang w:val="hu-HU" w:eastAsia="hu-HU"/>
              </w:rPr>
              <w:t>~ 18</w:t>
            </w:r>
          </w:p>
        </w:tc>
        <w:tc>
          <w:tcPr>
            <w:tcW w:w="2832" w:type="dxa"/>
            <w:tcBorders>
              <w:top w:val="single" w:sz="4" w:space="0" w:color="000000"/>
              <w:left w:val="single" w:sz="4" w:space="0" w:color="000000"/>
              <w:bottom w:val="single" w:sz="4" w:space="0" w:color="000000"/>
              <w:right w:val="single" w:sz="4" w:space="0" w:color="000000"/>
            </w:tcBorders>
          </w:tcPr>
          <w:p w14:paraId="0B87A4A1" w14:textId="77777777" w:rsidR="00736F4A" w:rsidRDefault="00100640">
            <w:pPr>
              <w:tabs>
                <w:tab w:val="clear" w:pos="567"/>
              </w:tabs>
              <w:spacing w:line="240" w:lineRule="auto"/>
              <w:rPr>
                <w:color w:val="000000"/>
                <w:lang w:val="hu-HU" w:eastAsia="hu-HU"/>
              </w:rPr>
            </w:pPr>
            <w:r>
              <w:rPr>
                <w:color w:val="000000"/>
                <w:lang w:val="hu-HU" w:eastAsia="hu-HU"/>
              </w:rPr>
              <w:t>4 nappal előtte</w:t>
            </w:r>
          </w:p>
        </w:tc>
        <w:tc>
          <w:tcPr>
            <w:tcW w:w="2782" w:type="dxa"/>
            <w:tcBorders>
              <w:top w:val="single" w:sz="4" w:space="0" w:color="000000"/>
              <w:left w:val="single" w:sz="4" w:space="0" w:color="000000"/>
              <w:bottom w:val="single" w:sz="4" w:space="0" w:color="000000"/>
              <w:right w:val="single" w:sz="4" w:space="0" w:color="000000"/>
            </w:tcBorders>
          </w:tcPr>
          <w:p w14:paraId="6DC36B42" w14:textId="77777777" w:rsidR="00736F4A" w:rsidRDefault="00100640">
            <w:pPr>
              <w:tabs>
                <w:tab w:val="clear" w:pos="567"/>
              </w:tabs>
              <w:spacing w:line="240" w:lineRule="auto"/>
              <w:ind w:left="2"/>
              <w:rPr>
                <w:color w:val="000000"/>
                <w:lang w:val="hu-HU" w:eastAsia="hu-HU"/>
              </w:rPr>
            </w:pPr>
            <w:r>
              <w:rPr>
                <w:color w:val="000000"/>
                <w:lang w:val="hu-HU" w:eastAsia="hu-HU"/>
              </w:rPr>
              <w:t>2-3 nappal előtte (&gt; 48 óra)</w:t>
            </w:r>
          </w:p>
        </w:tc>
      </w:tr>
    </w:tbl>
    <w:p w14:paraId="2065BC26" w14:textId="77777777" w:rsidR="00736F4A" w:rsidRDefault="00736F4A">
      <w:pPr>
        <w:spacing w:line="240" w:lineRule="auto"/>
        <w:rPr>
          <w:lang w:val="hu-HU"/>
        </w:rPr>
      </w:pPr>
    </w:p>
    <w:p w14:paraId="79EFC429" w14:textId="77777777" w:rsidR="00736F4A" w:rsidRDefault="00100640">
      <w:pPr>
        <w:spacing w:line="240" w:lineRule="auto"/>
        <w:ind w:left="7" w:right="9"/>
      </w:pPr>
      <w:r>
        <w:t>Az invazív vagy sebészi beavatkozások előtti leállításra vonatkozó szabályokat gyermekeknél és serdülőknél a 7. táblázat foglalja össze.</w:t>
      </w:r>
    </w:p>
    <w:p w14:paraId="7E45483C" w14:textId="77777777" w:rsidR="00736F4A" w:rsidRDefault="00736F4A">
      <w:pPr>
        <w:spacing w:line="240" w:lineRule="auto"/>
        <w:ind w:left="7" w:right="9"/>
      </w:pPr>
    </w:p>
    <w:p w14:paraId="42F12301" w14:textId="77777777" w:rsidR="00736F4A" w:rsidRDefault="00100640">
      <w:pPr>
        <w:spacing w:line="240" w:lineRule="auto"/>
      </w:pPr>
      <w:r>
        <w:rPr>
          <w:b/>
        </w:rPr>
        <w:t>7. táblázat. Az invazív vagy sebészi beavatkozások előtti leállításra vonatkozó szabályok gyermekeknél és serdülőknél</w:t>
      </w:r>
    </w:p>
    <w:p w14:paraId="37D8A4EC" w14:textId="77777777" w:rsidR="00736F4A" w:rsidRDefault="00736F4A">
      <w:pPr>
        <w:spacing w:line="240" w:lineRule="auto"/>
      </w:pPr>
    </w:p>
    <w:tbl>
      <w:tblPr>
        <w:tblW w:w="9082" w:type="dxa"/>
        <w:tblInd w:w="-5" w:type="dxa"/>
        <w:tblCellMar>
          <w:top w:w="51" w:type="dxa"/>
          <w:left w:w="142" w:type="dxa"/>
          <w:right w:w="115" w:type="dxa"/>
        </w:tblCellMar>
        <w:tblLook w:val="04A0" w:firstRow="1" w:lastRow="0" w:firstColumn="1" w:lastColumn="0" w:noHBand="0" w:noVBand="1"/>
      </w:tblPr>
      <w:tblGrid>
        <w:gridCol w:w="3521"/>
        <w:gridCol w:w="5561"/>
      </w:tblGrid>
      <w:tr w:rsidR="00736F4A" w14:paraId="792A861D" w14:textId="77777777">
        <w:trPr>
          <w:trHeight w:val="516"/>
        </w:trPr>
        <w:tc>
          <w:tcPr>
            <w:tcW w:w="3521" w:type="dxa"/>
            <w:tcBorders>
              <w:top w:val="single" w:sz="4" w:space="0" w:color="000000"/>
              <w:left w:val="single" w:sz="4" w:space="0" w:color="000000"/>
              <w:bottom w:val="single" w:sz="4" w:space="0" w:color="000000"/>
              <w:right w:val="single" w:sz="4" w:space="0" w:color="000000"/>
            </w:tcBorders>
          </w:tcPr>
          <w:p w14:paraId="0D3BB71F" w14:textId="77777777" w:rsidR="00736F4A" w:rsidRDefault="00100640">
            <w:pPr>
              <w:spacing w:line="240" w:lineRule="auto"/>
              <w:rPr>
                <w:lang w:val="hu-HU"/>
              </w:rPr>
            </w:pPr>
            <w:r>
              <w:rPr>
                <w:lang w:val="hu-HU"/>
              </w:rPr>
              <w:t>Vesefunkció</w:t>
            </w:r>
          </w:p>
          <w:p w14:paraId="46ECDB61" w14:textId="77777777" w:rsidR="00736F4A" w:rsidRDefault="00100640">
            <w:pPr>
              <w:spacing w:line="240" w:lineRule="auto"/>
              <w:rPr>
                <w:lang w:val="hu-HU"/>
              </w:rPr>
            </w:pPr>
            <w:r>
              <w:rPr>
                <w:lang w:val="hu-HU"/>
              </w:rPr>
              <w:t>(eGFR ml/perc/1,73m</w:t>
            </w:r>
            <w:r>
              <w:rPr>
                <w:vertAlign w:val="superscript"/>
                <w:lang w:val="hu-HU"/>
              </w:rPr>
              <w:t>2</w:t>
            </w:r>
            <w:r>
              <w:rPr>
                <w:lang w:val="hu-HU"/>
              </w:rPr>
              <w:t xml:space="preserve"> értékben)</w:t>
            </w:r>
          </w:p>
        </w:tc>
        <w:tc>
          <w:tcPr>
            <w:tcW w:w="5561" w:type="dxa"/>
            <w:tcBorders>
              <w:top w:val="single" w:sz="4" w:space="0" w:color="000000"/>
              <w:left w:val="single" w:sz="4" w:space="0" w:color="000000"/>
              <w:bottom w:val="single" w:sz="4" w:space="0" w:color="000000"/>
              <w:right w:val="single" w:sz="4" w:space="0" w:color="000000"/>
            </w:tcBorders>
          </w:tcPr>
          <w:p w14:paraId="07A8FE25" w14:textId="77777777" w:rsidR="00736F4A" w:rsidRDefault="00100640">
            <w:pPr>
              <w:spacing w:line="240" w:lineRule="auto"/>
              <w:rPr>
                <w:lang w:val="hu-HU"/>
              </w:rPr>
            </w:pPr>
            <w:r>
              <w:rPr>
                <w:lang w:val="hu-HU"/>
              </w:rPr>
              <w:t>Dabigatrán-etexilát-kezelés leállítása elektív műtét előtt</w:t>
            </w:r>
          </w:p>
        </w:tc>
      </w:tr>
      <w:tr w:rsidR="00736F4A" w14:paraId="32552F40" w14:textId="77777777">
        <w:trPr>
          <w:trHeight w:val="264"/>
        </w:trPr>
        <w:tc>
          <w:tcPr>
            <w:tcW w:w="3521" w:type="dxa"/>
            <w:tcBorders>
              <w:top w:val="single" w:sz="4" w:space="0" w:color="000000"/>
              <w:left w:val="single" w:sz="4" w:space="0" w:color="000000"/>
              <w:bottom w:val="single" w:sz="4" w:space="0" w:color="000000"/>
              <w:right w:val="single" w:sz="4" w:space="0" w:color="000000"/>
            </w:tcBorders>
          </w:tcPr>
          <w:p w14:paraId="6F67FAF9" w14:textId="77777777" w:rsidR="00736F4A" w:rsidRDefault="00100640">
            <w:pPr>
              <w:spacing w:line="240" w:lineRule="auto"/>
              <w:rPr>
                <w:lang w:val="hu-HU"/>
              </w:rPr>
            </w:pPr>
            <w:r>
              <w:rPr>
                <w:lang w:val="hu-HU"/>
              </w:rPr>
              <w:t>&gt; 80</w:t>
            </w:r>
          </w:p>
        </w:tc>
        <w:tc>
          <w:tcPr>
            <w:tcW w:w="5561" w:type="dxa"/>
            <w:tcBorders>
              <w:top w:val="single" w:sz="4" w:space="0" w:color="000000"/>
              <w:left w:val="single" w:sz="4" w:space="0" w:color="000000"/>
              <w:bottom w:val="single" w:sz="4" w:space="0" w:color="000000"/>
              <w:right w:val="single" w:sz="4" w:space="0" w:color="000000"/>
            </w:tcBorders>
          </w:tcPr>
          <w:p w14:paraId="031406CA" w14:textId="77777777" w:rsidR="00736F4A" w:rsidRDefault="00100640">
            <w:pPr>
              <w:spacing w:line="240" w:lineRule="auto"/>
              <w:rPr>
                <w:lang w:val="hu-HU"/>
              </w:rPr>
            </w:pPr>
            <w:r>
              <w:rPr>
                <w:lang w:val="hu-HU"/>
              </w:rPr>
              <w:t>24 órával előtte</w:t>
            </w:r>
          </w:p>
        </w:tc>
      </w:tr>
      <w:tr w:rsidR="00736F4A" w14:paraId="245C6CE8" w14:textId="77777777">
        <w:trPr>
          <w:trHeight w:val="262"/>
        </w:trPr>
        <w:tc>
          <w:tcPr>
            <w:tcW w:w="3521" w:type="dxa"/>
            <w:tcBorders>
              <w:top w:val="single" w:sz="4" w:space="0" w:color="000000"/>
              <w:left w:val="single" w:sz="4" w:space="0" w:color="000000"/>
              <w:bottom w:val="single" w:sz="4" w:space="0" w:color="000000"/>
              <w:right w:val="single" w:sz="4" w:space="0" w:color="000000"/>
            </w:tcBorders>
          </w:tcPr>
          <w:p w14:paraId="0902891E" w14:textId="77777777" w:rsidR="00736F4A" w:rsidRDefault="00100640">
            <w:pPr>
              <w:spacing w:line="240" w:lineRule="auto"/>
              <w:rPr>
                <w:lang w:val="hu-HU"/>
              </w:rPr>
            </w:pPr>
            <w:r>
              <w:rPr>
                <w:lang w:val="hu-HU"/>
              </w:rPr>
              <w:t>50 – 80</w:t>
            </w:r>
          </w:p>
        </w:tc>
        <w:tc>
          <w:tcPr>
            <w:tcW w:w="5561" w:type="dxa"/>
            <w:tcBorders>
              <w:top w:val="single" w:sz="4" w:space="0" w:color="000000"/>
              <w:left w:val="single" w:sz="4" w:space="0" w:color="000000"/>
              <w:bottom w:val="single" w:sz="4" w:space="0" w:color="000000"/>
              <w:right w:val="single" w:sz="4" w:space="0" w:color="000000"/>
            </w:tcBorders>
          </w:tcPr>
          <w:p w14:paraId="4152E65E" w14:textId="77777777" w:rsidR="00736F4A" w:rsidRDefault="00100640">
            <w:pPr>
              <w:spacing w:line="240" w:lineRule="auto"/>
              <w:rPr>
                <w:lang w:val="hu-HU"/>
              </w:rPr>
            </w:pPr>
            <w:r>
              <w:rPr>
                <w:lang w:val="hu-HU"/>
              </w:rPr>
              <w:t>2 nappal előtte</w:t>
            </w:r>
          </w:p>
        </w:tc>
      </w:tr>
      <w:tr w:rsidR="00736F4A" w14:paraId="11F8EB50" w14:textId="77777777">
        <w:trPr>
          <w:trHeight w:val="264"/>
        </w:trPr>
        <w:tc>
          <w:tcPr>
            <w:tcW w:w="3521" w:type="dxa"/>
            <w:tcBorders>
              <w:top w:val="single" w:sz="4" w:space="0" w:color="000000"/>
              <w:left w:val="single" w:sz="4" w:space="0" w:color="000000"/>
              <w:bottom w:val="single" w:sz="4" w:space="0" w:color="000000"/>
              <w:right w:val="single" w:sz="4" w:space="0" w:color="000000"/>
            </w:tcBorders>
          </w:tcPr>
          <w:p w14:paraId="08CAC212" w14:textId="77777777" w:rsidR="00736F4A" w:rsidRDefault="00100640">
            <w:pPr>
              <w:spacing w:line="240" w:lineRule="auto"/>
              <w:rPr>
                <w:lang w:val="hu-HU"/>
              </w:rPr>
            </w:pPr>
            <w:r>
              <w:rPr>
                <w:lang w:val="hu-HU"/>
              </w:rPr>
              <w:t>&lt; 50</w:t>
            </w:r>
          </w:p>
        </w:tc>
        <w:tc>
          <w:tcPr>
            <w:tcW w:w="5561" w:type="dxa"/>
            <w:tcBorders>
              <w:top w:val="single" w:sz="4" w:space="0" w:color="000000"/>
              <w:left w:val="single" w:sz="4" w:space="0" w:color="000000"/>
              <w:bottom w:val="single" w:sz="4" w:space="0" w:color="000000"/>
              <w:right w:val="single" w:sz="4" w:space="0" w:color="000000"/>
            </w:tcBorders>
          </w:tcPr>
          <w:p w14:paraId="6583F272" w14:textId="77777777" w:rsidR="00736F4A" w:rsidRDefault="00100640">
            <w:pPr>
              <w:spacing w:line="240" w:lineRule="auto"/>
              <w:rPr>
                <w:lang w:val="hu-HU"/>
              </w:rPr>
            </w:pPr>
            <w:r>
              <w:rPr>
                <w:lang w:val="hu-HU"/>
              </w:rPr>
              <w:t>Nem vizsgálták ezeket a betegeket (lásd 4.3 pont).</w:t>
            </w:r>
          </w:p>
        </w:tc>
      </w:tr>
    </w:tbl>
    <w:p w14:paraId="1568251F" w14:textId="77777777" w:rsidR="00736F4A" w:rsidRDefault="00736F4A">
      <w:pPr>
        <w:spacing w:line="240" w:lineRule="auto"/>
        <w:ind w:left="7"/>
        <w:rPr>
          <w:iCs/>
        </w:rPr>
      </w:pPr>
    </w:p>
    <w:p w14:paraId="5764CD8F" w14:textId="77777777" w:rsidR="00736F4A" w:rsidRDefault="00100640">
      <w:pPr>
        <w:spacing w:line="240" w:lineRule="auto"/>
        <w:ind w:left="7"/>
      </w:pPr>
      <w:r>
        <w:rPr>
          <w:i/>
          <w:u w:val="single" w:color="000000"/>
        </w:rPr>
        <w:t>Spinalis anaesthesia /epiduralis anaesthesia /lumbalpunctio</w:t>
      </w:r>
    </w:p>
    <w:p w14:paraId="512EC2BC" w14:textId="77777777" w:rsidR="00736F4A" w:rsidRDefault="00736F4A">
      <w:pPr>
        <w:spacing w:line="240" w:lineRule="auto"/>
        <w:ind w:left="7" w:right="9"/>
      </w:pPr>
    </w:p>
    <w:p w14:paraId="09F193B2" w14:textId="77777777" w:rsidR="00736F4A" w:rsidRDefault="00100640">
      <w:pPr>
        <w:spacing w:line="240" w:lineRule="auto"/>
        <w:ind w:left="7" w:right="9"/>
      </w:pPr>
      <w:r>
        <w:t>Az olyan beavatkozások esetén, mint a spinalis anaesthesia, a haemostasis rendszer teljes működésére szükség lehet.</w:t>
      </w:r>
    </w:p>
    <w:p w14:paraId="13BBCEA3" w14:textId="77777777" w:rsidR="00736F4A" w:rsidRDefault="00736F4A">
      <w:pPr>
        <w:spacing w:line="240" w:lineRule="auto"/>
        <w:ind w:left="7" w:right="9"/>
      </w:pPr>
    </w:p>
    <w:p w14:paraId="26F2F4D2" w14:textId="77777777" w:rsidR="00736F4A" w:rsidRDefault="00100640">
      <w:pPr>
        <w:spacing w:line="240" w:lineRule="auto"/>
        <w:ind w:left="7" w:right="9"/>
      </w:pPr>
      <w:r>
        <w:t>A spinalis vagy epiduralis haematoma kockázata fokozott lehet traumás vagy ismételt punctio, valamint epiduralis kanülök tartós alkalmazása esetén. A kanül eltávolítása után legalább 2 órának kell eltelnie a dabigatrán-etexilát első dózisának a beadásáig. Ezeknél a betegek állapotát gyakran kell ellenőrizni a spinalis vagy epiduralis haematoma neurológiai jeleinek és tüneteinek észlelése érdekében.</w:t>
      </w:r>
    </w:p>
    <w:p w14:paraId="51A6D934" w14:textId="77777777" w:rsidR="00736F4A" w:rsidRDefault="00736F4A">
      <w:pPr>
        <w:spacing w:line="240" w:lineRule="auto"/>
        <w:rPr>
          <w:lang w:val="hu-HU"/>
        </w:rPr>
      </w:pPr>
    </w:p>
    <w:p w14:paraId="08E79395" w14:textId="77777777" w:rsidR="00736F4A" w:rsidRDefault="00100640">
      <w:pPr>
        <w:spacing w:line="240" w:lineRule="auto"/>
        <w:ind w:left="7"/>
      </w:pPr>
      <w:r>
        <w:rPr>
          <w:i/>
          <w:u w:val="single" w:color="000000"/>
        </w:rPr>
        <w:t>Posztoperatív időszak</w:t>
      </w:r>
    </w:p>
    <w:p w14:paraId="37157FFD" w14:textId="77777777" w:rsidR="00736F4A" w:rsidRDefault="00736F4A">
      <w:pPr>
        <w:spacing w:line="240" w:lineRule="auto"/>
        <w:ind w:left="7" w:right="9"/>
      </w:pPr>
    </w:p>
    <w:p w14:paraId="4EDBE3FA" w14:textId="77777777" w:rsidR="00736F4A" w:rsidRDefault="00100640">
      <w:pPr>
        <w:spacing w:line="240" w:lineRule="auto"/>
        <w:ind w:left="7" w:right="9"/>
      </w:pPr>
      <w:r>
        <w:t>Invazív eljárást vagy sebészi beavatkozást követően a dabigatrán-etexilát-kezelést olyan hamar újra kell kezdeni, amennyire a klinikai helyzet megengedi, illetve amikor az adekvát haemostasis kialakult.</w:t>
      </w:r>
    </w:p>
    <w:p w14:paraId="64C5CA34" w14:textId="77777777" w:rsidR="00736F4A" w:rsidRDefault="00736F4A">
      <w:pPr>
        <w:spacing w:line="240" w:lineRule="auto"/>
        <w:ind w:left="7" w:right="9"/>
      </w:pPr>
    </w:p>
    <w:p w14:paraId="12EB2BAC" w14:textId="77777777" w:rsidR="00736F4A" w:rsidRDefault="00100640">
      <w:pPr>
        <w:spacing w:line="240" w:lineRule="auto"/>
        <w:ind w:left="7" w:right="9"/>
      </w:pPr>
      <w:r>
        <w:t>Óvatosan kell kezelni a vérzésveszélynek vagy túlzott expozíciónak kitett (nevezetesen vesekárosodásban szenvedő) (lásd még 4. táblázat) betegeket (lásd 4.4 és 5.1 pont).</w:t>
      </w:r>
    </w:p>
    <w:p w14:paraId="62F725D9" w14:textId="77777777" w:rsidR="00736F4A" w:rsidRDefault="00736F4A">
      <w:pPr>
        <w:spacing w:line="240" w:lineRule="auto"/>
        <w:rPr>
          <w:lang w:val="hu-HU"/>
        </w:rPr>
      </w:pPr>
    </w:p>
    <w:p w14:paraId="3E73D0CC" w14:textId="77777777" w:rsidR="00736F4A" w:rsidRDefault="00100640">
      <w:pPr>
        <w:spacing w:line="240" w:lineRule="auto"/>
        <w:rPr>
          <w:u w:val="single"/>
          <w:lang w:val="hu-HU"/>
        </w:rPr>
      </w:pPr>
      <w:r>
        <w:rPr>
          <w:u w:val="single"/>
          <w:lang w:val="hu-HU"/>
        </w:rPr>
        <w:t>Nagy műtéti mortalitási kockázatú és thromboemboliás eseményre hajlamosító intrinsic rizikófaktorral rendelkező betegek</w:t>
      </w:r>
    </w:p>
    <w:p w14:paraId="7C1DE937" w14:textId="77777777" w:rsidR="00736F4A" w:rsidRDefault="00736F4A">
      <w:pPr>
        <w:spacing w:line="240" w:lineRule="auto"/>
        <w:rPr>
          <w:u w:val="single"/>
          <w:lang w:val="hu-HU"/>
        </w:rPr>
      </w:pPr>
    </w:p>
    <w:p w14:paraId="2288CB48" w14:textId="77777777" w:rsidR="00736F4A" w:rsidRDefault="00100640">
      <w:pPr>
        <w:spacing w:line="240" w:lineRule="auto"/>
        <w:rPr>
          <w:lang w:val="hu-HU"/>
        </w:rPr>
      </w:pPr>
      <w:r>
        <w:rPr>
          <w:lang w:val="hu-HU"/>
        </w:rPr>
        <w:t>Ezen betegekre vonatkozóan a dabigatrán-etexilát hatásosságára és biztonságosságára vonatkozó adatok korlátozottak, ezért csak óvatosan kezelhetők.</w:t>
      </w:r>
    </w:p>
    <w:p w14:paraId="74EB5D00" w14:textId="77777777" w:rsidR="00736F4A" w:rsidRDefault="00736F4A">
      <w:pPr>
        <w:spacing w:line="240" w:lineRule="auto"/>
        <w:rPr>
          <w:lang w:val="hu-HU"/>
        </w:rPr>
      </w:pPr>
    </w:p>
    <w:p w14:paraId="045BACA9" w14:textId="77777777" w:rsidR="00736F4A" w:rsidRDefault="00100640">
      <w:pPr>
        <w:spacing w:line="240" w:lineRule="auto"/>
        <w:rPr>
          <w:u w:val="single"/>
          <w:lang w:val="hu-HU"/>
        </w:rPr>
      </w:pPr>
      <w:r>
        <w:rPr>
          <w:u w:val="single"/>
          <w:lang w:val="hu-HU"/>
        </w:rPr>
        <w:t>Májkárosodás</w:t>
      </w:r>
    </w:p>
    <w:p w14:paraId="4BFB72FC" w14:textId="77777777" w:rsidR="00736F4A" w:rsidRDefault="00736F4A">
      <w:pPr>
        <w:spacing w:line="240" w:lineRule="auto"/>
        <w:rPr>
          <w:u w:val="single"/>
          <w:lang w:val="hu-HU"/>
        </w:rPr>
      </w:pPr>
    </w:p>
    <w:p w14:paraId="0877121B" w14:textId="77777777" w:rsidR="00736F4A" w:rsidRDefault="00100640">
      <w:pPr>
        <w:spacing w:line="240" w:lineRule="auto"/>
        <w:rPr>
          <w:lang w:val="hu-HU"/>
        </w:rPr>
      </w:pPr>
      <w:r>
        <w:rPr>
          <w:lang w:val="hu-HU"/>
        </w:rPr>
        <w:t>A fő vizsgálatokból kizárták azokat a betegeket, akiknek a májenzimértékei a normál érték felső határának (ULN) kétszeresét meghaladták. Ebben a beteg alcsoportban nem áll rendelkezésre klinikai vizsgálati tapasztalat, ezért a dabigatrán-etexilát alkalmazása ebben a betegcsoportban nem javasolt. Kontraindikációt jelent bármilyen májkárosodás vagy májbetegség aminek várhatóan hatása lehet a túlélésre (lásd 4.3 pont).</w:t>
      </w:r>
    </w:p>
    <w:p w14:paraId="5AFE4024" w14:textId="77777777" w:rsidR="00736F4A" w:rsidRDefault="00736F4A">
      <w:pPr>
        <w:spacing w:line="240" w:lineRule="auto"/>
        <w:rPr>
          <w:lang w:val="hu-HU"/>
        </w:rPr>
      </w:pPr>
    </w:p>
    <w:p w14:paraId="66EF96F8" w14:textId="77777777" w:rsidR="00736F4A" w:rsidRDefault="00100640">
      <w:pPr>
        <w:spacing w:line="240" w:lineRule="auto"/>
        <w:rPr>
          <w:u w:val="single"/>
          <w:lang w:val="hu-HU"/>
        </w:rPr>
      </w:pPr>
      <w:r>
        <w:rPr>
          <w:u w:val="single"/>
          <w:lang w:val="hu-HU"/>
        </w:rPr>
        <w:t>Interakció a P-gp-induktorokkal</w:t>
      </w:r>
    </w:p>
    <w:p w14:paraId="107F8588" w14:textId="77777777" w:rsidR="00736F4A" w:rsidRDefault="00736F4A">
      <w:pPr>
        <w:spacing w:line="240" w:lineRule="auto"/>
        <w:rPr>
          <w:u w:val="single"/>
          <w:lang w:val="hu-HU"/>
        </w:rPr>
      </w:pPr>
    </w:p>
    <w:p w14:paraId="0732794B" w14:textId="77777777" w:rsidR="00736F4A" w:rsidRDefault="00100640">
      <w:pPr>
        <w:spacing w:line="240" w:lineRule="auto"/>
        <w:rPr>
          <w:lang w:val="hu-HU"/>
        </w:rPr>
      </w:pPr>
      <w:r>
        <w:rPr>
          <w:lang w:val="hu-HU"/>
        </w:rPr>
        <w:t>A P-gp-induktorok egyidejű adása várhatóan csökkenti a dabigatrán plazmakoncentrációit, ezért együttadásukat kerülni kell (lásd 4.5 és 5.2 pont).</w:t>
      </w:r>
    </w:p>
    <w:p w14:paraId="3663DF47" w14:textId="77777777" w:rsidR="00736F4A" w:rsidRDefault="00736F4A">
      <w:pPr>
        <w:spacing w:line="240" w:lineRule="auto"/>
        <w:rPr>
          <w:lang w:val="hu-HU"/>
        </w:rPr>
      </w:pPr>
    </w:p>
    <w:p w14:paraId="30798701" w14:textId="77777777" w:rsidR="00736F4A" w:rsidRDefault="00100640">
      <w:pPr>
        <w:spacing w:line="240" w:lineRule="auto"/>
        <w:rPr>
          <w:u w:val="single"/>
          <w:lang w:val="hu-HU"/>
        </w:rPr>
      </w:pPr>
      <w:r>
        <w:rPr>
          <w:u w:val="single"/>
          <w:lang w:val="hu-HU"/>
        </w:rPr>
        <w:t>Antifoszfolipid szindrómában szenvedő betegek</w:t>
      </w:r>
    </w:p>
    <w:p w14:paraId="413CED88" w14:textId="77777777" w:rsidR="00736F4A" w:rsidRDefault="00736F4A">
      <w:pPr>
        <w:spacing w:line="240" w:lineRule="auto"/>
        <w:rPr>
          <w:lang w:val="hu-HU"/>
        </w:rPr>
      </w:pPr>
    </w:p>
    <w:p w14:paraId="59714EC6" w14:textId="77777777" w:rsidR="00736F4A" w:rsidRDefault="00100640">
      <w:pPr>
        <w:spacing w:line="240" w:lineRule="auto"/>
        <w:rPr>
          <w:lang w:val="hu-HU"/>
        </w:rPr>
      </w:pPr>
      <w:r>
        <w:rPr>
          <w:lang w:val="hu-HU"/>
        </w:rPr>
        <w:t xml:space="preserve">A direkt hatású orális antikoagulánsok (DOAC), köztük a dabigatrán-etexilát, nem javasoltak olyan, korábban thrombosison átesett betegeknél, akiknél antifoszfolipid szindrómát diagnosztizáltak. </w:t>
      </w:r>
      <w:r>
        <w:rPr>
          <w:lang w:val="hu-HU"/>
        </w:rPr>
        <w:lastRenderedPageBreak/>
        <w:t>Különösen azon betegeknél, akik mindhárom antifoszfolipid vizsgálatra pozitívnak bizonyultak (lupusz antikoaguláns, antikardiolipin antitestek és anti-béta-2-glikoprotein-I antitestek) a DOAC-terápia a thrombotikus események kiújulásának nagyobb gyakoriságával társulhat összehasonlítva a K-vitamin-antagonista-kezeléssel.</w:t>
      </w:r>
    </w:p>
    <w:p w14:paraId="6AE7EFFF" w14:textId="77777777" w:rsidR="00736F4A" w:rsidRDefault="00736F4A">
      <w:pPr>
        <w:spacing w:line="240" w:lineRule="auto"/>
        <w:rPr>
          <w:lang w:val="hu-HU"/>
        </w:rPr>
      </w:pPr>
    </w:p>
    <w:p w14:paraId="5EEF0352" w14:textId="77777777" w:rsidR="00736F4A" w:rsidRDefault="00100640">
      <w:pPr>
        <w:spacing w:line="240" w:lineRule="auto"/>
        <w:rPr>
          <w:u w:val="single"/>
          <w:lang w:val="hu-HU"/>
        </w:rPr>
      </w:pPr>
      <w:r>
        <w:rPr>
          <w:u w:val="single"/>
          <w:lang w:val="hu-HU"/>
        </w:rPr>
        <w:t>Myocardialis infarctus (MI)</w:t>
      </w:r>
    </w:p>
    <w:p w14:paraId="125F3A08" w14:textId="77777777" w:rsidR="00736F4A" w:rsidRDefault="00736F4A">
      <w:pPr>
        <w:spacing w:line="240" w:lineRule="auto"/>
        <w:rPr>
          <w:lang w:val="hu-HU"/>
        </w:rPr>
      </w:pPr>
    </w:p>
    <w:p w14:paraId="6A420531" w14:textId="77777777" w:rsidR="00736F4A" w:rsidRDefault="00100640">
      <w:pPr>
        <w:spacing w:line="240" w:lineRule="auto"/>
        <w:ind w:left="7" w:right="9"/>
      </w:pPr>
      <w:r>
        <w:t>A III. fázisú RE-LY vizsgálatban (SPAF, lásd 5.1 pont) az MI éves abszolút aránya 0,82% volt a napi kétszer 110 mg dabigatrán-etexilátot, 0,81% a napi kétszer 150 mg dabigatrán-etexilátot és 0,64% a warfarint kapó betegeknél, ami a dabigatrán 29, illetve 27%-os relatív kockázatnövekedését jelenti a warfarinhoz képest. A kezeléstől függetlenül a MI legmagasabb abszolút kockázatát találták a következő alcsoportokban, hasonló relatív kockázattal: korábban MI-on átesett betegek; 65 év feletti, diabeteses vagy koszorúér-betegségben szenvedő betegek; 40%-nál alacsonyabb bal kamrai ejekciós frakciójú betegek; és közepesen súlyos vesekárosodásban szenvedő betegek. Továbbá nagyobb MI kockázatot találtak az egyidejűleg ASA-t és klopidogrelt vagy klopidogrelt önmagában szedő betegeknél.</w:t>
      </w:r>
    </w:p>
    <w:p w14:paraId="01CE232A" w14:textId="77777777" w:rsidR="00736F4A" w:rsidRDefault="00736F4A">
      <w:pPr>
        <w:spacing w:line="240" w:lineRule="auto"/>
        <w:ind w:left="7" w:right="9"/>
      </w:pPr>
    </w:p>
    <w:p w14:paraId="5C27A71F" w14:textId="77777777" w:rsidR="00736F4A" w:rsidRDefault="00100640">
      <w:pPr>
        <w:spacing w:line="240" w:lineRule="auto"/>
        <w:ind w:left="7" w:right="9"/>
      </w:pPr>
      <w:r>
        <w:t>A három aktív kontrollos, MVT/PE III. fázisú vizsgálatban nagyobb gyakorisággal észlelték MI jelentkezését azoknál a betegeknél, akik dabigatrán-etexilátot kaptak, mint azoknál, akiket warfarinnal kezeltek: 0,4% vs. 0,2% a rövid távú RE-COVER és RE-COVER II vizsgálatokban; és 0,8% vs. 0,1% a hosszú távú RE-MEDY vizsgálatban. A növekedés ebben a vizsgálatban statisztikailag szignifikáns volt (p=0,022).</w:t>
      </w:r>
    </w:p>
    <w:p w14:paraId="78433830" w14:textId="77777777" w:rsidR="00736F4A" w:rsidRDefault="00736F4A">
      <w:pPr>
        <w:spacing w:line="240" w:lineRule="auto"/>
        <w:ind w:left="7" w:right="9"/>
      </w:pPr>
    </w:p>
    <w:p w14:paraId="45CF77CF" w14:textId="77777777" w:rsidR="00736F4A" w:rsidRDefault="00100640">
      <w:pPr>
        <w:spacing w:line="240" w:lineRule="auto"/>
        <w:ind w:left="7" w:right="9"/>
      </w:pPr>
      <w:r>
        <w:t>A RE-SONATE vizsgálatban, amelyben a dabigatrán-etexilátot placebóval hasonlították össze, a MI gyakorisága 0,1% volt a dabigatrán-etexilátot kapó, és 0,2% a placebót kapó betegeknél.</w:t>
      </w:r>
    </w:p>
    <w:p w14:paraId="4334091B" w14:textId="77777777" w:rsidR="00736F4A" w:rsidRDefault="00736F4A">
      <w:pPr>
        <w:spacing w:line="240" w:lineRule="auto"/>
        <w:rPr>
          <w:lang w:val="hu-HU"/>
        </w:rPr>
      </w:pPr>
    </w:p>
    <w:p w14:paraId="3E4E2088" w14:textId="77777777" w:rsidR="00736F4A" w:rsidRDefault="00100640">
      <w:pPr>
        <w:spacing w:line="240" w:lineRule="auto"/>
        <w:rPr>
          <w:u w:val="single"/>
          <w:lang w:val="hu-HU"/>
        </w:rPr>
      </w:pPr>
      <w:r>
        <w:rPr>
          <w:u w:val="single"/>
          <w:lang w:val="hu-HU"/>
        </w:rPr>
        <w:t>Aktív daganatos betegségben szenvedők (MVT/PE, VTE kezelése gyermekeknél és serdülőknél)</w:t>
      </w:r>
    </w:p>
    <w:p w14:paraId="5642E56F" w14:textId="77777777" w:rsidR="00736F4A" w:rsidRDefault="00736F4A">
      <w:pPr>
        <w:spacing w:line="240" w:lineRule="auto"/>
        <w:rPr>
          <w:u w:val="single"/>
          <w:lang w:val="hu-HU"/>
        </w:rPr>
      </w:pPr>
    </w:p>
    <w:p w14:paraId="5F68BFF8" w14:textId="77777777" w:rsidR="00736F4A" w:rsidRDefault="00100640">
      <w:pPr>
        <w:spacing w:line="240" w:lineRule="auto"/>
        <w:rPr>
          <w:lang w:val="hu-HU"/>
        </w:rPr>
      </w:pPr>
      <w:r>
        <w:t xml:space="preserve">A hatásosságot és biztonságosságot </w:t>
      </w:r>
      <w:r>
        <w:rPr>
          <w:lang w:val="hu-HU"/>
        </w:rPr>
        <w:t>nem igazolták MVT/PE kezelésére során,</w:t>
      </w:r>
      <w:r>
        <w:t xml:space="preserve"> aktív daganatos betegségben szenvedő betegeknél. Aktív daganatos betegségben szenvedő gyermekeknél és serdülőknél korlátozottan állnak rendelkezésre adatok a hatásosságra és biztonságosságra vonatkozóan.</w:t>
      </w:r>
    </w:p>
    <w:p w14:paraId="50997578" w14:textId="77777777" w:rsidR="00736F4A" w:rsidRDefault="00736F4A">
      <w:pPr>
        <w:spacing w:line="240" w:lineRule="auto"/>
        <w:rPr>
          <w:lang w:val="hu-HU"/>
        </w:rPr>
      </w:pPr>
    </w:p>
    <w:p w14:paraId="2A3C5769" w14:textId="77777777" w:rsidR="00736F4A" w:rsidRDefault="00100640">
      <w:pPr>
        <w:spacing w:line="240" w:lineRule="auto"/>
        <w:rPr>
          <w:u w:val="single"/>
          <w:lang w:val="hu-HU"/>
        </w:rPr>
      </w:pPr>
      <w:r>
        <w:rPr>
          <w:u w:val="single"/>
          <w:lang w:val="hu-HU"/>
        </w:rPr>
        <w:t>Gyermekek és serdülők</w:t>
      </w:r>
    </w:p>
    <w:p w14:paraId="67F21050" w14:textId="77777777" w:rsidR="00736F4A" w:rsidRDefault="00736F4A">
      <w:pPr>
        <w:spacing w:line="240" w:lineRule="auto"/>
        <w:rPr>
          <w:u w:val="single"/>
          <w:lang w:val="hu-HU"/>
        </w:rPr>
      </w:pPr>
    </w:p>
    <w:p w14:paraId="4C68BD9B" w14:textId="77777777" w:rsidR="00736F4A" w:rsidRDefault="00100640">
      <w:pPr>
        <w:spacing w:line="240" w:lineRule="auto"/>
        <w:rPr>
          <w:lang w:val="hu-HU"/>
        </w:rPr>
      </w:pPr>
      <w:r>
        <w:rPr>
          <w:lang w:val="hu-HU"/>
        </w:rPr>
        <w:t>Néhány nagyon specifikus gyermek és serdülő esetében – pl. vékonybélbetegségben szenvedő betegeknél, akiknél a betegség a felszívódást érintheti – meg kell fontolni egy parenterálisan alkalmazott antikoaguláns készítmény alkalmazását.</w:t>
      </w:r>
    </w:p>
    <w:p w14:paraId="693EB667" w14:textId="77777777" w:rsidR="00736F4A" w:rsidRDefault="00736F4A">
      <w:pPr>
        <w:spacing w:line="240" w:lineRule="auto"/>
        <w:rPr>
          <w:lang w:val="hu-HU"/>
        </w:rPr>
      </w:pPr>
    </w:p>
    <w:p w14:paraId="25E8781E" w14:textId="77777777" w:rsidR="00736F4A" w:rsidRDefault="00100640">
      <w:pPr>
        <w:spacing w:line="240" w:lineRule="auto"/>
        <w:ind w:left="567" w:hanging="567"/>
        <w:outlineLvl w:val="0"/>
        <w:rPr>
          <w:b/>
          <w:bCs/>
          <w:lang w:val="hu-HU"/>
        </w:rPr>
      </w:pPr>
      <w:r>
        <w:rPr>
          <w:b/>
          <w:bCs/>
          <w:lang w:val="hu-HU"/>
        </w:rPr>
        <w:t>4.5</w:t>
      </w:r>
      <w:r>
        <w:rPr>
          <w:b/>
          <w:bCs/>
          <w:lang w:val="hu-HU"/>
        </w:rPr>
        <w:tab/>
        <w:t>Gyógyszerkölcsönhatások és egyéb interakciók</w:t>
      </w:r>
    </w:p>
    <w:p w14:paraId="6254E38C" w14:textId="77777777" w:rsidR="00736F4A" w:rsidRDefault="00736F4A">
      <w:pPr>
        <w:spacing w:line="240" w:lineRule="auto"/>
        <w:rPr>
          <w:lang w:val="hu-HU"/>
        </w:rPr>
      </w:pPr>
    </w:p>
    <w:p w14:paraId="6DAA6B17" w14:textId="77777777" w:rsidR="00736F4A" w:rsidRDefault="00100640">
      <w:pPr>
        <w:spacing w:line="240" w:lineRule="auto"/>
        <w:rPr>
          <w:u w:val="single"/>
          <w:lang w:val="hu-HU"/>
        </w:rPr>
      </w:pPr>
      <w:r>
        <w:rPr>
          <w:u w:val="single"/>
          <w:lang w:val="hu-HU"/>
        </w:rPr>
        <w:t>Transzporter interakciók</w:t>
      </w:r>
    </w:p>
    <w:p w14:paraId="3DDB4D83" w14:textId="77777777" w:rsidR="00736F4A" w:rsidRDefault="00736F4A">
      <w:pPr>
        <w:spacing w:line="240" w:lineRule="auto"/>
        <w:rPr>
          <w:lang w:val="hu-HU"/>
        </w:rPr>
      </w:pPr>
    </w:p>
    <w:p w14:paraId="213973AF" w14:textId="77777777" w:rsidR="00736F4A" w:rsidRDefault="00100640">
      <w:pPr>
        <w:spacing w:line="240" w:lineRule="auto"/>
        <w:ind w:left="7" w:right="9"/>
      </w:pPr>
      <w:r>
        <w:t>A dabigatrán-etexilát az efflux transzporter P-gp szubsztrátja. A P-gp-inhibitorok (lásd 8. táblázat) egyidejű adása várhatóan emelkedett dabigatrán-plazmakoncentrációkat eredményez.</w:t>
      </w:r>
    </w:p>
    <w:p w14:paraId="3417B2ED" w14:textId="77777777" w:rsidR="00736F4A" w:rsidRDefault="00736F4A">
      <w:pPr>
        <w:spacing w:line="240" w:lineRule="auto"/>
        <w:ind w:left="7" w:right="9"/>
      </w:pPr>
    </w:p>
    <w:p w14:paraId="0C380A56" w14:textId="77777777" w:rsidR="00736F4A" w:rsidRDefault="00100640">
      <w:pPr>
        <w:spacing w:line="240" w:lineRule="auto"/>
        <w:ind w:left="7" w:right="9"/>
      </w:pPr>
      <w:r>
        <w:t>Hacsak a leírásban nem szerepel más, a dabigatrán és erős P-gp-inhibitor együttadása esetén szoros klinikai ellenőrzés (vérzés vagy anaemia jeleinek figyelése) szükséges. Egyes P-gp-inhibitorok együttadása esetén dóziscsökkentésre lehet szükség (lásd 4.2, 4.3, 4.4 és 5.1 pontok).</w:t>
      </w:r>
    </w:p>
    <w:p w14:paraId="5CF14FB8" w14:textId="77777777" w:rsidR="00736F4A" w:rsidRDefault="00736F4A">
      <w:pPr>
        <w:spacing w:line="240" w:lineRule="auto"/>
        <w:ind w:right="9"/>
      </w:pPr>
    </w:p>
    <w:p w14:paraId="308C34D0" w14:textId="77777777" w:rsidR="00736F4A" w:rsidRDefault="00100640">
      <w:pPr>
        <w:tabs>
          <w:tab w:val="center" w:pos="2627"/>
        </w:tabs>
        <w:spacing w:line="240" w:lineRule="auto"/>
        <w:ind w:left="-3"/>
        <w:rPr>
          <w:b/>
        </w:rPr>
      </w:pPr>
      <w:r>
        <w:rPr>
          <w:b/>
        </w:rPr>
        <w:t>8. táblázat. Transzporter interakciók</w:t>
      </w:r>
    </w:p>
    <w:p w14:paraId="0DD2E9C8" w14:textId="77777777" w:rsidR="00736F4A" w:rsidRDefault="00736F4A">
      <w:pPr>
        <w:tabs>
          <w:tab w:val="center" w:pos="2627"/>
        </w:tabs>
        <w:spacing w:line="240" w:lineRule="auto"/>
        <w:ind w:left="-3"/>
        <w:rPr>
          <w:bCs/>
        </w:rPr>
      </w:pPr>
    </w:p>
    <w:tbl>
      <w:tblPr>
        <w:tblW w:w="9060" w:type="dxa"/>
        <w:tblInd w:w="17" w:type="dxa"/>
        <w:tblCellMar>
          <w:top w:w="51" w:type="dxa"/>
          <w:left w:w="106" w:type="dxa"/>
          <w:right w:w="115" w:type="dxa"/>
        </w:tblCellMar>
        <w:tblLook w:val="04A0" w:firstRow="1" w:lastRow="0" w:firstColumn="1" w:lastColumn="0" w:noHBand="0" w:noVBand="1"/>
      </w:tblPr>
      <w:tblGrid>
        <w:gridCol w:w="2054"/>
        <w:gridCol w:w="72"/>
        <w:gridCol w:w="6934"/>
      </w:tblGrid>
      <w:tr w:rsidR="00736F4A" w14:paraId="34F7EB33" w14:textId="77777777">
        <w:trPr>
          <w:trHeight w:val="742"/>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6F5F4571" w14:textId="77777777" w:rsidR="00736F4A" w:rsidRDefault="00100640">
            <w:pPr>
              <w:spacing w:line="240" w:lineRule="auto"/>
              <w:ind w:left="2"/>
              <w:rPr>
                <w:lang w:val="hu-HU"/>
              </w:rPr>
            </w:pPr>
            <w:r>
              <w:rPr>
                <w:i/>
                <w:u w:val="single" w:color="000000"/>
                <w:lang w:val="hu-HU"/>
              </w:rPr>
              <w:t>P-gp-inhibitorok</w:t>
            </w:r>
          </w:p>
        </w:tc>
      </w:tr>
      <w:tr w:rsidR="00736F4A" w14:paraId="6EF7415F" w14:textId="77777777">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2606D3C7" w14:textId="77777777" w:rsidR="00736F4A" w:rsidRDefault="00100640">
            <w:pPr>
              <w:spacing w:line="240" w:lineRule="auto"/>
              <w:ind w:left="2"/>
              <w:rPr>
                <w:lang w:val="hu-HU"/>
              </w:rPr>
            </w:pPr>
            <w:r>
              <w:rPr>
                <w:i/>
                <w:lang w:val="hu-HU"/>
              </w:rPr>
              <w:lastRenderedPageBreak/>
              <w:t xml:space="preserve">Az egyidejű alkalmazás ellenjavallt (lásd 4.3 pont) </w:t>
            </w:r>
          </w:p>
        </w:tc>
      </w:tr>
      <w:tr w:rsidR="00736F4A" w14:paraId="49570B14" w14:textId="77777777">
        <w:trPr>
          <w:trHeight w:val="1022"/>
        </w:trPr>
        <w:tc>
          <w:tcPr>
            <w:tcW w:w="2054" w:type="dxa"/>
            <w:tcBorders>
              <w:top w:val="single" w:sz="4" w:space="0" w:color="000000"/>
              <w:left w:val="single" w:sz="4" w:space="0" w:color="000000"/>
              <w:bottom w:val="single" w:sz="4" w:space="0" w:color="000000"/>
              <w:right w:val="single" w:sz="4" w:space="0" w:color="000000"/>
            </w:tcBorders>
          </w:tcPr>
          <w:p w14:paraId="1E93CFAD" w14:textId="77777777" w:rsidR="00736F4A" w:rsidRDefault="00100640">
            <w:pPr>
              <w:spacing w:line="240" w:lineRule="auto"/>
              <w:ind w:left="2"/>
              <w:rPr>
                <w:lang w:val="hu-HU"/>
              </w:rPr>
            </w:pPr>
            <w:r>
              <w:rPr>
                <w:lang w:val="hu-HU"/>
              </w:rPr>
              <w:t>Ketokonazol</w:t>
            </w:r>
          </w:p>
        </w:tc>
        <w:tc>
          <w:tcPr>
            <w:tcW w:w="7006" w:type="dxa"/>
            <w:gridSpan w:val="2"/>
            <w:tcBorders>
              <w:top w:val="single" w:sz="4" w:space="0" w:color="000000"/>
              <w:left w:val="single" w:sz="4" w:space="0" w:color="000000"/>
              <w:bottom w:val="single" w:sz="4" w:space="0" w:color="000000"/>
              <w:right w:val="single" w:sz="4" w:space="0" w:color="000000"/>
            </w:tcBorders>
          </w:tcPr>
          <w:p w14:paraId="2792E48F" w14:textId="77777777" w:rsidR="00736F4A" w:rsidRDefault="00100640">
            <w:pPr>
              <w:spacing w:line="240" w:lineRule="auto"/>
              <w:rPr>
                <w:lang w:val="hu-HU"/>
              </w:rPr>
            </w:pPr>
            <w:r>
              <w:rPr>
                <w:lang w:val="hu-HU"/>
              </w:rPr>
              <w:t xml:space="preserve">A ketokonazol egyetlen 400 mg-os </w:t>
            </w:r>
            <w:r>
              <w:rPr>
                <w:i/>
                <w:lang w:val="hu-HU"/>
              </w:rPr>
              <w:t>per os</w:t>
            </w:r>
            <w:r>
              <w:rPr>
                <w:lang w:val="hu-HU"/>
              </w:rPr>
              <w:t xml:space="preserve"> dózisát követően 2,38-szorosára emelkedett a dabigatrán AUC</w:t>
            </w:r>
            <w:r>
              <w:rPr>
                <w:vertAlign w:val="subscript"/>
                <w:lang w:val="hu-HU"/>
              </w:rPr>
              <w:t>0-∞</w:t>
            </w:r>
            <w:r>
              <w:rPr>
                <w:lang w:val="hu-HU"/>
              </w:rPr>
              <w:t xml:space="preserve"> és 2,35-szörösére a C</w:t>
            </w:r>
            <w:r>
              <w:rPr>
                <w:vertAlign w:val="subscript"/>
                <w:lang w:val="hu-HU"/>
              </w:rPr>
              <w:t>max</w:t>
            </w:r>
            <w:r>
              <w:rPr>
                <w:lang w:val="hu-HU"/>
              </w:rPr>
              <w:t xml:space="preserve"> értéke, napi egyszer 400 mg ketokonazol ismételt </w:t>
            </w:r>
            <w:r>
              <w:rPr>
                <w:i/>
                <w:lang w:val="hu-HU"/>
              </w:rPr>
              <w:t>per os</w:t>
            </w:r>
            <w:r>
              <w:rPr>
                <w:lang w:val="hu-HU"/>
              </w:rPr>
              <w:t xml:space="preserve"> adása esetén pedig a dabigatrán AUC</w:t>
            </w:r>
            <w:r>
              <w:rPr>
                <w:vertAlign w:val="subscript"/>
                <w:lang w:val="hu-HU"/>
              </w:rPr>
              <w:t>0-∞</w:t>
            </w:r>
            <w:r>
              <w:rPr>
                <w:lang w:val="hu-HU"/>
              </w:rPr>
              <w:t xml:space="preserve"> 2,53-szorosára, a C</w:t>
            </w:r>
            <w:r>
              <w:rPr>
                <w:vertAlign w:val="subscript"/>
                <w:lang w:val="hu-HU"/>
              </w:rPr>
              <w:t xml:space="preserve">max </w:t>
            </w:r>
            <w:r>
              <w:rPr>
                <w:lang w:val="hu-HU"/>
              </w:rPr>
              <w:t xml:space="preserve">pedig 2,49-szeresére nőtt. </w:t>
            </w:r>
          </w:p>
        </w:tc>
      </w:tr>
      <w:tr w:rsidR="00736F4A" w14:paraId="529AB954" w14:textId="77777777">
        <w:trPr>
          <w:trHeight w:val="1274"/>
        </w:trPr>
        <w:tc>
          <w:tcPr>
            <w:tcW w:w="2054" w:type="dxa"/>
            <w:tcBorders>
              <w:top w:val="single" w:sz="4" w:space="0" w:color="000000"/>
              <w:left w:val="single" w:sz="4" w:space="0" w:color="000000"/>
              <w:bottom w:val="single" w:sz="4" w:space="0" w:color="000000"/>
              <w:right w:val="single" w:sz="4" w:space="0" w:color="000000"/>
            </w:tcBorders>
          </w:tcPr>
          <w:p w14:paraId="2B50E2E5" w14:textId="77777777" w:rsidR="00736F4A" w:rsidRDefault="00100640">
            <w:pPr>
              <w:spacing w:line="240" w:lineRule="auto"/>
              <w:ind w:left="2"/>
              <w:rPr>
                <w:lang w:val="hu-HU"/>
              </w:rPr>
            </w:pPr>
            <w:r>
              <w:rPr>
                <w:lang w:val="hu-HU"/>
              </w:rPr>
              <w:t>Dronedaron</w:t>
            </w:r>
          </w:p>
        </w:tc>
        <w:tc>
          <w:tcPr>
            <w:tcW w:w="7006" w:type="dxa"/>
            <w:gridSpan w:val="2"/>
            <w:tcBorders>
              <w:top w:val="single" w:sz="4" w:space="0" w:color="000000"/>
              <w:left w:val="single" w:sz="4" w:space="0" w:color="000000"/>
              <w:bottom w:val="single" w:sz="4" w:space="0" w:color="000000"/>
              <w:right w:val="single" w:sz="4" w:space="0" w:color="000000"/>
            </w:tcBorders>
          </w:tcPr>
          <w:p w14:paraId="591D42DB" w14:textId="77777777" w:rsidR="00736F4A" w:rsidRDefault="00100640">
            <w:pPr>
              <w:spacing w:line="240" w:lineRule="auto"/>
              <w:rPr>
                <w:lang w:val="hu-HU"/>
              </w:rPr>
            </w:pPr>
            <w:r>
              <w:rPr>
                <w:lang w:val="hu-HU"/>
              </w:rPr>
              <w:t>A dabigatrán-etexilát és a dronedaron együttes adása esetén 400 mg dronedaron ismételt, napi kétszeri adagolása mellett a dabigatrán AUC</w:t>
            </w:r>
            <w:r>
              <w:rPr>
                <w:vertAlign w:val="subscript"/>
                <w:lang w:val="hu-HU"/>
              </w:rPr>
              <w:t>0-∞</w:t>
            </w:r>
            <w:r>
              <w:rPr>
                <w:lang w:val="hu-HU"/>
              </w:rPr>
              <w:t xml:space="preserve"> és C</w:t>
            </w:r>
            <w:r>
              <w:rPr>
                <w:vertAlign w:val="subscript"/>
                <w:lang w:val="hu-HU"/>
              </w:rPr>
              <w:t>max</w:t>
            </w:r>
            <w:r>
              <w:rPr>
                <w:lang w:val="hu-HU"/>
              </w:rPr>
              <w:t xml:space="preserve"> értékei kb. 2,4-szeresére, illetve 2,3-szorosára, 400 mg dronedaron egyszeri alkalmazása után pedig kb. 2,1-szeresére, illetve 1,9-szeresére nőttek. </w:t>
            </w:r>
          </w:p>
        </w:tc>
      </w:tr>
      <w:tr w:rsidR="00736F4A" w14:paraId="4CC77C87" w14:textId="77777777">
        <w:trPr>
          <w:trHeight w:val="516"/>
        </w:trPr>
        <w:tc>
          <w:tcPr>
            <w:tcW w:w="2054" w:type="dxa"/>
            <w:tcBorders>
              <w:top w:val="single" w:sz="4" w:space="0" w:color="000000"/>
              <w:left w:val="single" w:sz="4" w:space="0" w:color="000000"/>
              <w:bottom w:val="single" w:sz="4" w:space="0" w:color="000000"/>
              <w:right w:val="single" w:sz="4" w:space="0" w:color="000000"/>
            </w:tcBorders>
          </w:tcPr>
          <w:p w14:paraId="14C4A954" w14:textId="77777777" w:rsidR="00736F4A" w:rsidRDefault="00100640">
            <w:pPr>
              <w:spacing w:line="240" w:lineRule="auto"/>
              <w:ind w:left="2"/>
              <w:rPr>
                <w:lang w:val="hu-HU"/>
              </w:rPr>
            </w:pPr>
            <w:r>
              <w:rPr>
                <w:lang w:val="hu-HU"/>
              </w:rPr>
              <w:t>Itrakonazol és ciklosporin</w:t>
            </w:r>
          </w:p>
        </w:tc>
        <w:tc>
          <w:tcPr>
            <w:tcW w:w="7006" w:type="dxa"/>
            <w:gridSpan w:val="2"/>
            <w:tcBorders>
              <w:top w:val="single" w:sz="4" w:space="0" w:color="000000"/>
              <w:left w:val="single" w:sz="4" w:space="0" w:color="000000"/>
              <w:bottom w:val="single" w:sz="4" w:space="0" w:color="000000"/>
              <w:right w:val="single" w:sz="4" w:space="0" w:color="000000"/>
            </w:tcBorders>
          </w:tcPr>
          <w:p w14:paraId="57A0BEE0" w14:textId="77777777" w:rsidR="00736F4A" w:rsidRDefault="00100640">
            <w:pPr>
              <w:spacing w:line="240" w:lineRule="auto"/>
              <w:rPr>
                <w:lang w:val="hu-HU"/>
              </w:rPr>
            </w:pPr>
            <w:r>
              <w:rPr>
                <w:i/>
                <w:lang w:val="hu-HU"/>
              </w:rPr>
              <w:t xml:space="preserve">In vitro </w:t>
            </w:r>
            <w:r>
              <w:rPr>
                <w:lang w:val="hu-HU"/>
              </w:rPr>
              <w:t xml:space="preserve">vizsgálatok eredményei alapján a ketokonazolhoz hasonló hatások várhatók. </w:t>
            </w:r>
          </w:p>
        </w:tc>
      </w:tr>
      <w:tr w:rsidR="00736F4A" w14:paraId="7CDDB84A" w14:textId="77777777">
        <w:trPr>
          <w:trHeight w:val="768"/>
        </w:trPr>
        <w:tc>
          <w:tcPr>
            <w:tcW w:w="2054" w:type="dxa"/>
            <w:tcBorders>
              <w:top w:val="single" w:sz="4" w:space="0" w:color="000000"/>
              <w:left w:val="single" w:sz="4" w:space="0" w:color="000000"/>
              <w:bottom w:val="single" w:sz="4" w:space="0" w:color="000000"/>
              <w:right w:val="single" w:sz="4" w:space="0" w:color="000000"/>
            </w:tcBorders>
          </w:tcPr>
          <w:p w14:paraId="1C012920" w14:textId="77777777" w:rsidR="00736F4A" w:rsidRDefault="00100640">
            <w:pPr>
              <w:spacing w:line="240" w:lineRule="auto"/>
              <w:ind w:left="2"/>
              <w:rPr>
                <w:lang w:val="hu-HU"/>
              </w:rPr>
            </w:pPr>
            <w:r>
              <w:rPr>
                <w:lang w:val="hu-HU"/>
              </w:rPr>
              <w:t>Glekaprevir / pibrentaszvir</w:t>
            </w:r>
          </w:p>
        </w:tc>
        <w:tc>
          <w:tcPr>
            <w:tcW w:w="7006" w:type="dxa"/>
            <w:gridSpan w:val="2"/>
            <w:tcBorders>
              <w:top w:val="single" w:sz="4" w:space="0" w:color="000000"/>
              <w:left w:val="single" w:sz="4" w:space="0" w:color="000000"/>
              <w:bottom w:val="single" w:sz="4" w:space="0" w:color="000000"/>
              <w:right w:val="single" w:sz="4" w:space="0" w:color="000000"/>
            </w:tcBorders>
          </w:tcPr>
          <w:p w14:paraId="7393818B" w14:textId="77777777" w:rsidR="00736F4A" w:rsidRDefault="00100640">
            <w:pPr>
              <w:spacing w:line="240" w:lineRule="auto"/>
              <w:rPr>
                <w:lang w:val="hu-HU"/>
              </w:rPr>
            </w:pPr>
            <w:r>
              <w:rPr>
                <w:lang w:val="hu-HU"/>
              </w:rPr>
              <w:t>Megállapították, hogy a dabigatrán-etexilát és a fix dózisú kombinációban alkalmazott, P-gp-inhibitor glekaprevir/pibrentaszvir együttes adása esetén megnő a dabigatrán expozíciója és megnövekedhet a vérzés kockázata.</w:t>
            </w:r>
          </w:p>
        </w:tc>
      </w:tr>
      <w:tr w:rsidR="00736F4A" w14:paraId="07DA7FBF" w14:textId="77777777">
        <w:trPr>
          <w:trHeight w:val="756"/>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60F3E664" w14:textId="77777777" w:rsidR="00736F4A" w:rsidRDefault="00100640">
            <w:pPr>
              <w:spacing w:line="240" w:lineRule="auto"/>
              <w:ind w:left="2"/>
              <w:rPr>
                <w:lang w:val="hu-HU"/>
              </w:rPr>
            </w:pPr>
            <w:r>
              <w:rPr>
                <w:i/>
                <w:lang w:val="hu-HU"/>
              </w:rPr>
              <w:t>Az egyidejű alkalmazás nem javasolt</w:t>
            </w:r>
          </w:p>
        </w:tc>
      </w:tr>
      <w:tr w:rsidR="00736F4A" w14:paraId="6CD7130E" w14:textId="77777777">
        <w:trPr>
          <w:trHeight w:val="1529"/>
        </w:trPr>
        <w:tc>
          <w:tcPr>
            <w:tcW w:w="2054" w:type="dxa"/>
            <w:tcBorders>
              <w:top w:val="single" w:sz="4" w:space="0" w:color="000000"/>
              <w:left w:val="single" w:sz="4" w:space="0" w:color="000000"/>
              <w:bottom w:val="single" w:sz="4" w:space="0" w:color="000000"/>
              <w:right w:val="single" w:sz="4" w:space="0" w:color="000000"/>
            </w:tcBorders>
          </w:tcPr>
          <w:p w14:paraId="646367B3" w14:textId="77777777" w:rsidR="00736F4A" w:rsidRDefault="00100640">
            <w:pPr>
              <w:spacing w:line="240" w:lineRule="auto"/>
              <w:ind w:left="2"/>
              <w:rPr>
                <w:lang w:val="hu-HU"/>
              </w:rPr>
            </w:pPr>
            <w:r>
              <w:rPr>
                <w:lang w:val="hu-HU"/>
              </w:rPr>
              <w:t>Takrolimusz</w:t>
            </w:r>
          </w:p>
        </w:tc>
        <w:tc>
          <w:tcPr>
            <w:tcW w:w="7006" w:type="dxa"/>
            <w:gridSpan w:val="2"/>
            <w:tcBorders>
              <w:top w:val="single" w:sz="4" w:space="0" w:color="000000"/>
              <w:left w:val="single" w:sz="4" w:space="0" w:color="000000"/>
              <w:bottom w:val="single" w:sz="4" w:space="0" w:color="000000"/>
              <w:right w:val="single" w:sz="4" w:space="0" w:color="000000"/>
            </w:tcBorders>
          </w:tcPr>
          <w:p w14:paraId="548E2966" w14:textId="77777777" w:rsidR="00736F4A" w:rsidRDefault="00100640">
            <w:pPr>
              <w:spacing w:line="240" w:lineRule="auto"/>
              <w:rPr>
                <w:lang w:val="hu-HU"/>
              </w:rPr>
            </w:pPr>
            <w:r>
              <w:rPr>
                <w:lang w:val="hu-HU"/>
              </w:rPr>
              <w:t xml:space="preserve">Megállapították, hogy a takrolimusz </w:t>
            </w:r>
            <w:r>
              <w:rPr>
                <w:i/>
                <w:lang w:val="hu-HU"/>
              </w:rPr>
              <w:t xml:space="preserve">in vitro </w:t>
            </w:r>
            <w:r>
              <w:rPr>
                <w:lang w:val="hu-HU"/>
              </w:rPr>
              <w:t>hasonló mértékű inhibitoros hatással van a P-gp-re, mint amit az itrakonazol és a ciklosporin esetén észleltek. A dabigatrán-etexilátot klinikailag nem vizsgálták takrolimusszal együtt. Ugyanakkor egy másik P-gp-szubsztráttal (everolimusz) nyert kevés klinikai adat arra utal, hogy a takrolimusszal való P-gp gátlás gyengébb, mint amit az erős P-gp-inhibitorok mellett észleltek.</w:t>
            </w:r>
          </w:p>
        </w:tc>
      </w:tr>
      <w:tr w:rsidR="00736F4A" w14:paraId="17547276" w14:textId="77777777">
        <w:trPr>
          <w:trHeight w:val="756"/>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1202FA99" w14:textId="77777777" w:rsidR="00736F4A" w:rsidRDefault="00100640">
            <w:pPr>
              <w:spacing w:line="240" w:lineRule="auto"/>
              <w:ind w:left="2"/>
              <w:rPr>
                <w:lang w:val="hu-HU"/>
              </w:rPr>
            </w:pPr>
            <w:r>
              <w:rPr>
                <w:i/>
                <w:lang w:val="hu-HU"/>
              </w:rPr>
              <w:t xml:space="preserve">Óvatosság szükséges az egyidejű alkalmazás esetén (lásd 4.2 és 4.4 pont) </w:t>
            </w:r>
          </w:p>
        </w:tc>
      </w:tr>
      <w:tr w:rsidR="00736F4A" w14:paraId="6961D740" w14:textId="77777777">
        <w:tblPrEx>
          <w:tblCellMar>
            <w:left w:w="108" w:type="dxa"/>
            <w:right w:w="59" w:type="dxa"/>
          </w:tblCellMar>
        </w:tblPrEx>
        <w:trPr>
          <w:trHeight w:val="521"/>
        </w:trPr>
        <w:tc>
          <w:tcPr>
            <w:tcW w:w="2126" w:type="dxa"/>
            <w:gridSpan w:val="2"/>
            <w:tcBorders>
              <w:top w:val="single" w:sz="4" w:space="0" w:color="000000"/>
              <w:left w:val="single" w:sz="4" w:space="0" w:color="000000"/>
              <w:bottom w:val="single" w:sz="4" w:space="0" w:color="000000"/>
              <w:right w:val="single" w:sz="4" w:space="0" w:color="000000"/>
            </w:tcBorders>
          </w:tcPr>
          <w:p w14:paraId="1DB7D928" w14:textId="77777777" w:rsidR="00736F4A" w:rsidRDefault="00100640">
            <w:pPr>
              <w:spacing w:line="240" w:lineRule="auto"/>
              <w:rPr>
                <w:lang w:val="hu-HU"/>
              </w:rPr>
            </w:pPr>
            <w:r>
              <w:rPr>
                <w:lang w:val="hu-HU"/>
              </w:rPr>
              <w:t>Verapamil</w:t>
            </w:r>
          </w:p>
        </w:tc>
        <w:tc>
          <w:tcPr>
            <w:tcW w:w="6934" w:type="dxa"/>
            <w:tcBorders>
              <w:top w:val="single" w:sz="4" w:space="0" w:color="000000"/>
              <w:left w:val="single" w:sz="4" w:space="0" w:color="000000"/>
              <w:bottom w:val="single" w:sz="4" w:space="0" w:color="000000"/>
              <w:right w:val="single" w:sz="4" w:space="0" w:color="000000"/>
            </w:tcBorders>
          </w:tcPr>
          <w:p w14:paraId="3112A787" w14:textId="77777777" w:rsidR="00736F4A" w:rsidRDefault="00100640">
            <w:pPr>
              <w:spacing w:line="240" w:lineRule="auto"/>
              <w:rPr>
                <w:lang w:val="hu-HU"/>
              </w:rPr>
            </w:pPr>
            <w:r>
              <w:rPr>
                <w:lang w:val="hu-HU"/>
              </w:rPr>
              <w:t>Ha a dabigatrán-etexilátot (150 mg) szájon át adagolt verapamillal adták együtt, a dabigatrán C</w:t>
            </w:r>
            <w:r>
              <w:rPr>
                <w:vertAlign w:val="subscript"/>
                <w:lang w:val="hu-HU"/>
              </w:rPr>
              <w:t>max</w:t>
            </w:r>
            <w:r>
              <w:rPr>
                <w:lang w:val="hu-HU"/>
              </w:rPr>
              <w:t>- és AUC-értékei megnövekedtek, a változás nagysága azonban a beadás idejétől és a verapamil gyógyszerformájától függően eltérő volt (lásd 4.2 és 4.4 pont).</w:t>
            </w:r>
          </w:p>
          <w:p w14:paraId="33B1B146" w14:textId="77777777" w:rsidR="00736F4A" w:rsidRDefault="00736F4A">
            <w:pPr>
              <w:spacing w:line="240" w:lineRule="auto"/>
              <w:rPr>
                <w:lang w:val="hu-HU"/>
              </w:rPr>
            </w:pPr>
          </w:p>
          <w:p w14:paraId="42EA8BFE" w14:textId="77777777" w:rsidR="00736F4A" w:rsidRDefault="00100640">
            <w:pPr>
              <w:spacing w:line="240" w:lineRule="auto"/>
              <w:rPr>
                <w:lang w:val="hu-HU"/>
              </w:rPr>
            </w:pPr>
            <w:r>
              <w:rPr>
                <w:lang w:val="hu-HU"/>
              </w:rPr>
              <w:t>A dabigatrán-expozíció legnagyobb mértékű növekedését akkor figyelték meg, amikor a verapamil azonnali hatóanyagleadású gyógyszerformájának első dózisát a dabigatrán-etexilát bevétele előtt 1 órával alkalmazták (a C</w:t>
            </w:r>
            <w:r>
              <w:rPr>
                <w:vertAlign w:val="subscript"/>
                <w:lang w:val="hu-HU"/>
              </w:rPr>
              <w:t>max</w:t>
            </w:r>
            <w:r>
              <w:rPr>
                <w:lang w:val="hu-HU"/>
              </w:rPr>
              <w:t xml:space="preserve"> kb. 2,8-szorosára, az AUC kb. 2,5-szörösére növekedett). A hatás progresszíven csökkent retard gyógyszerforma alkalmazásakor (a C</w:t>
            </w:r>
            <w:r>
              <w:rPr>
                <w:vertAlign w:val="subscript"/>
                <w:lang w:val="hu-HU"/>
              </w:rPr>
              <w:t>max</w:t>
            </w:r>
            <w:r>
              <w:rPr>
                <w:lang w:val="hu-HU"/>
              </w:rPr>
              <w:t xml:space="preserve"> kb. 1,9-szeresére, az AUC kb. 1,7-szeresére nőtt), illetve a verapamil ismételt adagolásakor (a C</w:t>
            </w:r>
            <w:r>
              <w:rPr>
                <w:vertAlign w:val="subscript"/>
                <w:lang w:val="hu-HU"/>
              </w:rPr>
              <w:t>max</w:t>
            </w:r>
            <w:r>
              <w:rPr>
                <w:lang w:val="hu-HU"/>
              </w:rPr>
              <w:t xml:space="preserve"> kb. 1,6-szorosára, az AUC kb. 1,5-szörösére nőtt).</w:t>
            </w:r>
          </w:p>
          <w:p w14:paraId="3B0966A4" w14:textId="77777777" w:rsidR="00736F4A" w:rsidRDefault="00736F4A">
            <w:pPr>
              <w:spacing w:line="240" w:lineRule="auto"/>
              <w:rPr>
                <w:lang w:val="hu-HU"/>
              </w:rPr>
            </w:pPr>
          </w:p>
          <w:p w14:paraId="72B37379" w14:textId="77777777" w:rsidR="00736F4A" w:rsidRDefault="00100640">
            <w:pPr>
              <w:spacing w:line="240" w:lineRule="auto"/>
              <w:rPr>
                <w:lang w:val="hu-HU"/>
              </w:rPr>
            </w:pPr>
            <w:r>
              <w:rPr>
                <w:lang w:val="hu-HU"/>
              </w:rPr>
              <w:t>Nem alakult ki számottevő kölcsönhatás, ha a dabigatrán-etexilát alkalmazása után 2 órával később adagolták a verapamilt (a C</w:t>
            </w:r>
            <w:r>
              <w:rPr>
                <w:vertAlign w:val="subscript"/>
                <w:lang w:val="hu-HU"/>
              </w:rPr>
              <w:t>max</w:t>
            </w:r>
            <w:r>
              <w:rPr>
                <w:lang w:val="hu-HU"/>
              </w:rPr>
              <w:t xml:space="preserve"> kb. 1,1</w:t>
            </w:r>
            <w:r>
              <w:rPr>
                <w:lang w:val="hu-HU"/>
              </w:rPr>
              <w:noBreakHyphen/>
              <w:t>szeresére, az AUC kb. 1,2-szeresére növekedett). Ezt azzal magyarázzák, hogy a dabigatrán felszívódása 2 óra alatt lezajlik.</w:t>
            </w:r>
          </w:p>
        </w:tc>
      </w:tr>
      <w:tr w:rsidR="00736F4A" w14:paraId="67CAF0F0" w14:textId="77777777">
        <w:tblPrEx>
          <w:tblCellMar>
            <w:left w:w="108" w:type="dxa"/>
            <w:right w:w="59" w:type="dxa"/>
          </w:tblCellMar>
        </w:tblPrEx>
        <w:trPr>
          <w:trHeight w:val="2033"/>
        </w:trPr>
        <w:tc>
          <w:tcPr>
            <w:tcW w:w="2126" w:type="dxa"/>
            <w:gridSpan w:val="2"/>
            <w:tcBorders>
              <w:top w:val="single" w:sz="4" w:space="0" w:color="000000"/>
              <w:left w:val="single" w:sz="4" w:space="0" w:color="000000"/>
              <w:bottom w:val="single" w:sz="4" w:space="0" w:color="000000"/>
              <w:right w:val="single" w:sz="4" w:space="0" w:color="000000"/>
            </w:tcBorders>
          </w:tcPr>
          <w:p w14:paraId="698B9A79" w14:textId="77777777" w:rsidR="00736F4A" w:rsidRDefault="00100640">
            <w:pPr>
              <w:spacing w:line="240" w:lineRule="auto"/>
              <w:rPr>
                <w:lang w:val="hu-HU"/>
              </w:rPr>
            </w:pPr>
            <w:r>
              <w:rPr>
                <w:lang w:val="hu-HU"/>
              </w:rPr>
              <w:t>Amiodaron</w:t>
            </w:r>
          </w:p>
        </w:tc>
        <w:tc>
          <w:tcPr>
            <w:tcW w:w="6934" w:type="dxa"/>
            <w:tcBorders>
              <w:top w:val="single" w:sz="4" w:space="0" w:color="000000"/>
              <w:left w:val="single" w:sz="4" w:space="0" w:color="000000"/>
              <w:bottom w:val="single" w:sz="4" w:space="0" w:color="000000"/>
              <w:right w:val="single" w:sz="4" w:space="0" w:color="000000"/>
            </w:tcBorders>
          </w:tcPr>
          <w:p w14:paraId="2BB20733" w14:textId="77777777" w:rsidR="00736F4A" w:rsidRDefault="00100640">
            <w:pPr>
              <w:spacing w:line="240" w:lineRule="auto"/>
              <w:rPr>
                <w:lang w:val="hu-HU"/>
              </w:rPr>
            </w:pPr>
            <w:r>
              <w:rPr>
                <w:lang w:val="hu-HU"/>
              </w:rPr>
              <w:t>Ha a dabigatrán-etexilátot 600 mg-os egyszeri dózisban szájon át adagolt amiodaronnal adták együtt, az amiodaron és aktív metabolitja, a DEA felszívódásának mértéke és sebessége gyakorlatilag változatlan maradt. A dabigatrán AUC-je 1,6-szorosára, a C</w:t>
            </w:r>
            <w:r>
              <w:rPr>
                <w:vertAlign w:val="subscript"/>
                <w:lang w:val="hu-HU"/>
              </w:rPr>
              <w:t>max</w:t>
            </w:r>
            <w:r>
              <w:rPr>
                <w:lang w:val="hu-HU"/>
              </w:rPr>
              <w:t xml:space="preserve"> értéke pedig 1,5-szörösére nőtt. Ennek a kölcsönhatásnak a mechanizmusa nem teljesen tisztázott. Az amiodaron hosszú felezési idejére való tekintettel a kölcsönhatás lehetősége még az amiodaron-kezelés leállítását követően több héttel is fennállhat (lásd 4.2 és 4.4 pont).</w:t>
            </w:r>
          </w:p>
        </w:tc>
      </w:tr>
      <w:tr w:rsidR="00736F4A" w14:paraId="69C1B868" w14:textId="77777777">
        <w:tblPrEx>
          <w:tblCellMar>
            <w:left w:w="108" w:type="dxa"/>
            <w:right w:w="59" w:type="dxa"/>
          </w:tblCellMar>
        </w:tblPrEx>
        <w:trPr>
          <w:trHeight w:val="1274"/>
        </w:trPr>
        <w:tc>
          <w:tcPr>
            <w:tcW w:w="2126" w:type="dxa"/>
            <w:gridSpan w:val="2"/>
            <w:tcBorders>
              <w:top w:val="single" w:sz="4" w:space="0" w:color="000000"/>
              <w:left w:val="single" w:sz="4" w:space="0" w:color="000000"/>
              <w:bottom w:val="single" w:sz="4" w:space="0" w:color="000000"/>
              <w:right w:val="single" w:sz="4" w:space="0" w:color="000000"/>
            </w:tcBorders>
          </w:tcPr>
          <w:p w14:paraId="6F8A16FA" w14:textId="77777777" w:rsidR="00736F4A" w:rsidRDefault="00100640">
            <w:pPr>
              <w:spacing w:line="240" w:lineRule="auto"/>
              <w:rPr>
                <w:lang w:val="hu-HU"/>
              </w:rPr>
            </w:pPr>
            <w:r>
              <w:rPr>
                <w:lang w:val="hu-HU"/>
              </w:rPr>
              <w:lastRenderedPageBreak/>
              <w:t>Kinidin</w:t>
            </w:r>
          </w:p>
        </w:tc>
        <w:tc>
          <w:tcPr>
            <w:tcW w:w="6934" w:type="dxa"/>
            <w:tcBorders>
              <w:top w:val="single" w:sz="4" w:space="0" w:color="000000"/>
              <w:left w:val="single" w:sz="4" w:space="0" w:color="000000"/>
              <w:bottom w:val="single" w:sz="4" w:space="0" w:color="000000"/>
              <w:right w:val="single" w:sz="4" w:space="0" w:color="000000"/>
            </w:tcBorders>
          </w:tcPr>
          <w:p w14:paraId="1FA07553" w14:textId="77777777" w:rsidR="00736F4A" w:rsidRDefault="00100640">
            <w:pPr>
              <w:spacing w:line="240" w:lineRule="auto"/>
              <w:rPr>
                <w:lang w:val="hu-HU"/>
              </w:rPr>
            </w:pPr>
            <w:r>
              <w:rPr>
                <w:lang w:val="hu-HU"/>
              </w:rPr>
              <w:t>A kinidint 200 mg-os dózisban 2 óránként adták 1000 mg-os összdózisig. A dabigatrán-etexilátot naponta kétszer adták 3 egymást követő napon, a harmadik napon kinidinnel vagy anélkül. A dabigatrán AUC</w:t>
            </w:r>
            <w:r>
              <w:rPr>
                <w:vertAlign w:val="subscript"/>
                <w:lang w:val="hu-HU"/>
              </w:rPr>
              <w:t xml:space="preserve">τ,ss </w:t>
            </w:r>
            <w:r>
              <w:rPr>
                <w:lang w:val="hu-HU"/>
              </w:rPr>
              <w:t>értéke 1,53</w:t>
            </w:r>
            <w:r>
              <w:rPr>
                <w:lang w:val="hu-HU"/>
              </w:rPr>
              <w:noBreakHyphen/>
              <w:t>szorosára, a C</w:t>
            </w:r>
            <w:r>
              <w:rPr>
                <w:vertAlign w:val="subscript"/>
                <w:lang w:val="hu-HU"/>
              </w:rPr>
              <w:t>max,ss</w:t>
            </w:r>
            <w:r>
              <w:rPr>
                <w:lang w:val="hu-HU"/>
              </w:rPr>
              <w:t xml:space="preserve"> értéke pedig 1,56-szorosára nőtt a kinidin egyidejű alkalmazása esetén (lásd 4.2 és 4.4 pont).</w:t>
            </w:r>
          </w:p>
        </w:tc>
      </w:tr>
      <w:tr w:rsidR="00736F4A" w14:paraId="52F8F046" w14:textId="77777777">
        <w:tblPrEx>
          <w:tblCellMar>
            <w:left w:w="108" w:type="dxa"/>
            <w:right w:w="59" w:type="dxa"/>
          </w:tblCellMar>
        </w:tblPrEx>
        <w:trPr>
          <w:trHeight w:val="770"/>
        </w:trPr>
        <w:tc>
          <w:tcPr>
            <w:tcW w:w="2126" w:type="dxa"/>
            <w:gridSpan w:val="2"/>
            <w:tcBorders>
              <w:top w:val="single" w:sz="4" w:space="0" w:color="000000"/>
              <w:left w:val="single" w:sz="4" w:space="0" w:color="000000"/>
              <w:bottom w:val="single" w:sz="4" w:space="0" w:color="000000"/>
              <w:right w:val="single" w:sz="4" w:space="0" w:color="000000"/>
            </w:tcBorders>
          </w:tcPr>
          <w:p w14:paraId="47CC6405" w14:textId="77777777" w:rsidR="00736F4A" w:rsidRDefault="00100640">
            <w:pPr>
              <w:spacing w:line="240" w:lineRule="auto"/>
              <w:rPr>
                <w:lang w:val="hu-HU"/>
              </w:rPr>
            </w:pPr>
            <w:r>
              <w:rPr>
                <w:lang w:val="hu-HU"/>
              </w:rPr>
              <w:t>Klaritromicin</w:t>
            </w:r>
          </w:p>
        </w:tc>
        <w:tc>
          <w:tcPr>
            <w:tcW w:w="6934" w:type="dxa"/>
            <w:tcBorders>
              <w:top w:val="single" w:sz="4" w:space="0" w:color="000000"/>
              <w:left w:val="single" w:sz="4" w:space="0" w:color="000000"/>
              <w:bottom w:val="single" w:sz="4" w:space="0" w:color="000000"/>
              <w:right w:val="single" w:sz="4" w:space="0" w:color="000000"/>
            </w:tcBorders>
          </w:tcPr>
          <w:p w14:paraId="0725DF6C" w14:textId="77777777" w:rsidR="00736F4A" w:rsidRDefault="00100640">
            <w:pPr>
              <w:spacing w:line="240" w:lineRule="auto"/>
              <w:ind w:right="203"/>
              <w:rPr>
                <w:lang w:val="hu-HU"/>
              </w:rPr>
            </w:pPr>
            <w:r>
              <w:rPr>
                <w:lang w:val="hu-HU"/>
              </w:rPr>
              <w:t>Amikor egészséges önkénteseknek klaritromicint (naponta kétszer 500 mg-os dózisban) adtak együtt dabigatrán-etexiláttal, 1,19-szoros AUC- és 1,15-szörös C</w:t>
            </w:r>
            <w:r>
              <w:rPr>
                <w:vertAlign w:val="subscript"/>
                <w:lang w:val="hu-HU"/>
              </w:rPr>
              <w:t>max</w:t>
            </w:r>
            <w:r>
              <w:rPr>
                <w:lang w:val="hu-HU"/>
              </w:rPr>
              <w:t xml:space="preserve">-növekedést mértek. </w:t>
            </w:r>
          </w:p>
        </w:tc>
      </w:tr>
      <w:tr w:rsidR="00736F4A" w14:paraId="4FE06D7E" w14:textId="77777777">
        <w:tblPrEx>
          <w:tblCellMar>
            <w:left w:w="108" w:type="dxa"/>
            <w:right w:w="59" w:type="dxa"/>
          </w:tblCellMar>
        </w:tblPrEx>
        <w:trPr>
          <w:trHeight w:val="5069"/>
        </w:trPr>
        <w:tc>
          <w:tcPr>
            <w:tcW w:w="2126" w:type="dxa"/>
            <w:gridSpan w:val="2"/>
            <w:tcBorders>
              <w:top w:val="single" w:sz="4" w:space="0" w:color="000000"/>
              <w:left w:val="single" w:sz="4" w:space="0" w:color="000000"/>
              <w:bottom w:val="single" w:sz="4" w:space="0" w:color="000000"/>
              <w:right w:val="single" w:sz="4" w:space="0" w:color="000000"/>
            </w:tcBorders>
          </w:tcPr>
          <w:p w14:paraId="3326968E" w14:textId="77777777" w:rsidR="00736F4A" w:rsidRDefault="00100640">
            <w:pPr>
              <w:spacing w:line="240" w:lineRule="auto"/>
              <w:rPr>
                <w:lang w:val="hu-HU"/>
              </w:rPr>
            </w:pPr>
            <w:r>
              <w:rPr>
                <w:lang w:val="hu-HU"/>
              </w:rPr>
              <w:t>Tikagrelor</w:t>
            </w:r>
          </w:p>
        </w:tc>
        <w:tc>
          <w:tcPr>
            <w:tcW w:w="6934" w:type="dxa"/>
            <w:tcBorders>
              <w:top w:val="single" w:sz="4" w:space="0" w:color="000000"/>
              <w:left w:val="single" w:sz="4" w:space="0" w:color="000000"/>
              <w:bottom w:val="single" w:sz="4" w:space="0" w:color="000000"/>
              <w:right w:val="single" w:sz="4" w:space="0" w:color="000000"/>
            </w:tcBorders>
          </w:tcPr>
          <w:p w14:paraId="6A6A995A" w14:textId="77777777" w:rsidR="00736F4A" w:rsidRDefault="00100640">
            <w:pPr>
              <w:spacing w:line="240" w:lineRule="auto"/>
              <w:rPr>
                <w:lang w:val="hu-HU"/>
              </w:rPr>
            </w:pPr>
            <w:r>
              <w:rPr>
                <w:lang w:val="hu-HU"/>
              </w:rPr>
              <w:t>A dabigatrán-etexilát 75 mg-os egyszeri dózisát egyidejűleg alkalmazva tikagrelor 180 mg-os telítő dózisával, a dabigatrán AUC 1,73-szorosára, a C</w:t>
            </w:r>
            <w:r>
              <w:rPr>
                <w:vertAlign w:val="subscript"/>
                <w:lang w:val="hu-HU"/>
              </w:rPr>
              <w:t>max</w:t>
            </w:r>
            <w:r>
              <w:rPr>
                <w:lang w:val="hu-HU"/>
              </w:rPr>
              <w:t xml:space="preserve"> 1,95-szörösére nőtt. A tikagrelor napi kétszer 90 mg-os dózisú ismételt adagolását követően a dabigatrán-expozíció növekedéseként a C</w:t>
            </w:r>
            <w:r>
              <w:rPr>
                <w:vertAlign w:val="subscript"/>
                <w:lang w:val="hu-HU"/>
              </w:rPr>
              <w:t>max</w:t>
            </w:r>
            <w:r>
              <w:rPr>
                <w:lang w:val="hu-HU"/>
              </w:rPr>
              <w:t xml:space="preserve"> 1,56-szoros, az AUC 1,46-szoros lett.</w:t>
            </w:r>
          </w:p>
          <w:p w14:paraId="168A14BF" w14:textId="77777777" w:rsidR="00736F4A" w:rsidRDefault="00736F4A">
            <w:pPr>
              <w:spacing w:line="240" w:lineRule="auto"/>
              <w:rPr>
                <w:lang w:val="hu-HU"/>
              </w:rPr>
            </w:pPr>
          </w:p>
          <w:p w14:paraId="4A4AB150" w14:textId="77777777" w:rsidR="00736F4A" w:rsidRDefault="00100640">
            <w:pPr>
              <w:spacing w:line="240" w:lineRule="auto"/>
              <w:ind w:right="87"/>
              <w:rPr>
                <w:lang w:val="hu-HU"/>
              </w:rPr>
            </w:pPr>
            <w:r>
              <w:rPr>
                <w:lang w:val="hu-HU"/>
              </w:rPr>
              <w:t>180 mg telítő dózisú tikagrelor és 110 mg dabigatrán-etexilát egyidejű alkalmazása (dinamikus egyensúlyi állapotban) a dabigatrán AUC</w:t>
            </w:r>
            <w:r>
              <w:rPr>
                <w:vertAlign w:val="subscript"/>
                <w:lang w:val="hu-HU"/>
              </w:rPr>
              <w:t>t,ss</w:t>
            </w:r>
            <w:r>
              <w:rPr>
                <w:lang w:val="hu-HU"/>
              </w:rPr>
              <w:t xml:space="preserve"> értékét 1,49-szeresére, a C</w:t>
            </w:r>
            <w:r>
              <w:rPr>
                <w:vertAlign w:val="subscript"/>
                <w:lang w:val="hu-HU"/>
              </w:rPr>
              <w:t>max,ss</w:t>
            </w:r>
            <w:r>
              <w:rPr>
                <w:lang w:val="hu-HU"/>
              </w:rPr>
              <w:t xml:space="preserve"> értéket 1,65-szörösére emelte az önmagában adott dabigatrán-etexiláthoz képest. Ha a tikagrelor 180 mg-os telítő dózisát 2 órával a 110 mg dabigatrán-etexilát után adták (dinamikus egyensúlyi állapotban), a dabigatrán AUC</w:t>
            </w:r>
            <w:r>
              <w:rPr>
                <w:vertAlign w:val="subscript"/>
                <w:lang w:val="hu-HU"/>
              </w:rPr>
              <w:t>t,ss</w:t>
            </w:r>
            <w:r>
              <w:rPr>
                <w:lang w:val="hu-HU"/>
              </w:rPr>
              <w:t xml:space="preserve"> értéke kisebb mértékben, 1,27-szeresére, a C</w:t>
            </w:r>
            <w:r>
              <w:rPr>
                <w:vertAlign w:val="subscript"/>
                <w:lang w:val="hu-HU"/>
              </w:rPr>
              <w:t>max,ss</w:t>
            </w:r>
            <w:r>
              <w:rPr>
                <w:lang w:val="hu-HU"/>
              </w:rPr>
              <w:t xml:space="preserve"> pedig 1,23-szorosára nőtt, az önmagában adott dabigatrán-etexiláttal összehasonlítva. Ez a lépcsőzetes terápia a javasolt adagolási mód a telítő dózisú tikagrelor-terápia indításakor.</w:t>
            </w:r>
          </w:p>
          <w:p w14:paraId="2E81204E" w14:textId="77777777" w:rsidR="00736F4A" w:rsidRDefault="00736F4A">
            <w:pPr>
              <w:spacing w:line="240" w:lineRule="auto"/>
              <w:ind w:right="87"/>
              <w:rPr>
                <w:lang w:val="hu-HU"/>
              </w:rPr>
            </w:pPr>
          </w:p>
          <w:p w14:paraId="2AC12CCD" w14:textId="77777777" w:rsidR="00736F4A" w:rsidRDefault="00100640">
            <w:pPr>
              <w:spacing w:line="240" w:lineRule="auto"/>
              <w:rPr>
                <w:lang w:val="hu-HU"/>
              </w:rPr>
            </w:pPr>
            <w:r>
              <w:rPr>
                <w:lang w:val="hu-HU"/>
              </w:rPr>
              <w:t>Naponta kétszer 90 mg tikagrelor (fenntartó dózis) együttadása 110 mg dabigatrán-etexiláttal az illesztett dabigatrán AUC</w:t>
            </w:r>
            <w:r>
              <w:rPr>
                <w:vertAlign w:val="subscript"/>
                <w:lang w:val="hu-HU"/>
              </w:rPr>
              <w:t xml:space="preserve">t,ss </w:t>
            </w:r>
            <w:r>
              <w:rPr>
                <w:lang w:val="hu-HU"/>
              </w:rPr>
              <w:t>értékét 1,26-szorosára, a C</w:t>
            </w:r>
            <w:r>
              <w:rPr>
                <w:vertAlign w:val="subscript"/>
                <w:lang w:val="hu-HU"/>
              </w:rPr>
              <w:t>max,ss</w:t>
            </w:r>
            <w:r>
              <w:rPr>
                <w:lang w:val="hu-HU"/>
              </w:rPr>
              <w:t xml:space="preserve"> értéket pedig 1,29-szeresére növelte az önmagában adott dabigatrán-etexiláthoz képest.</w:t>
            </w:r>
          </w:p>
        </w:tc>
      </w:tr>
      <w:tr w:rsidR="00736F4A" w14:paraId="4ABD1243" w14:textId="77777777">
        <w:tblPrEx>
          <w:tblCellMar>
            <w:left w:w="108" w:type="dxa"/>
            <w:right w:w="59" w:type="dxa"/>
          </w:tblCellMar>
        </w:tblPrEx>
        <w:trPr>
          <w:trHeight w:val="768"/>
        </w:trPr>
        <w:tc>
          <w:tcPr>
            <w:tcW w:w="2126" w:type="dxa"/>
            <w:gridSpan w:val="2"/>
            <w:tcBorders>
              <w:top w:val="single" w:sz="4" w:space="0" w:color="000000"/>
              <w:left w:val="single" w:sz="4" w:space="0" w:color="000000"/>
              <w:bottom w:val="single" w:sz="4" w:space="0" w:color="000000"/>
              <w:right w:val="single" w:sz="4" w:space="0" w:color="000000"/>
            </w:tcBorders>
          </w:tcPr>
          <w:p w14:paraId="6FD55D60" w14:textId="77777777" w:rsidR="00736F4A" w:rsidRDefault="00100640">
            <w:pPr>
              <w:spacing w:line="240" w:lineRule="auto"/>
              <w:rPr>
                <w:lang w:val="hu-HU"/>
              </w:rPr>
            </w:pPr>
            <w:r>
              <w:rPr>
                <w:lang w:val="hu-HU"/>
              </w:rPr>
              <w:t>Pozakonazol</w:t>
            </w:r>
          </w:p>
        </w:tc>
        <w:tc>
          <w:tcPr>
            <w:tcW w:w="6934" w:type="dxa"/>
            <w:tcBorders>
              <w:top w:val="single" w:sz="4" w:space="0" w:color="000000"/>
              <w:left w:val="single" w:sz="4" w:space="0" w:color="000000"/>
              <w:bottom w:val="single" w:sz="4" w:space="0" w:color="000000"/>
              <w:right w:val="single" w:sz="4" w:space="0" w:color="000000"/>
            </w:tcBorders>
          </w:tcPr>
          <w:p w14:paraId="676C2D93" w14:textId="77777777" w:rsidR="00736F4A" w:rsidRDefault="00100640">
            <w:pPr>
              <w:spacing w:line="240" w:lineRule="auto"/>
              <w:rPr>
                <w:lang w:val="hu-HU"/>
              </w:rPr>
            </w:pPr>
            <w:r>
              <w:rPr>
                <w:lang w:val="hu-HU"/>
              </w:rPr>
              <w:t>A pozakonazol szintén gátolja bizonyos mértékben a P-gp-t, de ezt klinikailag nem vizsgálták.</w:t>
            </w:r>
          </w:p>
          <w:p w14:paraId="3C1D4A6D" w14:textId="77777777" w:rsidR="00736F4A" w:rsidRDefault="00100640">
            <w:pPr>
              <w:spacing w:line="240" w:lineRule="auto"/>
              <w:rPr>
                <w:lang w:val="hu-HU"/>
              </w:rPr>
            </w:pPr>
            <w:r>
              <w:rPr>
                <w:lang w:val="hu-HU"/>
              </w:rPr>
              <w:t>Óvatosság szükséges, ha a dabigatrán-etexilátot pozakonazollal egyidejűleg alkalmazzák.</w:t>
            </w:r>
          </w:p>
        </w:tc>
      </w:tr>
      <w:tr w:rsidR="00736F4A" w14:paraId="09BD7A9D"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527265F0" w14:textId="77777777" w:rsidR="00736F4A" w:rsidRDefault="00100640">
            <w:pPr>
              <w:spacing w:line="240" w:lineRule="auto"/>
              <w:rPr>
                <w:lang w:val="hu-HU"/>
              </w:rPr>
            </w:pPr>
            <w:r>
              <w:rPr>
                <w:i/>
                <w:u w:val="single" w:color="000000"/>
                <w:lang w:val="hu-HU"/>
              </w:rPr>
              <w:t>P-gp-induktorok</w:t>
            </w:r>
          </w:p>
        </w:tc>
      </w:tr>
      <w:tr w:rsidR="00736F4A" w14:paraId="659CDC31"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45158505" w14:textId="77777777" w:rsidR="00736F4A" w:rsidRDefault="00100640">
            <w:pPr>
              <w:spacing w:line="240" w:lineRule="auto"/>
              <w:rPr>
                <w:lang w:val="hu-HU"/>
              </w:rPr>
            </w:pPr>
            <w:r>
              <w:rPr>
                <w:lang w:val="hu-HU"/>
              </w:rPr>
              <w:t>Az egyidejű alkalmazás kerülendő.</w:t>
            </w:r>
          </w:p>
        </w:tc>
      </w:tr>
      <w:tr w:rsidR="00736F4A" w14:paraId="3D0C2198" w14:textId="77777777">
        <w:tblPrEx>
          <w:tblCellMar>
            <w:left w:w="108" w:type="dxa"/>
            <w:right w:w="59" w:type="dxa"/>
          </w:tblCellMar>
        </w:tblPrEx>
        <w:trPr>
          <w:trHeight w:val="2285"/>
        </w:trPr>
        <w:tc>
          <w:tcPr>
            <w:tcW w:w="2126" w:type="dxa"/>
            <w:gridSpan w:val="2"/>
            <w:tcBorders>
              <w:top w:val="single" w:sz="4" w:space="0" w:color="000000"/>
              <w:left w:val="single" w:sz="4" w:space="0" w:color="000000"/>
              <w:bottom w:val="single" w:sz="4" w:space="0" w:color="000000"/>
              <w:right w:val="single" w:sz="4" w:space="0" w:color="000000"/>
            </w:tcBorders>
          </w:tcPr>
          <w:p w14:paraId="4DB839AA" w14:textId="77777777" w:rsidR="00736F4A" w:rsidRDefault="00100640">
            <w:pPr>
              <w:spacing w:line="240" w:lineRule="auto"/>
              <w:rPr>
                <w:lang w:val="hu-HU"/>
              </w:rPr>
            </w:pPr>
            <w:r>
              <w:rPr>
                <w:lang w:val="hu-HU"/>
              </w:rPr>
              <w:t>pl. rifampicin, közönséges orbáncfű (</w:t>
            </w:r>
            <w:r>
              <w:rPr>
                <w:i/>
                <w:iCs/>
                <w:lang w:val="hu-HU"/>
              </w:rPr>
              <w:t>Hypericum perforatum</w:t>
            </w:r>
            <w:r>
              <w:rPr>
                <w:lang w:val="hu-HU"/>
              </w:rPr>
              <w:t>), karbamazepin, vagy fenitoin</w:t>
            </w:r>
          </w:p>
        </w:tc>
        <w:tc>
          <w:tcPr>
            <w:tcW w:w="6934" w:type="dxa"/>
            <w:tcBorders>
              <w:top w:val="single" w:sz="4" w:space="0" w:color="000000"/>
              <w:left w:val="single" w:sz="4" w:space="0" w:color="000000"/>
              <w:bottom w:val="single" w:sz="4" w:space="0" w:color="000000"/>
              <w:right w:val="single" w:sz="4" w:space="0" w:color="000000"/>
            </w:tcBorders>
          </w:tcPr>
          <w:p w14:paraId="2F88FDE2" w14:textId="77777777" w:rsidR="00736F4A" w:rsidRDefault="00100640">
            <w:pPr>
              <w:spacing w:line="240" w:lineRule="auto"/>
              <w:rPr>
                <w:lang w:val="hu-HU"/>
              </w:rPr>
            </w:pPr>
            <w:r>
              <w:rPr>
                <w:lang w:val="hu-HU"/>
              </w:rPr>
              <w:t>Egyidejű adásuk várhatóan a dabigatrán-koncentrációk csökkenését eredményezi.</w:t>
            </w:r>
          </w:p>
          <w:p w14:paraId="358099C0" w14:textId="77777777" w:rsidR="00736F4A" w:rsidRDefault="00736F4A">
            <w:pPr>
              <w:spacing w:line="240" w:lineRule="auto"/>
              <w:rPr>
                <w:lang w:val="hu-HU"/>
              </w:rPr>
            </w:pPr>
          </w:p>
          <w:p w14:paraId="21971BA4" w14:textId="77777777" w:rsidR="00736F4A" w:rsidRDefault="00100640">
            <w:pPr>
              <w:spacing w:line="240" w:lineRule="auto"/>
              <w:rPr>
                <w:lang w:val="hu-HU"/>
              </w:rPr>
            </w:pPr>
            <w:r>
              <w:rPr>
                <w:lang w:val="hu-HU"/>
              </w:rPr>
              <w:t>A teszt-induktor rifampicin 7 napon át napi egyszeri 600 mg dózisban alkalmazott előzetes (pre-dose) adagolása a dabigatrán csúcskoncentrációját 65,5%-kal, a teljes expozícióját pedig 67%-kal csökkentette. A rifampicin-kezelés leállítását követő 7. napra az indukáló hatás csökkent és a dabigatrán-expozíció közel a referenciaszintet érte el. A biohasznosulás további növekedését a következő 7 napban nem figyelték meg.</w:t>
            </w:r>
          </w:p>
        </w:tc>
      </w:tr>
      <w:tr w:rsidR="00736F4A" w14:paraId="4167E707"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157194D8" w14:textId="77777777" w:rsidR="00736F4A" w:rsidRDefault="00100640">
            <w:pPr>
              <w:spacing w:line="240" w:lineRule="auto"/>
              <w:rPr>
                <w:lang w:val="hu-HU"/>
              </w:rPr>
            </w:pPr>
            <w:r>
              <w:rPr>
                <w:i/>
                <w:u w:val="single" w:color="000000"/>
                <w:lang w:val="hu-HU"/>
              </w:rPr>
              <w:t>Proteázinhibitorok, pl. ritonavir</w:t>
            </w:r>
          </w:p>
        </w:tc>
      </w:tr>
      <w:tr w:rsidR="00736F4A" w14:paraId="699380F3"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4A16D919" w14:textId="77777777" w:rsidR="00736F4A" w:rsidRDefault="00100640">
            <w:pPr>
              <w:spacing w:line="240" w:lineRule="auto"/>
              <w:rPr>
                <w:lang w:val="hu-HU"/>
              </w:rPr>
            </w:pPr>
            <w:r>
              <w:rPr>
                <w:i/>
                <w:lang w:val="hu-HU"/>
              </w:rPr>
              <w:t>Az egyidejű alkalmazás nem javasolt</w:t>
            </w:r>
          </w:p>
        </w:tc>
      </w:tr>
      <w:tr w:rsidR="00736F4A" w14:paraId="032A54B7" w14:textId="77777777">
        <w:tblPrEx>
          <w:tblCellMar>
            <w:left w:w="108" w:type="dxa"/>
            <w:right w:w="59" w:type="dxa"/>
          </w:tblCellMar>
        </w:tblPrEx>
        <w:trPr>
          <w:trHeight w:val="1020"/>
        </w:trPr>
        <w:tc>
          <w:tcPr>
            <w:tcW w:w="2126" w:type="dxa"/>
            <w:gridSpan w:val="2"/>
            <w:tcBorders>
              <w:top w:val="single" w:sz="4" w:space="0" w:color="000000"/>
              <w:left w:val="single" w:sz="4" w:space="0" w:color="000000"/>
              <w:bottom w:val="single" w:sz="4" w:space="0" w:color="000000"/>
              <w:right w:val="single" w:sz="4" w:space="0" w:color="000000"/>
            </w:tcBorders>
          </w:tcPr>
          <w:p w14:paraId="5AC6E78E" w14:textId="77777777" w:rsidR="00736F4A" w:rsidRDefault="00100640">
            <w:pPr>
              <w:spacing w:line="240" w:lineRule="auto"/>
              <w:rPr>
                <w:lang w:val="hu-HU"/>
              </w:rPr>
            </w:pPr>
            <w:r>
              <w:rPr>
                <w:lang w:val="hu-HU"/>
              </w:rPr>
              <w:lastRenderedPageBreak/>
              <w:t>pl. ritonavir és annak más proteázinhibitorokkal való kombinációi</w:t>
            </w:r>
          </w:p>
        </w:tc>
        <w:tc>
          <w:tcPr>
            <w:tcW w:w="6934" w:type="dxa"/>
            <w:tcBorders>
              <w:top w:val="single" w:sz="4" w:space="0" w:color="000000"/>
              <w:left w:val="single" w:sz="4" w:space="0" w:color="000000"/>
              <w:bottom w:val="single" w:sz="4" w:space="0" w:color="000000"/>
              <w:right w:val="single" w:sz="4" w:space="0" w:color="000000"/>
            </w:tcBorders>
          </w:tcPr>
          <w:p w14:paraId="1BAE2767" w14:textId="77777777" w:rsidR="00736F4A" w:rsidRDefault="00100640">
            <w:pPr>
              <w:spacing w:line="240" w:lineRule="auto"/>
              <w:rPr>
                <w:lang w:val="hu-HU"/>
              </w:rPr>
            </w:pPr>
            <w:r>
              <w:rPr>
                <w:lang w:val="hu-HU"/>
              </w:rPr>
              <w:t>Befolyásolják a P-gp-t (gátolják vagy indukálják). Ezeket nem vizsgálták és ezért egyidejű alkalmazásuk a dabigatrán-etexiláttal nem javasolt.</w:t>
            </w:r>
          </w:p>
        </w:tc>
      </w:tr>
      <w:tr w:rsidR="00736F4A" w14:paraId="57706ABA"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0A00B019" w14:textId="77777777" w:rsidR="00736F4A" w:rsidRDefault="00100640">
            <w:pPr>
              <w:spacing w:line="240" w:lineRule="auto"/>
              <w:rPr>
                <w:lang w:val="hu-HU"/>
              </w:rPr>
            </w:pPr>
            <w:r>
              <w:rPr>
                <w:i/>
                <w:u w:val="single" w:color="000000"/>
                <w:lang w:val="hu-HU"/>
              </w:rPr>
              <w:t>P-gp-szubsztrát</w:t>
            </w:r>
          </w:p>
        </w:tc>
      </w:tr>
      <w:tr w:rsidR="00736F4A" w14:paraId="606121BD" w14:textId="77777777">
        <w:tblPrEx>
          <w:tblCellMar>
            <w:left w:w="108" w:type="dxa"/>
            <w:right w:w="59" w:type="dxa"/>
          </w:tblCellMar>
        </w:tblPrEx>
        <w:trPr>
          <w:trHeight w:val="770"/>
        </w:trPr>
        <w:tc>
          <w:tcPr>
            <w:tcW w:w="2126" w:type="dxa"/>
            <w:gridSpan w:val="2"/>
            <w:tcBorders>
              <w:top w:val="single" w:sz="4" w:space="0" w:color="000000"/>
              <w:left w:val="single" w:sz="4" w:space="0" w:color="000000"/>
              <w:bottom w:val="single" w:sz="4" w:space="0" w:color="000000"/>
              <w:right w:val="single" w:sz="4" w:space="0" w:color="000000"/>
            </w:tcBorders>
          </w:tcPr>
          <w:p w14:paraId="0EBB4286" w14:textId="77777777" w:rsidR="00736F4A" w:rsidRDefault="00100640">
            <w:pPr>
              <w:spacing w:line="240" w:lineRule="auto"/>
              <w:rPr>
                <w:lang w:val="hu-HU"/>
              </w:rPr>
            </w:pPr>
            <w:r>
              <w:rPr>
                <w:lang w:val="hu-HU"/>
              </w:rPr>
              <w:t>Digoxin</w:t>
            </w:r>
          </w:p>
        </w:tc>
        <w:tc>
          <w:tcPr>
            <w:tcW w:w="6934" w:type="dxa"/>
            <w:tcBorders>
              <w:top w:val="single" w:sz="4" w:space="0" w:color="000000"/>
              <w:left w:val="single" w:sz="4" w:space="0" w:color="000000"/>
              <w:bottom w:val="single" w:sz="4" w:space="0" w:color="000000"/>
              <w:right w:val="single" w:sz="4" w:space="0" w:color="000000"/>
            </w:tcBorders>
          </w:tcPr>
          <w:p w14:paraId="40F3B485" w14:textId="77777777" w:rsidR="00736F4A" w:rsidRDefault="00100640">
            <w:pPr>
              <w:spacing w:line="240" w:lineRule="auto"/>
              <w:rPr>
                <w:lang w:val="hu-HU"/>
              </w:rPr>
            </w:pPr>
            <w:r>
              <w:rPr>
                <w:lang w:val="hu-HU"/>
              </w:rPr>
              <w:t>Egy 24 egészséges önkéntesnél végzett vizsgálatban, melyben a dabigatrán-etexilátot digoxinnal adták együtt, nem észleltek változást a digoxin, illetve klinikailag jelentős változást a dabigatrán-expozícióban.</w:t>
            </w:r>
          </w:p>
        </w:tc>
      </w:tr>
    </w:tbl>
    <w:p w14:paraId="09583E2F" w14:textId="77777777" w:rsidR="00736F4A" w:rsidRDefault="00736F4A">
      <w:pPr>
        <w:spacing w:line="240" w:lineRule="auto"/>
        <w:ind w:left="7" w:right="9"/>
      </w:pPr>
    </w:p>
    <w:p w14:paraId="1956417B" w14:textId="77777777" w:rsidR="00736F4A" w:rsidRDefault="00100640">
      <w:pPr>
        <w:spacing w:line="240" w:lineRule="auto"/>
        <w:ind w:left="7" w:right="9"/>
        <w:rPr>
          <w:u w:val="single"/>
        </w:rPr>
      </w:pPr>
      <w:r>
        <w:rPr>
          <w:u w:val="single"/>
        </w:rPr>
        <w:t>Antikoagulánsok és thrombocyta-aggregáció-gátló gyógyszerek</w:t>
      </w:r>
    </w:p>
    <w:p w14:paraId="1D1ACC33" w14:textId="77777777" w:rsidR="00736F4A" w:rsidRDefault="00736F4A">
      <w:pPr>
        <w:spacing w:line="240" w:lineRule="auto"/>
        <w:rPr>
          <w:lang w:val="hu-HU"/>
        </w:rPr>
      </w:pPr>
    </w:p>
    <w:p w14:paraId="28188311" w14:textId="77777777" w:rsidR="00736F4A" w:rsidRDefault="00100640">
      <w:pPr>
        <w:spacing w:line="240" w:lineRule="auto"/>
        <w:ind w:left="7" w:right="9"/>
      </w:pPr>
      <w:r>
        <w:t>Nincs vagy csak korlátozott tapasztalat áll rendelkezésre a következő kezelésekről, melyek fokozhatják a vérzésveszélyt, ha a dabigatrán-etexiláttal egyidejűleg alkalmazzák őket: antikoagulánsok, pl. nem frakcionált heparin (UFH), alacsony molekulatömegű heparinok (LMWH) és heparin származékok (fondaparinux, dezirudin), thrombolyticus gyógyszerek és K-vitamin-antagonisták, rivaroxabán vagy egyéb orális antikoagulánsok (lásd 4.3 pont) és thrombocyta-aggregáció-gátló gyógyszerek mint pl. GPIIb/IIIa receptor antagonisták, tiklopidin, prazugrel, tikagrelor, dextrán és szulfinpirazon (lásd 4.4 pont).</w:t>
      </w:r>
    </w:p>
    <w:p w14:paraId="4F68E20A" w14:textId="77777777" w:rsidR="00736F4A" w:rsidRDefault="00736F4A">
      <w:pPr>
        <w:spacing w:line="240" w:lineRule="auto"/>
        <w:ind w:left="7" w:right="9"/>
      </w:pPr>
    </w:p>
    <w:p w14:paraId="05B482B0" w14:textId="77777777" w:rsidR="00736F4A" w:rsidRDefault="00100640">
      <w:pPr>
        <w:spacing w:line="240" w:lineRule="auto"/>
        <w:ind w:left="7" w:right="9"/>
      </w:pPr>
      <w:r>
        <w:t>A III. fázisú RE-LY vizsgálatban gyűjtött adatokból (lásd 5.1 pont) azt figyelték meg, hogy mind a dabigatrán-etexilát, mind a warfarin más orális vagy parenterális antikoagulánsokkal történő együttadása, melyre többnyire egyik antikoagulánsról a másikra történő átállítással kapcsolatban került sor, körülbelül 2,5-szeresére növelte a major vérzések kockázatát (lásd 4.3 pont). Továbbá mind a dabigatrán-etexilát, mind a warfarin véralvadásgátlókkal (ASA vagy klopidogrel) történő egyidejű adása körülbelül megkétszerezte a major vérzések arányát (lásd 4.4 pont).</w:t>
      </w:r>
    </w:p>
    <w:p w14:paraId="7906405F" w14:textId="77777777" w:rsidR="00736F4A" w:rsidRDefault="00736F4A">
      <w:pPr>
        <w:spacing w:line="240" w:lineRule="auto"/>
        <w:ind w:right="9"/>
      </w:pPr>
    </w:p>
    <w:p w14:paraId="7FE083AE" w14:textId="77777777" w:rsidR="00736F4A" w:rsidRDefault="00100640">
      <w:pPr>
        <w:spacing w:line="240" w:lineRule="auto"/>
        <w:rPr>
          <w:lang w:val="hu-HU"/>
        </w:rPr>
      </w:pPr>
      <w:r>
        <w:t>Az UFH a szükséges dózisban adható a centrális vénás vagy artériás kanül nyitvatartásához vagy pitvarfibrilláció esetén katéteres ablatio alatt (lásd 4.3 pont).</w:t>
      </w:r>
    </w:p>
    <w:p w14:paraId="63289E20" w14:textId="77777777" w:rsidR="00736F4A" w:rsidRDefault="00736F4A">
      <w:pPr>
        <w:spacing w:line="240" w:lineRule="auto"/>
        <w:rPr>
          <w:lang w:val="hu-HU"/>
        </w:rPr>
      </w:pPr>
    </w:p>
    <w:p w14:paraId="28470B77" w14:textId="77777777" w:rsidR="00736F4A" w:rsidRDefault="00100640">
      <w:pPr>
        <w:spacing w:line="240" w:lineRule="auto"/>
        <w:rPr>
          <w:b/>
          <w:bCs/>
          <w:lang w:val="hu-HU"/>
        </w:rPr>
      </w:pPr>
      <w:r>
        <w:rPr>
          <w:b/>
          <w:bCs/>
          <w:lang w:val="hu-HU"/>
        </w:rPr>
        <w:t>9. táblázat. Interakciók antikoagulánsokkal és thrombocyta-aggregáció-gátló gyógyszerekkel</w:t>
      </w:r>
    </w:p>
    <w:p w14:paraId="488FA5E7" w14:textId="77777777" w:rsidR="00736F4A" w:rsidRDefault="00736F4A">
      <w:pPr>
        <w:spacing w:line="240" w:lineRule="auto"/>
        <w:rPr>
          <w:lang w:val="hu-HU"/>
        </w:rPr>
      </w:pPr>
    </w:p>
    <w:tbl>
      <w:tblPr>
        <w:tblW w:w="9060" w:type="dxa"/>
        <w:tblInd w:w="17" w:type="dxa"/>
        <w:tblCellMar>
          <w:top w:w="51" w:type="dxa"/>
          <w:right w:w="106" w:type="dxa"/>
        </w:tblCellMar>
        <w:tblLook w:val="04A0" w:firstRow="1" w:lastRow="0" w:firstColumn="1" w:lastColumn="0" w:noHBand="0" w:noVBand="1"/>
      </w:tblPr>
      <w:tblGrid>
        <w:gridCol w:w="1279"/>
        <w:gridCol w:w="7781"/>
      </w:tblGrid>
      <w:tr w:rsidR="00736F4A" w14:paraId="6A518BD9" w14:textId="77777777">
        <w:trPr>
          <w:trHeight w:val="1022"/>
        </w:trPr>
        <w:tc>
          <w:tcPr>
            <w:tcW w:w="1279" w:type="dxa"/>
            <w:tcBorders>
              <w:top w:val="single" w:sz="4" w:space="0" w:color="000000"/>
              <w:left w:val="single" w:sz="4" w:space="0" w:color="000000"/>
              <w:bottom w:val="single" w:sz="4" w:space="0" w:color="000000"/>
              <w:right w:val="single" w:sz="4" w:space="0" w:color="000000"/>
            </w:tcBorders>
          </w:tcPr>
          <w:p w14:paraId="49DC684F" w14:textId="77777777" w:rsidR="00736F4A" w:rsidRDefault="00100640">
            <w:pPr>
              <w:spacing w:line="240" w:lineRule="auto"/>
              <w:rPr>
                <w:lang w:val="hu-HU"/>
              </w:rPr>
            </w:pPr>
            <w:r>
              <w:rPr>
                <w:lang w:val="hu-HU"/>
              </w:rPr>
              <w:t>NSAID-ok</w:t>
            </w:r>
          </w:p>
        </w:tc>
        <w:tc>
          <w:tcPr>
            <w:tcW w:w="7781" w:type="dxa"/>
            <w:tcBorders>
              <w:top w:val="single" w:sz="4" w:space="0" w:color="000000"/>
              <w:left w:val="single" w:sz="4" w:space="0" w:color="000000"/>
              <w:bottom w:val="single" w:sz="4" w:space="0" w:color="000000"/>
              <w:right w:val="single" w:sz="4" w:space="0" w:color="000000"/>
            </w:tcBorders>
          </w:tcPr>
          <w:p w14:paraId="279A6CED" w14:textId="77777777" w:rsidR="00736F4A" w:rsidRDefault="00100640">
            <w:pPr>
              <w:spacing w:line="240" w:lineRule="auto"/>
              <w:rPr>
                <w:lang w:val="hu-HU"/>
              </w:rPr>
            </w:pPr>
            <w:r>
              <w:rPr>
                <w:lang w:val="hu-HU"/>
              </w:rPr>
              <w:t>Kimutatták, hogy a rövid távú fájdalomcsillapítás céljára adott NSAID-ok nem fokozzák a vérzésveszélyt, ha dabigatrán-etexiláttal adják együtt. A RE-LY vizsgálatban megfigyelt tartós NSAID-szedés a vérzés kockázatát körülbelül 50%-kal növeli dabigatrán-etexilát és warfarin esetében is.</w:t>
            </w:r>
          </w:p>
        </w:tc>
      </w:tr>
      <w:tr w:rsidR="00736F4A" w14:paraId="5ECDD72A" w14:textId="77777777">
        <w:trPr>
          <w:trHeight w:val="2035"/>
        </w:trPr>
        <w:tc>
          <w:tcPr>
            <w:tcW w:w="1279" w:type="dxa"/>
            <w:tcBorders>
              <w:top w:val="single" w:sz="4" w:space="0" w:color="000000"/>
              <w:left w:val="single" w:sz="4" w:space="0" w:color="000000"/>
              <w:bottom w:val="single" w:sz="4" w:space="0" w:color="000000"/>
              <w:right w:val="single" w:sz="4" w:space="0" w:color="000000"/>
            </w:tcBorders>
          </w:tcPr>
          <w:p w14:paraId="556EF62C" w14:textId="77777777" w:rsidR="00736F4A" w:rsidRDefault="00100640">
            <w:pPr>
              <w:spacing w:line="240" w:lineRule="auto"/>
              <w:rPr>
                <w:lang w:val="hu-HU"/>
              </w:rPr>
            </w:pPr>
            <w:r>
              <w:rPr>
                <w:lang w:val="hu-HU"/>
              </w:rPr>
              <w:t>Klopidogrel</w:t>
            </w:r>
          </w:p>
        </w:tc>
        <w:tc>
          <w:tcPr>
            <w:tcW w:w="7781" w:type="dxa"/>
            <w:tcBorders>
              <w:top w:val="single" w:sz="4" w:space="0" w:color="000000"/>
              <w:left w:val="single" w:sz="4" w:space="0" w:color="000000"/>
              <w:bottom w:val="single" w:sz="4" w:space="0" w:color="000000"/>
              <w:right w:val="single" w:sz="4" w:space="0" w:color="000000"/>
            </w:tcBorders>
          </w:tcPr>
          <w:p w14:paraId="1CE6D6DE" w14:textId="77777777" w:rsidR="00736F4A" w:rsidRDefault="00100640">
            <w:pPr>
              <w:spacing w:line="240" w:lineRule="auto"/>
              <w:rPr>
                <w:lang w:val="hu-HU"/>
              </w:rPr>
            </w:pPr>
            <w:r>
              <w:rPr>
                <w:lang w:val="hu-HU"/>
              </w:rPr>
              <w:t>Fiatal egészséges férfi önkénteseknél végzett vizsgálatok szerint a dabigatrán-etexilát és a klopidogrel együttadása nem nyújtotta tovább a kapilláris vérzési időt a klopidogrel-monoterápiához viszonyítva. Ezenkívül a dabigatrán AUC</w:t>
            </w:r>
            <w:r>
              <w:rPr>
                <w:vertAlign w:val="subscript"/>
                <w:lang w:val="hu-HU"/>
              </w:rPr>
              <w:t>τ,ss</w:t>
            </w:r>
            <w:r>
              <w:rPr>
                <w:lang w:val="hu-HU"/>
              </w:rPr>
              <w:t>- és C</w:t>
            </w:r>
            <w:r>
              <w:rPr>
                <w:vertAlign w:val="subscript"/>
                <w:lang w:val="hu-HU"/>
              </w:rPr>
              <w:t>max,ss</w:t>
            </w:r>
            <w:r>
              <w:rPr>
                <w:lang w:val="hu-HU"/>
              </w:rPr>
              <w:t>értéke, valamint a dabigatrán hatását vizsgáló alvadási vizsgálatok, illetve a klopidogrel hatását mutató thrombocyta-aggregáció-gátlás lényegében változatlan maradt a kombinált kezelés és a megfelelő monoterápiák összehasonlítása során. 300 mg vagy 600 mg klopidogrel telítő dózis esetén a dabigatrán AUC</w:t>
            </w:r>
            <w:r>
              <w:rPr>
                <w:vertAlign w:val="subscript"/>
                <w:lang w:val="hu-HU"/>
              </w:rPr>
              <w:t>τ,ss</w:t>
            </w:r>
            <w:r>
              <w:rPr>
                <w:lang w:val="hu-HU"/>
              </w:rPr>
              <w:t>- és C</w:t>
            </w:r>
            <w:r>
              <w:rPr>
                <w:vertAlign w:val="subscript"/>
                <w:lang w:val="hu-HU"/>
              </w:rPr>
              <w:t>max,ss</w:t>
            </w:r>
            <w:r>
              <w:rPr>
                <w:lang w:val="hu-HU"/>
              </w:rPr>
              <w:t xml:space="preserve"> értéke körülbelül 30-40%-kal nőtt (lásd 4.4 pont).</w:t>
            </w:r>
          </w:p>
        </w:tc>
      </w:tr>
      <w:tr w:rsidR="00736F4A" w14:paraId="3150F3A5" w14:textId="77777777">
        <w:trPr>
          <w:trHeight w:val="768"/>
        </w:trPr>
        <w:tc>
          <w:tcPr>
            <w:tcW w:w="1279" w:type="dxa"/>
            <w:tcBorders>
              <w:top w:val="single" w:sz="4" w:space="0" w:color="000000"/>
              <w:left w:val="single" w:sz="4" w:space="0" w:color="000000"/>
              <w:bottom w:val="single" w:sz="4" w:space="0" w:color="000000"/>
              <w:right w:val="single" w:sz="4" w:space="0" w:color="000000"/>
            </w:tcBorders>
          </w:tcPr>
          <w:p w14:paraId="19C46244" w14:textId="77777777" w:rsidR="00736F4A" w:rsidRDefault="00100640">
            <w:pPr>
              <w:spacing w:line="240" w:lineRule="auto"/>
              <w:rPr>
                <w:lang w:val="hu-HU"/>
              </w:rPr>
            </w:pPr>
            <w:r>
              <w:rPr>
                <w:lang w:val="hu-HU"/>
              </w:rPr>
              <w:t>ASA</w:t>
            </w:r>
          </w:p>
        </w:tc>
        <w:tc>
          <w:tcPr>
            <w:tcW w:w="7781" w:type="dxa"/>
            <w:tcBorders>
              <w:top w:val="single" w:sz="4" w:space="0" w:color="000000"/>
              <w:left w:val="single" w:sz="4" w:space="0" w:color="000000"/>
              <w:bottom w:val="single" w:sz="4" w:space="0" w:color="000000"/>
              <w:right w:val="single" w:sz="4" w:space="0" w:color="000000"/>
            </w:tcBorders>
          </w:tcPr>
          <w:p w14:paraId="1DFA95C9" w14:textId="77777777" w:rsidR="00736F4A" w:rsidRDefault="00100640">
            <w:pPr>
              <w:spacing w:line="240" w:lineRule="auto"/>
              <w:rPr>
                <w:lang w:val="hu-HU"/>
              </w:rPr>
            </w:pPr>
            <w:r>
              <w:rPr>
                <w:lang w:val="hu-HU"/>
              </w:rPr>
              <w:t>81 mg ASA és napi kétszeri 150 mg dabigatrán-etexilát együttadása 12%-ról 18%-ra, 325 mg ASA együttadása 24%-ra növelheti a bármilyen vérzés kockázatát (lásd 4.4 pont).</w:t>
            </w:r>
          </w:p>
        </w:tc>
      </w:tr>
      <w:tr w:rsidR="00736F4A" w14:paraId="3742D57D" w14:textId="77777777">
        <w:trPr>
          <w:trHeight w:val="2539"/>
        </w:trPr>
        <w:tc>
          <w:tcPr>
            <w:tcW w:w="1279" w:type="dxa"/>
            <w:tcBorders>
              <w:top w:val="single" w:sz="4" w:space="0" w:color="000000"/>
              <w:left w:val="single" w:sz="4" w:space="0" w:color="000000"/>
              <w:bottom w:val="single" w:sz="4" w:space="0" w:color="000000"/>
              <w:right w:val="single" w:sz="4" w:space="0" w:color="000000"/>
            </w:tcBorders>
          </w:tcPr>
          <w:p w14:paraId="099FE08E" w14:textId="77777777" w:rsidR="00736F4A" w:rsidRDefault="00100640">
            <w:pPr>
              <w:spacing w:line="240" w:lineRule="auto"/>
              <w:rPr>
                <w:lang w:val="hu-HU"/>
              </w:rPr>
            </w:pPr>
            <w:r>
              <w:rPr>
                <w:lang w:val="hu-HU"/>
              </w:rPr>
              <w:lastRenderedPageBreak/>
              <w:t>LMWH</w:t>
            </w:r>
          </w:p>
        </w:tc>
        <w:tc>
          <w:tcPr>
            <w:tcW w:w="7781" w:type="dxa"/>
            <w:tcBorders>
              <w:top w:val="single" w:sz="4" w:space="0" w:color="000000"/>
              <w:left w:val="single" w:sz="4" w:space="0" w:color="000000"/>
              <w:bottom w:val="single" w:sz="4" w:space="0" w:color="000000"/>
              <w:right w:val="single" w:sz="4" w:space="0" w:color="000000"/>
            </w:tcBorders>
          </w:tcPr>
          <w:p w14:paraId="5576525E" w14:textId="77777777" w:rsidR="00736F4A" w:rsidRDefault="00100640">
            <w:pPr>
              <w:spacing w:line="240" w:lineRule="auto"/>
              <w:rPr>
                <w:lang w:val="hu-HU"/>
              </w:rPr>
            </w:pPr>
            <w:r>
              <w:rPr>
                <w:lang w:val="hu-HU"/>
              </w:rPr>
              <w:t xml:space="preserve">Az LMWH-k (például enoxaparin) és a dabigatrán-etexilát egyidejű alkalmazását külön nem vizsgálták. 3 napon keresztül, naponta egyszer </w:t>
            </w:r>
            <w:r>
              <w:rPr>
                <w:rFonts w:ascii="Calibri" w:hAnsi="Calibri"/>
                <w:i/>
                <w:iCs/>
                <w:lang w:val="hu-HU"/>
              </w:rPr>
              <w:t>sc.</w:t>
            </w:r>
            <w:r>
              <w:rPr>
                <w:lang w:val="hu-HU"/>
              </w:rPr>
              <w:t xml:space="preserve"> adott 40 mg enoxaparinról történő átállítás után, az enoxaparin utolsó dózisa után 24 órával a dabigatrán-expozíció kicsivel alacsonyabb volt, mint önmagában adott dabigatrán-etexilát (egyszeri 220 mg-os dózis) után. Magasabb anti-FXa/FIIa aktivitást figyeltek meg előzetes enoxaparin-kezelést követő dabigatrán-etexilát adása után az önmagában adott dabigatrán-etexiláthoz viszonyítva. A feltételezések szerint ez az enoxaparin megmaradó hatásának következménye, és klinikailag nem tekintik relevánsnak. Más, dabigatránnal kapcsolatos antikoaguláns vizsgálatok eredményei nem változtak meg lényegesen előzetes enoxaparin-kezelést követően.</w:t>
            </w:r>
          </w:p>
        </w:tc>
      </w:tr>
    </w:tbl>
    <w:p w14:paraId="1A04E11F" w14:textId="77777777" w:rsidR="00736F4A" w:rsidRDefault="00736F4A">
      <w:pPr>
        <w:spacing w:line="240" w:lineRule="auto"/>
        <w:rPr>
          <w:lang w:val="hu-HU"/>
        </w:rPr>
      </w:pPr>
    </w:p>
    <w:p w14:paraId="483D2B64" w14:textId="77777777" w:rsidR="00736F4A" w:rsidRDefault="00100640">
      <w:pPr>
        <w:spacing w:line="240" w:lineRule="auto"/>
        <w:rPr>
          <w:u w:val="single"/>
          <w:lang w:val="hu-HU"/>
        </w:rPr>
      </w:pPr>
      <w:r>
        <w:rPr>
          <w:u w:val="single"/>
          <w:lang w:val="hu-HU"/>
        </w:rPr>
        <w:t>Egyéb interakciók</w:t>
      </w:r>
    </w:p>
    <w:p w14:paraId="6DB67FF4" w14:textId="77777777" w:rsidR="00736F4A" w:rsidRDefault="00736F4A">
      <w:pPr>
        <w:spacing w:line="240" w:lineRule="auto"/>
        <w:rPr>
          <w:lang w:val="hu-HU"/>
        </w:rPr>
      </w:pPr>
    </w:p>
    <w:p w14:paraId="0D57B1AC" w14:textId="77777777" w:rsidR="00736F4A" w:rsidRDefault="00100640">
      <w:pPr>
        <w:tabs>
          <w:tab w:val="center" w:pos="2291"/>
        </w:tabs>
        <w:spacing w:line="240" w:lineRule="auto"/>
        <w:ind w:left="-3"/>
        <w:rPr>
          <w:b/>
        </w:rPr>
      </w:pPr>
      <w:r>
        <w:rPr>
          <w:b/>
        </w:rPr>
        <w:t>10. táblázat. Egyéb interakciók</w:t>
      </w:r>
    </w:p>
    <w:p w14:paraId="7847DB0A" w14:textId="77777777" w:rsidR="00736F4A" w:rsidRDefault="00736F4A">
      <w:pPr>
        <w:tabs>
          <w:tab w:val="center" w:pos="2291"/>
        </w:tabs>
        <w:spacing w:line="240" w:lineRule="auto"/>
        <w:ind w:left="-3"/>
        <w:rPr>
          <w:bCs/>
        </w:rPr>
      </w:pPr>
    </w:p>
    <w:tbl>
      <w:tblPr>
        <w:tblW w:w="9060" w:type="dxa"/>
        <w:tblInd w:w="17" w:type="dxa"/>
        <w:tblCellMar>
          <w:top w:w="51" w:type="dxa"/>
          <w:right w:w="115" w:type="dxa"/>
        </w:tblCellMar>
        <w:tblLook w:val="04A0" w:firstRow="1" w:lastRow="0" w:firstColumn="1" w:lastColumn="0" w:noHBand="0" w:noVBand="1"/>
      </w:tblPr>
      <w:tblGrid>
        <w:gridCol w:w="1538"/>
        <w:gridCol w:w="7522"/>
      </w:tblGrid>
      <w:tr w:rsidR="00736F4A" w14:paraId="75543CDE" w14:textId="77777777">
        <w:trPr>
          <w:trHeight w:val="996"/>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77AAFA60" w14:textId="77777777" w:rsidR="00736F4A" w:rsidRDefault="00100640">
            <w:pPr>
              <w:spacing w:line="240" w:lineRule="auto"/>
              <w:rPr>
                <w:lang w:val="hu-HU"/>
              </w:rPr>
            </w:pPr>
            <w:r>
              <w:rPr>
                <w:i/>
                <w:u w:val="single" w:color="000000"/>
                <w:lang w:val="hu-HU"/>
              </w:rPr>
              <w:t>Szelektív szerotoninvisszavétel-gátlók (SSRI-k) vagy szelektív szerotonin-noradrenalin-visszavétel</w:t>
            </w:r>
            <w:r>
              <w:rPr>
                <w:i/>
                <w:lang w:val="hu-HU"/>
              </w:rPr>
              <w:t>-</w:t>
            </w:r>
            <w:r>
              <w:rPr>
                <w:i/>
                <w:u w:val="single" w:color="000000"/>
                <w:lang w:val="hu-HU"/>
              </w:rPr>
              <w:t>gátlók (SNRI-k)</w:t>
            </w:r>
          </w:p>
        </w:tc>
      </w:tr>
      <w:tr w:rsidR="00736F4A" w14:paraId="5F0FC3D7" w14:textId="77777777">
        <w:trPr>
          <w:trHeight w:val="516"/>
        </w:trPr>
        <w:tc>
          <w:tcPr>
            <w:tcW w:w="1538" w:type="dxa"/>
            <w:tcBorders>
              <w:top w:val="single" w:sz="4" w:space="0" w:color="000000"/>
              <w:left w:val="single" w:sz="4" w:space="0" w:color="000000"/>
              <w:bottom w:val="single" w:sz="4" w:space="0" w:color="000000"/>
              <w:right w:val="single" w:sz="4" w:space="0" w:color="000000"/>
            </w:tcBorders>
          </w:tcPr>
          <w:p w14:paraId="3BB00490" w14:textId="77777777" w:rsidR="00736F4A" w:rsidRDefault="00100640">
            <w:pPr>
              <w:spacing w:line="240" w:lineRule="auto"/>
              <w:rPr>
                <w:lang w:val="hu-HU"/>
              </w:rPr>
            </w:pPr>
            <w:r>
              <w:rPr>
                <w:lang w:val="hu-HU"/>
              </w:rPr>
              <w:t>SSRI-k, SNRI-k</w:t>
            </w:r>
          </w:p>
        </w:tc>
        <w:tc>
          <w:tcPr>
            <w:tcW w:w="7522" w:type="dxa"/>
            <w:tcBorders>
              <w:top w:val="single" w:sz="4" w:space="0" w:color="000000"/>
              <w:left w:val="single" w:sz="4" w:space="0" w:color="000000"/>
              <w:bottom w:val="single" w:sz="4" w:space="0" w:color="000000"/>
              <w:right w:val="single" w:sz="4" w:space="0" w:color="000000"/>
            </w:tcBorders>
          </w:tcPr>
          <w:p w14:paraId="6AABE226" w14:textId="77777777" w:rsidR="00736F4A" w:rsidRDefault="00100640">
            <w:pPr>
              <w:spacing w:line="240" w:lineRule="auto"/>
              <w:rPr>
                <w:lang w:val="hu-HU"/>
              </w:rPr>
            </w:pPr>
            <w:r>
              <w:rPr>
                <w:lang w:val="hu-HU"/>
              </w:rPr>
              <w:t>Az SSRI-k és az SNRI-k a RE-LY vizsgálat valamennyi kezelési csoportjában növelték a vérzés kockázatát.</w:t>
            </w:r>
          </w:p>
        </w:tc>
      </w:tr>
      <w:tr w:rsidR="00736F4A" w14:paraId="6E5C1E5C" w14:textId="77777777">
        <w:trPr>
          <w:trHeight w:val="744"/>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7AD8E87E" w14:textId="77777777" w:rsidR="00736F4A" w:rsidRDefault="00100640">
            <w:pPr>
              <w:spacing w:line="240" w:lineRule="auto"/>
              <w:rPr>
                <w:lang w:val="hu-HU"/>
              </w:rPr>
            </w:pPr>
            <w:r>
              <w:rPr>
                <w:i/>
                <w:u w:val="single" w:color="000000"/>
                <w:lang w:val="hu-HU"/>
              </w:rPr>
              <w:t>A gyomor pH-t befolyásoló egyéb gyógyszerek</w:t>
            </w:r>
          </w:p>
        </w:tc>
      </w:tr>
      <w:tr w:rsidR="00736F4A" w14:paraId="50A1ADED" w14:textId="77777777">
        <w:trPr>
          <w:trHeight w:val="1022"/>
        </w:trPr>
        <w:tc>
          <w:tcPr>
            <w:tcW w:w="1538" w:type="dxa"/>
            <w:tcBorders>
              <w:top w:val="single" w:sz="4" w:space="0" w:color="000000"/>
              <w:left w:val="single" w:sz="4" w:space="0" w:color="000000"/>
              <w:bottom w:val="single" w:sz="4" w:space="0" w:color="000000"/>
              <w:right w:val="single" w:sz="4" w:space="0" w:color="000000"/>
            </w:tcBorders>
          </w:tcPr>
          <w:p w14:paraId="5F05A189" w14:textId="77777777" w:rsidR="00736F4A" w:rsidRDefault="00100640">
            <w:pPr>
              <w:spacing w:line="240" w:lineRule="auto"/>
              <w:rPr>
                <w:lang w:val="hu-HU"/>
              </w:rPr>
            </w:pPr>
            <w:r>
              <w:rPr>
                <w:lang w:val="hu-HU"/>
              </w:rPr>
              <w:t>Pantoprazol</w:t>
            </w:r>
          </w:p>
        </w:tc>
        <w:tc>
          <w:tcPr>
            <w:tcW w:w="7522" w:type="dxa"/>
            <w:tcBorders>
              <w:top w:val="single" w:sz="4" w:space="0" w:color="000000"/>
              <w:left w:val="single" w:sz="4" w:space="0" w:color="000000"/>
              <w:bottom w:val="single" w:sz="4" w:space="0" w:color="000000"/>
              <w:right w:val="single" w:sz="4" w:space="0" w:color="000000"/>
            </w:tcBorders>
          </w:tcPr>
          <w:p w14:paraId="7612F72F" w14:textId="77777777" w:rsidR="00736F4A" w:rsidRDefault="00100640">
            <w:pPr>
              <w:spacing w:line="240" w:lineRule="auto"/>
              <w:rPr>
                <w:lang w:val="hu-HU"/>
              </w:rPr>
            </w:pPr>
            <w:r>
              <w:rPr>
                <w:lang w:val="hu-HU"/>
              </w:rPr>
              <w:t>Ha a dabigatránt pantoprazollal adták együtt, a dabigatrán AUC értékének kb. 30%-os csökkenését figyelték meg. Klinikai vizsgálatokban pantoprazolt és egyéb protonpumpa-inhibitorokat (PPI) adtak együtt dabigatránnal: a párhuzamos PPI-kezelés során a dabigatrán hatásosságát csökkentő hatást nem figyeltek meg.</w:t>
            </w:r>
          </w:p>
        </w:tc>
      </w:tr>
      <w:tr w:rsidR="00736F4A" w14:paraId="396D94DF" w14:textId="77777777">
        <w:trPr>
          <w:trHeight w:val="516"/>
        </w:trPr>
        <w:tc>
          <w:tcPr>
            <w:tcW w:w="1538" w:type="dxa"/>
            <w:tcBorders>
              <w:top w:val="single" w:sz="4" w:space="0" w:color="000000"/>
              <w:left w:val="single" w:sz="4" w:space="0" w:color="000000"/>
              <w:bottom w:val="single" w:sz="4" w:space="0" w:color="000000"/>
              <w:right w:val="single" w:sz="4" w:space="0" w:color="000000"/>
            </w:tcBorders>
          </w:tcPr>
          <w:p w14:paraId="659A2DA5" w14:textId="77777777" w:rsidR="00736F4A" w:rsidRDefault="00100640">
            <w:pPr>
              <w:spacing w:line="240" w:lineRule="auto"/>
              <w:rPr>
                <w:lang w:val="hu-HU"/>
              </w:rPr>
            </w:pPr>
            <w:r>
              <w:rPr>
                <w:lang w:val="hu-HU"/>
              </w:rPr>
              <w:t>Ranitidin</w:t>
            </w:r>
          </w:p>
        </w:tc>
        <w:tc>
          <w:tcPr>
            <w:tcW w:w="7522" w:type="dxa"/>
            <w:tcBorders>
              <w:top w:val="single" w:sz="4" w:space="0" w:color="000000"/>
              <w:left w:val="single" w:sz="4" w:space="0" w:color="000000"/>
              <w:bottom w:val="single" w:sz="4" w:space="0" w:color="000000"/>
              <w:right w:val="single" w:sz="4" w:space="0" w:color="000000"/>
            </w:tcBorders>
          </w:tcPr>
          <w:p w14:paraId="66D5F6E5" w14:textId="77777777" w:rsidR="00736F4A" w:rsidRDefault="00100640">
            <w:pPr>
              <w:spacing w:line="240" w:lineRule="auto"/>
              <w:rPr>
                <w:lang w:val="hu-HU"/>
              </w:rPr>
            </w:pPr>
            <w:r>
              <w:rPr>
                <w:lang w:val="hu-HU"/>
              </w:rPr>
              <w:t>A ranitidin dabigatrán-etexiláttal történő együttadásának nem volt klinikailag jelentős hatása a dabigatrán felszívódásának mértékére.</w:t>
            </w:r>
          </w:p>
        </w:tc>
      </w:tr>
    </w:tbl>
    <w:p w14:paraId="3BF4F525" w14:textId="77777777" w:rsidR="00736F4A" w:rsidRDefault="00736F4A">
      <w:pPr>
        <w:spacing w:line="240" w:lineRule="auto"/>
        <w:rPr>
          <w:lang w:val="hu-HU"/>
        </w:rPr>
      </w:pPr>
    </w:p>
    <w:p w14:paraId="3F6D66E1" w14:textId="77777777" w:rsidR="00736F4A" w:rsidRDefault="00100640">
      <w:pPr>
        <w:spacing w:line="240" w:lineRule="auto"/>
        <w:rPr>
          <w:u w:val="single"/>
          <w:lang w:val="hu-HU"/>
        </w:rPr>
      </w:pPr>
      <w:r>
        <w:rPr>
          <w:u w:val="single"/>
          <w:lang w:val="hu-HU"/>
        </w:rPr>
        <w:t>A dabigatrán-etexilát és a dabigatrán metabolikus profiljával kapcsolatos interakciók</w:t>
      </w:r>
    </w:p>
    <w:p w14:paraId="6310A8CB" w14:textId="77777777" w:rsidR="00736F4A" w:rsidRDefault="00736F4A">
      <w:pPr>
        <w:spacing w:line="240" w:lineRule="auto"/>
        <w:rPr>
          <w:lang w:val="hu-HU"/>
        </w:rPr>
      </w:pPr>
    </w:p>
    <w:p w14:paraId="11285289" w14:textId="77777777" w:rsidR="00736F4A" w:rsidRDefault="00100640">
      <w:pPr>
        <w:spacing w:line="240" w:lineRule="auto"/>
      </w:pPr>
      <w:r>
        <w:t xml:space="preserve">A dabigatrán-etexilát és a dabigatrán nem metabolizálódik a citokróm P450 rendszeren keresztül, és </w:t>
      </w:r>
      <w:r>
        <w:rPr>
          <w:i/>
        </w:rPr>
        <w:t xml:space="preserve">in vitro </w:t>
      </w:r>
      <w:r>
        <w:t>nincs hatásuk az emberi citokróm P450 enzimekre. Ezért az ezzel összefüggő gyógyszerkölcsönhatások a dabigatránnal nem várhatók.</w:t>
      </w:r>
    </w:p>
    <w:p w14:paraId="52F2FCA1" w14:textId="77777777" w:rsidR="00736F4A" w:rsidRDefault="00736F4A">
      <w:pPr>
        <w:spacing w:line="240" w:lineRule="auto"/>
      </w:pPr>
    </w:p>
    <w:p w14:paraId="4ED2826E" w14:textId="77777777" w:rsidR="00736F4A" w:rsidRDefault="00100640">
      <w:pPr>
        <w:spacing w:line="240" w:lineRule="auto"/>
        <w:rPr>
          <w:u w:val="single"/>
          <w:lang w:val="hu-HU"/>
        </w:rPr>
      </w:pPr>
      <w:r>
        <w:rPr>
          <w:u w:val="single"/>
          <w:lang w:val="hu-HU"/>
        </w:rPr>
        <w:t>Gyermekek és serdülők</w:t>
      </w:r>
    </w:p>
    <w:p w14:paraId="7CE29CE9" w14:textId="77777777" w:rsidR="00736F4A" w:rsidRDefault="00736F4A">
      <w:pPr>
        <w:spacing w:line="240" w:lineRule="auto"/>
        <w:rPr>
          <w:u w:val="single"/>
          <w:lang w:val="hu-HU"/>
        </w:rPr>
      </w:pPr>
    </w:p>
    <w:p w14:paraId="1CAA8684" w14:textId="77777777" w:rsidR="00736F4A" w:rsidRDefault="00100640">
      <w:pPr>
        <w:spacing w:line="240" w:lineRule="auto"/>
        <w:rPr>
          <w:lang w:val="hu-HU"/>
        </w:rPr>
      </w:pPr>
      <w:r>
        <w:rPr>
          <w:lang w:val="hu-HU"/>
        </w:rPr>
        <w:t>Interakciós vizsgálatokat csak felnőttek körében végeztek.</w:t>
      </w:r>
    </w:p>
    <w:p w14:paraId="54F730C5" w14:textId="77777777" w:rsidR="00736F4A" w:rsidRDefault="00736F4A">
      <w:pPr>
        <w:spacing w:line="240" w:lineRule="auto"/>
        <w:rPr>
          <w:lang w:val="hu-HU"/>
        </w:rPr>
      </w:pPr>
    </w:p>
    <w:p w14:paraId="2A16E5F6" w14:textId="77777777" w:rsidR="00736F4A" w:rsidRDefault="00100640">
      <w:pPr>
        <w:spacing w:line="240" w:lineRule="auto"/>
        <w:ind w:left="567" w:hanging="567"/>
        <w:outlineLvl w:val="0"/>
        <w:rPr>
          <w:b/>
          <w:bCs/>
          <w:lang w:val="hu-HU"/>
        </w:rPr>
      </w:pPr>
      <w:r>
        <w:rPr>
          <w:b/>
          <w:bCs/>
          <w:lang w:val="hu-HU"/>
        </w:rPr>
        <w:t>4.6</w:t>
      </w:r>
      <w:r>
        <w:rPr>
          <w:b/>
          <w:bCs/>
          <w:lang w:val="hu-HU"/>
        </w:rPr>
        <w:tab/>
        <w:t>Termékenység, terhesség és szoptatás</w:t>
      </w:r>
    </w:p>
    <w:p w14:paraId="4B80D387" w14:textId="77777777" w:rsidR="00736F4A" w:rsidRDefault="00736F4A">
      <w:pPr>
        <w:spacing w:line="240" w:lineRule="auto"/>
        <w:rPr>
          <w:iCs/>
          <w:lang w:val="hu-HU"/>
        </w:rPr>
      </w:pPr>
    </w:p>
    <w:p w14:paraId="283FAE9F" w14:textId="77777777" w:rsidR="00736F4A" w:rsidRDefault="00100640">
      <w:pPr>
        <w:spacing w:line="240" w:lineRule="auto"/>
        <w:rPr>
          <w:iCs/>
          <w:u w:val="single"/>
          <w:lang w:val="hu-HU"/>
        </w:rPr>
      </w:pPr>
      <w:r>
        <w:rPr>
          <w:iCs/>
          <w:u w:val="single"/>
          <w:lang w:val="hu-HU"/>
        </w:rPr>
        <w:t>Fogamzóképes nők</w:t>
      </w:r>
    </w:p>
    <w:p w14:paraId="2E1AD5AA" w14:textId="77777777" w:rsidR="00736F4A" w:rsidRDefault="00736F4A">
      <w:pPr>
        <w:spacing w:line="240" w:lineRule="auto"/>
        <w:rPr>
          <w:iCs/>
          <w:lang w:val="hu-HU"/>
        </w:rPr>
      </w:pPr>
    </w:p>
    <w:p w14:paraId="5683B4AC" w14:textId="77777777" w:rsidR="00736F4A" w:rsidRDefault="00100640">
      <w:pPr>
        <w:spacing w:line="240" w:lineRule="auto"/>
        <w:rPr>
          <w:iCs/>
          <w:lang w:val="hu-HU"/>
        </w:rPr>
      </w:pPr>
      <w:r>
        <w:rPr>
          <w:iCs/>
          <w:lang w:val="hu-HU"/>
        </w:rPr>
        <w:t xml:space="preserve">Fogamzóképes nőknek kerülniük kell a teherbeesést a </w:t>
      </w:r>
      <w:r>
        <w:t>dabigatrán-etexilát</w:t>
      </w:r>
      <w:r>
        <w:rPr>
          <w:iCs/>
          <w:lang w:val="hu-HU"/>
        </w:rPr>
        <w:t>-kezelés alatt.</w:t>
      </w:r>
    </w:p>
    <w:p w14:paraId="15B70321" w14:textId="77777777" w:rsidR="00736F4A" w:rsidRDefault="00736F4A">
      <w:pPr>
        <w:spacing w:line="240" w:lineRule="auto"/>
        <w:rPr>
          <w:iCs/>
          <w:lang w:val="hu-HU"/>
        </w:rPr>
      </w:pPr>
    </w:p>
    <w:p w14:paraId="28FFB7E5" w14:textId="77777777" w:rsidR="00736F4A" w:rsidRDefault="00100640">
      <w:pPr>
        <w:spacing w:line="240" w:lineRule="auto"/>
        <w:rPr>
          <w:u w:val="single"/>
          <w:lang w:val="hu-HU"/>
        </w:rPr>
      </w:pPr>
      <w:r>
        <w:rPr>
          <w:u w:val="single"/>
          <w:lang w:val="hu-HU"/>
        </w:rPr>
        <w:t>Terhesség</w:t>
      </w:r>
    </w:p>
    <w:p w14:paraId="753E9ACA" w14:textId="77777777" w:rsidR="00736F4A" w:rsidRDefault="00736F4A">
      <w:pPr>
        <w:spacing w:line="240" w:lineRule="auto"/>
        <w:rPr>
          <w:lang w:val="hu-HU"/>
        </w:rPr>
      </w:pPr>
    </w:p>
    <w:p w14:paraId="7DC525F9" w14:textId="77777777" w:rsidR="00736F4A" w:rsidRDefault="00100640">
      <w:pPr>
        <w:spacing w:line="240" w:lineRule="auto"/>
        <w:ind w:left="7" w:right="9"/>
      </w:pPr>
      <w:r>
        <w:t>A dabigatrán-etexilát terhes nőknél történő alkalmazása tekintetében korlátozott mennyiségű információ áll rendelkezésre.</w:t>
      </w:r>
    </w:p>
    <w:p w14:paraId="0F4EC58F" w14:textId="77777777" w:rsidR="00736F4A" w:rsidRDefault="00100640">
      <w:pPr>
        <w:spacing w:line="240" w:lineRule="auto"/>
        <w:ind w:left="7" w:right="9"/>
      </w:pPr>
      <w:r>
        <w:t>Az állatokon végzett vizsgálatok reprodukciós toxicitást mutattak (lásd 5.3 pont). Embernél a potenciális kockázat nem ismert.</w:t>
      </w:r>
    </w:p>
    <w:p w14:paraId="5BFDBB6A" w14:textId="77777777" w:rsidR="00736F4A" w:rsidRDefault="00736F4A">
      <w:pPr>
        <w:spacing w:line="240" w:lineRule="auto"/>
        <w:ind w:left="7" w:right="9"/>
      </w:pPr>
    </w:p>
    <w:p w14:paraId="300BC1C0" w14:textId="77777777" w:rsidR="00736F4A" w:rsidRDefault="00100640">
      <w:pPr>
        <w:spacing w:line="240" w:lineRule="auto"/>
        <w:rPr>
          <w:lang w:val="hu-HU"/>
        </w:rPr>
      </w:pPr>
      <w:r>
        <w:t>A dabigatrán-etexilátot a terhesség ideje alatt nem szabad alkalmazni, csak ha egyértelműen szükséges.</w:t>
      </w:r>
    </w:p>
    <w:p w14:paraId="4E14C056" w14:textId="77777777" w:rsidR="00736F4A" w:rsidRDefault="00736F4A">
      <w:pPr>
        <w:spacing w:line="240" w:lineRule="auto"/>
        <w:rPr>
          <w:lang w:val="hu-HU"/>
        </w:rPr>
      </w:pPr>
    </w:p>
    <w:p w14:paraId="0D237810" w14:textId="77777777" w:rsidR="00736F4A" w:rsidRDefault="00100640">
      <w:pPr>
        <w:spacing w:line="240" w:lineRule="auto"/>
        <w:rPr>
          <w:u w:val="single"/>
          <w:lang w:val="hu-HU"/>
        </w:rPr>
      </w:pPr>
      <w:r>
        <w:rPr>
          <w:u w:val="single"/>
          <w:lang w:val="hu-HU"/>
        </w:rPr>
        <w:t>Szoptatás</w:t>
      </w:r>
    </w:p>
    <w:p w14:paraId="24C1C8F8" w14:textId="77777777" w:rsidR="00736F4A" w:rsidRDefault="00736F4A">
      <w:pPr>
        <w:spacing w:line="240" w:lineRule="auto"/>
        <w:rPr>
          <w:lang w:val="hu-HU"/>
        </w:rPr>
      </w:pPr>
    </w:p>
    <w:p w14:paraId="39478CB0" w14:textId="77777777" w:rsidR="00736F4A" w:rsidRDefault="00100640">
      <w:pPr>
        <w:spacing w:line="240" w:lineRule="auto"/>
        <w:ind w:left="7" w:right="93"/>
      </w:pPr>
      <w:r>
        <w:t>A dabigatrán szoptatott csecsemőre gyakorolt hatásaira vonatkozó adatok nem állnak rendelkezésre. A dabigatrán-etexilát-kezelés alatt a szoptatást abba kell hagyni.</w:t>
      </w:r>
    </w:p>
    <w:p w14:paraId="08ED176E" w14:textId="77777777" w:rsidR="00736F4A" w:rsidRDefault="00736F4A">
      <w:pPr>
        <w:spacing w:line="240" w:lineRule="auto"/>
        <w:rPr>
          <w:lang w:val="hu-HU"/>
        </w:rPr>
      </w:pPr>
    </w:p>
    <w:p w14:paraId="0AA88220" w14:textId="77777777" w:rsidR="00736F4A" w:rsidRDefault="00100640">
      <w:pPr>
        <w:spacing w:line="240" w:lineRule="auto"/>
        <w:rPr>
          <w:u w:val="single"/>
          <w:lang w:val="hu-HU"/>
        </w:rPr>
      </w:pPr>
      <w:r>
        <w:rPr>
          <w:u w:val="single"/>
          <w:lang w:val="hu-HU"/>
        </w:rPr>
        <w:t>Termékenység</w:t>
      </w:r>
    </w:p>
    <w:p w14:paraId="7D94AAB6" w14:textId="77777777" w:rsidR="00736F4A" w:rsidRDefault="00736F4A">
      <w:pPr>
        <w:spacing w:line="240" w:lineRule="auto"/>
        <w:rPr>
          <w:lang w:val="hu-HU"/>
        </w:rPr>
      </w:pPr>
    </w:p>
    <w:p w14:paraId="4B6604F3" w14:textId="77777777" w:rsidR="00736F4A" w:rsidRDefault="00100640">
      <w:pPr>
        <w:spacing w:line="240" w:lineRule="auto"/>
        <w:rPr>
          <w:lang w:val="hu-HU"/>
        </w:rPr>
      </w:pPr>
      <w:r>
        <w:rPr>
          <w:lang w:val="hu-HU"/>
        </w:rPr>
        <w:t>Nem állnak rendelkezésre humán vizsgálati adatok.</w:t>
      </w:r>
    </w:p>
    <w:p w14:paraId="23D8A96F" w14:textId="77777777" w:rsidR="00736F4A" w:rsidRDefault="00736F4A">
      <w:pPr>
        <w:spacing w:line="240" w:lineRule="auto"/>
        <w:rPr>
          <w:lang w:val="hu-HU"/>
        </w:rPr>
      </w:pPr>
    </w:p>
    <w:p w14:paraId="49E8C1EB" w14:textId="77777777" w:rsidR="00736F4A" w:rsidRDefault="00100640">
      <w:pPr>
        <w:spacing w:line="240" w:lineRule="auto"/>
        <w:rPr>
          <w:lang w:val="hu-HU"/>
        </w:rPr>
      </w:pPr>
      <w:r>
        <w:t>Állatkísérletekben a nőstények termékenységére kifejtett hatást figyeltek meg az implantáció csökkenése és a pre-implantációs veszteség növekedése formájában 70 mg/ttkg dózis esetén (ez 5</w:t>
      </w:r>
      <w:r>
        <w:noBreakHyphen/>
        <w:t>ször nagyobb plazmaexpozíciós szintet jelent, mint a betegeknél). Más, a nőstények termékenységére kifejtett hatást nem figyeltek meg. A hímek termékenységére kifejtett hatást nem találtak. Anyai toxikus dózisok esetén (ami 5-10-szer nagyobb plazmaexpozíciós szintet jelent, mint a betegeknél), a foetalis testtömeg és az embryofoetalis életképesség csökkenését, valamint a foetalis eltérések növekedését figyelték meg patkányoknál és nyulaknál. A pre- és post-natalis vizsgálatban a foetalis mortalitás növekedését észlelték az anyaállatokra toxikus dózisok esetén (a dózis olyan plazmaexpozíciós szintnek felel meg, ami 4-szer nagyobb volt, mint amit a betegeknél megfigyeltek).</w:t>
      </w:r>
    </w:p>
    <w:p w14:paraId="01642FDD" w14:textId="77777777" w:rsidR="00736F4A" w:rsidRDefault="00736F4A">
      <w:pPr>
        <w:spacing w:line="240" w:lineRule="auto"/>
        <w:rPr>
          <w:lang w:val="hu-HU"/>
        </w:rPr>
      </w:pPr>
    </w:p>
    <w:p w14:paraId="7B8CDC71" w14:textId="77777777" w:rsidR="00736F4A" w:rsidRDefault="00100640">
      <w:pPr>
        <w:spacing w:line="240" w:lineRule="auto"/>
        <w:ind w:left="567" w:hanging="567"/>
        <w:outlineLvl w:val="0"/>
        <w:rPr>
          <w:b/>
          <w:bCs/>
          <w:lang w:val="hu-HU"/>
        </w:rPr>
      </w:pPr>
      <w:r>
        <w:rPr>
          <w:b/>
          <w:bCs/>
          <w:lang w:val="hu-HU"/>
        </w:rPr>
        <w:t>4.7</w:t>
      </w:r>
      <w:r>
        <w:rPr>
          <w:b/>
          <w:bCs/>
          <w:lang w:val="hu-HU"/>
        </w:rPr>
        <w:tab/>
        <w:t>A készítmény hatásai a gépjárművezetéshez és a gépek kezeléséhez szükséges képességekre</w:t>
      </w:r>
    </w:p>
    <w:p w14:paraId="65F1CCDE" w14:textId="77777777" w:rsidR="00736F4A" w:rsidRDefault="00736F4A">
      <w:pPr>
        <w:spacing w:line="240" w:lineRule="auto"/>
        <w:ind w:left="567" w:hanging="567"/>
        <w:outlineLvl w:val="0"/>
        <w:rPr>
          <w:b/>
          <w:bCs/>
          <w:lang w:val="hu-HU"/>
        </w:rPr>
      </w:pPr>
    </w:p>
    <w:p w14:paraId="084D42BC" w14:textId="77777777" w:rsidR="00736F4A" w:rsidRDefault="00100640">
      <w:pPr>
        <w:spacing w:line="240" w:lineRule="auto"/>
        <w:ind w:left="7" w:right="9"/>
      </w:pPr>
      <w:r>
        <w:t>A dabigatrán-etexilát nem, vagy csak elhanyagolható mértékben befolyásolja a gépjárművezetéshez és a gépek kezeléséhez szükséges képességeket.</w:t>
      </w:r>
    </w:p>
    <w:p w14:paraId="1705D0DC" w14:textId="77777777" w:rsidR="00736F4A" w:rsidRDefault="00736F4A">
      <w:pPr>
        <w:spacing w:line="240" w:lineRule="auto"/>
        <w:rPr>
          <w:lang w:val="hu-HU"/>
        </w:rPr>
      </w:pPr>
    </w:p>
    <w:p w14:paraId="552A41FE" w14:textId="77777777" w:rsidR="00736F4A" w:rsidRDefault="00100640">
      <w:pPr>
        <w:spacing w:line="240" w:lineRule="auto"/>
        <w:ind w:left="567" w:hanging="567"/>
        <w:outlineLvl w:val="0"/>
        <w:rPr>
          <w:b/>
          <w:bCs/>
          <w:lang w:val="hu-HU"/>
        </w:rPr>
      </w:pPr>
      <w:r>
        <w:rPr>
          <w:b/>
          <w:bCs/>
          <w:lang w:val="hu-HU"/>
        </w:rPr>
        <w:t>4.8</w:t>
      </w:r>
      <w:r>
        <w:rPr>
          <w:b/>
          <w:bCs/>
          <w:lang w:val="hu-HU"/>
        </w:rPr>
        <w:tab/>
        <w:t>Nemkívánatos hatások, mellékhatások</w:t>
      </w:r>
    </w:p>
    <w:p w14:paraId="51327E58" w14:textId="77777777" w:rsidR="00736F4A" w:rsidRDefault="00736F4A">
      <w:pPr>
        <w:spacing w:line="240" w:lineRule="auto"/>
        <w:rPr>
          <w:lang w:val="hu-HU"/>
        </w:rPr>
      </w:pPr>
    </w:p>
    <w:p w14:paraId="1925E457" w14:textId="77777777" w:rsidR="00736F4A" w:rsidRDefault="00100640">
      <w:pPr>
        <w:spacing w:line="240" w:lineRule="auto"/>
        <w:rPr>
          <w:u w:val="single"/>
          <w:lang w:val="hu-HU"/>
        </w:rPr>
      </w:pPr>
      <w:r>
        <w:rPr>
          <w:u w:val="single"/>
          <w:lang w:val="hu-HU"/>
        </w:rPr>
        <w:t>A biztonságossági profil összefoglalása</w:t>
      </w:r>
    </w:p>
    <w:p w14:paraId="5DB5A66F" w14:textId="77777777" w:rsidR="00736F4A" w:rsidRDefault="00736F4A">
      <w:pPr>
        <w:spacing w:line="240" w:lineRule="auto"/>
        <w:rPr>
          <w:u w:val="single"/>
          <w:lang w:val="hu-HU"/>
        </w:rPr>
      </w:pPr>
    </w:p>
    <w:p w14:paraId="1CBEDF72" w14:textId="77777777" w:rsidR="00736F4A" w:rsidRDefault="00100640">
      <w:pPr>
        <w:spacing w:line="240" w:lineRule="auto"/>
        <w:ind w:left="7" w:right="9"/>
      </w:pPr>
      <w:r>
        <w:t>A dabigatrán-etexilátot összesen körülbelül 64 000 betegnél végzett klinikai vizsgálatokban értékelték; közülük körülbelül 35 000 beteg kapott dabigatrán-etexilátot.</w:t>
      </w:r>
    </w:p>
    <w:p w14:paraId="618EDA33" w14:textId="77777777" w:rsidR="00736F4A" w:rsidRDefault="00736F4A">
      <w:pPr>
        <w:spacing w:line="240" w:lineRule="auto"/>
        <w:ind w:left="7" w:right="9"/>
      </w:pPr>
    </w:p>
    <w:p w14:paraId="4055C2CD" w14:textId="77777777" w:rsidR="00736F4A" w:rsidRDefault="00100640">
      <w:pPr>
        <w:spacing w:line="240" w:lineRule="auto"/>
        <w:ind w:right="9"/>
        <w:rPr>
          <w:color w:val="000000"/>
          <w:lang w:val="hu-HU" w:eastAsia="hu-HU"/>
        </w:rPr>
      </w:pPr>
      <w:r>
        <w:rPr>
          <w:color w:val="000000"/>
          <w:lang w:val="hu-HU" w:eastAsia="hu-HU"/>
        </w:rPr>
        <w:t>A stroke és a szisztémás embolizáció prevenciója miatt kezelt pitvarfibrilláló betegek összesen 22%-a (tartós kezelés legfeljebb 3 évig), az MVT/PE miatt kezelt betegek 14%-a, valamint az MVT/PE prevenció miatt kezelt betegek 15%-a észlelt mellékhatásokat.</w:t>
      </w:r>
    </w:p>
    <w:p w14:paraId="351EF802" w14:textId="77777777" w:rsidR="00736F4A" w:rsidRDefault="00736F4A">
      <w:pPr>
        <w:spacing w:line="240" w:lineRule="auto"/>
        <w:ind w:left="7" w:right="9"/>
      </w:pPr>
    </w:p>
    <w:p w14:paraId="001D2DC9" w14:textId="77777777" w:rsidR="00736F4A" w:rsidRDefault="00100640">
      <w:pPr>
        <w:spacing w:line="240" w:lineRule="auto"/>
        <w:ind w:right="9"/>
        <w:rPr>
          <w:color w:val="000000"/>
          <w:lang w:val="hu-HU" w:eastAsia="hu-HU"/>
        </w:rPr>
      </w:pPr>
      <w:r>
        <w:rPr>
          <w:color w:val="000000"/>
          <w:lang w:val="hu-HU" w:eastAsia="hu-HU"/>
        </w:rPr>
        <w:t xml:space="preserve">A leggyakrabban jelentett esemény a vérzés volt, ezt a pitvarfibrillációban szenvedő, stroke és a szisztémás embolizáció megelőzésére kezelt összes beteg körülbelül 16,6%-ánál, és az MVT/PE miatt hosszú távon kezelt felnőtt betegek 14,4%-ánál észlelték. Továbbá vérzés az MVT/PE prevenciós REMEDY vizsgálat (felnőtt) betegeinek 19,4%-ánál és az MVT/PE prevenciós RE-SONATE vizsgálat (felnőtt) betegeinek 10,5%-ánál jelentkezett. </w:t>
      </w:r>
    </w:p>
    <w:p w14:paraId="7A722F50" w14:textId="77777777" w:rsidR="00736F4A" w:rsidRDefault="00736F4A">
      <w:pPr>
        <w:spacing w:line="240" w:lineRule="auto"/>
        <w:ind w:right="9"/>
        <w:rPr>
          <w:color w:val="000000"/>
          <w:lang w:val="hu-HU" w:eastAsia="hu-HU"/>
        </w:rPr>
      </w:pPr>
    </w:p>
    <w:p w14:paraId="098E1238" w14:textId="77777777" w:rsidR="00736F4A" w:rsidRDefault="00100640">
      <w:pPr>
        <w:spacing w:line="240" w:lineRule="auto"/>
        <w:ind w:right="9"/>
        <w:rPr>
          <w:color w:val="000000"/>
          <w:lang w:val="hu-HU" w:eastAsia="hu-HU"/>
        </w:rPr>
      </w:pPr>
      <w:r>
        <w:rPr>
          <w:color w:val="000000"/>
          <w:lang w:val="hu-HU" w:eastAsia="hu-HU"/>
        </w:rPr>
        <w:t>Mivel a három indikációban kezelt betegpopuláció nem összehasonlítható, és a vérzéses események számos szervrendszert érintettek, a jelentős, illetve bármilyen vérzések összesített leírása indikáció szerint megadva alább, a 12-15. táblázatokban található.</w:t>
      </w:r>
    </w:p>
    <w:p w14:paraId="2A5D9D7A" w14:textId="77777777" w:rsidR="00736F4A" w:rsidRDefault="00736F4A">
      <w:pPr>
        <w:spacing w:line="240" w:lineRule="auto"/>
        <w:ind w:right="9"/>
      </w:pPr>
    </w:p>
    <w:p w14:paraId="646F0E76" w14:textId="77777777" w:rsidR="00736F4A" w:rsidRDefault="00100640">
      <w:pPr>
        <w:spacing w:line="240" w:lineRule="auto"/>
        <w:ind w:left="7" w:right="9"/>
      </w:pPr>
      <w:r>
        <w:t>Bár a klinikai vizsgálatokban alacsony gyakoriságot mutattak, mégis előfordulhatnak jelentős vagy súlyos vérzések, amelyek lokalizációjuktól függetlenül rokkantsághoz, életet veszélyeztető állapothoz vagy akár halálos kimenetelhez vezethetnek.</w:t>
      </w:r>
    </w:p>
    <w:p w14:paraId="138AA71A" w14:textId="77777777" w:rsidR="00736F4A" w:rsidRDefault="00736F4A">
      <w:pPr>
        <w:spacing w:line="240" w:lineRule="auto"/>
        <w:rPr>
          <w:lang w:val="hu-HU"/>
        </w:rPr>
      </w:pPr>
    </w:p>
    <w:p w14:paraId="493948F1" w14:textId="77777777" w:rsidR="00736F4A" w:rsidRDefault="00100640">
      <w:pPr>
        <w:spacing w:line="240" w:lineRule="auto"/>
        <w:rPr>
          <w:u w:val="single"/>
          <w:lang w:val="hu-HU"/>
        </w:rPr>
      </w:pPr>
      <w:r>
        <w:rPr>
          <w:u w:val="single"/>
          <w:lang w:val="hu-HU"/>
        </w:rPr>
        <w:t>A mellékhatások táblázatos felsorolása</w:t>
      </w:r>
    </w:p>
    <w:p w14:paraId="35B01DBE" w14:textId="77777777" w:rsidR="00736F4A" w:rsidRDefault="00736F4A">
      <w:pPr>
        <w:spacing w:line="240" w:lineRule="auto"/>
        <w:rPr>
          <w:u w:val="single"/>
          <w:lang w:val="hu-HU"/>
        </w:rPr>
      </w:pPr>
    </w:p>
    <w:p w14:paraId="4071D3D8" w14:textId="77777777" w:rsidR="00736F4A" w:rsidRDefault="00100640">
      <w:pPr>
        <w:spacing w:line="240" w:lineRule="auto"/>
        <w:ind w:left="7" w:right="9"/>
      </w:pPr>
      <w:r>
        <w:t xml:space="preserve">A 11. táblázat azokat a mellékhatásokat mutatja, amelyeket a pitvarfibrilláló betegek thromboemboliás stroke és a szisztémás embolizáció prevenciója során, valamint az MVT/PE kezelése és MVT/PE prevenciója során észleltek klinikai vizsgálatokban és a forgalomba hozatalt követően. A mellékhatásokat szervrendszerek és gyakoriság szerinti felosztásban, a következő gyakorisági kategóriák szerint ismertetjük: nagyon gyakori (≥ 1/10); gyakori (≥ 1/100 - &lt; 1/10); nem gyakori </w:t>
      </w:r>
      <w:r>
        <w:lastRenderedPageBreak/>
        <w:t>(≥ 1/1000 - &lt; 1/100); ritka (≥ 1/10 000 - &lt; 1/1000); nagyon ritka (&lt; 1/10 000), nem ismert (a gyakoriság a rendelkezésre álló adatokból nem állapítható meg).</w:t>
      </w:r>
    </w:p>
    <w:p w14:paraId="69D8ECCB" w14:textId="77777777" w:rsidR="00736F4A" w:rsidRDefault="00736F4A">
      <w:pPr>
        <w:spacing w:line="240" w:lineRule="auto"/>
        <w:rPr>
          <w:lang w:val="hu-HU"/>
        </w:rPr>
      </w:pPr>
    </w:p>
    <w:p w14:paraId="42011418" w14:textId="77777777" w:rsidR="00736F4A" w:rsidRDefault="00100640">
      <w:pPr>
        <w:spacing w:line="240" w:lineRule="auto"/>
        <w:rPr>
          <w:b/>
          <w:bCs/>
          <w:lang w:val="hu-HU"/>
        </w:rPr>
      </w:pPr>
      <w:r>
        <w:rPr>
          <w:b/>
          <w:bCs/>
          <w:lang w:val="hu-HU"/>
        </w:rPr>
        <w:t>11. táblázat. Mellékhatások</w:t>
      </w:r>
    </w:p>
    <w:p w14:paraId="3E6CA939" w14:textId="77777777" w:rsidR="00736F4A" w:rsidRDefault="00736F4A">
      <w:pPr>
        <w:spacing w:line="240" w:lineRule="auto"/>
        <w:rPr>
          <w:lang w:val="hu-HU"/>
        </w:rPr>
      </w:pPr>
    </w:p>
    <w:tbl>
      <w:tblPr>
        <w:tblW w:w="9286" w:type="dxa"/>
        <w:tblInd w:w="-108" w:type="dxa"/>
        <w:tblCellMar>
          <w:top w:w="5" w:type="dxa"/>
          <w:left w:w="0" w:type="dxa"/>
          <w:right w:w="115" w:type="dxa"/>
        </w:tblCellMar>
        <w:tblLook w:val="04A0" w:firstRow="1" w:lastRow="0" w:firstColumn="1" w:lastColumn="0" w:noHBand="0" w:noVBand="1"/>
      </w:tblPr>
      <w:tblGrid>
        <w:gridCol w:w="3309"/>
        <w:gridCol w:w="2458"/>
        <w:gridCol w:w="1181"/>
        <w:gridCol w:w="2338"/>
      </w:tblGrid>
      <w:tr w:rsidR="00736F4A" w14:paraId="5DB9C04D" w14:textId="77777777">
        <w:trPr>
          <w:trHeight w:val="516"/>
        </w:trPr>
        <w:tc>
          <w:tcPr>
            <w:tcW w:w="3309" w:type="dxa"/>
            <w:tcBorders>
              <w:top w:val="single" w:sz="4" w:space="0" w:color="000000"/>
              <w:left w:val="single" w:sz="4" w:space="0" w:color="000000"/>
              <w:bottom w:val="single" w:sz="4" w:space="0" w:color="000000"/>
              <w:right w:val="single" w:sz="4" w:space="0" w:color="000000"/>
            </w:tcBorders>
          </w:tcPr>
          <w:p w14:paraId="69A4B4A4" w14:textId="77777777" w:rsidR="00736F4A" w:rsidRDefault="00736F4A">
            <w:pPr>
              <w:keepNext/>
              <w:rPr>
                <w:color w:val="000000"/>
                <w:lang w:val="hu-HU"/>
              </w:rPr>
            </w:pPr>
            <w:bookmarkStart w:id="0" w:name="_Hlk108167632"/>
          </w:p>
        </w:tc>
        <w:tc>
          <w:tcPr>
            <w:tcW w:w="5977" w:type="dxa"/>
            <w:gridSpan w:val="3"/>
            <w:tcBorders>
              <w:top w:val="single" w:sz="4" w:space="0" w:color="000000"/>
              <w:left w:val="single" w:sz="4" w:space="0" w:color="000000"/>
              <w:bottom w:val="single" w:sz="4" w:space="0" w:color="000000"/>
              <w:right w:val="single" w:sz="4" w:space="0" w:color="000000"/>
            </w:tcBorders>
          </w:tcPr>
          <w:p w14:paraId="6EB2D59C" w14:textId="77777777" w:rsidR="00736F4A" w:rsidRDefault="00100640">
            <w:pPr>
              <w:keepNext/>
              <w:ind w:right="50"/>
              <w:rPr>
                <w:color w:val="000000"/>
                <w:lang w:val="hu-HU"/>
              </w:rPr>
            </w:pPr>
            <w:r>
              <w:rPr>
                <w:color w:val="000000"/>
                <w:lang w:val="hu-HU"/>
              </w:rPr>
              <w:t>Gyakoriság</w:t>
            </w:r>
          </w:p>
        </w:tc>
      </w:tr>
      <w:tr w:rsidR="00736F4A" w14:paraId="0963AC3C" w14:textId="77777777">
        <w:trPr>
          <w:trHeight w:val="1020"/>
        </w:trPr>
        <w:tc>
          <w:tcPr>
            <w:tcW w:w="3309" w:type="dxa"/>
            <w:tcBorders>
              <w:top w:val="single" w:sz="4" w:space="0" w:color="000000"/>
              <w:left w:val="single" w:sz="4" w:space="0" w:color="000000"/>
              <w:bottom w:val="single" w:sz="4" w:space="0" w:color="000000"/>
              <w:right w:val="single" w:sz="4" w:space="0" w:color="000000"/>
            </w:tcBorders>
          </w:tcPr>
          <w:p w14:paraId="3A1322EA" w14:textId="77777777" w:rsidR="00736F4A" w:rsidRDefault="00100640">
            <w:pPr>
              <w:ind w:right="85"/>
              <w:rPr>
                <w:color w:val="000000"/>
                <w:lang w:val="hu-HU"/>
              </w:rPr>
            </w:pPr>
            <w:r>
              <w:rPr>
                <w:color w:val="000000"/>
                <w:lang w:val="hu-HU"/>
              </w:rPr>
              <w:t>Szervrendszeri kategória/ Preferált kifejezés</w:t>
            </w:r>
          </w:p>
        </w:tc>
        <w:tc>
          <w:tcPr>
            <w:tcW w:w="2458" w:type="dxa"/>
            <w:tcBorders>
              <w:top w:val="single" w:sz="4" w:space="0" w:color="000000"/>
              <w:left w:val="single" w:sz="4" w:space="0" w:color="000000"/>
              <w:bottom w:val="single" w:sz="4" w:space="0" w:color="000000"/>
              <w:right w:val="single" w:sz="4" w:space="0" w:color="000000"/>
            </w:tcBorders>
          </w:tcPr>
          <w:p w14:paraId="0B2F35CA" w14:textId="77777777" w:rsidR="00736F4A" w:rsidRDefault="00100640">
            <w:pPr>
              <w:rPr>
                <w:color w:val="000000"/>
                <w:lang w:val="hu-HU"/>
              </w:rPr>
            </w:pPr>
            <w:r>
              <w:rPr>
                <w:color w:val="000000"/>
                <w:lang w:val="hu-HU"/>
              </w:rPr>
              <w:t>Stroke és a szisztémás embolizáció prevenciója pitvarfibrillációban szenvedő betegeknél</w:t>
            </w:r>
          </w:p>
        </w:tc>
        <w:tc>
          <w:tcPr>
            <w:tcW w:w="3519" w:type="dxa"/>
            <w:gridSpan w:val="2"/>
            <w:tcBorders>
              <w:top w:val="single" w:sz="4" w:space="0" w:color="000000"/>
              <w:left w:val="single" w:sz="4" w:space="0" w:color="000000"/>
              <w:bottom w:val="single" w:sz="4" w:space="0" w:color="000000"/>
              <w:right w:val="single" w:sz="4" w:space="0" w:color="000000"/>
            </w:tcBorders>
          </w:tcPr>
          <w:p w14:paraId="2D2F4480" w14:textId="77777777" w:rsidR="00736F4A" w:rsidRDefault="00100640">
            <w:pPr>
              <w:ind w:right="393"/>
              <w:rPr>
                <w:color w:val="000000"/>
                <w:lang w:val="hu-HU"/>
              </w:rPr>
            </w:pPr>
            <w:r>
              <w:rPr>
                <w:color w:val="000000"/>
                <w:lang w:val="hu-HU"/>
              </w:rPr>
              <w:t xml:space="preserve">MVT/PE kezelése és MVT/PE prevenciója </w:t>
            </w:r>
          </w:p>
        </w:tc>
      </w:tr>
      <w:tr w:rsidR="00736F4A" w14:paraId="7AE185B4" w14:textId="77777777">
        <w:trPr>
          <w:trHeight w:val="264"/>
        </w:trPr>
        <w:tc>
          <w:tcPr>
            <w:tcW w:w="5767" w:type="dxa"/>
            <w:gridSpan w:val="2"/>
            <w:tcBorders>
              <w:top w:val="single" w:sz="4" w:space="0" w:color="000000"/>
              <w:left w:val="single" w:sz="4" w:space="0" w:color="000000"/>
              <w:bottom w:val="single" w:sz="4" w:space="0" w:color="000000"/>
              <w:right w:val="single" w:sz="4" w:space="0" w:color="000000"/>
            </w:tcBorders>
          </w:tcPr>
          <w:p w14:paraId="4FD32315" w14:textId="77777777" w:rsidR="00736F4A" w:rsidRDefault="00100640">
            <w:pPr>
              <w:rPr>
                <w:color w:val="000000"/>
                <w:lang w:val="hu-HU"/>
              </w:rPr>
            </w:pPr>
            <w:r>
              <w:rPr>
                <w:color w:val="000000"/>
                <w:lang w:val="hu-HU"/>
              </w:rPr>
              <w:t>Vérképzőszervi és nyirokrendszeri betegségek és tünetek</w:t>
            </w:r>
          </w:p>
        </w:tc>
        <w:tc>
          <w:tcPr>
            <w:tcW w:w="3519" w:type="dxa"/>
            <w:gridSpan w:val="2"/>
            <w:tcBorders>
              <w:top w:val="single" w:sz="4" w:space="0" w:color="000000"/>
              <w:left w:val="single" w:sz="4" w:space="0" w:color="000000"/>
              <w:bottom w:val="single" w:sz="4" w:space="0" w:color="000000"/>
              <w:right w:val="single" w:sz="4" w:space="0" w:color="000000"/>
            </w:tcBorders>
          </w:tcPr>
          <w:p w14:paraId="71F5B9B0" w14:textId="77777777" w:rsidR="00736F4A" w:rsidRDefault="00736F4A">
            <w:pPr>
              <w:rPr>
                <w:color w:val="000000"/>
                <w:lang w:val="hu-HU"/>
              </w:rPr>
            </w:pPr>
          </w:p>
        </w:tc>
      </w:tr>
      <w:tr w:rsidR="00736F4A" w14:paraId="6825F92B"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38D33277" w14:textId="77777777" w:rsidR="00736F4A" w:rsidRDefault="00100640">
            <w:pPr>
              <w:ind w:left="105"/>
              <w:rPr>
                <w:color w:val="000000"/>
                <w:lang w:val="hu-HU"/>
              </w:rPr>
            </w:pPr>
            <w:r>
              <w:rPr>
                <w:color w:val="000000"/>
                <w:lang w:val="hu-HU"/>
              </w:rPr>
              <w:t>Anaemia</w:t>
            </w:r>
          </w:p>
        </w:tc>
        <w:tc>
          <w:tcPr>
            <w:tcW w:w="2458" w:type="dxa"/>
            <w:tcBorders>
              <w:top w:val="single" w:sz="4" w:space="0" w:color="000000"/>
              <w:left w:val="single" w:sz="4" w:space="0" w:color="000000"/>
              <w:bottom w:val="single" w:sz="4" w:space="0" w:color="000000"/>
              <w:right w:val="single" w:sz="4" w:space="0" w:color="000000"/>
            </w:tcBorders>
          </w:tcPr>
          <w:p w14:paraId="1943E49C" w14:textId="77777777" w:rsidR="00736F4A" w:rsidRDefault="00100640">
            <w:pPr>
              <w:rPr>
                <w:color w:val="000000"/>
                <w:lang w:val="hu-HU"/>
              </w:rPr>
            </w:pPr>
            <w:r>
              <w:rPr>
                <w:color w:val="000000"/>
                <w:lang w:val="hu-HU"/>
              </w:rPr>
              <w:t>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5CA6054B" w14:textId="77777777" w:rsidR="00736F4A" w:rsidRDefault="00100640">
            <w:pPr>
              <w:rPr>
                <w:color w:val="000000"/>
                <w:lang w:val="hu-HU"/>
              </w:rPr>
            </w:pPr>
            <w:r>
              <w:rPr>
                <w:color w:val="000000"/>
                <w:lang w:val="hu-HU"/>
              </w:rPr>
              <w:t>Nem gyakori</w:t>
            </w:r>
          </w:p>
        </w:tc>
      </w:tr>
      <w:tr w:rsidR="00736F4A" w14:paraId="6CA772CA"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13D4C82E" w14:textId="77777777" w:rsidR="00736F4A" w:rsidRDefault="00100640">
            <w:pPr>
              <w:ind w:left="105"/>
              <w:rPr>
                <w:color w:val="000000"/>
                <w:lang w:val="hu-HU"/>
              </w:rPr>
            </w:pPr>
            <w:r>
              <w:rPr>
                <w:color w:val="000000"/>
                <w:lang w:val="hu-HU"/>
              </w:rPr>
              <w:t>Csökkent haemoglobinszint</w:t>
            </w:r>
          </w:p>
        </w:tc>
        <w:tc>
          <w:tcPr>
            <w:tcW w:w="2458" w:type="dxa"/>
            <w:tcBorders>
              <w:top w:val="single" w:sz="4" w:space="0" w:color="000000"/>
              <w:left w:val="single" w:sz="4" w:space="0" w:color="000000"/>
              <w:bottom w:val="single" w:sz="4" w:space="0" w:color="000000"/>
              <w:right w:val="single" w:sz="4" w:space="0" w:color="000000"/>
            </w:tcBorders>
          </w:tcPr>
          <w:p w14:paraId="65105337" w14:textId="77777777" w:rsidR="00736F4A" w:rsidRDefault="00100640">
            <w:pPr>
              <w:rPr>
                <w:color w:val="000000"/>
                <w:lang w:val="hu-HU"/>
              </w:rPr>
            </w:pPr>
            <w:r>
              <w:rPr>
                <w:color w:val="000000"/>
                <w:lang w:val="hu-HU"/>
              </w:rPr>
              <w:t>Nem 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3E556243" w14:textId="77777777" w:rsidR="00736F4A" w:rsidRDefault="00100640">
            <w:pPr>
              <w:rPr>
                <w:color w:val="000000"/>
                <w:lang w:val="hu-HU"/>
              </w:rPr>
            </w:pPr>
            <w:r>
              <w:rPr>
                <w:color w:val="000000"/>
                <w:lang w:val="hu-HU"/>
              </w:rPr>
              <w:t>Nem ismert</w:t>
            </w:r>
          </w:p>
        </w:tc>
      </w:tr>
      <w:tr w:rsidR="00736F4A" w14:paraId="52A6A7D1"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6EEB900A" w14:textId="77777777" w:rsidR="00736F4A" w:rsidRDefault="00100640">
            <w:pPr>
              <w:ind w:left="105"/>
              <w:rPr>
                <w:color w:val="000000"/>
                <w:lang w:val="hu-HU"/>
              </w:rPr>
            </w:pPr>
            <w:r>
              <w:rPr>
                <w:color w:val="000000"/>
                <w:lang w:val="hu-HU"/>
              </w:rPr>
              <w:t>Thrombocytopenia</w:t>
            </w:r>
          </w:p>
        </w:tc>
        <w:tc>
          <w:tcPr>
            <w:tcW w:w="2458" w:type="dxa"/>
            <w:tcBorders>
              <w:top w:val="single" w:sz="4" w:space="0" w:color="000000"/>
              <w:left w:val="single" w:sz="4" w:space="0" w:color="000000"/>
              <w:bottom w:val="single" w:sz="4" w:space="0" w:color="000000"/>
              <w:right w:val="single" w:sz="4" w:space="0" w:color="000000"/>
            </w:tcBorders>
          </w:tcPr>
          <w:p w14:paraId="5E01B5C2" w14:textId="77777777" w:rsidR="00736F4A" w:rsidRDefault="00100640">
            <w:pPr>
              <w:rPr>
                <w:color w:val="000000"/>
                <w:lang w:val="hu-HU"/>
              </w:rPr>
            </w:pPr>
            <w:r>
              <w:rPr>
                <w:color w:val="000000"/>
                <w:lang w:val="hu-HU"/>
              </w:rPr>
              <w:t>Nem 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02A6C380" w14:textId="77777777" w:rsidR="00736F4A" w:rsidRDefault="00100640">
            <w:pPr>
              <w:rPr>
                <w:color w:val="000000"/>
                <w:lang w:val="hu-HU"/>
              </w:rPr>
            </w:pPr>
            <w:r>
              <w:rPr>
                <w:color w:val="000000"/>
                <w:lang w:val="hu-HU"/>
              </w:rPr>
              <w:t>Ritka</w:t>
            </w:r>
          </w:p>
        </w:tc>
      </w:tr>
      <w:tr w:rsidR="00736F4A" w14:paraId="0BAE3DBD"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5E80DE1C" w14:textId="77777777" w:rsidR="00736F4A" w:rsidRDefault="00100640">
            <w:pPr>
              <w:ind w:left="105"/>
              <w:rPr>
                <w:color w:val="000000"/>
                <w:lang w:val="hu-HU"/>
              </w:rPr>
            </w:pPr>
            <w:r>
              <w:rPr>
                <w:color w:val="000000"/>
                <w:lang w:val="hu-HU"/>
              </w:rPr>
              <w:t>Csökkent haematokritérték</w:t>
            </w:r>
          </w:p>
        </w:tc>
        <w:tc>
          <w:tcPr>
            <w:tcW w:w="2458" w:type="dxa"/>
            <w:tcBorders>
              <w:top w:val="single" w:sz="4" w:space="0" w:color="000000"/>
              <w:left w:val="single" w:sz="4" w:space="0" w:color="000000"/>
              <w:bottom w:val="single" w:sz="4" w:space="0" w:color="000000"/>
              <w:right w:val="single" w:sz="4" w:space="0" w:color="000000"/>
            </w:tcBorders>
          </w:tcPr>
          <w:p w14:paraId="10D5B935" w14:textId="77777777" w:rsidR="00736F4A" w:rsidRDefault="00100640">
            <w:pPr>
              <w:rPr>
                <w:color w:val="000000"/>
                <w:lang w:val="hu-HU"/>
              </w:rPr>
            </w:pPr>
            <w:r>
              <w:rPr>
                <w:color w:val="000000"/>
                <w:lang w:val="hu-HU"/>
              </w:rPr>
              <w:t>Ritka</w:t>
            </w:r>
          </w:p>
        </w:tc>
        <w:tc>
          <w:tcPr>
            <w:tcW w:w="3519" w:type="dxa"/>
            <w:gridSpan w:val="2"/>
            <w:tcBorders>
              <w:top w:val="single" w:sz="4" w:space="0" w:color="000000"/>
              <w:left w:val="single" w:sz="4" w:space="0" w:color="000000"/>
              <w:bottom w:val="single" w:sz="4" w:space="0" w:color="000000"/>
              <w:right w:val="single" w:sz="4" w:space="0" w:color="000000"/>
            </w:tcBorders>
          </w:tcPr>
          <w:p w14:paraId="722EE258" w14:textId="77777777" w:rsidR="00736F4A" w:rsidRDefault="00100640">
            <w:pPr>
              <w:rPr>
                <w:color w:val="000000"/>
                <w:lang w:val="hu-HU"/>
              </w:rPr>
            </w:pPr>
            <w:r>
              <w:rPr>
                <w:color w:val="000000"/>
                <w:lang w:val="hu-HU"/>
              </w:rPr>
              <w:t>Nem ismert</w:t>
            </w:r>
          </w:p>
        </w:tc>
      </w:tr>
      <w:tr w:rsidR="00736F4A" w14:paraId="7BF73991"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36832133" w14:textId="77777777" w:rsidR="00736F4A" w:rsidRDefault="00100640">
            <w:pPr>
              <w:ind w:left="105"/>
              <w:rPr>
                <w:color w:val="000000"/>
                <w:lang w:val="hu-HU"/>
              </w:rPr>
            </w:pPr>
            <w:r>
              <w:rPr>
                <w:color w:val="000000"/>
                <w:lang w:val="hu-HU"/>
              </w:rPr>
              <w:t>Neutropenia</w:t>
            </w:r>
          </w:p>
        </w:tc>
        <w:tc>
          <w:tcPr>
            <w:tcW w:w="2458" w:type="dxa"/>
            <w:tcBorders>
              <w:top w:val="single" w:sz="4" w:space="0" w:color="000000"/>
              <w:left w:val="single" w:sz="4" w:space="0" w:color="000000"/>
              <w:bottom w:val="single" w:sz="4" w:space="0" w:color="000000"/>
              <w:right w:val="single" w:sz="4" w:space="0" w:color="000000"/>
            </w:tcBorders>
          </w:tcPr>
          <w:p w14:paraId="5F9D7B71" w14:textId="77777777" w:rsidR="00736F4A" w:rsidRDefault="00100640">
            <w:pPr>
              <w:rPr>
                <w:color w:val="000000"/>
                <w:lang w:val="hu-HU"/>
              </w:rPr>
            </w:pPr>
            <w:r>
              <w:rPr>
                <w:color w:val="000000"/>
                <w:lang w:val="hu-HU"/>
              </w:rPr>
              <w:t>Nem ismert</w:t>
            </w:r>
          </w:p>
        </w:tc>
        <w:tc>
          <w:tcPr>
            <w:tcW w:w="3519" w:type="dxa"/>
            <w:gridSpan w:val="2"/>
            <w:tcBorders>
              <w:top w:val="single" w:sz="4" w:space="0" w:color="000000"/>
              <w:left w:val="single" w:sz="4" w:space="0" w:color="000000"/>
              <w:bottom w:val="single" w:sz="4" w:space="0" w:color="000000"/>
              <w:right w:val="single" w:sz="4" w:space="0" w:color="000000"/>
            </w:tcBorders>
          </w:tcPr>
          <w:p w14:paraId="379576B1" w14:textId="77777777" w:rsidR="00736F4A" w:rsidRDefault="00100640">
            <w:pPr>
              <w:rPr>
                <w:color w:val="000000"/>
                <w:lang w:val="hu-HU"/>
              </w:rPr>
            </w:pPr>
            <w:r>
              <w:rPr>
                <w:color w:val="000000"/>
                <w:lang w:val="hu-HU"/>
              </w:rPr>
              <w:t>Nem ismert</w:t>
            </w:r>
          </w:p>
        </w:tc>
      </w:tr>
      <w:tr w:rsidR="00736F4A" w14:paraId="5FA19E78"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566864A3" w14:textId="77777777" w:rsidR="00736F4A" w:rsidRDefault="00100640">
            <w:pPr>
              <w:ind w:left="105"/>
              <w:rPr>
                <w:color w:val="000000"/>
                <w:lang w:val="hu-HU"/>
              </w:rPr>
            </w:pPr>
            <w:r>
              <w:rPr>
                <w:color w:val="000000"/>
                <w:lang w:val="hu-HU"/>
              </w:rPr>
              <w:t>Agranulocytosis</w:t>
            </w:r>
          </w:p>
        </w:tc>
        <w:tc>
          <w:tcPr>
            <w:tcW w:w="2458" w:type="dxa"/>
            <w:tcBorders>
              <w:top w:val="single" w:sz="4" w:space="0" w:color="000000"/>
              <w:left w:val="single" w:sz="4" w:space="0" w:color="000000"/>
              <w:bottom w:val="single" w:sz="4" w:space="0" w:color="000000"/>
              <w:right w:val="single" w:sz="4" w:space="0" w:color="000000"/>
            </w:tcBorders>
          </w:tcPr>
          <w:p w14:paraId="7DE9AFE1" w14:textId="77777777" w:rsidR="00736F4A" w:rsidRDefault="00100640">
            <w:pPr>
              <w:rPr>
                <w:color w:val="000000"/>
                <w:lang w:val="hu-HU"/>
              </w:rPr>
            </w:pPr>
            <w:r>
              <w:rPr>
                <w:color w:val="000000"/>
                <w:lang w:val="hu-HU"/>
              </w:rPr>
              <w:t>Nem ismert</w:t>
            </w:r>
          </w:p>
        </w:tc>
        <w:tc>
          <w:tcPr>
            <w:tcW w:w="3519" w:type="dxa"/>
            <w:gridSpan w:val="2"/>
            <w:tcBorders>
              <w:top w:val="single" w:sz="4" w:space="0" w:color="000000"/>
              <w:left w:val="single" w:sz="4" w:space="0" w:color="000000"/>
              <w:bottom w:val="single" w:sz="4" w:space="0" w:color="000000"/>
              <w:right w:val="single" w:sz="4" w:space="0" w:color="000000"/>
            </w:tcBorders>
          </w:tcPr>
          <w:p w14:paraId="090D55CF" w14:textId="77777777" w:rsidR="00736F4A" w:rsidRDefault="00100640">
            <w:pPr>
              <w:rPr>
                <w:color w:val="000000"/>
                <w:lang w:val="hu-HU"/>
              </w:rPr>
            </w:pPr>
            <w:r>
              <w:rPr>
                <w:color w:val="000000"/>
                <w:lang w:val="hu-HU"/>
              </w:rPr>
              <w:t>Nem ismert</w:t>
            </w:r>
          </w:p>
        </w:tc>
      </w:tr>
      <w:tr w:rsidR="00736F4A" w14:paraId="54D867B5" w14:textId="77777777">
        <w:trPr>
          <w:trHeight w:val="264"/>
        </w:trPr>
        <w:tc>
          <w:tcPr>
            <w:tcW w:w="9286" w:type="dxa"/>
            <w:gridSpan w:val="4"/>
            <w:tcBorders>
              <w:top w:val="single" w:sz="4" w:space="0" w:color="000000"/>
              <w:left w:val="single" w:sz="4" w:space="0" w:color="000000"/>
              <w:bottom w:val="single" w:sz="4" w:space="0" w:color="000000"/>
              <w:right w:val="single" w:sz="4" w:space="0" w:color="000000"/>
            </w:tcBorders>
          </w:tcPr>
          <w:p w14:paraId="56494B3E" w14:textId="77777777" w:rsidR="00736F4A" w:rsidRDefault="00100640">
            <w:pPr>
              <w:rPr>
                <w:color w:val="000000"/>
                <w:lang w:val="hu-HU"/>
              </w:rPr>
            </w:pPr>
            <w:r>
              <w:rPr>
                <w:color w:val="000000"/>
                <w:lang w:val="hu-HU"/>
              </w:rPr>
              <w:t>Immunrendszeri betegségek és tünetek</w:t>
            </w:r>
          </w:p>
        </w:tc>
      </w:tr>
      <w:tr w:rsidR="00736F4A" w14:paraId="4788A406"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0D0F70F6" w14:textId="77777777" w:rsidR="00736F4A" w:rsidRDefault="00100640">
            <w:pPr>
              <w:ind w:left="105"/>
              <w:rPr>
                <w:color w:val="000000"/>
                <w:lang w:val="hu-HU"/>
              </w:rPr>
            </w:pPr>
            <w:r>
              <w:rPr>
                <w:color w:val="000000"/>
                <w:lang w:val="hu-HU"/>
              </w:rPr>
              <w:t xml:space="preserve">Gyógyszer-túlérzékenység </w:t>
            </w:r>
          </w:p>
        </w:tc>
        <w:tc>
          <w:tcPr>
            <w:tcW w:w="2458" w:type="dxa"/>
            <w:tcBorders>
              <w:top w:val="single" w:sz="4" w:space="0" w:color="000000"/>
              <w:left w:val="single" w:sz="4" w:space="0" w:color="000000"/>
              <w:bottom w:val="single" w:sz="4" w:space="0" w:color="000000"/>
              <w:right w:val="single" w:sz="4" w:space="0" w:color="000000"/>
            </w:tcBorders>
          </w:tcPr>
          <w:p w14:paraId="246D378E" w14:textId="77777777" w:rsidR="00736F4A" w:rsidRDefault="00100640">
            <w:pPr>
              <w:rPr>
                <w:color w:val="000000"/>
                <w:lang w:val="hu-HU"/>
              </w:rPr>
            </w:pPr>
            <w:r>
              <w:rPr>
                <w:color w:val="000000"/>
                <w:lang w:val="hu-HU"/>
              </w:rPr>
              <w:t>Nem 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0CF9002E" w14:textId="77777777" w:rsidR="00736F4A" w:rsidRDefault="00100640">
            <w:pPr>
              <w:rPr>
                <w:color w:val="000000"/>
                <w:lang w:val="hu-HU"/>
              </w:rPr>
            </w:pPr>
            <w:r>
              <w:rPr>
                <w:color w:val="000000"/>
                <w:lang w:val="hu-HU"/>
              </w:rPr>
              <w:t>Nem gyakori</w:t>
            </w:r>
          </w:p>
        </w:tc>
      </w:tr>
      <w:tr w:rsidR="00736F4A" w14:paraId="3158CA30"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600966AD" w14:textId="77777777" w:rsidR="00736F4A" w:rsidRDefault="00100640">
            <w:pPr>
              <w:ind w:left="105"/>
              <w:rPr>
                <w:color w:val="000000"/>
                <w:lang w:val="hu-HU"/>
              </w:rPr>
            </w:pPr>
            <w:r>
              <w:rPr>
                <w:color w:val="000000"/>
                <w:lang w:val="hu-HU"/>
              </w:rPr>
              <w:t>Bőrkiütés</w:t>
            </w:r>
          </w:p>
        </w:tc>
        <w:tc>
          <w:tcPr>
            <w:tcW w:w="2458" w:type="dxa"/>
            <w:tcBorders>
              <w:top w:val="single" w:sz="4" w:space="0" w:color="000000"/>
              <w:left w:val="single" w:sz="4" w:space="0" w:color="000000"/>
              <w:bottom w:val="single" w:sz="4" w:space="0" w:color="000000"/>
              <w:right w:val="single" w:sz="4" w:space="0" w:color="000000"/>
            </w:tcBorders>
          </w:tcPr>
          <w:p w14:paraId="63B4D549" w14:textId="77777777" w:rsidR="00736F4A" w:rsidRDefault="00100640">
            <w:pPr>
              <w:rPr>
                <w:color w:val="000000"/>
                <w:lang w:val="hu-HU"/>
              </w:rPr>
            </w:pPr>
            <w:r>
              <w:rPr>
                <w:color w:val="000000"/>
                <w:lang w:val="hu-HU"/>
              </w:rPr>
              <w:t>Nem 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2B673494" w14:textId="77777777" w:rsidR="00736F4A" w:rsidRDefault="00100640">
            <w:pPr>
              <w:rPr>
                <w:color w:val="000000"/>
                <w:lang w:val="hu-HU"/>
              </w:rPr>
            </w:pPr>
            <w:r>
              <w:rPr>
                <w:color w:val="000000"/>
                <w:lang w:val="hu-HU"/>
              </w:rPr>
              <w:t>Nem gyakori</w:t>
            </w:r>
          </w:p>
        </w:tc>
      </w:tr>
      <w:tr w:rsidR="00736F4A" w14:paraId="6D60CED1"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365164A9" w14:textId="77777777" w:rsidR="00736F4A" w:rsidRDefault="00100640">
            <w:pPr>
              <w:ind w:left="105"/>
              <w:rPr>
                <w:color w:val="000000"/>
                <w:lang w:val="hu-HU"/>
              </w:rPr>
            </w:pPr>
            <w:r>
              <w:rPr>
                <w:color w:val="000000"/>
                <w:lang w:val="hu-HU"/>
              </w:rPr>
              <w:t>Viszketés</w:t>
            </w:r>
          </w:p>
        </w:tc>
        <w:tc>
          <w:tcPr>
            <w:tcW w:w="2458" w:type="dxa"/>
            <w:tcBorders>
              <w:top w:val="single" w:sz="4" w:space="0" w:color="000000"/>
              <w:left w:val="single" w:sz="4" w:space="0" w:color="000000"/>
              <w:bottom w:val="single" w:sz="4" w:space="0" w:color="000000"/>
              <w:right w:val="single" w:sz="4" w:space="0" w:color="000000"/>
            </w:tcBorders>
          </w:tcPr>
          <w:p w14:paraId="6B8F7D56" w14:textId="77777777" w:rsidR="00736F4A" w:rsidRDefault="00100640">
            <w:pPr>
              <w:rPr>
                <w:color w:val="000000"/>
                <w:lang w:val="hu-HU"/>
              </w:rPr>
            </w:pPr>
            <w:r>
              <w:rPr>
                <w:color w:val="000000"/>
                <w:lang w:val="hu-HU"/>
              </w:rPr>
              <w:t>Nem 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7AC83331" w14:textId="77777777" w:rsidR="00736F4A" w:rsidRDefault="00100640">
            <w:pPr>
              <w:rPr>
                <w:color w:val="000000"/>
                <w:lang w:val="hu-HU"/>
              </w:rPr>
            </w:pPr>
            <w:r>
              <w:rPr>
                <w:color w:val="000000"/>
                <w:lang w:val="hu-HU"/>
              </w:rPr>
              <w:t xml:space="preserve">Nem gyakori </w:t>
            </w:r>
          </w:p>
        </w:tc>
      </w:tr>
      <w:tr w:rsidR="00736F4A" w14:paraId="38A0C7E8"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35EB170C" w14:textId="77777777" w:rsidR="00736F4A" w:rsidRDefault="00100640">
            <w:pPr>
              <w:ind w:left="105"/>
              <w:rPr>
                <w:color w:val="000000"/>
                <w:lang w:val="hu-HU"/>
              </w:rPr>
            </w:pPr>
            <w:r>
              <w:rPr>
                <w:color w:val="000000"/>
                <w:lang w:val="hu-HU"/>
              </w:rPr>
              <w:t>Anafilaxiás reakció</w:t>
            </w:r>
          </w:p>
        </w:tc>
        <w:tc>
          <w:tcPr>
            <w:tcW w:w="2458" w:type="dxa"/>
            <w:tcBorders>
              <w:top w:val="single" w:sz="4" w:space="0" w:color="000000"/>
              <w:left w:val="single" w:sz="4" w:space="0" w:color="000000"/>
              <w:bottom w:val="single" w:sz="4" w:space="0" w:color="000000"/>
              <w:right w:val="single" w:sz="4" w:space="0" w:color="000000"/>
            </w:tcBorders>
          </w:tcPr>
          <w:p w14:paraId="16DFE939" w14:textId="77777777" w:rsidR="00736F4A" w:rsidRDefault="00100640">
            <w:pPr>
              <w:rPr>
                <w:color w:val="000000"/>
                <w:lang w:val="hu-HU"/>
              </w:rPr>
            </w:pPr>
            <w:r>
              <w:rPr>
                <w:color w:val="000000"/>
                <w:lang w:val="hu-HU"/>
              </w:rPr>
              <w:t>Ritka</w:t>
            </w:r>
          </w:p>
        </w:tc>
        <w:tc>
          <w:tcPr>
            <w:tcW w:w="3519" w:type="dxa"/>
            <w:gridSpan w:val="2"/>
            <w:tcBorders>
              <w:top w:val="single" w:sz="4" w:space="0" w:color="000000"/>
              <w:left w:val="single" w:sz="4" w:space="0" w:color="000000"/>
              <w:bottom w:val="single" w:sz="4" w:space="0" w:color="000000"/>
              <w:right w:val="single" w:sz="4" w:space="0" w:color="000000"/>
            </w:tcBorders>
          </w:tcPr>
          <w:p w14:paraId="2702FC96" w14:textId="77777777" w:rsidR="00736F4A" w:rsidRDefault="00100640">
            <w:pPr>
              <w:rPr>
                <w:color w:val="000000"/>
                <w:lang w:val="hu-HU"/>
              </w:rPr>
            </w:pPr>
            <w:r>
              <w:rPr>
                <w:color w:val="000000"/>
                <w:lang w:val="hu-HU"/>
              </w:rPr>
              <w:t>Ritka</w:t>
            </w:r>
          </w:p>
        </w:tc>
      </w:tr>
      <w:tr w:rsidR="00736F4A" w14:paraId="523B64CD" w14:textId="77777777">
        <w:trPr>
          <w:trHeight w:val="516"/>
        </w:trPr>
        <w:tc>
          <w:tcPr>
            <w:tcW w:w="3309" w:type="dxa"/>
            <w:tcBorders>
              <w:top w:val="single" w:sz="4" w:space="0" w:color="000000"/>
              <w:left w:val="single" w:sz="4" w:space="0" w:color="000000"/>
              <w:bottom w:val="single" w:sz="4" w:space="0" w:color="000000"/>
              <w:right w:val="single" w:sz="4" w:space="0" w:color="000000"/>
            </w:tcBorders>
          </w:tcPr>
          <w:p w14:paraId="0B21D8B7" w14:textId="77777777" w:rsidR="00736F4A" w:rsidRDefault="00100640">
            <w:pPr>
              <w:ind w:left="105"/>
              <w:rPr>
                <w:color w:val="000000"/>
                <w:lang w:val="hu-HU"/>
              </w:rPr>
            </w:pPr>
            <w:r>
              <w:rPr>
                <w:color w:val="000000"/>
                <w:lang w:val="hu-HU"/>
              </w:rPr>
              <w:t>Angiooedema</w:t>
            </w:r>
          </w:p>
        </w:tc>
        <w:tc>
          <w:tcPr>
            <w:tcW w:w="2458" w:type="dxa"/>
            <w:tcBorders>
              <w:top w:val="single" w:sz="4" w:space="0" w:color="000000"/>
              <w:left w:val="single" w:sz="4" w:space="0" w:color="000000"/>
              <w:bottom w:val="single" w:sz="4" w:space="0" w:color="000000"/>
              <w:right w:val="single" w:sz="4" w:space="0" w:color="000000"/>
            </w:tcBorders>
          </w:tcPr>
          <w:p w14:paraId="2C839842" w14:textId="77777777" w:rsidR="00736F4A" w:rsidRDefault="00100640">
            <w:pPr>
              <w:rPr>
                <w:color w:val="000000"/>
                <w:lang w:val="hu-HU"/>
              </w:rPr>
            </w:pPr>
            <w:r>
              <w:rPr>
                <w:color w:val="000000"/>
                <w:lang w:val="hu-HU"/>
              </w:rPr>
              <w:t>Ritka</w:t>
            </w:r>
          </w:p>
        </w:tc>
        <w:tc>
          <w:tcPr>
            <w:tcW w:w="3519" w:type="dxa"/>
            <w:gridSpan w:val="2"/>
            <w:tcBorders>
              <w:top w:val="single" w:sz="4" w:space="0" w:color="000000"/>
              <w:left w:val="single" w:sz="4" w:space="0" w:color="000000"/>
              <w:bottom w:val="single" w:sz="4" w:space="0" w:color="000000"/>
              <w:right w:val="single" w:sz="4" w:space="0" w:color="000000"/>
            </w:tcBorders>
          </w:tcPr>
          <w:p w14:paraId="4F74E328" w14:textId="77777777" w:rsidR="00736F4A" w:rsidRDefault="00100640">
            <w:pPr>
              <w:rPr>
                <w:color w:val="000000"/>
                <w:lang w:val="hu-HU"/>
              </w:rPr>
            </w:pPr>
            <w:r>
              <w:rPr>
                <w:color w:val="000000"/>
                <w:lang w:val="hu-HU"/>
              </w:rPr>
              <w:t>Ritka</w:t>
            </w:r>
          </w:p>
        </w:tc>
      </w:tr>
      <w:tr w:rsidR="00736F4A" w14:paraId="0ABFEFF1"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4B96DC32" w14:textId="77777777" w:rsidR="00736F4A" w:rsidRDefault="00100640">
            <w:pPr>
              <w:ind w:left="105"/>
              <w:rPr>
                <w:color w:val="000000"/>
                <w:lang w:val="hu-HU"/>
              </w:rPr>
            </w:pPr>
            <w:r>
              <w:rPr>
                <w:color w:val="000000"/>
                <w:lang w:val="hu-HU"/>
              </w:rPr>
              <w:t>Csalánkiütés</w:t>
            </w:r>
          </w:p>
        </w:tc>
        <w:tc>
          <w:tcPr>
            <w:tcW w:w="2458" w:type="dxa"/>
            <w:tcBorders>
              <w:top w:val="single" w:sz="4" w:space="0" w:color="000000"/>
              <w:left w:val="single" w:sz="4" w:space="0" w:color="000000"/>
              <w:bottom w:val="single" w:sz="4" w:space="0" w:color="000000"/>
              <w:right w:val="single" w:sz="4" w:space="0" w:color="000000"/>
            </w:tcBorders>
          </w:tcPr>
          <w:p w14:paraId="758A4E31" w14:textId="77777777" w:rsidR="00736F4A" w:rsidRDefault="00100640">
            <w:pPr>
              <w:rPr>
                <w:color w:val="000000"/>
                <w:lang w:val="hu-HU"/>
              </w:rPr>
            </w:pPr>
            <w:r>
              <w:rPr>
                <w:color w:val="000000"/>
                <w:lang w:val="hu-HU"/>
              </w:rPr>
              <w:t>Ritka</w:t>
            </w:r>
          </w:p>
        </w:tc>
        <w:tc>
          <w:tcPr>
            <w:tcW w:w="3519" w:type="dxa"/>
            <w:gridSpan w:val="2"/>
            <w:tcBorders>
              <w:top w:val="single" w:sz="4" w:space="0" w:color="000000"/>
              <w:left w:val="single" w:sz="4" w:space="0" w:color="000000"/>
              <w:bottom w:val="single" w:sz="4" w:space="0" w:color="000000"/>
              <w:right w:val="single" w:sz="4" w:space="0" w:color="000000"/>
            </w:tcBorders>
          </w:tcPr>
          <w:p w14:paraId="55E69A72" w14:textId="77777777" w:rsidR="00736F4A" w:rsidRDefault="00100640">
            <w:pPr>
              <w:rPr>
                <w:color w:val="000000"/>
                <w:lang w:val="hu-HU"/>
              </w:rPr>
            </w:pPr>
            <w:r>
              <w:rPr>
                <w:color w:val="000000"/>
                <w:lang w:val="hu-HU"/>
              </w:rPr>
              <w:t>Ritka</w:t>
            </w:r>
          </w:p>
        </w:tc>
      </w:tr>
      <w:tr w:rsidR="00736F4A" w14:paraId="0E614E7A"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0064B2F1" w14:textId="77777777" w:rsidR="00736F4A" w:rsidRDefault="00100640">
            <w:pPr>
              <w:ind w:left="105"/>
              <w:rPr>
                <w:color w:val="000000"/>
                <w:lang w:val="hu-HU"/>
              </w:rPr>
            </w:pPr>
            <w:r>
              <w:rPr>
                <w:color w:val="000000"/>
                <w:lang w:val="hu-HU"/>
              </w:rPr>
              <w:t>Hörgőgörcs</w:t>
            </w:r>
          </w:p>
        </w:tc>
        <w:tc>
          <w:tcPr>
            <w:tcW w:w="2458" w:type="dxa"/>
            <w:tcBorders>
              <w:top w:val="single" w:sz="4" w:space="0" w:color="000000"/>
              <w:left w:val="single" w:sz="4" w:space="0" w:color="000000"/>
              <w:bottom w:val="single" w:sz="4" w:space="0" w:color="000000"/>
              <w:right w:val="single" w:sz="4" w:space="0" w:color="000000"/>
            </w:tcBorders>
          </w:tcPr>
          <w:p w14:paraId="3231787B" w14:textId="77777777" w:rsidR="00736F4A" w:rsidRDefault="00100640">
            <w:pPr>
              <w:rPr>
                <w:color w:val="000000"/>
                <w:lang w:val="hu-HU"/>
              </w:rPr>
            </w:pPr>
            <w:r>
              <w:rPr>
                <w:color w:val="000000"/>
                <w:lang w:val="hu-HU"/>
              </w:rPr>
              <w:t>Nem ismert</w:t>
            </w:r>
          </w:p>
        </w:tc>
        <w:tc>
          <w:tcPr>
            <w:tcW w:w="3519" w:type="dxa"/>
            <w:gridSpan w:val="2"/>
            <w:tcBorders>
              <w:top w:val="single" w:sz="4" w:space="0" w:color="000000"/>
              <w:left w:val="single" w:sz="4" w:space="0" w:color="000000"/>
              <w:bottom w:val="single" w:sz="4" w:space="0" w:color="000000"/>
              <w:right w:val="single" w:sz="4" w:space="0" w:color="000000"/>
            </w:tcBorders>
          </w:tcPr>
          <w:p w14:paraId="2EE7D19D" w14:textId="77777777" w:rsidR="00736F4A" w:rsidRDefault="00100640">
            <w:pPr>
              <w:rPr>
                <w:color w:val="000000"/>
                <w:lang w:val="hu-HU"/>
              </w:rPr>
            </w:pPr>
            <w:r>
              <w:rPr>
                <w:color w:val="000000"/>
                <w:lang w:val="hu-HU"/>
              </w:rPr>
              <w:t>Nem ismert</w:t>
            </w:r>
          </w:p>
        </w:tc>
      </w:tr>
      <w:tr w:rsidR="00736F4A" w14:paraId="630C60DF" w14:textId="77777777">
        <w:trPr>
          <w:trHeight w:val="264"/>
        </w:trPr>
        <w:tc>
          <w:tcPr>
            <w:tcW w:w="9286" w:type="dxa"/>
            <w:gridSpan w:val="4"/>
            <w:tcBorders>
              <w:top w:val="single" w:sz="4" w:space="0" w:color="000000"/>
              <w:left w:val="single" w:sz="4" w:space="0" w:color="000000"/>
              <w:bottom w:val="single" w:sz="4" w:space="0" w:color="000000"/>
              <w:right w:val="single" w:sz="4" w:space="0" w:color="000000"/>
            </w:tcBorders>
          </w:tcPr>
          <w:p w14:paraId="460C5B03" w14:textId="77777777" w:rsidR="00736F4A" w:rsidRDefault="00100640">
            <w:pPr>
              <w:rPr>
                <w:color w:val="000000"/>
                <w:lang w:val="hu-HU"/>
              </w:rPr>
            </w:pPr>
            <w:r>
              <w:rPr>
                <w:color w:val="000000"/>
                <w:lang w:val="hu-HU"/>
              </w:rPr>
              <w:t>Idegrendszeri betegségek és tünetek</w:t>
            </w:r>
          </w:p>
        </w:tc>
      </w:tr>
      <w:tr w:rsidR="00736F4A" w14:paraId="70A28439"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6CED4298" w14:textId="77777777" w:rsidR="00736F4A" w:rsidRDefault="00100640">
            <w:pPr>
              <w:ind w:left="105"/>
              <w:rPr>
                <w:color w:val="000000"/>
                <w:lang w:val="hu-HU"/>
              </w:rPr>
            </w:pPr>
            <w:r>
              <w:rPr>
                <w:color w:val="000000"/>
                <w:lang w:val="hu-HU"/>
              </w:rPr>
              <w:t>Koponyaűri vérzés</w:t>
            </w:r>
          </w:p>
        </w:tc>
        <w:tc>
          <w:tcPr>
            <w:tcW w:w="2458" w:type="dxa"/>
            <w:tcBorders>
              <w:top w:val="single" w:sz="4" w:space="0" w:color="000000"/>
              <w:left w:val="single" w:sz="4" w:space="0" w:color="000000"/>
              <w:bottom w:val="single" w:sz="4" w:space="0" w:color="000000"/>
              <w:right w:val="single" w:sz="4" w:space="0" w:color="000000"/>
            </w:tcBorders>
          </w:tcPr>
          <w:p w14:paraId="6520BD86" w14:textId="77777777" w:rsidR="00736F4A" w:rsidRDefault="00100640">
            <w:pPr>
              <w:rPr>
                <w:color w:val="000000"/>
                <w:lang w:val="hu-HU"/>
              </w:rPr>
            </w:pPr>
            <w:r>
              <w:rPr>
                <w:color w:val="000000"/>
                <w:lang w:val="hu-HU"/>
              </w:rPr>
              <w:t>Nem 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3413A4B5" w14:textId="77777777" w:rsidR="00736F4A" w:rsidRDefault="00100640">
            <w:pPr>
              <w:rPr>
                <w:color w:val="000000"/>
                <w:lang w:val="hu-HU"/>
              </w:rPr>
            </w:pPr>
            <w:r>
              <w:rPr>
                <w:color w:val="000000"/>
                <w:lang w:val="hu-HU"/>
              </w:rPr>
              <w:t>Ritka</w:t>
            </w:r>
          </w:p>
        </w:tc>
      </w:tr>
      <w:tr w:rsidR="00736F4A" w14:paraId="0C053CF7" w14:textId="77777777">
        <w:trPr>
          <w:trHeight w:val="262"/>
        </w:trPr>
        <w:tc>
          <w:tcPr>
            <w:tcW w:w="9286" w:type="dxa"/>
            <w:gridSpan w:val="4"/>
            <w:tcBorders>
              <w:top w:val="single" w:sz="4" w:space="0" w:color="000000"/>
              <w:left w:val="single" w:sz="4" w:space="0" w:color="000000"/>
              <w:bottom w:val="single" w:sz="4" w:space="0" w:color="000000"/>
              <w:right w:val="single" w:sz="4" w:space="0" w:color="000000"/>
            </w:tcBorders>
          </w:tcPr>
          <w:p w14:paraId="25B7820F" w14:textId="77777777" w:rsidR="00736F4A" w:rsidRDefault="00100640">
            <w:pPr>
              <w:rPr>
                <w:color w:val="000000"/>
                <w:lang w:val="hu-HU"/>
              </w:rPr>
            </w:pPr>
            <w:r>
              <w:rPr>
                <w:color w:val="000000"/>
                <w:lang w:val="hu-HU"/>
              </w:rPr>
              <w:t>Érbetegségek és tünetek</w:t>
            </w:r>
          </w:p>
        </w:tc>
      </w:tr>
      <w:tr w:rsidR="00736F4A" w14:paraId="5C35604D"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40007618" w14:textId="77777777" w:rsidR="00736F4A" w:rsidRDefault="00100640">
            <w:pPr>
              <w:ind w:left="105"/>
              <w:rPr>
                <w:color w:val="000000"/>
                <w:lang w:val="hu-HU"/>
              </w:rPr>
            </w:pPr>
            <w:r>
              <w:rPr>
                <w:color w:val="000000"/>
                <w:lang w:val="hu-HU"/>
              </w:rPr>
              <w:t>Haematoma</w:t>
            </w:r>
          </w:p>
        </w:tc>
        <w:tc>
          <w:tcPr>
            <w:tcW w:w="2458" w:type="dxa"/>
            <w:tcBorders>
              <w:top w:val="single" w:sz="4" w:space="0" w:color="000000"/>
              <w:left w:val="single" w:sz="4" w:space="0" w:color="000000"/>
              <w:bottom w:val="single" w:sz="4" w:space="0" w:color="000000"/>
              <w:right w:val="single" w:sz="4" w:space="0" w:color="000000"/>
            </w:tcBorders>
          </w:tcPr>
          <w:p w14:paraId="6CBF508E" w14:textId="77777777" w:rsidR="00736F4A" w:rsidRDefault="00100640">
            <w:pPr>
              <w:rPr>
                <w:color w:val="000000"/>
                <w:lang w:val="hu-HU"/>
              </w:rPr>
            </w:pPr>
            <w:r>
              <w:rPr>
                <w:color w:val="000000"/>
                <w:lang w:val="hu-HU"/>
              </w:rPr>
              <w:t>Nem 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02824FA0" w14:textId="77777777" w:rsidR="00736F4A" w:rsidRDefault="00100640">
            <w:pPr>
              <w:rPr>
                <w:color w:val="000000"/>
                <w:lang w:val="hu-HU"/>
              </w:rPr>
            </w:pPr>
            <w:r>
              <w:rPr>
                <w:color w:val="000000"/>
                <w:lang w:val="hu-HU"/>
              </w:rPr>
              <w:t>Nem gyakori</w:t>
            </w:r>
          </w:p>
        </w:tc>
      </w:tr>
      <w:tr w:rsidR="00736F4A" w14:paraId="55F3C175"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06BC4624" w14:textId="77777777" w:rsidR="00736F4A" w:rsidRDefault="00100640">
            <w:pPr>
              <w:ind w:left="105"/>
              <w:rPr>
                <w:color w:val="000000"/>
                <w:lang w:val="hu-HU"/>
              </w:rPr>
            </w:pPr>
            <w:r>
              <w:rPr>
                <w:color w:val="000000"/>
                <w:lang w:val="hu-HU"/>
              </w:rPr>
              <w:t>Vérzés</w:t>
            </w:r>
          </w:p>
        </w:tc>
        <w:tc>
          <w:tcPr>
            <w:tcW w:w="2458" w:type="dxa"/>
            <w:tcBorders>
              <w:top w:val="single" w:sz="4" w:space="0" w:color="000000"/>
              <w:left w:val="single" w:sz="4" w:space="0" w:color="000000"/>
              <w:bottom w:val="single" w:sz="4" w:space="0" w:color="000000"/>
              <w:right w:val="single" w:sz="4" w:space="0" w:color="000000"/>
            </w:tcBorders>
          </w:tcPr>
          <w:p w14:paraId="7FDB873A" w14:textId="77777777" w:rsidR="00736F4A" w:rsidRDefault="00100640">
            <w:pPr>
              <w:rPr>
                <w:color w:val="000000"/>
                <w:lang w:val="hu-HU"/>
              </w:rPr>
            </w:pPr>
            <w:r>
              <w:rPr>
                <w:color w:val="000000"/>
                <w:lang w:val="hu-HU"/>
              </w:rPr>
              <w:t>Nem 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23DFA619" w14:textId="77777777" w:rsidR="00736F4A" w:rsidRDefault="00100640">
            <w:pPr>
              <w:rPr>
                <w:color w:val="000000"/>
                <w:lang w:val="hu-HU"/>
              </w:rPr>
            </w:pPr>
            <w:r>
              <w:rPr>
                <w:color w:val="000000"/>
                <w:lang w:val="hu-HU"/>
              </w:rPr>
              <w:t>Nem gyakori</w:t>
            </w:r>
          </w:p>
        </w:tc>
      </w:tr>
      <w:tr w:rsidR="00736F4A" w14:paraId="685E46D6" w14:textId="77777777">
        <w:trPr>
          <w:trHeight w:val="264"/>
        </w:trPr>
        <w:tc>
          <w:tcPr>
            <w:tcW w:w="9286" w:type="dxa"/>
            <w:gridSpan w:val="4"/>
            <w:tcBorders>
              <w:top w:val="single" w:sz="4" w:space="0" w:color="000000"/>
              <w:left w:val="single" w:sz="4" w:space="0" w:color="000000"/>
              <w:bottom w:val="single" w:sz="4" w:space="0" w:color="000000"/>
              <w:right w:val="single" w:sz="4" w:space="0" w:color="000000"/>
            </w:tcBorders>
          </w:tcPr>
          <w:p w14:paraId="03517E13" w14:textId="77777777" w:rsidR="00736F4A" w:rsidRDefault="00100640">
            <w:pPr>
              <w:rPr>
                <w:color w:val="000000"/>
                <w:lang w:val="hu-HU"/>
              </w:rPr>
            </w:pPr>
            <w:r>
              <w:rPr>
                <w:color w:val="000000"/>
                <w:lang w:val="hu-HU"/>
              </w:rPr>
              <w:t>Légzőrendszeri, mellkasi és mediastinalis betegségek és tünetek</w:t>
            </w:r>
          </w:p>
        </w:tc>
      </w:tr>
      <w:tr w:rsidR="00736F4A" w14:paraId="1ECA0493"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03D078D5" w14:textId="77777777" w:rsidR="00736F4A" w:rsidRDefault="00100640">
            <w:pPr>
              <w:ind w:left="105"/>
              <w:rPr>
                <w:color w:val="000000"/>
                <w:lang w:val="hu-HU"/>
              </w:rPr>
            </w:pPr>
            <w:r>
              <w:rPr>
                <w:color w:val="000000"/>
                <w:lang w:val="hu-HU"/>
              </w:rPr>
              <w:t xml:space="preserve">Orrvérzés </w:t>
            </w:r>
          </w:p>
        </w:tc>
        <w:tc>
          <w:tcPr>
            <w:tcW w:w="2458" w:type="dxa"/>
            <w:tcBorders>
              <w:top w:val="single" w:sz="4" w:space="0" w:color="000000"/>
              <w:left w:val="single" w:sz="4" w:space="0" w:color="000000"/>
              <w:bottom w:val="single" w:sz="4" w:space="0" w:color="000000"/>
              <w:right w:val="single" w:sz="4" w:space="0" w:color="000000"/>
            </w:tcBorders>
          </w:tcPr>
          <w:p w14:paraId="6FB83BDF" w14:textId="77777777" w:rsidR="00736F4A" w:rsidRDefault="00100640">
            <w:pPr>
              <w:rPr>
                <w:color w:val="000000"/>
                <w:lang w:val="hu-HU"/>
              </w:rPr>
            </w:pPr>
            <w:r>
              <w:rPr>
                <w:color w:val="000000"/>
                <w:lang w:val="hu-HU"/>
              </w:rPr>
              <w:t>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09DDD892" w14:textId="77777777" w:rsidR="00736F4A" w:rsidRDefault="00100640">
            <w:pPr>
              <w:rPr>
                <w:color w:val="000000"/>
                <w:lang w:val="hu-HU"/>
              </w:rPr>
            </w:pPr>
            <w:r>
              <w:rPr>
                <w:color w:val="000000"/>
                <w:lang w:val="hu-HU"/>
              </w:rPr>
              <w:t>Gyakori</w:t>
            </w:r>
          </w:p>
        </w:tc>
      </w:tr>
      <w:tr w:rsidR="00736F4A" w14:paraId="02387581"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471E4355" w14:textId="77777777" w:rsidR="00736F4A" w:rsidRDefault="00100640">
            <w:pPr>
              <w:ind w:left="105"/>
              <w:rPr>
                <w:color w:val="000000"/>
                <w:lang w:val="hu-HU"/>
              </w:rPr>
            </w:pPr>
            <w:r>
              <w:rPr>
                <w:color w:val="000000"/>
                <w:lang w:val="hu-HU"/>
              </w:rPr>
              <w:t>Haemoptoe</w:t>
            </w:r>
          </w:p>
        </w:tc>
        <w:tc>
          <w:tcPr>
            <w:tcW w:w="2458" w:type="dxa"/>
            <w:tcBorders>
              <w:top w:val="single" w:sz="4" w:space="0" w:color="000000"/>
              <w:left w:val="single" w:sz="4" w:space="0" w:color="000000"/>
              <w:bottom w:val="single" w:sz="4" w:space="0" w:color="000000"/>
              <w:right w:val="single" w:sz="4" w:space="0" w:color="000000"/>
            </w:tcBorders>
          </w:tcPr>
          <w:p w14:paraId="6F09FC1A" w14:textId="77777777" w:rsidR="00736F4A" w:rsidRDefault="00100640">
            <w:pPr>
              <w:rPr>
                <w:color w:val="000000"/>
                <w:lang w:val="hu-HU"/>
              </w:rPr>
            </w:pPr>
            <w:r>
              <w:rPr>
                <w:color w:val="000000"/>
                <w:lang w:val="hu-HU"/>
              </w:rPr>
              <w:t>Nem 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6D1964AF" w14:textId="77777777" w:rsidR="00736F4A" w:rsidRDefault="00100640">
            <w:pPr>
              <w:rPr>
                <w:color w:val="000000"/>
                <w:lang w:val="hu-HU"/>
              </w:rPr>
            </w:pPr>
            <w:r>
              <w:rPr>
                <w:color w:val="000000"/>
                <w:lang w:val="hu-HU"/>
              </w:rPr>
              <w:t>Nem gyakori</w:t>
            </w:r>
          </w:p>
        </w:tc>
      </w:tr>
      <w:tr w:rsidR="00736F4A" w14:paraId="6E45A46A" w14:textId="77777777">
        <w:trPr>
          <w:trHeight w:val="264"/>
        </w:trPr>
        <w:tc>
          <w:tcPr>
            <w:tcW w:w="9286" w:type="dxa"/>
            <w:gridSpan w:val="4"/>
            <w:tcBorders>
              <w:top w:val="single" w:sz="4" w:space="0" w:color="000000"/>
              <w:left w:val="single" w:sz="4" w:space="0" w:color="000000"/>
              <w:bottom w:val="single" w:sz="4" w:space="0" w:color="000000"/>
              <w:right w:val="single" w:sz="4" w:space="0" w:color="000000"/>
            </w:tcBorders>
          </w:tcPr>
          <w:p w14:paraId="4B0086F1" w14:textId="77777777" w:rsidR="00736F4A" w:rsidRDefault="00100640">
            <w:pPr>
              <w:rPr>
                <w:color w:val="000000"/>
                <w:lang w:val="hu-HU"/>
              </w:rPr>
            </w:pPr>
            <w:r>
              <w:rPr>
                <w:color w:val="000000"/>
                <w:lang w:val="hu-HU"/>
              </w:rPr>
              <w:t>Emésztőrendszeri betegségek és tünetek</w:t>
            </w:r>
          </w:p>
        </w:tc>
      </w:tr>
      <w:tr w:rsidR="00736F4A" w14:paraId="0994DB4C"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00C177B0" w14:textId="77777777" w:rsidR="00736F4A" w:rsidRDefault="00100640">
            <w:pPr>
              <w:ind w:left="105"/>
              <w:rPr>
                <w:color w:val="000000"/>
                <w:lang w:val="hu-HU"/>
              </w:rPr>
            </w:pPr>
            <w:r>
              <w:rPr>
                <w:color w:val="000000"/>
                <w:lang w:val="hu-HU"/>
              </w:rPr>
              <w:t>Emésztőrendszeri vérzés</w:t>
            </w:r>
          </w:p>
        </w:tc>
        <w:tc>
          <w:tcPr>
            <w:tcW w:w="2458" w:type="dxa"/>
            <w:tcBorders>
              <w:top w:val="single" w:sz="4" w:space="0" w:color="000000"/>
              <w:left w:val="single" w:sz="4" w:space="0" w:color="000000"/>
              <w:bottom w:val="single" w:sz="4" w:space="0" w:color="000000"/>
              <w:right w:val="single" w:sz="4" w:space="0" w:color="000000"/>
            </w:tcBorders>
          </w:tcPr>
          <w:p w14:paraId="1919541C" w14:textId="77777777" w:rsidR="00736F4A" w:rsidRDefault="00100640">
            <w:pPr>
              <w:rPr>
                <w:color w:val="000000"/>
                <w:lang w:val="hu-HU"/>
              </w:rPr>
            </w:pPr>
            <w:r>
              <w:rPr>
                <w:color w:val="000000"/>
                <w:lang w:val="hu-HU"/>
              </w:rPr>
              <w:t>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7BBC8059" w14:textId="77777777" w:rsidR="00736F4A" w:rsidRDefault="00100640">
            <w:pPr>
              <w:rPr>
                <w:color w:val="000000"/>
                <w:lang w:val="hu-HU"/>
              </w:rPr>
            </w:pPr>
            <w:r>
              <w:rPr>
                <w:color w:val="000000"/>
                <w:lang w:val="hu-HU"/>
              </w:rPr>
              <w:t>Gyakori</w:t>
            </w:r>
          </w:p>
        </w:tc>
      </w:tr>
      <w:tr w:rsidR="00736F4A" w14:paraId="2CA077C8"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2EAD9F58" w14:textId="77777777" w:rsidR="00736F4A" w:rsidRDefault="00100640">
            <w:pPr>
              <w:ind w:left="105"/>
              <w:rPr>
                <w:color w:val="000000"/>
                <w:lang w:val="hu-HU"/>
              </w:rPr>
            </w:pPr>
            <w:r>
              <w:rPr>
                <w:color w:val="000000"/>
                <w:lang w:val="hu-HU"/>
              </w:rPr>
              <w:t>Hasi fájdalom</w:t>
            </w:r>
          </w:p>
        </w:tc>
        <w:tc>
          <w:tcPr>
            <w:tcW w:w="2458" w:type="dxa"/>
            <w:tcBorders>
              <w:top w:val="single" w:sz="4" w:space="0" w:color="000000"/>
              <w:left w:val="single" w:sz="4" w:space="0" w:color="000000"/>
              <w:bottom w:val="single" w:sz="4" w:space="0" w:color="000000"/>
              <w:right w:val="single" w:sz="4" w:space="0" w:color="000000"/>
            </w:tcBorders>
          </w:tcPr>
          <w:p w14:paraId="55C6B74D" w14:textId="77777777" w:rsidR="00736F4A" w:rsidRDefault="00100640">
            <w:pPr>
              <w:rPr>
                <w:color w:val="000000"/>
                <w:lang w:val="hu-HU"/>
              </w:rPr>
            </w:pPr>
            <w:r>
              <w:rPr>
                <w:color w:val="000000"/>
                <w:lang w:val="hu-HU"/>
              </w:rPr>
              <w:t>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4372F7FD" w14:textId="77777777" w:rsidR="00736F4A" w:rsidRDefault="00100640">
            <w:pPr>
              <w:rPr>
                <w:color w:val="000000"/>
                <w:lang w:val="hu-HU"/>
              </w:rPr>
            </w:pPr>
            <w:r>
              <w:rPr>
                <w:color w:val="000000"/>
                <w:lang w:val="hu-HU"/>
              </w:rPr>
              <w:t>Nem gyakori</w:t>
            </w:r>
          </w:p>
        </w:tc>
      </w:tr>
      <w:tr w:rsidR="00736F4A" w14:paraId="71ECCC21"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23200974" w14:textId="77777777" w:rsidR="00736F4A" w:rsidRDefault="00100640">
            <w:pPr>
              <w:ind w:left="105"/>
              <w:rPr>
                <w:color w:val="000000"/>
                <w:lang w:val="hu-HU"/>
              </w:rPr>
            </w:pPr>
            <w:r>
              <w:rPr>
                <w:color w:val="000000"/>
                <w:lang w:val="hu-HU"/>
              </w:rPr>
              <w:t xml:space="preserve">Hasmenés </w:t>
            </w:r>
          </w:p>
        </w:tc>
        <w:tc>
          <w:tcPr>
            <w:tcW w:w="2458" w:type="dxa"/>
            <w:tcBorders>
              <w:top w:val="single" w:sz="4" w:space="0" w:color="000000"/>
              <w:left w:val="single" w:sz="4" w:space="0" w:color="000000"/>
              <w:bottom w:val="single" w:sz="4" w:space="0" w:color="000000"/>
              <w:right w:val="single" w:sz="4" w:space="0" w:color="000000"/>
            </w:tcBorders>
          </w:tcPr>
          <w:p w14:paraId="1F1759CB" w14:textId="77777777" w:rsidR="00736F4A" w:rsidRDefault="00100640">
            <w:pPr>
              <w:rPr>
                <w:color w:val="000000"/>
                <w:lang w:val="hu-HU"/>
              </w:rPr>
            </w:pPr>
            <w:r>
              <w:rPr>
                <w:color w:val="000000"/>
                <w:lang w:val="hu-HU"/>
              </w:rPr>
              <w:t>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5DDC927E" w14:textId="77777777" w:rsidR="00736F4A" w:rsidRDefault="00100640">
            <w:pPr>
              <w:rPr>
                <w:color w:val="000000"/>
                <w:lang w:val="hu-HU"/>
              </w:rPr>
            </w:pPr>
            <w:r>
              <w:rPr>
                <w:color w:val="000000"/>
                <w:lang w:val="hu-HU"/>
              </w:rPr>
              <w:t>Nem gyakori</w:t>
            </w:r>
          </w:p>
        </w:tc>
      </w:tr>
      <w:tr w:rsidR="00736F4A" w14:paraId="4F3369DE"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245FFE75" w14:textId="77777777" w:rsidR="00736F4A" w:rsidRDefault="00100640">
            <w:pPr>
              <w:ind w:left="105"/>
              <w:rPr>
                <w:color w:val="000000"/>
                <w:lang w:val="hu-HU"/>
              </w:rPr>
            </w:pPr>
            <w:r>
              <w:rPr>
                <w:color w:val="000000"/>
                <w:lang w:val="hu-HU"/>
              </w:rPr>
              <w:t xml:space="preserve">Dyspepsia </w:t>
            </w:r>
          </w:p>
        </w:tc>
        <w:tc>
          <w:tcPr>
            <w:tcW w:w="2458" w:type="dxa"/>
            <w:tcBorders>
              <w:top w:val="single" w:sz="4" w:space="0" w:color="000000"/>
              <w:left w:val="single" w:sz="4" w:space="0" w:color="000000"/>
              <w:bottom w:val="single" w:sz="4" w:space="0" w:color="000000"/>
              <w:right w:val="single" w:sz="4" w:space="0" w:color="000000"/>
            </w:tcBorders>
          </w:tcPr>
          <w:p w14:paraId="11B19AB6" w14:textId="77777777" w:rsidR="00736F4A" w:rsidRDefault="00100640">
            <w:pPr>
              <w:rPr>
                <w:color w:val="000000"/>
                <w:lang w:val="hu-HU"/>
              </w:rPr>
            </w:pPr>
            <w:r>
              <w:rPr>
                <w:color w:val="000000"/>
                <w:lang w:val="hu-HU"/>
              </w:rPr>
              <w:t>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6588E12D" w14:textId="77777777" w:rsidR="00736F4A" w:rsidRDefault="00100640">
            <w:pPr>
              <w:rPr>
                <w:color w:val="000000"/>
                <w:lang w:val="hu-HU"/>
              </w:rPr>
            </w:pPr>
            <w:r>
              <w:rPr>
                <w:color w:val="000000"/>
                <w:lang w:val="hu-HU"/>
              </w:rPr>
              <w:t>Gyakori</w:t>
            </w:r>
          </w:p>
        </w:tc>
      </w:tr>
      <w:tr w:rsidR="00736F4A" w14:paraId="53EB73BB"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0271406B" w14:textId="77777777" w:rsidR="00736F4A" w:rsidRDefault="00100640">
            <w:pPr>
              <w:ind w:left="105"/>
              <w:rPr>
                <w:color w:val="000000"/>
                <w:lang w:val="hu-HU"/>
              </w:rPr>
            </w:pPr>
            <w:r>
              <w:rPr>
                <w:color w:val="000000"/>
                <w:lang w:val="hu-HU"/>
              </w:rPr>
              <w:t xml:space="preserve">Hányinger </w:t>
            </w:r>
          </w:p>
        </w:tc>
        <w:tc>
          <w:tcPr>
            <w:tcW w:w="2458" w:type="dxa"/>
            <w:tcBorders>
              <w:top w:val="single" w:sz="4" w:space="0" w:color="000000"/>
              <w:left w:val="single" w:sz="4" w:space="0" w:color="000000"/>
              <w:bottom w:val="single" w:sz="4" w:space="0" w:color="000000"/>
              <w:right w:val="single" w:sz="4" w:space="0" w:color="000000"/>
            </w:tcBorders>
          </w:tcPr>
          <w:p w14:paraId="4DC10962" w14:textId="77777777" w:rsidR="00736F4A" w:rsidRDefault="00100640">
            <w:pPr>
              <w:rPr>
                <w:color w:val="000000"/>
                <w:lang w:val="hu-HU"/>
              </w:rPr>
            </w:pPr>
            <w:r>
              <w:rPr>
                <w:color w:val="000000"/>
                <w:lang w:val="hu-HU"/>
              </w:rPr>
              <w:t>Gyakori</w:t>
            </w:r>
          </w:p>
        </w:tc>
        <w:tc>
          <w:tcPr>
            <w:tcW w:w="3519" w:type="dxa"/>
            <w:gridSpan w:val="2"/>
            <w:tcBorders>
              <w:top w:val="single" w:sz="4" w:space="0" w:color="000000"/>
              <w:left w:val="single" w:sz="4" w:space="0" w:color="000000"/>
              <w:bottom w:val="single" w:sz="4" w:space="0" w:color="000000"/>
              <w:right w:val="single" w:sz="4" w:space="0" w:color="000000"/>
            </w:tcBorders>
          </w:tcPr>
          <w:p w14:paraId="0191DD82" w14:textId="77777777" w:rsidR="00736F4A" w:rsidRDefault="00100640">
            <w:pPr>
              <w:rPr>
                <w:color w:val="000000"/>
                <w:lang w:val="hu-HU"/>
              </w:rPr>
            </w:pPr>
            <w:r>
              <w:rPr>
                <w:color w:val="000000"/>
                <w:lang w:val="hu-HU"/>
              </w:rPr>
              <w:t xml:space="preserve">Nem gyakori </w:t>
            </w:r>
          </w:p>
        </w:tc>
      </w:tr>
      <w:tr w:rsidR="00736F4A" w14:paraId="060A0BA2"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0AC3ACEC" w14:textId="77777777" w:rsidR="00736F4A" w:rsidRDefault="00100640">
            <w:pPr>
              <w:ind w:left="105"/>
              <w:rPr>
                <w:color w:val="000000"/>
                <w:lang w:val="hu-HU"/>
              </w:rPr>
            </w:pPr>
            <w:r>
              <w:rPr>
                <w:color w:val="000000"/>
                <w:lang w:val="hu-HU"/>
              </w:rPr>
              <w:t>Rectalis vérzés</w:t>
            </w:r>
          </w:p>
        </w:tc>
        <w:tc>
          <w:tcPr>
            <w:tcW w:w="2458" w:type="dxa"/>
            <w:tcBorders>
              <w:top w:val="single" w:sz="4" w:space="0" w:color="000000"/>
              <w:left w:val="single" w:sz="4" w:space="0" w:color="000000"/>
              <w:bottom w:val="single" w:sz="4" w:space="0" w:color="000000"/>
              <w:right w:val="single" w:sz="4" w:space="0" w:color="000000"/>
            </w:tcBorders>
          </w:tcPr>
          <w:p w14:paraId="0FCD8C77" w14:textId="77777777" w:rsidR="00736F4A" w:rsidRDefault="00100640">
            <w:pPr>
              <w:rPr>
                <w:color w:val="000000"/>
                <w:lang w:val="hu-HU"/>
              </w:rPr>
            </w:pPr>
            <w:r>
              <w:rPr>
                <w:color w:val="000000"/>
                <w:lang w:val="hu-HU"/>
              </w:rPr>
              <w:t>Nem gyakori</w:t>
            </w:r>
          </w:p>
        </w:tc>
        <w:tc>
          <w:tcPr>
            <w:tcW w:w="1181" w:type="dxa"/>
            <w:tcBorders>
              <w:top w:val="single" w:sz="4" w:space="0" w:color="000000"/>
              <w:left w:val="single" w:sz="4" w:space="0" w:color="000000"/>
              <w:bottom w:val="single" w:sz="4" w:space="0" w:color="000000"/>
              <w:right w:val="nil"/>
            </w:tcBorders>
          </w:tcPr>
          <w:p w14:paraId="5B926395"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1A03275E" w14:textId="77777777" w:rsidR="00736F4A" w:rsidRDefault="00100640">
            <w:pPr>
              <w:rPr>
                <w:color w:val="000000"/>
                <w:lang w:val="hu-HU"/>
              </w:rPr>
            </w:pPr>
            <w:r>
              <w:rPr>
                <w:color w:val="000000"/>
                <w:lang w:val="hu-HU"/>
              </w:rPr>
              <w:t>Gyakori</w:t>
            </w:r>
          </w:p>
        </w:tc>
      </w:tr>
      <w:tr w:rsidR="00736F4A" w14:paraId="7B9B2967"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4A6CE818" w14:textId="77777777" w:rsidR="00736F4A" w:rsidRDefault="00100640">
            <w:pPr>
              <w:ind w:left="105"/>
              <w:rPr>
                <w:color w:val="000000"/>
                <w:lang w:val="hu-HU"/>
              </w:rPr>
            </w:pPr>
            <w:r>
              <w:rPr>
                <w:color w:val="000000"/>
                <w:lang w:val="hu-HU"/>
              </w:rPr>
              <w:t>Aranyérvérzés</w:t>
            </w:r>
          </w:p>
        </w:tc>
        <w:tc>
          <w:tcPr>
            <w:tcW w:w="2458" w:type="dxa"/>
            <w:tcBorders>
              <w:top w:val="single" w:sz="4" w:space="0" w:color="000000"/>
              <w:left w:val="single" w:sz="4" w:space="0" w:color="000000"/>
              <w:bottom w:val="single" w:sz="4" w:space="0" w:color="000000"/>
              <w:right w:val="single" w:sz="4" w:space="0" w:color="000000"/>
            </w:tcBorders>
          </w:tcPr>
          <w:p w14:paraId="4F10BAEF" w14:textId="77777777" w:rsidR="00736F4A" w:rsidRDefault="00100640">
            <w:pPr>
              <w:rPr>
                <w:color w:val="000000"/>
                <w:lang w:val="hu-HU"/>
              </w:rPr>
            </w:pPr>
            <w:r>
              <w:rPr>
                <w:color w:val="000000"/>
                <w:lang w:val="hu-HU"/>
              </w:rPr>
              <w:t>Nem gyakori</w:t>
            </w:r>
          </w:p>
        </w:tc>
        <w:tc>
          <w:tcPr>
            <w:tcW w:w="1181" w:type="dxa"/>
            <w:tcBorders>
              <w:top w:val="single" w:sz="4" w:space="0" w:color="000000"/>
              <w:left w:val="single" w:sz="4" w:space="0" w:color="000000"/>
              <w:bottom w:val="single" w:sz="4" w:space="0" w:color="000000"/>
              <w:right w:val="nil"/>
            </w:tcBorders>
          </w:tcPr>
          <w:p w14:paraId="4FE030F9"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66C3AB9A" w14:textId="77777777" w:rsidR="00736F4A" w:rsidRDefault="00100640">
            <w:pPr>
              <w:rPr>
                <w:color w:val="000000"/>
                <w:lang w:val="hu-HU"/>
              </w:rPr>
            </w:pPr>
            <w:r>
              <w:rPr>
                <w:color w:val="000000"/>
                <w:lang w:val="hu-HU"/>
              </w:rPr>
              <w:t xml:space="preserve">Nem gyakori </w:t>
            </w:r>
          </w:p>
        </w:tc>
      </w:tr>
      <w:tr w:rsidR="00736F4A" w14:paraId="6B803D58" w14:textId="77777777">
        <w:trPr>
          <w:trHeight w:val="516"/>
        </w:trPr>
        <w:tc>
          <w:tcPr>
            <w:tcW w:w="3309" w:type="dxa"/>
            <w:tcBorders>
              <w:top w:val="single" w:sz="4" w:space="0" w:color="000000"/>
              <w:left w:val="single" w:sz="4" w:space="0" w:color="000000"/>
              <w:bottom w:val="single" w:sz="4" w:space="0" w:color="000000"/>
              <w:right w:val="single" w:sz="4" w:space="0" w:color="000000"/>
            </w:tcBorders>
          </w:tcPr>
          <w:p w14:paraId="0A905B4B" w14:textId="77777777" w:rsidR="00736F4A" w:rsidRDefault="00100640">
            <w:pPr>
              <w:ind w:left="105"/>
              <w:rPr>
                <w:color w:val="000000"/>
                <w:lang w:val="hu-HU"/>
              </w:rPr>
            </w:pPr>
            <w:r>
              <w:rPr>
                <w:color w:val="000000"/>
                <w:lang w:val="hu-HU"/>
              </w:rPr>
              <w:t>Gastrointestinalis fekély, a nyelőcsőfekélyt is beleértve</w:t>
            </w:r>
          </w:p>
        </w:tc>
        <w:tc>
          <w:tcPr>
            <w:tcW w:w="2458" w:type="dxa"/>
            <w:tcBorders>
              <w:top w:val="single" w:sz="4" w:space="0" w:color="000000"/>
              <w:left w:val="single" w:sz="4" w:space="0" w:color="000000"/>
              <w:bottom w:val="single" w:sz="4" w:space="0" w:color="000000"/>
              <w:right w:val="single" w:sz="4" w:space="0" w:color="000000"/>
            </w:tcBorders>
          </w:tcPr>
          <w:p w14:paraId="5F0AFDEC" w14:textId="77777777" w:rsidR="00736F4A" w:rsidRDefault="00100640">
            <w:pPr>
              <w:rPr>
                <w:color w:val="000000"/>
                <w:lang w:val="hu-HU"/>
              </w:rPr>
            </w:pPr>
            <w:r>
              <w:rPr>
                <w:color w:val="000000"/>
                <w:lang w:val="hu-HU"/>
              </w:rPr>
              <w:t>Nem gyakori</w:t>
            </w:r>
          </w:p>
        </w:tc>
        <w:tc>
          <w:tcPr>
            <w:tcW w:w="1181" w:type="dxa"/>
            <w:tcBorders>
              <w:top w:val="single" w:sz="4" w:space="0" w:color="000000"/>
              <w:left w:val="single" w:sz="4" w:space="0" w:color="000000"/>
              <w:bottom w:val="single" w:sz="4" w:space="0" w:color="000000"/>
              <w:right w:val="nil"/>
            </w:tcBorders>
          </w:tcPr>
          <w:p w14:paraId="43BC30FC"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25AFFCC1" w14:textId="77777777" w:rsidR="00736F4A" w:rsidRDefault="00100640">
            <w:pPr>
              <w:rPr>
                <w:color w:val="000000"/>
                <w:lang w:val="hu-HU"/>
              </w:rPr>
            </w:pPr>
            <w:r>
              <w:rPr>
                <w:color w:val="000000"/>
                <w:lang w:val="hu-HU"/>
              </w:rPr>
              <w:t>Nem gyakori</w:t>
            </w:r>
          </w:p>
        </w:tc>
      </w:tr>
      <w:tr w:rsidR="00736F4A" w14:paraId="04A73492"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31BE52E1" w14:textId="77777777" w:rsidR="00736F4A" w:rsidRDefault="00100640">
            <w:pPr>
              <w:ind w:left="105"/>
              <w:rPr>
                <w:color w:val="000000"/>
                <w:lang w:val="hu-HU"/>
              </w:rPr>
            </w:pPr>
            <w:r>
              <w:rPr>
                <w:color w:val="000000"/>
                <w:lang w:val="hu-HU"/>
              </w:rPr>
              <w:t xml:space="preserve">Gastrooesophagitis </w:t>
            </w:r>
          </w:p>
        </w:tc>
        <w:tc>
          <w:tcPr>
            <w:tcW w:w="2458" w:type="dxa"/>
            <w:tcBorders>
              <w:top w:val="single" w:sz="4" w:space="0" w:color="000000"/>
              <w:left w:val="single" w:sz="4" w:space="0" w:color="000000"/>
              <w:bottom w:val="single" w:sz="4" w:space="0" w:color="000000"/>
              <w:right w:val="single" w:sz="4" w:space="0" w:color="000000"/>
            </w:tcBorders>
          </w:tcPr>
          <w:p w14:paraId="6D7E4998" w14:textId="77777777" w:rsidR="00736F4A" w:rsidRDefault="00100640">
            <w:pPr>
              <w:rPr>
                <w:color w:val="000000"/>
                <w:lang w:val="hu-HU"/>
              </w:rPr>
            </w:pPr>
            <w:r>
              <w:rPr>
                <w:color w:val="000000"/>
                <w:lang w:val="hu-HU"/>
              </w:rPr>
              <w:t>Nem gyakori</w:t>
            </w:r>
          </w:p>
        </w:tc>
        <w:tc>
          <w:tcPr>
            <w:tcW w:w="1181" w:type="dxa"/>
            <w:tcBorders>
              <w:top w:val="single" w:sz="4" w:space="0" w:color="000000"/>
              <w:left w:val="single" w:sz="4" w:space="0" w:color="000000"/>
              <w:bottom w:val="single" w:sz="4" w:space="0" w:color="000000"/>
              <w:right w:val="nil"/>
            </w:tcBorders>
          </w:tcPr>
          <w:p w14:paraId="20DA2D7A"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6D0F7277" w14:textId="77777777" w:rsidR="00736F4A" w:rsidRDefault="00100640">
            <w:pPr>
              <w:rPr>
                <w:color w:val="000000"/>
                <w:lang w:val="hu-HU"/>
              </w:rPr>
            </w:pPr>
            <w:r>
              <w:rPr>
                <w:color w:val="000000"/>
                <w:lang w:val="hu-HU"/>
              </w:rPr>
              <w:t>Nem gyakori</w:t>
            </w:r>
          </w:p>
        </w:tc>
      </w:tr>
      <w:tr w:rsidR="00736F4A" w14:paraId="5691DBF1" w14:textId="77777777">
        <w:trPr>
          <w:trHeight w:val="516"/>
        </w:trPr>
        <w:tc>
          <w:tcPr>
            <w:tcW w:w="3309" w:type="dxa"/>
            <w:tcBorders>
              <w:top w:val="single" w:sz="4" w:space="0" w:color="000000"/>
              <w:left w:val="single" w:sz="4" w:space="0" w:color="000000"/>
              <w:bottom w:val="single" w:sz="4" w:space="0" w:color="000000"/>
              <w:right w:val="single" w:sz="4" w:space="0" w:color="000000"/>
            </w:tcBorders>
          </w:tcPr>
          <w:p w14:paraId="1D9889E7" w14:textId="77777777" w:rsidR="00736F4A" w:rsidRDefault="00100640">
            <w:pPr>
              <w:ind w:left="105"/>
              <w:rPr>
                <w:color w:val="000000"/>
                <w:lang w:val="hu-HU"/>
              </w:rPr>
            </w:pPr>
            <w:r>
              <w:rPr>
                <w:color w:val="000000"/>
                <w:lang w:val="hu-HU"/>
              </w:rPr>
              <w:t xml:space="preserve">Gastrooesophagealis refluxbetegség </w:t>
            </w:r>
          </w:p>
        </w:tc>
        <w:tc>
          <w:tcPr>
            <w:tcW w:w="2458" w:type="dxa"/>
            <w:tcBorders>
              <w:top w:val="single" w:sz="4" w:space="0" w:color="000000"/>
              <w:left w:val="single" w:sz="4" w:space="0" w:color="000000"/>
              <w:bottom w:val="single" w:sz="4" w:space="0" w:color="000000"/>
              <w:right w:val="single" w:sz="4" w:space="0" w:color="000000"/>
            </w:tcBorders>
          </w:tcPr>
          <w:p w14:paraId="7FEF139E" w14:textId="77777777" w:rsidR="00736F4A" w:rsidRDefault="00100640">
            <w:pPr>
              <w:rPr>
                <w:color w:val="000000"/>
                <w:lang w:val="hu-HU"/>
              </w:rPr>
            </w:pPr>
            <w:r>
              <w:rPr>
                <w:color w:val="000000"/>
                <w:lang w:val="hu-HU"/>
              </w:rPr>
              <w:t>Nem gyakori</w:t>
            </w:r>
          </w:p>
        </w:tc>
        <w:tc>
          <w:tcPr>
            <w:tcW w:w="1181" w:type="dxa"/>
            <w:tcBorders>
              <w:top w:val="single" w:sz="4" w:space="0" w:color="000000"/>
              <w:left w:val="single" w:sz="4" w:space="0" w:color="000000"/>
              <w:bottom w:val="single" w:sz="4" w:space="0" w:color="000000"/>
              <w:right w:val="nil"/>
            </w:tcBorders>
          </w:tcPr>
          <w:p w14:paraId="11D09727"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0A43654C" w14:textId="77777777" w:rsidR="00736F4A" w:rsidRDefault="00100640">
            <w:pPr>
              <w:rPr>
                <w:color w:val="000000"/>
                <w:lang w:val="hu-HU"/>
              </w:rPr>
            </w:pPr>
            <w:r>
              <w:rPr>
                <w:color w:val="000000"/>
                <w:lang w:val="hu-HU"/>
              </w:rPr>
              <w:t xml:space="preserve">Nem gyakori </w:t>
            </w:r>
          </w:p>
        </w:tc>
      </w:tr>
      <w:tr w:rsidR="00736F4A" w14:paraId="18119B95"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34AF8365" w14:textId="77777777" w:rsidR="00736F4A" w:rsidRDefault="00100640">
            <w:pPr>
              <w:ind w:left="105"/>
              <w:rPr>
                <w:color w:val="000000"/>
                <w:lang w:val="hu-HU"/>
              </w:rPr>
            </w:pPr>
            <w:r>
              <w:rPr>
                <w:color w:val="000000"/>
                <w:lang w:val="hu-HU"/>
              </w:rPr>
              <w:t>Hányás</w:t>
            </w:r>
          </w:p>
        </w:tc>
        <w:tc>
          <w:tcPr>
            <w:tcW w:w="2458" w:type="dxa"/>
            <w:tcBorders>
              <w:top w:val="single" w:sz="4" w:space="0" w:color="000000"/>
              <w:left w:val="single" w:sz="4" w:space="0" w:color="000000"/>
              <w:bottom w:val="single" w:sz="4" w:space="0" w:color="000000"/>
              <w:right w:val="single" w:sz="4" w:space="0" w:color="000000"/>
            </w:tcBorders>
          </w:tcPr>
          <w:p w14:paraId="4C50812C" w14:textId="77777777" w:rsidR="00736F4A" w:rsidRDefault="00100640">
            <w:pPr>
              <w:rPr>
                <w:color w:val="000000"/>
                <w:lang w:val="hu-HU"/>
              </w:rPr>
            </w:pPr>
            <w:r>
              <w:rPr>
                <w:color w:val="000000"/>
                <w:lang w:val="hu-HU"/>
              </w:rPr>
              <w:t>Nem gyakori</w:t>
            </w:r>
          </w:p>
        </w:tc>
        <w:tc>
          <w:tcPr>
            <w:tcW w:w="1181" w:type="dxa"/>
            <w:tcBorders>
              <w:top w:val="single" w:sz="4" w:space="0" w:color="000000"/>
              <w:left w:val="single" w:sz="4" w:space="0" w:color="000000"/>
              <w:bottom w:val="single" w:sz="4" w:space="0" w:color="000000"/>
              <w:right w:val="nil"/>
            </w:tcBorders>
          </w:tcPr>
          <w:p w14:paraId="477859C3"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6F187371" w14:textId="77777777" w:rsidR="00736F4A" w:rsidRDefault="00100640">
            <w:pPr>
              <w:rPr>
                <w:color w:val="000000"/>
                <w:lang w:val="hu-HU"/>
              </w:rPr>
            </w:pPr>
            <w:r>
              <w:rPr>
                <w:color w:val="000000"/>
                <w:lang w:val="hu-HU"/>
              </w:rPr>
              <w:t xml:space="preserve">Nem gyakori </w:t>
            </w:r>
          </w:p>
        </w:tc>
      </w:tr>
      <w:tr w:rsidR="00736F4A" w14:paraId="3DC00BA3"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768A5B66" w14:textId="77777777" w:rsidR="00736F4A" w:rsidRDefault="00100640">
            <w:pPr>
              <w:ind w:left="105"/>
              <w:rPr>
                <w:color w:val="000000"/>
                <w:lang w:val="hu-HU"/>
              </w:rPr>
            </w:pPr>
            <w:r>
              <w:rPr>
                <w:color w:val="000000"/>
                <w:lang w:val="hu-HU"/>
              </w:rPr>
              <w:t xml:space="preserve">Dysphagia </w:t>
            </w:r>
          </w:p>
        </w:tc>
        <w:tc>
          <w:tcPr>
            <w:tcW w:w="2458" w:type="dxa"/>
            <w:tcBorders>
              <w:top w:val="single" w:sz="4" w:space="0" w:color="000000"/>
              <w:left w:val="single" w:sz="4" w:space="0" w:color="000000"/>
              <w:bottom w:val="single" w:sz="4" w:space="0" w:color="000000"/>
              <w:right w:val="single" w:sz="4" w:space="0" w:color="000000"/>
            </w:tcBorders>
          </w:tcPr>
          <w:p w14:paraId="34E141B4" w14:textId="77777777" w:rsidR="00736F4A" w:rsidRDefault="00100640">
            <w:pPr>
              <w:rPr>
                <w:color w:val="000000"/>
                <w:lang w:val="hu-HU"/>
              </w:rPr>
            </w:pPr>
            <w:r>
              <w:rPr>
                <w:color w:val="000000"/>
                <w:lang w:val="hu-HU"/>
              </w:rPr>
              <w:t>Nem gyakori</w:t>
            </w:r>
          </w:p>
        </w:tc>
        <w:tc>
          <w:tcPr>
            <w:tcW w:w="1181" w:type="dxa"/>
            <w:tcBorders>
              <w:top w:val="single" w:sz="4" w:space="0" w:color="000000"/>
              <w:left w:val="single" w:sz="4" w:space="0" w:color="000000"/>
              <w:bottom w:val="single" w:sz="4" w:space="0" w:color="000000"/>
              <w:right w:val="nil"/>
            </w:tcBorders>
          </w:tcPr>
          <w:p w14:paraId="40A274BA"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3364D159" w14:textId="77777777" w:rsidR="00736F4A" w:rsidRDefault="00100640">
            <w:pPr>
              <w:rPr>
                <w:color w:val="000000"/>
                <w:lang w:val="hu-HU"/>
              </w:rPr>
            </w:pPr>
            <w:r>
              <w:rPr>
                <w:color w:val="000000"/>
                <w:lang w:val="hu-HU"/>
              </w:rPr>
              <w:t xml:space="preserve">Ritka </w:t>
            </w:r>
          </w:p>
        </w:tc>
      </w:tr>
      <w:tr w:rsidR="00736F4A" w14:paraId="393ADE03" w14:textId="77777777">
        <w:trPr>
          <w:trHeight w:val="264"/>
        </w:trPr>
        <w:tc>
          <w:tcPr>
            <w:tcW w:w="6948" w:type="dxa"/>
            <w:gridSpan w:val="3"/>
            <w:tcBorders>
              <w:top w:val="single" w:sz="4" w:space="0" w:color="000000"/>
              <w:left w:val="single" w:sz="4" w:space="0" w:color="000000"/>
              <w:bottom w:val="single" w:sz="4" w:space="0" w:color="000000"/>
              <w:right w:val="nil"/>
            </w:tcBorders>
          </w:tcPr>
          <w:p w14:paraId="0B8B50EC" w14:textId="77777777" w:rsidR="00736F4A" w:rsidRDefault="00100640">
            <w:pPr>
              <w:rPr>
                <w:color w:val="000000"/>
                <w:lang w:val="hu-HU"/>
              </w:rPr>
            </w:pPr>
            <w:r>
              <w:rPr>
                <w:color w:val="000000"/>
                <w:lang w:val="hu-HU"/>
              </w:rPr>
              <w:t>Máj- és epebetegségek, illetve tünetek</w:t>
            </w:r>
          </w:p>
        </w:tc>
        <w:tc>
          <w:tcPr>
            <w:tcW w:w="2338" w:type="dxa"/>
            <w:tcBorders>
              <w:top w:val="single" w:sz="4" w:space="0" w:color="000000"/>
              <w:left w:val="nil"/>
              <w:bottom w:val="single" w:sz="4" w:space="0" w:color="000000"/>
              <w:right w:val="single" w:sz="4" w:space="0" w:color="000000"/>
            </w:tcBorders>
          </w:tcPr>
          <w:p w14:paraId="7AAC2601" w14:textId="77777777" w:rsidR="00736F4A" w:rsidRDefault="00736F4A">
            <w:pPr>
              <w:rPr>
                <w:color w:val="000000"/>
                <w:lang w:val="hu-HU"/>
              </w:rPr>
            </w:pPr>
          </w:p>
        </w:tc>
      </w:tr>
      <w:tr w:rsidR="00736F4A" w14:paraId="0C4CBB9F" w14:textId="77777777">
        <w:trPr>
          <w:trHeight w:val="768"/>
        </w:trPr>
        <w:tc>
          <w:tcPr>
            <w:tcW w:w="3309" w:type="dxa"/>
            <w:tcBorders>
              <w:top w:val="single" w:sz="4" w:space="0" w:color="000000"/>
              <w:left w:val="single" w:sz="4" w:space="0" w:color="000000"/>
              <w:bottom w:val="single" w:sz="4" w:space="0" w:color="000000"/>
              <w:right w:val="single" w:sz="4" w:space="0" w:color="000000"/>
            </w:tcBorders>
          </w:tcPr>
          <w:p w14:paraId="2263F76D" w14:textId="77777777" w:rsidR="00736F4A" w:rsidRDefault="00100640">
            <w:pPr>
              <w:ind w:left="105"/>
              <w:rPr>
                <w:color w:val="000000"/>
                <w:lang w:val="hu-HU"/>
              </w:rPr>
            </w:pPr>
            <w:r>
              <w:rPr>
                <w:color w:val="000000"/>
                <w:lang w:val="hu-HU"/>
              </w:rPr>
              <w:lastRenderedPageBreak/>
              <w:t xml:space="preserve">Kóros májfunkció/kóros </w:t>
            </w:r>
          </w:p>
          <w:p w14:paraId="7017DE5F" w14:textId="77777777" w:rsidR="00736F4A" w:rsidRDefault="00100640">
            <w:pPr>
              <w:ind w:left="105"/>
              <w:rPr>
                <w:color w:val="000000"/>
                <w:lang w:val="hu-HU"/>
              </w:rPr>
            </w:pPr>
            <w:r>
              <w:rPr>
                <w:color w:val="000000"/>
                <w:lang w:val="hu-HU"/>
              </w:rPr>
              <w:t>májfunkciós vizsgálati eredmények</w:t>
            </w:r>
          </w:p>
        </w:tc>
        <w:tc>
          <w:tcPr>
            <w:tcW w:w="2458" w:type="dxa"/>
            <w:tcBorders>
              <w:top w:val="single" w:sz="4" w:space="0" w:color="000000"/>
              <w:left w:val="single" w:sz="4" w:space="0" w:color="000000"/>
              <w:bottom w:val="single" w:sz="4" w:space="0" w:color="000000"/>
              <w:right w:val="single" w:sz="4" w:space="0" w:color="000000"/>
            </w:tcBorders>
          </w:tcPr>
          <w:p w14:paraId="5EBAD12E" w14:textId="77777777" w:rsidR="00736F4A" w:rsidRDefault="00100640">
            <w:pPr>
              <w:rPr>
                <w:color w:val="000000"/>
                <w:lang w:val="hu-HU"/>
              </w:rPr>
            </w:pPr>
            <w:r>
              <w:rPr>
                <w:color w:val="000000"/>
                <w:lang w:val="hu-HU"/>
              </w:rPr>
              <w:t>Nem gyakori</w:t>
            </w:r>
          </w:p>
        </w:tc>
        <w:tc>
          <w:tcPr>
            <w:tcW w:w="1181" w:type="dxa"/>
            <w:tcBorders>
              <w:top w:val="single" w:sz="4" w:space="0" w:color="000000"/>
              <w:left w:val="single" w:sz="4" w:space="0" w:color="000000"/>
              <w:bottom w:val="single" w:sz="4" w:space="0" w:color="000000"/>
              <w:right w:val="nil"/>
            </w:tcBorders>
          </w:tcPr>
          <w:p w14:paraId="3FF7B67D"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1D20BF04" w14:textId="77777777" w:rsidR="00736F4A" w:rsidRDefault="00100640">
            <w:pPr>
              <w:rPr>
                <w:color w:val="000000"/>
                <w:lang w:val="hu-HU"/>
              </w:rPr>
            </w:pPr>
            <w:r>
              <w:rPr>
                <w:color w:val="000000"/>
                <w:lang w:val="hu-HU"/>
              </w:rPr>
              <w:t>Nem gyakori</w:t>
            </w:r>
          </w:p>
        </w:tc>
      </w:tr>
      <w:tr w:rsidR="00736F4A" w14:paraId="1FE8CBA3" w14:textId="77777777">
        <w:trPr>
          <w:trHeight w:val="280"/>
        </w:trPr>
        <w:tc>
          <w:tcPr>
            <w:tcW w:w="3309" w:type="dxa"/>
            <w:tcBorders>
              <w:top w:val="single" w:sz="4" w:space="0" w:color="000000"/>
              <w:left w:val="single" w:sz="4" w:space="0" w:color="000000"/>
              <w:bottom w:val="single" w:sz="4" w:space="0" w:color="000000"/>
              <w:right w:val="single" w:sz="4" w:space="0" w:color="000000"/>
            </w:tcBorders>
          </w:tcPr>
          <w:p w14:paraId="76C67AF4" w14:textId="77777777" w:rsidR="00736F4A" w:rsidRDefault="00100640">
            <w:pPr>
              <w:ind w:left="105"/>
              <w:rPr>
                <w:color w:val="000000"/>
                <w:lang w:val="hu-HU"/>
              </w:rPr>
            </w:pPr>
            <w:r>
              <w:rPr>
                <w:lang w:val="hu-HU"/>
              </w:rPr>
              <w:t>Glutamát-piruvát-transzamináz szintjének emelkedése</w:t>
            </w:r>
          </w:p>
        </w:tc>
        <w:tc>
          <w:tcPr>
            <w:tcW w:w="2458" w:type="dxa"/>
            <w:tcBorders>
              <w:top w:val="single" w:sz="4" w:space="0" w:color="000000"/>
              <w:left w:val="single" w:sz="4" w:space="0" w:color="000000"/>
              <w:bottom w:val="single" w:sz="4" w:space="0" w:color="000000"/>
              <w:right w:val="single" w:sz="4" w:space="0" w:color="000000"/>
            </w:tcBorders>
          </w:tcPr>
          <w:p w14:paraId="3767EBAF" w14:textId="77777777" w:rsidR="00736F4A" w:rsidRDefault="00100640">
            <w:pPr>
              <w:rPr>
                <w:color w:val="000000"/>
                <w:lang w:val="hu-HU"/>
              </w:rPr>
            </w:pPr>
            <w:r>
              <w:rPr>
                <w:color w:val="000000"/>
                <w:lang w:val="hu-HU"/>
              </w:rPr>
              <w:t>Nem gyakori</w:t>
            </w:r>
          </w:p>
        </w:tc>
        <w:tc>
          <w:tcPr>
            <w:tcW w:w="1181" w:type="dxa"/>
            <w:tcBorders>
              <w:top w:val="single" w:sz="4" w:space="0" w:color="000000"/>
              <w:left w:val="single" w:sz="4" w:space="0" w:color="000000"/>
              <w:bottom w:val="single" w:sz="4" w:space="0" w:color="000000"/>
              <w:right w:val="nil"/>
            </w:tcBorders>
          </w:tcPr>
          <w:p w14:paraId="28C97AF5"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547ECF70" w14:textId="77777777" w:rsidR="00736F4A" w:rsidRDefault="00100640">
            <w:pPr>
              <w:rPr>
                <w:color w:val="000000"/>
                <w:lang w:val="hu-HU"/>
              </w:rPr>
            </w:pPr>
            <w:r>
              <w:rPr>
                <w:color w:val="000000"/>
                <w:lang w:val="hu-HU"/>
              </w:rPr>
              <w:t>Nem gyakori</w:t>
            </w:r>
          </w:p>
        </w:tc>
      </w:tr>
      <w:tr w:rsidR="00736F4A" w14:paraId="78C04768" w14:textId="77777777">
        <w:trPr>
          <w:trHeight w:val="516"/>
        </w:trPr>
        <w:tc>
          <w:tcPr>
            <w:tcW w:w="3309" w:type="dxa"/>
            <w:tcBorders>
              <w:top w:val="single" w:sz="4" w:space="0" w:color="000000"/>
              <w:left w:val="single" w:sz="4" w:space="0" w:color="000000"/>
              <w:bottom w:val="single" w:sz="4" w:space="0" w:color="000000"/>
              <w:right w:val="single" w:sz="4" w:space="0" w:color="000000"/>
            </w:tcBorders>
          </w:tcPr>
          <w:p w14:paraId="40D8FEC9" w14:textId="77777777" w:rsidR="00736F4A" w:rsidRDefault="00100640">
            <w:pPr>
              <w:ind w:left="105"/>
              <w:rPr>
                <w:color w:val="000000"/>
                <w:lang w:val="hu-HU"/>
              </w:rPr>
            </w:pPr>
            <w:r>
              <w:rPr>
                <w:lang w:val="hu-HU"/>
              </w:rPr>
              <w:t>Glutamát-oxálacetát-transzamináz-szintjének emelkedése</w:t>
            </w:r>
          </w:p>
        </w:tc>
        <w:tc>
          <w:tcPr>
            <w:tcW w:w="2458" w:type="dxa"/>
            <w:tcBorders>
              <w:top w:val="single" w:sz="4" w:space="0" w:color="000000"/>
              <w:left w:val="single" w:sz="4" w:space="0" w:color="000000"/>
              <w:bottom w:val="single" w:sz="4" w:space="0" w:color="000000"/>
              <w:right w:val="single" w:sz="4" w:space="0" w:color="000000"/>
            </w:tcBorders>
          </w:tcPr>
          <w:p w14:paraId="5FB3454D" w14:textId="77777777" w:rsidR="00736F4A" w:rsidRDefault="00100640">
            <w:pPr>
              <w:rPr>
                <w:color w:val="000000"/>
                <w:lang w:val="hu-HU"/>
              </w:rPr>
            </w:pPr>
            <w:r>
              <w:rPr>
                <w:color w:val="000000"/>
                <w:lang w:val="hu-HU"/>
              </w:rPr>
              <w:t>Nem gyakori</w:t>
            </w:r>
          </w:p>
        </w:tc>
        <w:tc>
          <w:tcPr>
            <w:tcW w:w="1181" w:type="dxa"/>
            <w:tcBorders>
              <w:top w:val="single" w:sz="4" w:space="0" w:color="000000"/>
              <w:left w:val="single" w:sz="4" w:space="0" w:color="000000"/>
              <w:bottom w:val="single" w:sz="4" w:space="0" w:color="000000"/>
              <w:right w:val="nil"/>
            </w:tcBorders>
          </w:tcPr>
          <w:p w14:paraId="7B768478"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0CC4E635" w14:textId="77777777" w:rsidR="00736F4A" w:rsidRDefault="00100640">
            <w:pPr>
              <w:rPr>
                <w:color w:val="000000"/>
                <w:lang w:val="hu-HU"/>
              </w:rPr>
            </w:pPr>
            <w:r>
              <w:rPr>
                <w:color w:val="000000"/>
                <w:lang w:val="hu-HU"/>
              </w:rPr>
              <w:t>Nem gyakori</w:t>
            </w:r>
          </w:p>
        </w:tc>
      </w:tr>
      <w:tr w:rsidR="00736F4A" w14:paraId="5784C286" w14:textId="77777777">
        <w:trPr>
          <w:trHeight w:val="516"/>
        </w:trPr>
        <w:tc>
          <w:tcPr>
            <w:tcW w:w="3309" w:type="dxa"/>
            <w:tcBorders>
              <w:top w:val="single" w:sz="4" w:space="0" w:color="000000"/>
              <w:left w:val="single" w:sz="4" w:space="0" w:color="000000"/>
              <w:bottom w:val="single" w:sz="4" w:space="0" w:color="000000"/>
              <w:right w:val="single" w:sz="4" w:space="0" w:color="000000"/>
            </w:tcBorders>
          </w:tcPr>
          <w:p w14:paraId="03805DEA" w14:textId="77777777" w:rsidR="00736F4A" w:rsidRDefault="00100640">
            <w:pPr>
              <w:ind w:left="105"/>
              <w:rPr>
                <w:color w:val="000000"/>
                <w:lang w:val="hu-HU"/>
              </w:rPr>
            </w:pPr>
            <w:r>
              <w:rPr>
                <w:color w:val="000000"/>
                <w:lang w:val="hu-HU"/>
              </w:rPr>
              <w:t>Májenzimszint-emelkedés</w:t>
            </w:r>
          </w:p>
        </w:tc>
        <w:tc>
          <w:tcPr>
            <w:tcW w:w="2458" w:type="dxa"/>
            <w:tcBorders>
              <w:top w:val="single" w:sz="4" w:space="0" w:color="000000"/>
              <w:left w:val="single" w:sz="4" w:space="0" w:color="000000"/>
              <w:bottom w:val="single" w:sz="4" w:space="0" w:color="000000"/>
              <w:right w:val="single" w:sz="4" w:space="0" w:color="000000"/>
            </w:tcBorders>
          </w:tcPr>
          <w:p w14:paraId="6E9F9AAB" w14:textId="77777777" w:rsidR="00736F4A" w:rsidRDefault="00100640">
            <w:pPr>
              <w:rPr>
                <w:color w:val="000000"/>
                <w:lang w:val="hu-HU"/>
              </w:rPr>
            </w:pPr>
            <w:r>
              <w:rPr>
                <w:color w:val="000000"/>
                <w:lang w:val="hu-HU"/>
              </w:rPr>
              <w:t>Ritka</w:t>
            </w:r>
          </w:p>
        </w:tc>
        <w:tc>
          <w:tcPr>
            <w:tcW w:w="1181" w:type="dxa"/>
            <w:tcBorders>
              <w:top w:val="single" w:sz="4" w:space="0" w:color="000000"/>
              <w:left w:val="single" w:sz="4" w:space="0" w:color="000000"/>
              <w:bottom w:val="single" w:sz="4" w:space="0" w:color="000000"/>
              <w:right w:val="nil"/>
            </w:tcBorders>
          </w:tcPr>
          <w:p w14:paraId="7BFD88F4"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487BFC24" w14:textId="77777777" w:rsidR="00736F4A" w:rsidRDefault="00100640">
            <w:pPr>
              <w:rPr>
                <w:color w:val="000000"/>
                <w:lang w:val="hu-HU"/>
              </w:rPr>
            </w:pPr>
            <w:r>
              <w:rPr>
                <w:color w:val="000000"/>
                <w:lang w:val="hu-HU"/>
              </w:rPr>
              <w:t>Nem gyakori</w:t>
            </w:r>
          </w:p>
        </w:tc>
      </w:tr>
      <w:tr w:rsidR="00736F4A" w14:paraId="524D1F0B"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1B277988" w14:textId="77777777" w:rsidR="00736F4A" w:rsidRDefault="00100640">
            <w:pPr>
              <w:ind w:left="105"/>
              <w:rPr>
                <w:color w:val="000000"/>
                <w:lang w:val="hu-HU"/>
              </w:rPr>
            </w:pPr>
            <w:r>
              <w:rPr>
                <w:color w:val="000000"/>
                <w:lang w:val="hu-HU"/>
              </w:rPr>
              <w:t>Hyperbilirubinaemia</w:t>
            </w:r>
          </w:p>
        </w:tc>
        <w:tc>
          <w:tcPr>
            <w:tcW w:w="2458" w:type="dxa"/>
            <w:tcBorders>
              <w:top w:val="single" w:sz="4" w:space="0" w:color="000000"/>
              <w:left w:val="single" w:sz="4" w:space="0" w:color="000000"/>
              <w:bottom w:val="single" w:sz="4" w:space="0" w:color="000000"/>
              <w:right w:val="single" w:sz="4" w:space="0" w:color="000000"/>
            </w:tcBorders>
          </w:tcPr>
          <w:p w14:paraId="546E0AA1" w14:textId="77777777" w:rsidR="00736F4A" w:rsidRDefault="00100640">
            <w:pPr>
              <w:rPr>
                <w:color w:val="000000"/>
                <w:lang w:val="hu-HU"/>
              </w:rPr>
            </w:pPr>
            <w:r>
              <w:rPr>
                <w:color w:val="000000"/>
                <w:lang w:val="hu-HU"/>
              </w:rPr>
              <w:t>Ritka</w:t>
            </w:r>
          </w:p>
        </w:tc>
        <w:tc>
          <w:tcPr>
            <w:tcW w:w="1181" w:type="dxa"/>
            <w:tcBorders>
              <w:top w:val="single" w:sz="4" w:space="0" w:color="000000"/>
              <w:left w:val="single" w:sz="4" w:space="0" w:color="000000"/>
              <w:bottom w:val="single" w:sz="4" w:space="0" w:color="000000"/>
              <w:right w:val="nil"/>
            </w:tcBorders>
          </w:tcPr>
          <w:p w14:paraId="1C9AB37C"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75E44C39" w14:textId="77777777" w:rsidR="00736F4A" w:rsidRDefault="00100640">
            <w:pPr>
              <w:rPr>
                <w:color w:val="000000"/>
                <w:lang w:val="hu-HU"/>
              </w:rPr>
            </w:pPr>
            <w:r>
              <w:rPr>
                <w:color w:val="000000"/>
                <w:lang w:val="hu-HU"/>
              </w:rPr>
              <w:t xml:space="preserve">Nem ismert </w:t>
            </w:r>
          </w:p>
        </w:tc>
      </w:tr>
      <w:tr w:rsidR="00736F4A" w14:paraId="385FF4CB" w14:textId="77777777">
        <w:trPr>
          <w:trHeight w:val="262"/>
        </w:trPr>
        <w:tc>
          <w:tcPr>
            <w:tcW w:w="6948" w:type="dxa"/>
            <w:gridSpan w:val="3"/>
            <w:tcBorders>
              <w:top w:val="single" w:sz="4" w:space="0" w:color="000000"/>
              <w:left w:val="single" w:sz="4" w:space="0" w:color="000000"/>
              <w:bottom w:val="single" w:sz="4" w:space="0" w:color="000000"/>
              <w:right w:val="nil"/>
            </w:tcBorders>
          </w:tcPr>
          <w:p w14:paraId="73ACB80B" w14:textId="77777777" w:rsidR="00736F4A" w:rsidRDefault="00100640">
            <w:pPr>
              <w:rPr>
                <w:color w:val="000000"/>
                <w:lang w:val="hu-HU"/>
              </w:rPr>
            </w:pPr>
            <w:r>
              <w:rPr>
                <w:color w:val="000000"/>
                <w:lang w:val="hu-HU"/>
              </w:rPr>
              <w:t>A bőr és a bőr alatti szövet betegségei és tünetei</w:t>
            </w:r>
          </w:p>
        </w:tc>
        <w:tc>
          <w:tcPr>
            <w:tcW w:w="2338" w:type="dxa"/>
            <w:tcBorders>
              <w:top w:val="single" w:sz="4" w:space="0" w:color="000000"/>
              <w:left w:val="nil"/>
              <w:bottom w:val="single" w:sz="4" w:space="0" w:color="000000"/>
              <w:right w:val="single" w:sz="4" w:space="0" w:color="000000"/>
            </w:tcBorders>
          </w:tcPr>
          <w:p w14:paraId="441D7009" w14:textId="77777777" w:rsidR="00736F4A" w:rsidRDefault="00736F4A">
            <w:pPr>
              <w:rPr>
                <w:color w:val="000000"/>
                <w:lang w:val="hu-HU"/>
              </w:rPr>
            </w:pPr>
          </w:p>
        </w:tc>
      </w:tr>
      <w:tr w:rsidR="00736F4A" w14:paraId="303773D9"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543EDC52" w14:textId="77777777" w:rsidR="00736F4A" w:rsidRDefault="00100640">
            <w:pPr>
              <w:ind w:left="105"/>
              <w:rPr>
                <w:color w:val="000000"/>
                <w:lang w:val="hu-HU"/>
              </w:rPr>
            </w:pPr>
            <w:r>
              <w:rPr>
                <w:color w:val="000000"/>
                <w:lang w:val="hu-HU"/>
              </w:rPr>
              <w:t>Bőrvérzés</w:t>
            </w:r>
          </w:p>
        </w:tc>
        <w:tc>
          <w:tcPr>
            <w:tcW w:w="2458" w:type="dxa"/>
            <w:tcBorders>
              <w:top w:val="single" w:sz="4" w:space="0" w:color="000000"/>
              <w:left w:val="single" w:sz="4" w:space="0" w:color="000000"/>
              <w:bottom w:val="single" w:sz="4" w:space="0" w:color="000000"/>
              <w:right w:val="single" w:sz="4" w:space="0" w:color="000000"/>
            </w:tcBorders>
          </w:tcPr>
          <w:p w14:paraId="0A97280F" w14:textId="77777777" w:rsidR="00736F4A" w:rsidRDefault="00100640">
            <w:pPr>
              <w:rPr>
                <w:color w:val="000000"/>
                <w:lang w:val="hu-HU"/>
              </w:rPr>
            </w:pPr>
            <w:r>
              <w:rPr>
                <w:color w:val="000000"/>
                <w:lang w:val="hu-HU"/>
              </w:rPr>
              <w:t>Gyakori</w:t>
            </w:r>
          </w:p>
        </w:tc>
        <w:tc>
          <w:tcPr>
            <w:tcW w:w="1181" w:type="dxa"/>
            <w:tcBorders>
              <w:top w:val="single" w:sz="4" w:space="0" w:color="000000"/>
              <w:left w:val="single" w:sz="4" w:space="0" w:color="000000"/>
              <w:bottom w:val="single" w:sz="4" w:space="0" w:color="000000"/>
              <w:right w:val="nil"/>
            </w:tcBorders>
          </w:tcPr>
          <w:p w14:paraId="63E87AFF"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68C387A3" w14:textId="77777777" w:rsidR="00736F4A" w:rsidRDefault="00100640">
            <w:pPr>
              <w:rPr>
                <w:color w:val="000000"/>
                <w:lang w:val="hu-HU"/>
              </w:rPr>
            </w:pPr>
            <w:r>
              <w:rPr>
                <w:color w:val="000000"/>
                <w:lang w:val="hu-HU"/>
              </w:rPr>
              <w:t xml:space="preserve">Gyakori </w:t>
            </w:r>
          </w:p>
        </w:tc>
      </w:tr>
      <w:tr w:rsidR="00736F4A" w14:paraId="008112C6"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5A641A6E" w14:textId="77777777" w:rsidR="00736F4A" w:rsidRDefault="00100640">
            <w:pPr>
              <w:ind w:left="105"/>
              <w:rPr>
                <w:color w:val="000000"/>
                <w:lang w:val="hu-HU"/>
              </w:rPr>
            </w:pPr>
            <w:r>
              <w:rPr>
                <w:color w:val="000000"/>
                <w:lang w:val="hu-HU"/>
              </w:rPr>
              <w:t>Alopecia</w:t>
            </w:r>
          </w:p>
        </w:tc>
        <w:tc>
          <w:tcPr>
            <w:tcW w:w="2458" w:type="dxa"/>
            <w:tcBorders>
              <w:top w:val="single" w:sz="4" w:space="0" w:color="000000"/>
              <w:left w:val="single" w:sz="4" w:space="0" w:color="000000"/>
              <w:bottom w:val="single" w:sz="4" w:space="0" w:color="000000"/>
              <w:right w:val="single" w:sz="4" w:space="0" w:color="000000"/>
            </w:tcBorders>
          </w:tcPr>
          <w:p w14:paraId="4D56DC8E" w14:textId="77777777" w:rsidR="00736F4A" w:rsidRDefault="00100640">
            <w:pPr>
              <w:rPr>
                <w:color w:val="000000"/>
                <w:lang w:val="hu-HU"/>
              </w:rPr>
            </w:pPr>
            <w:r>
              <w:rPr>
                <w:color w:val="000000"/>
                <w:lang w:val="hu-HU"/>
              </w:rPr>
              <w:t>Nem ismert</w:t>
            </w:r>
          </w:p>
        </w:tc>
        <w:tc>
          <w:tcPr>
            <w:tcW w:w="1181" w:type="dxa"/>
            <w:tcBorders>
              <w:top w:val="single" w:sz="4" w:space="0" w:color="000000"/>
              <w:left w:val="single" w:sz="4" w:space="0" w:color="000000"/>
              <w:bottom w:val="single" w:sz="4" w:space="0" w:color="000000"/>
              <w:right w:val="nil"/>
            </w:tcBorders>
          </w:tcPr>
          <w:p w14:paraId="18581153"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059D598C" w14:textId="77777777" w:rsidR="00736F4A" w:rsidRDefault="00100640">
            <w:pPr>
              <w:rPr>
                <w:color w:val="000000"/>
                <w:lang w:val="hu-HU"/>
              </w:rPr>
            </w:pPr>
            <w:r>
              <w:rPr>
                <w:color w:val="000000"/>
                <w:lang w:val="hu-HU"/>
              </w:rPr>
              <w:t>Nem ismert</w:t>
            </w:r>
          </w:p>
        </w:tc>
      </w:tr>
      <w:tr w:rsidR="00736F4A" w14:paraId="129811AB" w14:textId="77777777">
        <w:trPr>
          <w:trHeight w:val="262"/>
        </w:trPr>
        <w:tc>
          <w:tcPr>
            <w:tcW w:w="6948" w:type="dxa"/>
            <w:gridSpan w:val="3"/>
            <w:tcBorders>
              <w:top w:val="single" w:sz="4" w:space="0" w:color="000000"/>
              <w:left w:val="single" w:sz="4" w:space="0" w:color="000000"/>
              <w:bottom w:val="single" w:sz="4" w:space="0" w:color="000000"/>
              <w:right w:val="nil"/>
            </w:tcBorders>
          </w:tcPr>
          <w:p w14:paraId="72B9F145" w14:textId="77777777" w:rsidR="00736F4A" w:rsidRDefault="00100640">
            <w:pPr>
              <w:rPr>
                <w:color w:val="000000"/>
                <w:lang w:val="hu-HU"/>
              </w:rPr>
            </w:pPr>
            <w:r>
              <w:rPr>
                <w:color w:val="000000"/>
                <w:lang w:val="hu-HU"/>
              </w:rPr>
              <w:t>A csont- és izomrendszer, valamint a kötőszövet betegségei és tünetei</w:t>
            </w:r>
          </w:p>
        </w:tc>
        <w:tc>
          <w:tcPr>
            <w:tcW w:w="2338" w:type="dxa"/>
            <w:tcBorders>
              <w:top w:val="single" w:sz="4" w:space="0" w:color="000000"/>
              <w:left w:val="nil"/>
              <w:bottom w:val="single" w:sz="4" w:space="0" w:color="000000"/>
              <w:right w:val="single" w:sz="4" w:space="0" w:color="000000"/>
            </w:tcBorders>
          </w:tcPr>
          <w:p w14:paraId="6269DEE0" w14:textId="77777777" w:rsidR="00736F4A" w:rsidRDefault="00736F4A">
            <w:pPr>
              <w:rPr>
                <w:color w:val="000000"/>
                <w:lang w:val="hu-HU"/>
              </w:rPr>
            </w:pPr>
          </w:p>
        </w:tc>
      </w:tr>
      <w:tr w:rsidR="00736F4A" w14:paraId="0BD64441"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6EEA7BE0" w14:textId="77777777" w:rsidR="00736F4A" w:rsidRDefault="00100640">
            <w:pPr>
              <w:ind w:left="105"/>
              <w:rPr>
                <w:color w:val="000000"/>
                <w:lang w:val="hu-HU"/>
              </w:rPr>
            </w:pPr>
            <w:r>
              <w:rPr>
                <w:color w:val="000000"/>
                <w:lang w:val="hu-HU"/>
              </w:rPr>
              <w:t>Haemarthrosis</w:t>
            </w:r>
          </w:p>
        </w:tc>
        <w:tc>
          <w:tcPr>
            <w:tcW w:w="2458" w:type="dxa"/>
            <w:tcBorders>
              <w:top w:val="single" w:sz="4" w:space="0" w:color="000000"/>
              <w:left w:val="single" w:sz="4" w:space="0" w:color="000000"/>
              <w:bottom w:val="single" w:sz="4" w:space="0" w:color="000000"/>
              <w:right w:val="single" w:sz="4" w:space="0" w:color="000000"/>
            </w:tcBorders>
          </w:tcPr>
          <w:p w14:paraId="349F2767" w14:textId="77777777" w:rsidR="00736F4A" w:rsidRDefault="00100640">
            <w:pPr>
              <w:rPr>
                <w:color w:val="000000"/>
                <w:lang w:val="hu-HU"/>
              </w:rPr>
            </w:pPr>
            <w:r>
              <w:rPr>
                <w:color w:val="000000"/>
                <w:lang w:val="hu-HU"/>
              </w:rPr>
              <w:t>Ritka</w:t>
            </w:r>
          </w:p>
        </w:tc>
        <w:tc>
          <w:tcPr>
            <w:tcW w:w="1181" w:type="dxa"/>
            <w:tcBorders>
              <w:top w:val="single" w:sz="4" w:space="0" w:color="000000"/>
              <w:left w:val="single" w:sz="4" w:space="0" w:color="000000"/>
              <w:bottom w:val="single" w:sz="4" w:space="0" w:color="000000"/>
              <w:right w:val="nil"/>
            </w:tcBorders>
          </w:tcPr>
          <w:p w14:paraId="58B76AF7"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0F8F69B0" w14:textId="77777777" w:rsidR="00736F4A" w:rsidRDefault="00100640">
            <w:pPr>
              <w:rPr>
                <w:color w:val="000000"/>
                <w:lang w:val="hu-HU"/>
              </w:rPr>
            </w:pPr>
            <w:r>
              <w:rPr>
                <w:color w:val="000000"/>
                <w:lang w:val="hu-HU"/>
              </w:rPr>
              <w:t>Nem gyakori</w:t>
            </w:r>
          </w:p>
        </w:tc>
      </w:tr>
      <w:tr w:rsidR="00736F4A" w14:paraId="6DE6A5B4" w14:textId="77777777">
        <w:trPr>
          <w:trHeight w:val="262"/>
        </w:trPr>
        <w:tc>
          <w:tcPr>
            <w:tcW w:w="6948" w:type="dxa"/>
            <w:gridSpan w:val="3"/>
            <w:tcBorders>
              <w:top w:val="single" w:sz="4" w:space="0" w:color="000000"/>
              <w:left w:val="single" w:sz="4" w:space="0" w:color="000000"/>
              <w:bottom w:val="single" w:sz="4" w:space="0" w:color="000000"/>
              <w:right w:val="nil"/>
            </w:tcBorders>
          </w:tcPr>
          <w:p w14:paraId="360537BF" w14:textId="77777777" w:rsidR="00736F4A" w:rsidRDefault="00100640">
            <w:pPr>
              <w:rPr>
                <w:color w:val="000000"/>
                <w:lang w:val="hu-HU"/>
              </w:rPr>
            </w:pPr>
            <w:r>
              <w:rPr>
                <w:color w:val="000000"/>
                <w:lang w:val="hu-HU"/>
              </w:rPr>
              <w:t>Vese- és húgyúti betegségek és tünetek</w:t>
            </w:r>
          </w:p>
        </w:tc>
        <w:tc>
          <w:tcPr>
            <w:tcW w:w="2338" w:type="dxa"/>
            <w:tcBorders>
              <w:top w:val="single" w:sz="4" w:space="0" w:color="000000"/>
              <w:left w:val="nil"/>
              <w:bottom w:val="single" w:sz="4" w:space="0" w:color="000000"/>
              <w:right w:val="single" w:sz="4" w:space="0" w:color="000000"/>
            </w:tcBorders>
          </w:tcPr>
          <w:p w14:paraId="013874D4" w14:textId="77777777" w:rsidR="00736F4A" w:rsidRDefault="00736F4A">
            <w:pPr>
              <w:rPr>
                <w:color w:val="000000"/>
                <w:lang w:val="hu-HU"/>
              </w:rPr>
            </w:pPr>
          </w:p>
        </w:tc>
      </w:tr>
      <w:tr w:rsidR="00736F4A" w14:paraId="1AC21294"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446FEF8A" w14:textId="77777777" w:rsidR="00736F4A" w:rsidRDefault="00100640">
            <w:pPr>
              <w:ind w:left="105"/>
              <w:rPr>
                <w:color w:val="000000"/>
                <w:lang w:val="hu-HU"/>
              </w:rPr>
            </w:pPr>
            <w:r>
              <w:rPr>
                <w:color w:val="000000"/>
                <w:lang w:val="hu-HU"/>
              </w:rPr>
              <w:t>Urogenitális vérzés, beleértve a haematuriát is</w:t>
            </w:r>
          </w:p>
        </w:tc>
        <w:tc>
          <w:tcPr>
            <w:tcW w:w="2458" w:type="dxa"/>
            <w:tcBorders>
              <w:top w:val="single" w:sz="4" w:space="0" w:color="000000"/>
              <w:left w:val="single" w:sz="4" w:space="0" w:color="000000"/>
              <w:bottom w:val="single" w:sz="4" w:space="0" w:color="000000"/>
              <w:right w:val="single" w:sz="4" w:space="0" w:color="000000"/>
            </w:tcBorders>
          </w:tcPr>
          <w:p w14:paraId="15455DF9" w14:textId="77777777" w:rsidR="00736F4A" w:rsidRDefault="00100640">
            <w:pPr>
              <w:rPr>
                <w:color w:val="000000"/>
                <w:lang w:val="hu-HU"/>
              </w:rPr>
            </w:pPr>
            <w:r>
              <w:rPr>
                <w:color w:val="000000"/>
                <w:lang w:val="hu-HU"/>
              </w:rPr>
              <w:t>Gyakori</w:t>
            </w:r>
          </w:p>
        </w:tc>
        <w:tc>
          <w:tcPr>
            <w:tcW w:w="1181" w:type="dxa"/>
            <w:tcBorders>
              <w:top w:val="single" w:sz="4" w:space="0" w:color="000000"/>
              <w:left w:val="single" w:sz="4" w:space="0" w:color="000000"/>
              <w:bottom w:val="single" w:sz="4" w:space="0" w:color="000000"/>
              <w:right w:val="nil"/>
            </w:tcBorders>
          </w:tcPr>
          <w:p w14:paraId="2132CEF5"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353A5B01" w14:textId="77777777" w:rsidR="00736F4A" w:rsidRDefault="00100640">
            <w:pPr>
              <w:rPr>
                <w:color w:val="000000"/>
                <w:lang w:val="hu-HU"/>
              </w:rPr>
            </w:pPr>
            <w:r>
              <w:rPr>
                <w:color w:val="000000"/>
                <w:lang w:val="hu-HU"/>
              </w:rPr>
              <w:t xml:space="preserve">Gyakori </w:t>
            </w:r>
          </w:p>
        </w:tc>
      </w:tr>
      <w:tr w:rsidR="00736F4A" w14:paraId="041E40BF" w14:textId="77777777">
        <w:trPr>
          <w:trHeight w:val="264"/>
        </w:trPr>
        <w:tc>
          <w:tcPr>
            <w:tcW w:w="6948" w:type="dxa"/>
            <w:gridSpan w:val="3"/>
            <w:tcBorders>
              <w:top w:val="single" w:sz="4" w:space="0" w:color="000000"/>
              <w:left w:val="single" w:sz="4" w:space="0" w:color="000000"/>
              <w:bottom w:val="single" w:sz="4" w:space="0" w:color="000000"/>
              <w:right w:val="nil"/>
            </w:tcBorders>
          </w:tcPr>
          <w:p w14:paraId="224F69BF" w14:textId="77777777" w:rsidR="00736F4A" w:rsidRDefault="00100640">
            <w:pPr>
              <w:rPr>
                <w:color w:val="000000"/>
                <w:lang w:val="hu-HU"/>
              </w:rPr>
            </w:pPr>
            <w:r>
              <w:rPr>
                <w:color w:val="000000"/>
                <w:lang w:val="hu-HU"/>
              </w:rPr>
              <w:t>Általános tünetek, az alkalmazás helyén fellépő reakciók</w:t>
            </w:r>
          </w:p>
        </w:tc>
        <w:tc>
          <w:tcPr>
            <w:tcW w:w="2338" w:type="dxa"/>
            <w:tcBorders>
              <w:top w:val="single" w:sz="4" w:space="0" w:color="000000"/>
              <w:left w:val="nil"/>
              <w:bottom w:val="single" w:sz="4" w:space="0" w:color="000000"/>
              <w:right w:val="single" w:sz="4" w:space="0" w:color="000000"/>
            </w:tcBorders>
          </w:tcPr>
          <w:p w14:paraId="5B987DC8" w14:textId="77777777" w:rsidR="00736F4A" w:rsidRDefault="00736F4A">
            <w:pPr>
              <w:rPr>
                <w:color w:val="000000"/>
                <w:lang w:val="hu-HU"/>
              </w:rPr>
            </w:pPr>
          </w:p>
        </w:tc>
      </w:tr>
      <w:tr w:rsidR="00736F4A" w14:paraId="5C52991A" w14:textId="77777777">
        <w:trPr>
          <w:trHeight w:val="516"/>
        </w:trPr>
        <w:tc>
          <w:tcPr>
            <w:tcW w:w="3309" w:type="dxa"/>
            <w:tcBorders>
              <w:top w:val="single" w:sz="4" w:space="0" w:color="000000"/>
              <w:left w:val="single" w:sz="4" w:space="0" w:color="000000"/>
              <w:bottom w:val="single" w:sz="4" w:space="0" w:color="000000"/>
              <w:right w:val="single" w:sz="4" w:space="0" w:color="000000"/>
            </w:tcBorders>
          </w:tcPr>
          <w:p w14:paraId="17A67FC2" w14:textId="77777777" w:rsidR="00736F4A" w:rsidRDefault="00100640">
            <w:pPr>
              <w:ind w:left="105"/>
              <w:rPr>
                <w:color w:val="000000"/>
                <w:lang w:val="hu-HU"/>
              </w:rPr>
            </w:pPr>
            <w:r>
              <w:rPr>
                <w:color w:val="000000"/>
                <w:lang w:val="hu-HU"/>
              </w:rPr>
              <w:t>Vérzés az injekció beadásának helyén</w:t>
            </w:r>
          </w:p>
        </w:tc>
        <w:tc>
          <w:tcPr>
            <w:tcW w:w="2458" w:type="dxa"/>
            <w:tcBorders>
              <w:top w:val="single" w:sz="4" w:space="0" w:color="000000"/>
              <w:left w:val="single" w:sz="4" w:space="0" w:color="000000"/>
              <w:bottom w:val="single" w:sz="4" w:space="0" w:color="000000"/>
              <w:right w:val="single" w:sz="4" w:space="0" w:color="000000"/>
            </w:tcBorders>
          </w:tcPr>
          <w:p w14:paraId="697FFAEF" w14:textId="77777777" w:rsidR="00736F4A" w:rsidRDefault="00100640">
            <w:pPr>
              <w:rPr>
                <w:color w:val="000000"/>
                <w:lang w:val="hu-HU"/>
              </w:rPr>
            </w:pPr>
            <w:r>
              <w:rPr>
                <w:color w:val="000000"/>
                <w:lang w:val="hu-HU"/>
              </w:rPr>
              <w:t>Ritka</w:t>
            </w:r>
          </w:p>
        </w:tc>
        <w:tc>
          <w:tcPr>
            <w:tcW w:w="1181" w:type="dxa"/>
            <w:tcBorders>
              <w:top w:val="single" w:sz="4" w:space="0" w:color="000000"/>
              <w:left w:val="single" w:sz="4" w:space="0" w:color="000000"/>
              <w:bottom w:val="single" w:sz="4" w:space="0" w:color="000000"/>
              <w:right w:val="nil"/>
            </w:tcBorders>
          </w:tcPr>
          <w:p w14:paraId="6DCA8B46"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0E4DDE37" w14:textId="77777777" w:rsidR="00736F4A" w:rsidRDefault="00100640">
            <w:pPr>
              <w:rPr>
                <w:color w:val="000000"/>
                <w:lang w:val="hu-HU"/>
              </w:rPr>
            </w:pPr>
            <w:r>
              <w:rPr>
                <w:color w:val="000000"/>
                <w:lang w:val="hu-HU"/>
              </w:rPr>
              <w:t>Ritka</w:t>
            </w:r>
          </w:p>
        </w:tc>
      </w:tr>
      <w:tr w:rsidR="00736F4A" w14:paraId="5C5BD843"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67C87254" w14:textId="77777777" w:rsidR="00736F4A" w:rsidRDefault="00100640">
            <w:pPr>
              <w:ind w:left="105"/>
              <w:rPr>
                <w:color w:val="000000"/>
                <w:lang w:val="hu-HU"/>
              </w:rPr>
            </w:pPr>
            <w:r>
              <w:rPr>
                <w:color w:val="000000"/>
                <w:lang w:val="hu-HU"/>
              </w:rPr>
              <w:t>Vérzés a kanül helyén</w:t>
            </w:r>
          </w:p>
        </w:tc>
        <w:tc>
          <w:tcPr>
            <w:tcW w:w="2458" w:type="dxa"/>
            <w:tcBorders>
              <w:top w:val="single" w:sz="4" w:space="0" w:color="000000"/>
              <w:left w:val="single" w:sz="4" w:space="0" w:color="000000"/>
              <w:bottom w:val="single" w:sz="4" w:space="0" w:color="000000"/>
              <w:right w:val="single" w:sz="4" w:space="0" w:color="000000"/>
            </w:tcBorders>
          </w:tcPr>
          <w:p w14:paraId="0FD6F256" w14:textId="77777777" w:rsidR="00736F4A" w:rsidRDefault="00100640">
            <w:pPr>
              <w:rPr>
                <w:color w:val="000000"/>
                <w:lang w:val="hu-HU"/>
              </w:rPr>
            </w:pPr>
            <w:r>
              <w:rPr>
                <w:color w:val="000000"/>
                <w:lang w:val="hu-HU"/>
              </w:rPr>
              <w:t>Ritka</w:t>
            </w:r>
          </w:p>
        </w:tc>
        <w:tc>
          <w:tcPr>
            <w:tcW w:w="1181" w:type="dxa"/>
            <w:tcBorders>
              <w:top w:val="single" w:sz="4" w:space="0" w:color="000000"/>
              <w:left w:val="single" w:sz="4" w:space="0" w:color="000000"/>
              <w:bottom w:val="single" w:sz="4" w:space="0" w:color="000000"/>
              <w:right w:val="nil"/>
            </w:tcBorders>
          </w:tcPr>
          <w:p w14:paraId="441B7D59"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6DA48A55" w14:textId="77777777" w:rsidR="00736F4A" w:rsidRDefault="00100640">
            <w:pPr>
              <w:rPr>
                <w:color w:val="000000"/>
                <w:lang w:val="hu-HU"/>
              </w:rPr>
            </w:pPr>
            <w:r>
              <w:rPr>
                <w:color w:val="000000"/>
                <w:lang w:val="hu-HU"/>
              </w:rPr>
              <w:t xml:space="preserve">Ritka </w:t>
            </w:r>
          </w:p>
        </w:tc>
      </w:tr>
      <w:tr w:rsidR="00736F4A" w14:paraId="186F7C90" w14:textId="77777777">
        <w:trPr>
          <w:trHeight w:val="264"/>
        </w:trPr>
        <w:tc>
          <w:tcPr>
            <w:tcW w:w="6948" w:type="dxa"/>
            <w:gridSpan w:val="3"/>
            <w:tcBorders>
              <w:top w:val="single" w:sz="4" w:space="0" w:color="000000"/>
              <w:left w:val="single" w:sz="4" w:space="0" w:color="000000"/>
              <w:bottom w:val="single" w:sz="4" w:space="0" w:color="000000"/>
              <w:right w:val="nil"/>
            </w:tcBorders>
          </w:tcPr>
          <w:p w14:paraId="4A846612" w14:textId="77777777" w:rsidR="00736F4A" w:rsidRDefault="00100640">
            <w:pPr>
              <w:rPr>
                <w:color w:val="000000"/>
                <w:lang w:val="hu-HU"/>
              </w:rPr>
            </w:pPr>
            <w:r>
              <w:rPr>
                <w:color w:val="000000"/>
                <w:lang w:val="hu-HU"/>
              </w:rPr>
              <w:t>Sérülés, mérgezés és a beavatkozással kapcsolatos szövődmények</w:t>
            </w:r>
          </w:p>
        </w:tc>
        <w:tc>
          <w:tcPr>
            <w:tcW w:w="2338" w:type="dxa"/>
            <w:tcBorders>
              <w:top w:val="single" w:sz="4" w:space="0" w:color="000000"/>
              <w:left w:val="nil"/>
              <w:bottom w:val="single" w:sz="4" w:space="0" w:color="000000"/>
              <w:right w:val="single" w:sz="4" w:space="0" w:color="000000"/>
            </w:tcBorders>
          </w:tcPr>
          <w:p w14:paraId="544C9150" w14:textId="77777777" w:rsidR="00736F4A" w:rsidRDefault="00736F4A">
            <w:pPr>
              <w:rPr>
                <w:color w:val="000000"/>
                <w:lang w:val="hu-HU"/>
              </w:rPr>
            </w:pPr>
          </w:p>
        </w:tc>
      </w:tr>
      <w:tr w:rsidR="00736F4A" w14:paraId="78531907" w14:textId="77777777">
        <w:trPr>
          <w:trHeight w:val="264"/>
        </w:trPr>
        <w:tc>
          <w:tcPr>
            <w:tcW w:w="3309" w:type="dxa"/>
            <w:tcBorders>
              <w:top w:val="single" w:sz="4" w:space="0" w:color="000000"/>
              <w:left w:val="single" w:sz="4" w:space="0" w:color="000000"/>
              <w:bottom w:val="single" w:sz="4" w:space="0" w:color="000000"/>
              <w:right w:val="single" w:sz="4" w:space="0" w:color="000000"/>
            </w:tcBorders>
          </w:tcPr>
          <w:p w14:paraId="080A5344" w14:textId="77777777" w:rsidR="00736F4A" w:rsidRDefault="00100640">
            <w:pPr>
              <w:ind w:left="105"/>
              <w:rPr>
                <w:color w:val="000000"/>
                <w:lang w:val="hu-HU"/>
              </w:rPr>
            </w:pPr>
            <w:r>
              <w:rPr>
                <w:color w:val="000000"/>
                <w:lang w:val="hu-HU"/>
              </w:rPr>
              <w:t>Traumás vérzés</w:t>
            </w:r>
          </w:p>
        </w:tc>
        <w:tc>
          <w:tcPr>
            <w:tcW w:w="2458" w:type="dxa"/>
            <w:tcBorders>
              <w:top w:val="single" w:sz="4" w:space="0" w:color="000000"/>
              <w:left w:val="single" w:sz="4" w:space="0" w:color="000000"/>
              <w:bottom w:val="single" w:sz="4" w:space="0" w:color="000000"/>
              <w:right w:val="single" w:sz="4" w:space="0" w:color="000000"/>
            </w:tcBorders>
          </w:tcPr>
          <w:p w14:paraId="0F291EF7" w14:textId="77777777" w:rsidR="00736F4A" w:rsidRDefault="00100640">
            <w:pPr>
              <w:rPr>
                <w:color w:val="000000"/>
                <w:lang w:val="hu-HU"/>
              </w:rPr>
            </w:pPr>
            <w:r>
              <w:rPr>
                <w:color w:val="000000"/>
                <w:lang w:val="hu-HU"/>
              </w:rPr>
              <w:t>Ritka</w:t>
            </w:r>
          </w:p>
        </w:tc>
        <w:tc>
          <w:tcPr>
            <w:tcW w:w="1181" w:type="dxa"/>
            <w:tcBorders>
              <w:top w:val="single" w:sz="4" w:space="0" w:color="000000"/>
              <w:left w:val="single" w:sz="4" w:space="0" w:color="000000"/>
              <w:bottom w:val="single" w:sz="4" w:space="0" w:color="000000"/>
              <w:right w:val="nil"/>
            </w:tcBorders>
          </w:tcPr>
          <w:p w14:paraId="3795933E"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003E7D21" w14:textId="77777777" w:rsidR="00736F4A" w:rsidRDefault="00100640">
            <w:pPr>
              <w:rPr>
                <w:color w:val="000000"/>
                <w:lang w:val="hu-HU"/>
              </w:rPr>
            </w:pPr>
            <w:r>
              <w:rPr>
                <w:color w:val="000000"/>
                <w:lang w:val="hu-HU"/>
              </w:rPr>
              <w:t>Nem gyakori</w:t>
            </w:r>
          </w:p>
        </w:tc>
      </w:tr>
      <w:tr w:rsidR="00736F4A" w14:paraId="29A2CDDC" w14:textId="77777777">
        <w:trPr>
          <w:trHeight w:val="262"/>
        </w:trPr>
        <w:tc>
          <w:tcPr>
            <w:tcW w:w="3309" w:type="dxa"/>
            <w:tcBorders>
              <w:top w:val="single" w:sz="4" w:space="0" w:color="000000"/>
              <w:left w:val="single" w:sz="4" w:space="0" w:color="000000"/>
              <w:bottom w:val="single" w:sz="4" w:space="0" w:color="000000"/>
              <w:right w:val="single" w:sz="4" w:space="0" w:color="000000"/>
            </w:tcBorders>
          </w:tcPr>
          <w:p w14:paraId="26F40AAC" w14:textId="77777777" w:rsidR="00736F4A" w:rsidRDefault="00100640">
            <w:pPr>
              <w:ind w:left="105"/>
              <w:rPr>
                <w:color w:val="000000"/>
                <w:lang w:val="hu-HU"/>
              </w:rPr>
            </w:pPr>
            <w:r>
              <w:rPr>
                <w:color w:val="000000"/>
                <w:lang w:val="hu-HU"/>
              </w:rPr>
              <w:t>Vérzés a bemetszés helyén</w:t>
            </w:r>
          </w:p>
        </w:tc>
        <w:tc>
          <w:tcPr>
            <w:tcW w:w="2458" w:type="dxa"/>
            <w:tcBorders>
              <w:top w:val="single" w:sz="4" w:space="0" w:color="000000"/>
              <w:left w:val="single" w:sz="4" w:space="0" w:color="000000"/>
              <w:bottom w:val="single" w:sz="4" w:space="0" w:color="000000"/>
              <w:right w:val="single" w:sz="4" w:space="0" w:color="000000"/>
            </w:tcBorders>
          </w:tcPr>
          <w:p w14:paraId="7B4A2459" w14:textId="77777777" w:rsidR="00736F4A" w:rsidRDefault="00100640">
            <w:pPr>
              <w:rPr>
                <w:color w:val="000000"/>
                <w:lang w:val="hu-HU"/>
              </w:rPr>
            </w:pPr>
            <w:r>
              <w:rPr>
                <w:color w:val="000000"/>
                <w:lang w:val="hu-HU"/>
              </w:rPr>
              <w:t>Ritka</w:t>
            </w:r>
          </w:p>
        </w:tc>
        <w:tc>
          <w:tcPr>
            <w:tcW w:w="1181" w:type="dxa"/>
            <w:tcBorders>
              <w:top w:val="single" w:sz="4" w:space="0" w:color="000000"/>
              <w:left w:val="single" w:sz="4" w:space="0" w:color="000000"/>
              <w:bottom w:val="single" w:sz="4" w:space="0" w:color="000000"/>
              <w:right w:val="nil"/>
            </w:tcBorders>
          </w:tcPr>
          <w:p w14:paraId="66616F8D" w14:textId="77777777" w:rsidR="00736F4A" w:rsidRDefault="00736F4A">
            <w:pPr>
              <w:rPr>
                <w:color w:val="000000"/>
                <w:lang w:val="hu-HU"/>
              </w:rPr>
            </w:pPr>
          </w:p>
        </w:tc>
        <w:tc>
          <w:tcPr>
            <w:tcW w:w="2338" w:type="dxa"/>
            <w:tcBorders>
              <w:top w:val="single" w:sz="4" w:space="0" w:color="000000"/>
              <w:left w:val="nil"/>
              <w:bottom w:val="single" w:sz="4" w:space="0" w:color="000000"/>
              <w:right w:val="single" w:sz="4" w:space="0" w:color="000000"/>
            </w:tcBorders>
          </w:tcPr>
          <w:p w14:paraId="430172ED" w14:textId="77777777" w:rsidR="00736F4A" w:rsidRDefault="00100640">
            <w:pPr>
              <w:rPr>
                <w:color w:val="000000"/>
                <w:lang w:val="hu-HU"/>
              </w:rPr>
            </w:pPr>
            <w:r>
              <w:rPr>
                <w:color w:val="000000"/>
                <w:lang w:val="hu-HU"/>
              </w:rPr>
              <w:t>Ritka</w:t>
            </w:r>
          </w:p>
        </w:tc>
      </w:tr>
      <w:bookmarkEnd w:id="0"/>
    </w:tbl>
    <w:p w14:paraId="65C029A4" w14:textId="77777777" w:rsidR="00736F4A" w:rsidRDefault="00736F4A">
      <w:pPr>
        <w:spacing w:line="240" w:lineRule="auto"/>
        <w:rPr>
          <w:lang w:val="hu-HU"/>
        </w:rPr>
      </w:pPr>
    </w:p>
    <w:p w14:paraId="180A65AD" w14:textId="77777777" w:rsidR="00736F4A" w:rsidRDefault="00100640">
      <w:pPr>
        <w:spacing w:line="240" w:lineRule="auto"/>
        <w:rPr>
          <w:u w:val="single"/>
          <w:lang w:val="hu-HU"/>
        </w:rPr>
      </w:pPr>
      <w:r>
        <w:rPr>
          <w:u w:val="single"/>
          <w:lang w:val="hu-HU"/>
        </w:rPr>
        <w:t>Egyes kiválasztott mellékhatások leírása</w:t>
      </w:r>
    </w:p>
    <w:p w14:paraId="61EB634E" w14:textId="77777777" w:rsidR="00736F4A" w:rsidRDefault="00736F4A">
      <w:pPr>
        <w:spacing w:line="240" w:lineRule="auto"/>
        <w:rPr>
          <w:lang w:val="hu-HU"/>
        </w:rPr>
      </w:pPr>
    </w:p>
    <w:p w14:paraId="1E4D8FCA" w14:textId="77777777" w:rsidR="00736F4A" w:rsidRDefault="00100640">
      <w:pPr>
        <w:spacing w:line="240" w:lineRule="auto"/>
        <w:rPr>
          <w:u w:val="single"/>
          <w:lang w:val="hu-HU"/>
        </w:rPr>
      </w:pPr>
      <w:r>
        <w:rPr>
          <w:rFonts w:ascii="TimesNewRoman,Italic" w:hAnsi="TimesNewRoman,Italic" w:cs="TimesNewRoman,Italic"/>
          <w:i/>
          <w:iCs/>
          <w:u w:val="single"/>
          <w:lang w:val="hu-HU" w:eastAsia="en-GB"/>
        </w:rPr>
        <w:t>Vérzéses reakciók</w:t>
      </w:r>
    </w:p>
    <w:p w14:paraId="2091F3CE" w14:textId="77777777" w:rsidR="00736F4A" w:rsidRDefault="00736F4A">
      <w:pPr>
        <w:spacing w:line="240" w:lineRule="auto"/>
        <w:rPr>
          <w:lang w:val="hu-HU"/>
        </w:rPr>
      </w:pPr>
    </w:p>
    <w:p w14:paraId="1A42DAE3" w14:textId="77777777" w:rsidR="00736F4A" w:rsidRDefault="00100640">
      <w:pPr>
        <w:spacing w:line="240" w:lineRule="auto"/>
        <w:ind w:left="7" w:right="9"/>
      </w:pPr>
      <w:r>
        <w:t>A farmakológiai hatásmódjának köszönhetően a dabigatrán-etexilát alkalmazása együtt járhat a szövetek vagy szervek rejtett vagy nyílt vérzésének fokozott kockázatával. Ennek jelei, tünetei és súlyossága (beleértve a halálos kimenetelt) függ a vérzés és/vagy az anaemia helyétől, mértékétől, illetve kiterjedésétől. Klinikai vizsgálatokban nagyobb gyakorisággal figyeltek meg nyálkahártyavérzést (pl. gastrointestinalis vagy urogenitalis vérzést) a hosszú távú dabigatrán-etexilát-kezelés során, szemben a KVA-kezeléssel. Ezért a megfelelő klinikai megfigyelés mellett a haemoglobin/haematokrit mérése is fontos a rejtett vérzés megállapításában. A vérzések kockázata magasabb lehet egyes betegpopulációkban, pl. közepesen súlyos fokú vesekárosodásban és/vagy a haemostasisra hatást kifejtő, egyidejű kezelésben részesülő vagy erős P-gp-inhibitorokkal kezelt betegek esetében (lásd 4.4 pont, Vérzésveszély). A vérzéses szövődmények gyengeség, sápadtság, szédülés, fejfájás vagy tisztázatlan eredetű duzzanat, dyspnoe, valamint tisztázatlan eredetű sokk formájában jelenhetnek meg.</w:t>
      </w:r>
    </w:p>
    <w:p w14:paraId="11D40106" w14:textId="77777777" w:rsidR="00736F4A" w:rsidRDefault="00736F4A">
      <w:pPr>
        <w:spacing w:line="240" w:lineRule="auto"/>
        <w:ind w:left="7" w:right="9"/>
      </w:pPr>
    </w:p>
    <w:p w14:paraId="0D37EC65" w14:textId="77777777" w:rsidR="00736F4A" w:rsidRDefault="00100640">
      <w:pPr>
        <w:spacing w:line="240" w:lineRule="auto"/>
        <w:ind w:left="7" w:right="9"/>
      </w:pPr>
      <w:r>
        <w:t>Ismert vérzéses szövődményeket, pl. kompartment szindrómát, és hypoperfusio okozta akut veseelégtelenséget, valamint a hajlamosító kockázati tényezőkkel rendelkező betegeknél antikoaguláns-terápiával összefüggő nephropathiát is jelentettek már dabigatrán-etexiláttal összefüggésben. Ezért a vérzés lehetőségét mérlegelni kell antikoagulált betegek állapotának értékelésekor. Felnőtt betegeknél csillapíthatatlan vérzés esetén rendelkezésre áll a dabigatrán specifikus antagonista szere, az idarucizumab (lásd 4.9 pont).</w:t>
      </w:r>
    </w:p>
    <w:p w14:paraId="35748E6C" w14:textId="77777777" w:rsidR="00736F4A" w:rsidRDefault="00736F4A">
      <w:pPr>
        <w:spacing w:line="240" w:lineRule="auto"/>
        <w:ind w:right="9"/>
      </w:pPr>
    </w:p>
    <w:p w14:paraId="538893C2" w14:textId="77777777" w:rsidR="00736F4A" w:rsidRDefault="00100640">
      <w:pPr>
        <w:spacing w:line="240" w:lineRule="auto"/>
        <w:rPr>
          <w:color w:val="000000"/>
          <w:lang w:val="hu-HU" w:eastAsia="hu-HU"/>
        </w:rPr>
      </w:pPr>
      <w:r>
        <w:rPr>
          <w:i/>
          <w:color w:val="000000"/>
          <w:lang w:val="hu-HU" w:eastAsia="hu-HU"/>
        </w:rPr>
        <w:t>A stroke és a szisztémás embolizáció megelőzése nem billentyűeredetű pitvarfibrillációban szenvedő betegeknél egy vagy több rizikótényező esetén (SPAF)</w:t>
      </w:r>
    </w:p>
    <w:p w14:paraId="3999611A" w14:textId="77777777" w:rsidR="00736F4A" w:rsidRDefault="00736F4A">
      <w:pPr>
        <w:spacing w:line="240" w:lineRule="auto"/>
        <w:rPr>
          <w:lang w:val="hu-HU"/>
        </w:rPr>
      </w:pPr>
    </w:p>
    <w:p w14:paraId="4C2F044D" w14:textId="77777777" w:rsidR="00736F4A" w:rsidRDefault="00100640">
      <w:pPr>
        <w:spacing w:line="240" w:lineRule="auto"/>
        <w:ind w:right="9"/>
        <w:rPr>
          <w:color w:val="000000"/>
          <w:lang w:val="hu-HU" w:eastAsia="hu-HU"/>
        </w:rPr>
      </w:pPr>
      <w:r>
        <w:rPr>
          <w:color w:val="000000"/>
          <w:lang w:val="hu-HU" w:eastAsia="hu-HU"/>
        </w:rPr>
        <w:lastRenderedPageBreak/>
        <w:t>A 12. táblázat a vérzéses eseményeket jelentős és bármilyen vérzésre lebontva mutatja a pitvarfibrilláló betegek thromboemboliás stroke és a szisztémás embolizáció prevencióját vizsgáló kulcsfontosságú vizsgálatban.</w:t>
      </w:r>
    </w:p>
    <w:p w14:paraId="42C4E05B" w14:textId="77777777" w:rsidR="00736F4A" w:rsidRDefault="00736F4A">
      <w:pPr>
        <w:spacing w:line="240" w:lineRule="auto"/>
        <w:rPr>
          <w:lang w:val="hu-HU"/>
        </w:rPr>
      </w:pPr>
    </w:p>
    <w:p w14:paraId="15DFC97E" w14:textId="77777777" w:rsidR="00736F4A" w:rsidRDefault="00100640">
      <w:pPr>
        <w:spacing w:line="240" w:lineRule="auto"/>
        <w:rPr>
          <w:b/>
          <w:bCs/>
          <w:lang w:val="hu-HU"/>
        </w:rPr>
      </w:pPr>
      <w:r>
        <w:rPr>
          <w:b/>
          <w:bCs/>
          <w:lang w:val="hu-HU"/>
        </w:rPr>
        <w:t>12. táblázat: Vérzéses események előfordulása a pitvarfibrilláló betegek thromboemboliás stroke és szisztémás embolizáció prevencióját vizsgáló vizsgálatban</w:t>
      </w:r>
    </w:p>
    <w:p w14:paraId="4541B6B9" w14:textId="77777777" w:rsidR="00736F4A" w:rsidRDefault="00736F4A">
      <w:pPr>
        <w:spacing w:line="240" w:lineRule="auto"/>
        <w:rPr>
          <w:lang w:val="hu-HU"/>
        </w:rPr>
      </w:pPr>
    </w:p>
    <w:tbl>
      <w:tblPr>
        <w:tblW w:w="9072" w:type="dxa"/>
        <w:tblInd w:w="10" w:type="dxa"/>
        <w:tblCellMar>
          <w:top w:w="51" w:type="dxa"/>
          <w:right w:w="115" w:type="dxa"/>
        </w:tblCellMar>
        <w:tblLook w:val="04A0" w:firstRow="1" w:lastRow="0" w:firstColumn="1" w:lastColumn="0" w:noHBand="0" w:noVBand="1"/>
      </w:tblPr>
      <w:tblGrid>
        <w:gridCol w:w="2828"/>
        <w:gridCol w:w="2162"/>
        <w:gridCol w:w="2160"/>
        <w:gridCol w:w="1922"/>
      </w:tblGrid>
      <w:tr w:rsidR="00736F4A" w14:paraId="0076AD54" w14:textId="77777777">
        <w:trPr>
          <w:trHeight w:val="768"/>
        </w:trPr>
        <w:tc>
          <w:tcPr>
            <w:tcW w:w="2827" w:type="dxa"/>
            <w:tcBorders>
              <w:top w:val="single" w:sz="4" w:space="0" w:color="000000"/>
              <w:left w:val="single" w:sz="4" w:space="0" w:color="000000"/>
              <w:bottom w:val="single" w:sz="4" w:space="0" w:color="000000"/>
              <w:right w:val="single" w:sz="4" w:space="0" w:color="000000"/>
            </w:tcBorders>
          </w:tcPr>
          <w:p w14:paraId="050BA9C8" w14:textId="77777777" w:rsidR="00736F4A" w:rsidRDefault="00736F4A">
            <w:pPr>
              <w:spacing w:line="240" w:lineRule="auto"/>
              <w:rPr>
                <w:lang w:val="hu-HU"/>
              </w:rPr>
            </w:pPr>
          </w:p>
        </w:tc>
        <w:tc>
          <w:tcPr>
            <w:tcW w:w="2162" w:type="dxa"/>
            <w:tcBorders>
              <w:top w:val="single" w:sz="4" w:space="0" w:color="000000"/>
              <w:left w:val="single" w:sz="4" w:space="0" w:color="000000"/>
              <w:bottom w:val="single" w:sz="4" w:space="0" w:color="000000"/>
              <w:right w:val="single" w:sz="4" w:space="0" w:color="000000"/>
            </w:tcBorders>
          </w:tcPr>
          <w:p w14:paraId="2B7D1794" w14:textId="77777777" w:rsidR="00736F4A" w:rsidRDefault="00100640">
            <w:pPr>
              <w:spacing w:line="240" w:lineRule="auto"/>
              <w:rPr>
                <w:lang w:val="hu-HU"/>
              </w:rPr>
            </w:pPr>
            <w:r>
              <w:rPr>
                <w:lang w:val="hu-HU"/>
              </w:rPr>
              <w:t xml:space="preserve">Dabigatrán-etexilát naponta kétszer </w:t>
            </w:r>
          </w:p>
          <w:p w14:paraId="78FE4BE6" w14:textId="77777777" w:rsidR="00736F4A" w:rsidRDefault="00100640">
            <w:pPr>
              <w:spacing w:line="240" w:lineRule="auto"/>
              <w:ind w:left="10"/>
              <w:rPr>
                <w:lang w:val="hu-HU"/>
              </w:rPr>
            </w:pPr>
            <w:r>
              <w:rPr>
                <w:lang w:val="hu-HU"/>
              </w:rPr>
              <w:t>110 mg</w:t>
            </w:r>
          </w:p>
        </w:tc>
        <w:tc>
          <w:tcPr>
            <w:tcW w:w="2160" w:type="dxa"/>
            <w:tcBorders>
              <w:top w:val="single" w:sz="4" w:space="0" w:color="000000"/>
              <w:left w:val="single" w:sz="4" w:space="0" w:color="000000"/>
              <w:bottom w:val="single" w:sz="4" w:space="0" w:color="000000"/>
              <w:right w:val="single" w:sz="4" w:space="0" w:color="000000"/>
            </w:tcBorders>
          </w:tcPr>
          <w:p w14:paraId="4EB2AD2A" w14:textId="77777777" w:rsidR="00736F4A" w:rsidRDefault="00100640">
            <w:pPr>
              <w:spacing w:line="240" w:lineRule="auto"/>
              <w:rPr>
                <w:lang w:val="hu-HU"/>
              </w:rPr>
            </w:pPr>
            <w:r>
              <w:rPr>
                <w:lang w:val="hu-HU"/>
              </w:rPr>
              <w:t xml:space="preserve">Dabigatrán-etexilát naponta kétszer </w:t>
            </w:r>
          </w:p>
          <w:p w14:paraId="37AA12C7" w14:textId="77777777" w:rsidR="00736F4A" w:rsidRDefault="00100640">
            <w:pPr>
              <w:spacing w:line="240" w:lineRule="auto"/>
              <w:ind w:left="7"/>
              <w:rPr>
                <w:lang w:val="hu-HU"/>
              </w:rPr>
            </w:pPr>
            <w:r>
              <w:rPr>
                <w:lang w:val="hu-HU"/>
              </w:rPr>
              <w:t>150 mg</w:t>
            </w:r>
          </w:p>
        </w:tc>
        <w:tc>
          <w:tcPr>
            <w:tcW w:w="1922" w:type="dxa"/>
            <w:tcBorders>
              <w:top w:val="single" w:sz="4" w:space="0" w:color="000000"/>
              <w:left w:val="single" w:sz="4" w:space="0" w:color="000000"/>
              <w:bottom w:val="single" w:sz="4" w:space="0" w:color="000000"/>
              <w:right w:val="single" w:sz="4" w:space="0" w:color="000000"/>
            </w:tcBorders>
          </w:tcPr>
          <w:p w14:paraId="129F3310" w14:textId="77777777" w:rsidR="00736F4A" w:rsidRDefault="00100640">
            <w:pPr>
              <w:spacing w:line="240" w:lineRule="auto"/>
              <w:ind w:left="10"/>
              <w:rPr>
                <w:lang w:val="hu-HU"/>
              </w:rPr>
            </w:pPr>
            <w:r>
              <w:rPr>
                <w:lang w:val="hu-HU"/>
              </w:rPr>
              <w:t xml:space="preserve">Warfarin </w:t>
            </w:r>
          </w:p>
        </w:tc>
      </w:tr>
      <w:tr w:rsidR="00736F4A" w14:paraId="42C77481"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63E4320D" w14:textId="77777777" w:rsidR="00736F4A" w:rsidRDefault="00100640">
            <w:pPr>
              <w:spacing w:line="240" w:lineRule="auto"/>
              <w:rPr>
                <w:lang w:val="hu-HU"/>
              </w:rPr>
            </w:pPr>
            <w:r>
              <w:rPr>
                <w:lang w:val="hu-HU"/>
              </w:rPr>
              <w:t>Randomizált betegszám</w:t>
            </w:r>
          </w:p>
        </w:tc>
        <w:tc>
          <w:tcPr>
            <w:tcW w:w="2162" w:type="dxa"/>
            <w:tcBorders>
              <w:top w:val="single" w:sz="4" w:space="0" w:color="000000"/>
              <w:left w:val="single" w:sz="4" w:space="0" w:color="000000"/>
              <w:bottom w:val="single" w:sz="4" w:space="0" w:color="000000"/>
              <w:right w:val="single" w:sz="4" w:space="0" w:color="000000"/>
            </w:tcBorders>
          </w:tcPr>
          <w:p w14:paraId="446101F4" w14:textId="77777777" w:rsidR="00736F4A" w:rsidRDefault="00100640">
            <w:pPr>
              <w:spacing w:line="240" w:lineRule="auto"/>
              <w:ind w:left="10"/>
              <w:rPr>
                <w:lang w:val="hu-HU"/>
              </w:rPr>
            </w:pPr>
            <w:r>
              <w:rPr>
                <w:lang w:val="hu-HU"/>
              </w:rPr>
              <w:t>6015</w:t>
            </w:r>
          </w:p>
        </w:tc>
        <w:tc>
          <w:tcPr>
            <w:tcW w:w="2160" w:type="dxa"/>
            <w:tcBorders>
              <w:top w:val="single" w:sz="4" w:space="0" w:color="000000"/>
              <w:left w:val="single" w:sz="4" w:space="0" w:color="000000"/>
              <w:bottom w:val="single" w:sz="4" w:space="0" w:color="000000"/>
              <w:right w:val="single" w:sz="4" w:space="0" w:color="000000"/>
            </w:tcBorders>
          </w:tcPr>
          <w:p w14:paraId="5894BBCA" w14:textId="77777777" w:rsidR="00736F4A" w:rsidRDefault="00100640">
            <w:pPr>
              <w:spacing w:line="240" w:lineRule="auto"/>
              <w:ind w:left="7"/>
              <w:rPr>
                <w:lang w:val="hu-HU"/>
              </w:rPr>
            </w:pPr>
            <w:r>
              <w:rPr>
                <w:lang w:val="hu-HU"/>
              </w:rPr>
              <w:t xml:space="preserve">6076 </w:t>
            </w:r>
          </w:p>
        </w:tc>
        <w:tc>
          <w:tcPr>
            <w:tcW w:w="1922" w:type="dxa"/>
            <w:tcBorders>
              <w:top w:val="single" w:sz="4" w:space="0" w:color="000000"/>
              <w:left w:val="single" w:sz="4" w:space="0" w:color="000000"/>
              <w:bottom w:val="single" w:sz="4" w:space="0" w:color="000000"/>
              <w:right w:val="single" w:sz="4" w:space="0" w:color="000000"/>
            </w:tcBorders>
          </w:tcPr>
          <w:p w14:paraId="5CF51F87" w14:textId="77777777" w:rsidR="00736F4A" w:rsidRDefault="00100640">
            <w:pPr>
              <w:spacing w:line="240" w:lineRule="auto"/>
              <w:ind w:left="14"/>
              <w:rPr>
                <w:lang w:val="hu-HU"/>
              </w:rPr>
            </w:pPr>
            <w:r>
              <w:rPr>
                <w:lang w:val="hu-HU"/>
              </w:rPr>
              <w:t>6022</w:t>
            </w:r>
          </w:p>
        </w:tc>
      </w:tr>
      <w:tr w:rsidR="00736F4A" w14:paraId="28EF6941" w14:textId="77777777">
        <w:trPr>
          <w:trHeight w:val="283"/>
        </w:trPr>
        <w:tc>
          <w:tcPr>
            <w:tcW w:w="2827" w:type="dxa"/>
            <w:tcBorders>
              <w:top w:val="single" w:sz="4" w:space="0" w:color="000000"/>
              <w:left w:val="single" w:sz="4" w:space="0" w:color="000000"/>
              <w:bottom w:val="single" w:sz="4" w:space="0" w:color="000000"/>
              <w:right w:val="single" w:sz="4" w:space="0" w:color="000000"/>
            </w:tcBorders>
          </w:tcPr>
          <w:p w14:paraId="78CD595E" w14:textId="77777777" w:rsidR="00736F4A" w:rsidRDefault="00100640">
            <w:pPr>
              <w:spacing w:line="240" w:lineRule="auto"/>
              <w:rPr>
                <w:lang w:val="hu-HU"/>
              </w:rPr>
            </w:pPr>
            <w:r>
              <w:rPr>
                <w:lang w:val="hu-HU"/>
              </w:rPr>
              <w:t xml:space="preserve">Jelentős vérzés </w:t>
            </w:r>
          </w:p>
        </w:tc>
        <w:tc>
          <w:tcPr>
            <w:tcW w:w="2162" w:type="dxa"/>
            <w:tcBorders>
              <w:top w:val="single" w:sz="4" w:space="0" w:color="000000"/>
              <w:left w:val="single" w:sz="4" w:space="0" w:color="000000"/>
              <w:bottom w:val="single" w:sz="4" w:space="0" w:color="000000"/>
              <w:right w:val="single" w:sz="4" w:space="0" w:color="000000"/>
            </w:tcBorders>
          </w:tcPr>
          <w:p w14:paraId="78EA698D" w14:textId="77777777" w:rsidR="00736F4A" w:rsidRDefault="00100640">
            <w:pPr>
              <w:tabs>
                <w:tab w:val="center" w:pos="427"/>
                <w:tab w:val="center" w:pos="1328"/>
              </w:tabs>
              <w:spacing w:line="240" w:lineRule="auto"/>
              <w:rPr>
                <w:lang w:val="hu-HU"/>
              </w:rPr>
            </w:pPr>
            <w:r>
              <w:rPr>
                <w:lang w:val="hu-HU"/>
              </w:rPr>
              <w:t>347 (2,92%)</w:t>
            </w:r>
          </w:p>
        </w:tc>
        <w:tc>
          <w:tcPr>
            <w:tcW w:w="2160" w:type="dxa"/>
            <w:tcBorders>
              <w:top w:val="single" w:sz="4" w:space="0" w:color="000000"/>
              <w:left w:val="single" w:sz="4" w:space="0" w:color="000000"/>
              <w:bottom w:val="single" w:sz="4" w:space="0" w:color="000000"/>
              <w:right w:val="single" w:sz="4" w:space="0" w:color="000000"/>
            </w:tcBorders>
          </w:tcPr>
          <w:p w14:paraId="53E0308C" w14:textId="77777777" w:rsidR="00736F4A" w:rsidRDefault="00100640">
            <w:pPr>
              <w:tabs>
                <w:tab w:val="center" w:pos="425"/>
                <w:tab w:val="center" w:pos="1326"/>
              </w:tabs>
              <w:spacing w:line="240" w:lineRule="auto"/>
              <w:rPr>
                <w:lang w:val="hu-HU"/>
              </w:rPr>
            </w:pPr>
            <w:r>
              <w:rPr>
                <w:lang w:val="hu-HU"/>
              </w:rPr>
              <w:t>409 (3,40%)</w:t>
            </w:r>
          </w:p>
        </w:tc>
        <w:tc>
          <w:tcPr>
            <w:tcW w:w="1922" w:type="dxa"/>
            <w:tcBorders>
              <w:top w:val="single" w:sz="4" w:space="0" w:color="000000"/>
              <w:left w:val="single" w:sz="4" w:space="0" w:color="000000"/>
              <w:bottom w:val="single" w:sz="4" w:space="0" w:color="000000"/>
              <w:right w:val="single" w:sz="4" w:space="0" w:color="000000"/>
            </w:tcBorders>
          </w:tcPr>
          <w:p w14:paraId="5AB33B1B" w14:textId="77777777" w:rsidR="00736F4A" w:rsidRDefault="00100640">
            <w:pPr>
              <w:tabs>
                <w:tab w:val="right" w:pos="1699"/>
              </w:tabs>
              <w:spacing w:line="240" w:lineRule="auto"/>
              <w:rPr>
                <w:lang w:val="hu-HU"/>
              </w:rPr>
            </w:pPr>
            <w:r>
              <w:rPr>
                <w:lang w:val="hu-HU"/>
              </w:rPr>
              <w:t>426 (3,61%)</w:t>
            </w:r>
          </w:p>
        </w:tc>
      </w:tr>
      <w:tr w:rsidR="00736F4A" w14:paraId="79C519F4" w14:textId="77777777">
        <w:trPr>
          <w:trHeight w:val="262"/>
        </w:trPr>
        <w:tc>
          <w:tcPr>
            <w:tcW w:w="2827" w:type="dxa"/>
            <w:tcBorders>
              <w:top w:val="single" w:sz="4" w:space="0" w:color="000000"/>
              <w:left w:val="single" w:sz="4" w:space="0" w:color="000000"/>
              <w:bottom w:val="single" w:sz="4" w:space="0" w:color="000000"/>
              <w:right w:val="single" w:sz="4" w:space="0" w:color="000000"/>
            </w:tcBorders>
          </w:tcPr>
          <w:p w14:paraId="03A5B26A" w14:textId="77777777" w:rsidR="00736F4A" w:rsidRDefault="00100640">
            <w:pPr>
              <w:spacing w:line="240" w:lineRule="auto"/>
              <w:ind w:left="283"/>
              <w:rPr>
                <w:lang w:val="hu-HU"/>
              </w:rPr>
            </w:pPr>
            <w:r>
              <w:rPr>
                <w:lang w:val="hu-HU"/>
              </w:rPr>
              <w:t>Intracranialis vérzés</w:t>
            </w:r>
          </w:p>
        </w:tc>
        <w:tc>
          <w:tcPr>
            <w:tcW w:w="2162" w:type="dxa"/>
            <w:tcBorders>
              <w:top w:val="single" w:sz="4" w:space="0" w:color="000000"/>
              <w:left w:val="single" w:sz="4" w:space="0" w:color="000000"/>
              <w:bottom w:val="single" w:sz="4" w:space="0" w:color="000000"/>
              <w:right w:val="single" w:sz="4" w:space="0" w:color="000000"/>
            </w:tcBorders>
          </w:tcPr>
          <w:p w14:paraId="06BA5125" w14:textId="77777777" w:rsidR="00736F4A" w:rsidRDefault="00100640">
            <w:pPr>
              <w:spacing w:line="240" w:lineRule="auto"/>
              <w:ind w:left="11"/>
              <w:rPr>
                <w:lang w:val="hu-HU"/>
              </w:rPr>
            </w:pPr>
            <w:r>
              <w:rPr>
                <w:lang w:val="hu-HU"/>
              </w:rPr>
              <w:t>27 (0,23%)</w:t>
            </w:r>
          </w:p>
        </w:tc>
        <w:tc>
          <w:tcPr>
            <w:tcW w:w="2160" w:type="dxa"/>
            <w:tcBorders>
              <w:top w:val="single" w:sz="4" w:space="0" w:color="000000"/>
              <w:left w:val="single" w:sz="4" w:space="0" w:color="000000"/>
              <w:bottom w:val="single" w:sz="4" w:space="0" w:color="000000"/>
              <w:right w:val="single" w:sz="4" w:space="0" w:color="000000"/>
            </w:tcBorders>
          </w:tcPr>
          <w:p w14:paraId="34C7BA9B" w14:textId="77777777" w:rsidR="00736F4A" w:rsidRDefault="00100640">
            <w:pPr>
              <w:spacing w:line="240" w:lineRule="auto"/>
              <w:ind w:left="9"/>
              <w:rPr>
                <w:lang w:val="hu-HU"/>
              </w:rPr>
            </w:pPr>
            <w:r>
              <w:rPr>
                <w:lang w:val="hu-HU"/>
              </w:rPr>
              <w:t>39 (0,32%)</w:t>
            </w:r>
          </w:p>
        </w:tc>
        <w:tc>
          <w:tcPr>
            <w:tcW w:w="1922" w:type="dxa"/>
            <w:tcBorders>
              <w:top w:val="single" w:sz="4" w:space="0" w:color="000000"/>
              <w:left w:val="single" w:sz="4" w:space="0" w:color="000000"/>
              <w:bottom w:val="single" w:sz="4" w:space="0" w:color="000000"/>
              <w:right w:val="single" w:sz="4" w:space="0" w:color="000000"/>
            </w:tcBorders>
          </w:tcPr>
          <w:p w14:paraId="6D4E8EB1" w14:textId="77777777" w:rsidR="00736F4A" w:rsidRDefault="00100640">
            <w:pPr>
              <w:spacing w:line="240" w:lineRule="auto"/>
              <w:ind w:left="11"/>
              <w:rPr>
                <w:lang w:val="hu-HU"/>
              </w:rPr>
            </w:pPr>
            <w:r>
              <w:rPr>
                <w:lang w:val="hu-HU"/>
              </w:rPr>
              <w:t>91 (0,77%)</w:t>
            </w:r>
          </w:p>
        </w:tc>
      </w:tr>
      <w:tr w:rsidR="00736F4A" w14:paraId="66CC592E"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19819703" w14:textId="77777777" w:rsidR="00736F4A" w:rsidRDefault="00100640">
            <w:pPr>
              <w:spacing w:line="240" w:lineRule="auto"/>
              <w:ind w:left="283"/>
              <w:rPr>
                <w:lang w:val="hu-HU"/>
              </w:rPr>
            </w:pPr>
            <w:r>
              <w:rPr>
                <w:lang w:val="hu-HU"/>
              </w:rPr>
              <w:t>GI vérzés</w:t>
            </w:r>
          </w:p>
        </w:tc>
        <w:tc>
          <w:tcPr>
            <w:tcW w:w="2162" w:type="dxa"/>
            <w:tcBorders>
              <w:top w:val="single" w:sz="4" w:space="0" w:color="000000"/>
              <w:left w:val="single" w:sz="4" w:space="0" w:color="000000"/>
              <w:bottom w:val="single" w:sz="4" w:space="0" w:color="000000"/>
              <w:right w:val="single" w:sz="4" w:space="0" w:color="000000"/>
            </w:tcBorders>
          </w:tcPr>
          <w:p w14:paraId="1B8AFAD3" w14:textId="77777777" w:rsidR="00736F4A" w:rsidRDefault="00100640">
            <w:pPr>
              <w:spacing w:line="240" w:lineRule="auto"/>
              <w:ind w:left="11"/>
              <w:rPr>
                <w:lang w:val="hu-HU"/>
              </w:rPr>
            </w:pPr>
            <w:r>
              <w:rPr>
                <w:lang w:val="hu-HU"/>
              </w:rPr>
              <w:t>134 (1,13%)</w:t>
            </w:r>
          </w:p>
        </w:tc>
        <w:tc>
          <w:tcPr>
            <w:tcW w:w="2160" w:type="dxa"/>
            <w:tcBorders>
              <w:top w:val="single" w:sz="4" w:space="0" w:color="000000"/>
              <w:left w:val="single" w:sz="4" w:space="0" w:color="000000"/>
              <w:bottom w:val="single" w:sz="4" w:space="0" w:color="000000"/>
              <w:right w:val="single" w:sz="4" w:space="0" w:color="000000"/>
            </w:tcBorders>
          </w:tcPr>
          <w:p w14:paraId="3DC534FD" w14:textId="77777777" w:rsidR="00736F4A" w:rsidRDefault="00100640">
            <w:pPr>
              <w:spacing w:line="240" w:lineRule="auto"/>
              <w:ind w:left="9"/>
              <w:rPr>
                <w:lang w:val="hu-HU"/>
              </w:rPr>
            </w:pPr>
            <w:r>
              <w:rPr>
                <w:lang w:val="hu-HU"/>
              </w:rPr>
              <w:t>192 (1,60%)</w:t>
            </w:r>
          </w:p>
        </w:tc>
        <w:tc>
          <w:tcPr>
            <w:tcW w:w="1922" w:type="dxa"/>
            <w:tcBorders>
              <w:top w:val="single" w:sz="4" w:space="0" w:color="000000"/>
              <w:left w:val="single" w:sz="4" w:space="0" w:color="000000"/>
              <w:bottom w:val="single" w:sz="4" w:space="0" w:color="000000"/>
              <w:right w:val="single" w:sz="4" w:space="0" w:color="000000"/>
            </w:tcBorders>
          </w:tcPr>
          <w:p w14:paraId="518E9A90" w14:textId="77777777" w:rsidR="00736F4A" w:rsidRDefault="00100640">
            <w:pPr>
              <w:tabs>
                <w:tab w:val="right" w:pos="1699"/>
              </w:tabs>
              <w:spacing w:line="240" w:lineRule="auto"/>
              <w:rPr>
                <w:lang w:val="hu-HU"/>
              </w:rPr>
            </w:pPr>
            <w:r>
              <w:rPr>
                <w:lang w:val="hu-HU"/>
              </w:rPr>
              <w:t>128 (1,09%)</w:t>
            </w:r>
          </w:p>
        </w:tc>
      </w:tr>
      <w:tr w:rsidR="00736F4A" w14:paraId="13894ED0" w14:textId="77777777">
        <w:trPr>
          <w:trHeight w:val="262"/>
        </w:trPr>
        <w:tc>
          <w:tcPr>
            <w:tcW w:w="2827" w:type="dxa"/>
            <w:tcBorders>
              <w:top w:val="single" w:sz="4" w:space="0" w:color="000000"/>
              <w:left w:val="single" w:sz="4" w:space="0" w:color="000000"/>
              <w:bottom w:val="single" w:sz="4" w:space="0" w:color="000000"/>
              <w:right w:val="single" w:sz="4" w:space="0" w:color="000000"/>
            </w:tcBorders>
          </w:tcPr>
          <w:p w14:paraId="488635DE" w14:textId="77777777" w:rsidR="00736F4A" w:rsidRDefault="00100640">
            <w:pPr>
              <w:spacing w:line="240" w:lineRule="auto"/>
              <w:ind w:left="283"/>
              <w:rPr>
                <w:lang w:val="hu-HU"/>
              </w:rPr>
            </w:pPr>
            <w:r>
              <w:rPr>
                <w:lang w:val="hu-HU"/>
              </w:rPr>
              <w:t>Fatális vérzés</w:t>
            </w:r>
          </w:p>
        </w:tc>
        <w:tc>
          <w:tcPr>
            <w:tcW w:w="2162" w:type="dxa"/>
            <w:tcBorders>
              <w:top w:val="single" w:sz="4" w:space="0" w:color="000000"/>
              <w:left w:val="single" w:sz="4" w:space="0" w:color="000000"/>
              <w:bottom w:val="single" w:sz="4" w:space="0" w:color="000000"/>
              <w:right w:val="single" w:sz="4" w:space="0" w:color="000000"/>
            </w:tcBorders>
          </w:tcPr>
          <w:p w14:paraId="5FCD5EA9" w14:textId="77777777" w:rsidR="00736F4A" w:rsidRDefault="00100640">
            <w:pPr>
              <w:spacing w:line="240" w:lineRule="auto"/>
              <w:ind w:left="11"/>
              <w:rPr>
                <w:lang w:val="hu-HU"/>
              </w:rPr>
            </w:pPr>
            <w:r>
              <w:rPr>
                <w:lang w:val="hu-HU"/>
              </w:rPr>
              <w:t>26 (0,22%)</w:t>
            </w:r>
          </w:p>
        </w:tc>
        <w:tc>
          <w:tcPr>
            <w:tcW w:w="2160" w:type="dxa"/>
            <w:tcBorders>
              <w:top w:val="single" w:sz="4" w:space="0" w:color="000000"/>
              <w:left w:val="single" w:sz="4" w:space="0" w:color="000000"/>
              <w:bottom w:val="single" w:sz="4" w:space="0" w:color="000000"/>
              <w:right w:val="single" w:sz="4" w:space="0" w:color="000000"/>
            </w:tcBorders>
          </w:tcPr>
          <w:p w14:paraId="64B57181" w14:textId="77777777" w:rsidR="00736F4A" w:rsidRDefault="00100640">
            <w:pPr>
              <w:spacing w:line="240" w:lineRule="auto"/>
              <w:ind w:left="9"/>
              <w:rPr>
                <w:lang w:val="hu-HU"/>
              </w:rPr>
            </w:pPr>
            <w:r>
              <w:rPr>
                <w:lang w:val="hu-HU"/>
              </w:rPr>
              <w:t>30 (0,25%)</w:t>
            </w:r>
          </w:p>
        </w:tc>
        <w:tc>
          <w:tcPr>
            <w:tcW w:w="1922" w:type="dxa"/>
            <w:tcBorders>
              <w:top w:val="single" w:sz="4" w:space="0" w:color="000000"/>
              <w:left w:val="single" w:sz="4" w:space="0" w:color="000000"/>
              <w:bottom w:val="single" w:sz="4" w:space="0" w:color="000000"/>
              <w:right w:val="single" w:sz="4" w:space="0" w:color="000000"/>
            </w:tcBorders>
          </w:tcPr>
          <w:p w14:paraId="1FD04239" w14:textId="77777777" w:rsidR="00736F4A" w:rsidRDefault="00100640">
            <w:pPr>
              <w:tabs>
                <w:tab w:val="right" w:pos="1699"/>
              </w:tabs>
              <w:spacing w:line="240" w:lineRule="auto"/>
              <w:rPr>
                <w:lang w:val="hu-HU"/>
              </w:rPr>
            </w:pPr>
            <w:r>
              <w:rPr>
                <w:lang w:val="hu-HU"/>
              </w:rPr>
              <w:t>42 (0,36%)</w:t>
            </w:r>
          </w:p>
        </w:tc>
      </w:tr>
      <w:tr w:rsidR="00736F4A" w14:paraId="403C6A43"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15A14DB1" w14:textId="77777777" w:rsidR="00736F4A" w:rsidRDefault="00100640">
            <w:pPr>
              <w:spacing w:line="240" w:lineRule="auto"/>
              <w:rPr>
                <w:lang w:val="hu-HU"/>
              </w:rPr>
            </w:pPr>
            <w:r>
              <w:rPr>
                <w:lang w:val="hu-HU"/>
              </w:rPr>
              <w:t>Kisebb vérzés</w:t>
            </w:r>
          </w:p>
        </w:tc>
        <w:tc>
          <w:tcPr>
            <w:tcW w:w="2162" w:type="dxa"/>
            <w:tcBorders>
              <w:top w:val="single" w:sz="4" w:space="0" w:color="000000"/>
              <w:left w:val="single" w:sz="4" w:space="0" w:color="000000"/>
              <w:bottom w:val="single" w:sz="4" w:space="0" w:color="000000"/>
              <w:right w:val="single" w:sz="4" w:space="0" w:color="000000"/>
            </w:tcBorders>
          </w:tcPr>
          <w:p w14:paraId="682E47C1" w14:textId="77777777" w:rsidR="00736F4A" w:rsidRDefault="00100640">
            <w:pPr>
              <w:spacing w:line="240" w:lineRule="auto"/>
              <w:ind w:left="9"/>
              <w:rPr>
                <w:lang w:val="hu-HU"/>
              </w:rPr>
            </w:pPr>
            <w:r>
              <w:rPr>
                <w:lang w:val="hu-HU"/>
              </w:rPr>
              <w:t>1566 (13,16%)</w:t>
            </w:r>
          </w:p>
        </w:tc>
        <w:tc>
          <w:tcPr>
            <w:tcW w:w="2160" w:type="dxa"/>
            <w:tcBorders>
              <w:top w:val="single" w:sz="4" w:space="0" w:color="000000"/>
              <w:left w:val="single" w:sz="4" w:space="0" w:color="000000"/>
              <w:bottom w:val="single" w:sz="4" w:space="0" w:color="000000"/>
              <w:right w:val="single" w:sz="4" w:space="0" w:color="000000"/>
            </w:tcBorders>
          </w:tcPr>
          <w:p w14:paraId="5283A9C1" w14:textId="77777777" w:rsidR="00736F4A" w:rsidRDefault="00100640">
            <w:pPr>
              <w:spacing w:line="240" w:lineRule="auto"/>
              <w:ind w:left="6"/>
              <w:rPr>
                <w:lang w:val="hu-HU"/>
              </w:rPr>
            </w:pPr>
            <w:r>
              <w:rPr>
                <w:lang w:val="hu-HU"/>
              </w:rPr>
              <w:t>1787 (14,85%)</w:t>
            </w:r>
          </w:p>
        </w:tc>
        <w:tc>
          <w:tcPr>
            <w:tcW w:w="1922" w:type="dxa"/>
            <w:tcBorders>
              <w:top w:val="single" w:sz="4" w:space="0" w:color="000000"/>
              <w:left w:val="single" w:sz="4" w:space="0" w:color="000000"/>
              <w:bottom w:val="single" w:sz="4" w:space="0" w:color="000000"/>
              <w:right w:val="single" w:sz="4" w:space="0" w:color="000000"/>
            </w:tcBorders>
          </w:tcPr>
          <w:p w14:paraId="20142782" w14:textId="77777777" w:rsidR="00736F4A" w:rsidRDefault="00100640">
            <w:pPr>
              <w:tabs>
                <w:tab w:val="right" w:pos="1699"/>
              </w:tabs>
              <w:spacing w:line="240" w:lineRule="auto"/>
              <w:rPr>
                <w:lang w:val="hu-HU"/>
              </w:rPr>
            </w:pPr>
            <w:r>
              <w:rPr>
                <w:lang w:val="hu-HU"/>
              </w:rPr>
              <w:t>1931 (16,37%)</w:t>
            </w:r>
          </w:p>
        </w:tc>
      </w:tr>
      <w:tr w:rsidR="00736F4A" w14:paraId="53BDD2EA"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68C5637B" w14:textId="77777777" w:rsidR="00736F4A" w:rsidRDefault="00100640">
            <w:pPr>
              <w:spacing w:line="240" w:lineRule="auto"/>
              <w:rPr>
                <w:lang w:val="hu-HU"/>
              </w:rPr>
            </w:pPr>
            <w:r>
              <w:rPr>
                <w:lang w:val="hu-HU"/>
              </w:rPr>
              <w:t>Bármilyen vérzés</w:t>
            </w:r>
          </w:p>
        </w:tc>
        <w:tc>
          <w:tcPr>
            <w:tcW w:w="2162" w:type="dxa"/>
            <w:tcBorders>
              <w:top w:val="single" w:sz="4" w:space="0" w:color="000000"/>
              <w:left w:val="single" w:sz="4" w:space="0" w:color="000000"/>
              <w:bottom w:val="single" w:sz="4" w:space="0" w:color="000000"/>
              <w:right w:val="single" w:sz="4" w:space="0" w:color="000000"/>
            </w:tcBorders>
          </w:tcPr>
          <w:p w14:paraId="77864909" w14:textId="77777777" w:rsidR="00736F4A" w:rsidRDefault="00100640">
            <w:pPr>
              <w:spacing w:line="240" w:lineRule="auto"/>
              <w:ind w:left="10"/>
              <w:rPr>
                <w:lang w:val="hu-HU"/>
              </w:rPr>
            </w:pPr>
            <w:r>
              <w:rPr>
                <w:lang w:val="hu-HU"/>
              </w:rPr>
              <w:t xml:space="preserve">1759 (14,78%) </w:t>
            </w:r>
          </w:p>
        </w:tc>
        <w:tc>
          <w:tcPr>
            <w:tcW w:w="2160" w:type="dxa"/>
            <w:tcBorders>
              <w:top w:val="single" w:sz="4" w:space="0" w:color="000000"/>
              <w:left w:val="single" w:sz="4" w:space="0" w:color="000000"/>
              <w:bottom w:val="single" w:sz="4" w:space="0" w:color="000000"/>
              <w:right w:val="single" w:sz="4" w:space="0" w:color="000000"/>
            </w:tcBorders>
          </w:tcPr>
          <w:p w14:paraId="75ACD8ED" w14:textId="77777777" w:rsidR="00736F4A" w:rsidRDefault="00100640">
            <w:pPr>
              <w:spacing w:line="240" w:lineRule="auto"/>
              <w:ind w:left="6"/>
              <w:rPr>
                <w:lang w:val="hu-HU"/>
              </w:rPr>
            </w:pPr>
            <w:r>
              <w:rPr>
                <w:lang w:val="hu-HU"/>
              </w:rPr>
              <w:t>1997 (16,60%)</w:t>
            </w:r>
          </w:p>
        </w:tc>
        <w:tc>
          <w:tcPr>
            <w:tcW w:w="1922" w:type="dxa"/>
            <w:tcBorders>
              <w:top w:val="single" w:sz="4" w:space="0" w:color="000000"/>
              <w:left w:val="single" w:sz="4" w:space="0" w:color="000000"/>
              <w:bottom w:val="single" w:sz="4" w:space="0" w:color="000000"/>
              <w:right w:val="single" w:sz="4" w:space="0" w:color="000000"/>
            </w:tcBorders>
          </w:tcPr>
          <w:p w14:paraId="030AE347" w14:textId="77777777" w:rsidR="00736F4A" w:rsidRDefault="00100640">
            <w:pPr>
              <w:tabs>
                <w:tab w:val="right" w:pos="1699"/>
              </w:tabs>
              <w:spacing w:line="240" w:lineRule="auto"/>
              <w:rPr>
                <w:lang w:val="hu-HU"/>
              </w:rPr>
            </w:pPr>
            <w:r>
              <w:rPr>
                <w:lang w:val="hu-HU"/>
              </w:rPr>
              <w:t>2169 (18,39%)</w:t>
            </w:r>
          </w:p>
        </w:tc>
      </w:tr>
    </w:tbl>
    <w:p w14:paraId="345136B9" w14:textId="77777777" w:rsidR="00736F4A" w:rsidRDefault="00736F4A">
      <w:pPr>
        <w:spacing w:line="240" w:lineRule="auto"/>
        <w:rPr>
          <w:lang w:val="hu-HU"/>
        </w:rPr>
      </w:pPr>
    </w:p>
    <w:p w14:paraId="2AAD2E46" w14:textId="77777777" w:rsidR="00736F4A" w:rsidRDefault="00100640">
      <w:pPr>
        <w:spacing w:line="240" w:lineRule="auto"/>
        <w:ind w:left="7" w:right="222"/>
      </w:pPr>
      <w:r>
        <w:t>A randomizáció alapján napi kétszer 110 mg vagy 150 mg dabigatrán-etexilátot kapó betegeknél szignifikánsan alacsonyabb volt az életveszélyes vérzések és intracranialis vérzés kockázata, mint a warfarin esetében [p &lt; 0,05]. A dabigatrán-etexilát mindkét dózisa esetében statisztikailag szignifikáns mértékben kisebb volt az összes vérzés aránya is. A randomizáció alapján napi kétszer 110 mg dabigatrán-etexilátot kapó betegeknél szignifikánsan alacsonyabb volt a jelentős vérzés kockázata, mint a warfarin esetében (relatív hazárd [hazard ratio] 0,81 [p=0,0027]). A randomizáció alapján napi kétszer 150 mg dabigatrán-etexilátot kapó betegeknél szignifikánsan magasabb volt a jelentős gastrointestinalis vérzések kockázata, mint a warfarin esetében (relatív hazárd [hazard ratio] 1,48 [p=0,0005]). Ezt a hatást elsősorban 75 éves vagy annál idősebb betegeknél észlelték.</w:t>
      </w:r>
    </w:p>
    <w:p w14:paraId="50D50FD1" w14:textId="77777777" w:rsidR="00736F4A" w:rsidRDefault="00100640">
      <w:pPr>
        <w:spacing w:line="240" w:lineRule="auto"/>
      </w:pPr>
      <w:r>
        <w:t xml:space="preserve">A dabigatrán klinikai haszna a stroke és a szisztémás </w:t>
      </w:r>
      <w:r>
        <w:rPr>
          <w:color w:val="000000"/>
          <w:lang w:val="hu-HU" w:eastAsia="hu-HU"/>
        </w:rPr>
        <w:t xml:space="preserve">embolizáció </w:t>
      </w:r>
      <w:r>
        <w:t>prevenciója vonatkozásában, valamint az ICH kisebb kockázata a warfarinnal összehasonlítva megmarad az egyes alcsoportok esetén is, pl. vesekárosodás, életkor, egyidejűleg alkalmazott gyógyszer pl. thrombocyta-aggregáció-gátlókkal vagy P-gp-inhibitorokkal. Míg bizonyos betegcsoportokban fokozott a jelentős vérzés kockázata antikoaguláns-kezelés esetén, dabigatrán esetében a vérzésveszély többletét döntően a GI vérzés adja, ami jellemzően a dabigatrán-etexilát-kezelés elkezdését követő első 3-6 hónapon belül észlelhető.</w:t>
      </w:r>
    </w:p>
    <w:p w14:paraId="18CC9D58" w14:textId="77777777" w:rsidR="00736F4A" w:rsidRDefault="00736F4A">
      <w:pPr>
        <w:spacing w:line="240" w:lineRule="auto"/>
      </w:pPr>
    </w:p>
    <w:p w14:paraId="7CBCF954" w14:textId="77777777" w:rsidR="00736F4A" w:rsidRDefault="00100640">
      <w:pPr>
        <w:spacing w:line="240" w:lineRule="auto"/>
        <w:ind w:left="7"/>
      </w:pPr>
      <w:r>
        <w:rPr>
          <w:i/>
        </w:rPr>
        <w:t>MVT és PE kezelése, és az MVT és PE kiújulásának megelőzése felnőtt betegeknél</w:t>
      </w:r>
    </w:p>
    <w:p w14:paraId="78B60CD7" w14:textId="77777777" w:rsidR="00736F4A" w:rsidRDefault="00736F4A">
      <w:pPr>
        <w:spacing w:line="240" w:lineRule="auto"/>
        <w:ind w:left="7" w:right="9"/>
      </w:pPr>
    </w:p>
    <w:p w14:paraId="7B1781B9" w14:textId="77777777" w:rsidR="00736F4A" w:rsidRDefault="00100640">
      <w:pPr>
        <w:spacing w:line="240" w:lineRule="auto"/>
        <w:ind w:left="7" w:right="9"/>
      </w:pPr>
      <w:r>
        <w:t>A 13. táblázat a RE-COVER és RE-COVER II, összesített kulcsfontosságú vizsgálatokban észlelt vérzéses eseményeket mutatja az MVT és PE kezelése során. Az összesített vizsgálatokban az elsődleges biztonságossági végpontok, mint major vérzés, major vagy klinikailag releváns vérzéses esemény és bármilyen vérzés szignifikánsan alacsonyabb gyakorisággal fordultak elő, mint a warfarin esetében (névleges alfa-érték 5%).</w:t>
      </w:r>
    </w:p>
    <w:p w14:paraId="4FD88C85" w14:textId="77777777" w:rsidR="00736F4A" w:rsidRDefault="00736F4A">
      <w:pPr>
        <w:spacing w:line="240" w:lineRule="auto"/>
        <w:rPr>
          <w:lang w:val="hu-HU"/>
        </w:rPr>
      </w:pPr>
    </w:p>
    <w:p w14:paraId="41939CF6" w14:textId="77777777" w:rsidR="00736F4A" w:rsidRDefault="00100640">
      <w:pPr>
        <w:spacing w:line="240" w:lineRule="auto"/>
        <w:rPr>
          <w:b/>
        </w:rPr>
      </w:pPr>
      <w:r>
        <w:rPr>
          <w:b/>
        </w:rPr>
        <w:t>13. táblázat. A RE-COVER és RE-COVER II vizsgálatokban az MVT és PE kezelése során észlelt vérzéses események.</w:t>
      </w:r>
    </w:p>
    <w:p w14:paraId="56F9709E" w14:textId="77777777" w:rsidR="00736F4A" w:rsidRDefault="00736F4A">
      <w:pPr>
        <w:spacing w:line="240" w:lineRule="auto"/>
        <w:rPr>
          <w:lang w:val="hu-HU"/>
        </w:rPr>
      </w:pPr>
    </w:p>
    <w:tbl>
      <w:tblPr>
        <w:tblW w:w="9214" w:type="dxa"/>
        <w:tblInd w:w="-60" w:type="dxa"/>
        <w:tblCellMar>
          <w:top w:w="51" w:type="dxa"/>
          <w:right w:w="69" w:type="dxa"/>
        </w:tblCellMar>
        <w:tblLook w:val="04A0" w:firstRow="1" w:lastRow="0" w:firstColumn="1" w:lastColumn="0" w:noHBand="0" w:noVBand="1"/>
      </w:tblPr>
      <w:tblGrid>
        <w:gridCol w:w="2813"/>
        <w:gridCol w:w="2242"/>
        <w:gridCol w:w="2033"/>
        <w:gridCol w:w="2126"/>
      </w:tblGrid>
      <w:tr w:rsidR="00736F4A" w14:paraId="20D9E3D0" w14:textId="77777777">
        <w:trPr>
          <w:trHeight w:val="1277"/>
        </w:trPr>
        <w:tc>
          <w:tcPr>
            <w:tcW w:w="2813" w:type="dxa"/>
            <w:tcBorders>
              <w:top w:val="single" w:sz="4" w:space="0" w:color="000000"/>
              <w:left w:val="single" w:sz="4" w:space="0" w:color="000000"/>
              <w:bottom w:val="single" w:sz="4" w:space="0" w:color="000000"/>
              <w:right w:val="single" w:sz="4" w:space="0" w:color="000000"/>
            </w:tcBorders>
          </w:tcPr>
          <w:p w14:paraId="3A6242C7" w14:textId="77777777" w:rsidR="00736F4A" w:rsidRDefault="00736F4A">
            <w:pPr>
              <w:spacing w:line="240" w:lineRule="auto"/>
              <w:rPr>
                <w:lang w:val="hu-HU"/>
              </w:rPr>
            </w:pPr>
          </w:p>
        </w:tc>
        <w:tc>
          <w:tcPr>
            <w:tcW w:w="2242" w:type="dxa"/>
            <w:tcBorders>
              <w:top w:val="single" w:sz="4" w:space="0" w:color="000000"/>
              <w:left w:val="single" w:sz="4" w:space="0" w:color="000000"/>
              <w:bottom w:val="single" w:sz="4" w:space="0" w:color="000000"/>
              <w:right w:val="single" w:sz="4" w:space="0" w:color="000000"/>
            </w:tcBorders>
          </w:tcPr>
          <w:p w14:paraId="66A89CEA" w14:textId="77777777" w:rsidR="00736F4A" w:rsidRDefault="00100640">
            <w:pPr>
              <w:spacing w:line="240" w:lineRule="auto"/>
              <w:rPr>
                <w:lang w:val="hu-HU"/>
              </w:rPr>
            </w:pPr>
            <w:r>
              <w:rPr>
                <w:lang w:val="hu-HU"/>
              </w:rPr>
              <w:t xml:space="preserve">Dabigatrán-etexilát naponta kétszer </w:t>
            </w:r>
          </w:p>
          <w:p w14:paraId="6D98A7EE" w14:textId="77777777" w:rsidR="00736F4A" w:rsidRDefault="00100640">
            <w:pPr>
              <w:spacing w:line="240" w:lineRule="auto"/>
              <w:ind w:right="39"/>
              <w:rPr>
                <w:lang w:val="hu-HU"/>
              </w:rPr>
            </w:pPr>
            <w:r>
              <w:rPr>
                <w:lang w:val="hu-HU"/>
              </w:rPr>
              <w:t>150 mg</w:t>
            </w:r>
          </w:p>
        </w:tc>
        <w:tc>
          <w:tcPr>
            <w:tcW w:w="2033" w:type="dxa"/>
            <w:tcBorders>
              <w:top w:val="single" w:sz="4" w:space="0" w:color="000000"/>
              <w:left w:val="single" w:sz="4" w:space="0" w:color="000000"/>
              <w:bottom w:val="single" w:sz="4" w:space="0" w:color="000000"/>
              <w:right w:val="single" w:sz="4" w:space="0" w:color="000000"/>
            </w:tcBorders>
          </w:tcPr>
          <w:p w14:paraId="146F3705" w14:textId="77777777" w:rsidR="00736F4A" w:rsidRDefault="00100640">
            <w:pPr>
              <w:spacing w:line="240" w:lineRule="auto"/>
              <w:ind w:right="41"/>
              <w:rPr>
                <w:lang w:val="hu-HU"/>
              </w:rPr>
            </w:pPr>
            <w:r>
              <w:rPr>
                <w:lang w:val="hu-HU"/>
              </w:rPr>
              <w:t xml:space="preserve">Warfarin </w:t>
            </w:r>
          </w:p>
        </w:tc>
        <w:tc>
          <w:tcPr>
            <w:tcW w:w="2126" w:type="dxa"/>
            <w:tcBorders>
              <w:top w:val="single" w:sz="4" w:space="0" w:color="000000"/>
              <w:left w:val="single" w:sz="4" w:space="0" w:color="000000"/>
              <w:bottom w:val="single" w:sz="4" w:space="0" w:color="000000"/>
              <w:right w:val="single" w:sz="4" w:space="0" w:color="000000"/>
            </w:tcBorders>
          </w:tcPr>
          <w:p w14:paraId="099E817A" w14:textId="77777777" w:rsidR="00736F4A" w:rsidRDefault="00100640">
            <w:pPr>
              <w:spacing w:line="240" w:lineRule="auto"/>
              <w:rPr>
                <w:lang w:val="hu-HU"/>
              </w:rPr>
            </w:pPr>
            <w:r>
              <w:rPr>
                <w:lang w:val="hu-HU"/>
              </w:rPr>
              <w:t>Relatív hazárd (hazard ratio) a warfarinhoz képest (95%-os konfidencia intervallum)</w:t>
            </w:r>
          </w:p>
        </w:tc>
      </w:tr>
      <w:tr w:rsidR="00736F4A" w14:paraId="7B9FE51C" w14:textId="77777777">
        <w:trPr>
          <w:trHeight w:val="514"/>
        </w:trPr>
        <w:tc>
          <w:tcPr>
            <w:tcW w:w="2813" w:type="dxa"/>
            <w:tcBorders>
              <w:top w:val="single" w:sz="4" w:space="0" w:color="000000"/>
              <w:left w:val="single" w:sz="4" w:space="0" w:color="000000"/>
              <w:bottom w:val="single" w:sz="4" w:space="0" w:color="000000"/>
              <w:right w:val="single" w:sz="4" w:space="0" w:color="000000"/>
            </w:tcBorders>
          </w:tcPr>
          <w:p w14:paraId="620568C5" w14:textId="77777777" w:rsidR="00736F4A" w:rsidRDefault="00100640">
            <w:pPr>
              <w:spacing w:line="240" w:lineRule="auto"/>
              <w:rPr>
                <w:lang w:val="hu-HU"/>
              </w:rPr>
            </w:pPr>
            <w:r>
              <w:rPr>
                <w:lang w:val="hu-HU"/>
              </w:rPr>
              <w:t xml:space="preserve">A biztonságossági elemzésbe bevont betegek száma </w:t>
            </w:r>
          </w:p>
        </w:tc>
        <w:tc>
          <w:tcPr>
            <w:tcW w:w="2242" w:type="dxa"/>
            <w:tcBorders>
              <w:top w:val="single" w:sz="4" w:space="0" w:color="000000"/>
              <w:left w:val="single" w:sz="4" w:space="0" w:color="000000"/>
              <w:bottom w:val="single" w:sz="4" w:space="0" w:color="000000"/>
              <w:right w:val="single" w:sz="4" w:space="0" w:color="000000"/>
            </w:tcBorders>
          </w:tcPr>
          <w:p w14:paraId="04912EFA" w14:textId="77777777" w:rsidR="00736F4A" w:rsidRDefault="00100640">
            <w:pPr>
              <w:spacing w:line="240" w:lineRule="auto"/>
              <w:ind w:right="39"/>
              <w:rPr>
                <w:lang w:val="hu-HU"/>
              </w:rPr>
            </w:pPr>
            <w:r>
              <w:rPr>
                <w:lang w:val="hu-HU"/>
              </w:rPr>
              <w:t xml:space="preserve">2456 </w:t>
            </w:r>
          </w:p>
        </w:tc>
        <w:tc>
          <w:tcPr>
            <w:tcW w:w="2033" w:type="dxa"/>
            <w:tcBorders>
              <w:top w:val="single" w:sz="4" w:space="0" w:color="000000"/>
              <w:left w:val="single" w:sz="4" w:space="0" w:color="000000"/>
              <w:bottom w:val="single" w:sz="4" w:space="0" w:color="000000"/>
              <w:right w:val="single" w:sz="4" w:space="0" w:color="000000"/>
            </w:tcBorders>
          </w:tcPr>
          <w:p w14:paraId="50C3E564" w14:textId="77777777" w:rsidR="00736F4A" w:rsidRDefault="00100640">
            <w:pPr>
              <w:spacing w:line="240" w:lineRule="auto"/>
              <w:ind w:right="41"/>
              <w:rPr>
                <w:lang w:val="hu-HU"/>
              </w:rPr>
            </w:pPr>
            <w:r>
              <w:rPr>
                <w:lang w:val="hu-HU"/>
              </w:rPr>
              <w:t xml:space="preserve">2462 </w:t>
            </w:r>
          </w:p>
        </w:tc>
        <w:tc>
          <w:tcPr>
            <w:tcW w:w="2126" w:type="dxa"/>
            <w:tcBorders>
              <w:top w:val="single" w:sz="4" w:space="0" w:color="000000"/>
              <w:left w:val="single" w:sz="4" w:space="0" w:color="000000"/>
              <w:bottom w:val="single" w:sz="4" w:space="0" w:color="000000"/>
              <w:right w:val="single" w:sz="4" w:space="0" w:color="000000"/>
            </w:tcBorders>
          </w:tcPr>
          <w:p w14:paraId="06440C7E" w14:textId="77777777" w:rsidR="00736F4A" w:rsidRDefault="00736F4A">
            <w:pPr>
              <w:spacing w:line="240" w:lineRule="auto"/>
              <w:rPr>
                <w:lang w:val="hu-HU"/>
              </w:rPr>
            </w:pPr>
          </w:p>
        </w:tc>
      </w:tr>
      <w:tr w:rsidR="00736F4A" w14:paraId="2E68B63B"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40254ADF" w14:textId="77777777" w:rsidR="00736F4A" w:rsidRDefault="00100640">
            <w:pPr>
              <w:spacing w:line="240" w:lineRule="auto"/>
              <w:rPr>
                <w:lang w:val="hu-HU"/>
              </w:rPr>
            </w:pPr>
            <w:r>
              <w:rPr>
                <w:lang w:val="hu-HU"/>
              </w:rPr>
              <w:t xml:space="preserve">Major vérzéses esemény </w:t>
            </w:r>
          </w:p>
        </w:tc>
        <w:tc>
          <w:tcPr>
            <w:tcW w:w="2242" w:type="dxa"/>
            <w:tcBorders>
              <w:top w:val="single" w:sz="4" w:space="0" w:color="000000"/>
              <w:left w:val="single" w:sz="4" w:space="0" w:color="000000"/>
              <w:bottom w:val="single" w:sz="4" w:space="0" w:color="000000"/>
              <w:right w:val="single" w:sz="4" w:space="0" w:color="000000"/>
            </w:tcBorders>
          </w:tcPr>
          <w:p w14:paraId="71B635D5" w14:textId="77777777" w:rsidR="00736F4A" w:rsidRDefault="00100640">
            <w:pPr>
              <w:spacing w:line="240" w:lineRule="auto"/>
              <w:ind w:right="39"/>
              <w:rPr>
                <w:lang w:val="hu-HU"/>
              </w:rPr>
            </w:pPr>
            <w:r>
              <w:rPr>
                <w:lang w:val="hu-HU"/>
              </w:rPr>
              <w:t>24 (1,0%)</w:t>
            </w:r>
          </w:p>
        </w:tc>
        <w:tc>
          <w:tcPr>
            <w:tcW w:w="2033" w:type="dxa"/>
            <w:tcBorders>
              <w:top w:val="single" w:sz="4" w:space="0" w:color="000000"/>
              <w:left w:val="single" w:sz="4" w:space="0" w:color="000000"/>
              <w:bottom w:val="single" w:sz="4" w:space="0" w:color="000000"/>
              <w:right w:val="single" w:sz="4" w:space="0" w:color="000000"/>
            </w:tcBorders>
          </w:tcPr>
          <w:p w14:paraId="763C3100" w14:textId="77777777" w:rsidR="00736F4A" w:rsidRDefault="00100640">
            <w:pPr>
              <w:spacing w:line="240" w:lineRule="auto"/>
              <w:ind w:right="37"/>
              <w:rPr>
                <w:lang w:val="hu-HU"/>
              </w:rPr>
            </w:pPr>
            <w:r>
              <w:rPr>
                <w:lang w:val="hu-HU"/>
              </w:rPr>
              <w:t>40 (1,6%)</w:t>
            </w:r>
          </w:p>
        </w:tc>
        <w:tc>
          <w:tcPr>
            <w:tcW w:w="2126" w:type="dxa"/>
            <w:tcBorders>
              <w:top w:val="single" w:sz="4" w:space="0" w:color="000000"/>
              <w:left w:val="single" w:sz="4" w:space="0" w:color="000000"/>
              <w:bottom w:val="single" w:sz="4" w:space="0" w:color="000000"/>
              <w:right w:val="single" w:sz="4" w:space="0" w:color="000000"/>
            </w:tcBorders>
          </w:tcPr>
          <w:p w14:paraId="7E30BA51" w14:textId="77777777" w:rsidR="00736F4A" w:rsidRDefault="00100640">
            <w:pPr>
              <w:spacing w:line="240" w:lineRule="auto"/>
              <w:ind w:right="39"/>
              <w:rPr>
                <w:lang w:val="hu-HU"/>
              </w:rPr>
            </w:pPr>
            <w:r>
              <w:rPr>
                <w:lang w:val="hu-HU"/>
              </w:rPr>
              <w:t>0,60 (0,36, 0,99)</w:t>
            </w:r>
          </w:p>
        </w:tc>
      </w:tr>
      <w:tr w:rsidR="00736F4A" w14:paraId="5B61BDF9"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0223B234" w14:textId="77777777" w:rsidR="00736F4A" w:rsidRDefault="00100640">
            <w:pPr>
              <w:spacing w:line="240" w:lineRule="auto"/>
              <w:ind w:left="708"/>
              <w:rPr>
                <w:lang w:val="hu-HU"/>
              </w:rPr>
            </w:pPr>
            <w:r>
              <w:rPr>
                <w:lang w:val="hu-HU"/>
              </w:rPr>
              <w:lastRenderedPageBreak/>
              <w:t>Intracranialis vérzés</w:t>
            </w:r>
          </w:p>
        </w:tc>
        <w:tc>
          <w:tcPr>
            <w:tcW w:w="2242" w:type="dxa"/>
            <w:tcBorders>
              <w:top w:val="single" w:sz="4" w:space="0" w:color="000000"/>
              <w:left w:val="single" w:sz="4" w:space="0" w:color="000000"/>
              <w:bottom w:val="single" w:sz="4" w:space="0" w:color="000000"/>
              <w:right w:val="single" w:sz="4" w:space="0" w:color="000000"/>
            </w:tcBorders>
          </w:tcPr>
          <w:p w14:paraId="2E783448" w14:textId="77777777" w:rsidR="00736F4A" w:rsidRDefault="00100640">
            <w:pPr>
              <w:spacing w:line="240" w:lineRule="auto"/>
              <w:ind w:right="39"/>
              <w:rPr>
                <w:lang w:val="hu-HU"/>
              </w:rPr>
            </w:pPr>
            <w:r>
              <w:rPr>
                <w:lang w:val="hu-HU"/>
              </w:rPr>
              <w:t>2 (0,1%)</w:t>
            </w:r>
          </w:p>
        </w:tc>
        <w:tc>
          <w:tcPr>
            <w:tcW w:w="2033" w:type="dxa"/>
            <w:tcBorders>
              <w:top w:val="single" w:sz="4" w:space="0" w:color="000000"/>
              <w:left w:val="single" w:sz="4" w:space="0" w:color="000000"/>
              <w:bottom w:val="single" w:sz="4" w:space="0" w:color="000000"/>
              <w:right w:val="single" w:sz="4" w:space="0" w:color="000000"/>
            </w:tcBorders>
          </w:tcPr>
          <w:p w14:paraId="547A7B42" w14:textId="77777777" w:rsidR="00736F4A" w:rsidRDefault="00100640">
            <w:pPr>
              <w:spacing w:line="240" w:lineRule="auto"/>
              <w:ind w:right="37"/>
              <w:rPr>
                <w:lang w:val="hu-HU"/>
              </w:rPr>
            </w:pPr>
            <w:r>
              <w:rPr>
                <w:lang w:val="hu-HU"/>
              </w:rPr>
              <w:t>4 (0,2%)</w:t>
            </w:r>
          </w:p>
        </w:tc>
        <w:tc>
          <w:tcPr>
            <w:tcW w:w="2126" w:type="dxa"/>
            <w:tcBorders>
              <w:top w:val="single" w:sz="4" w:space="0" w:color="000000"/>
              <w:left w:val="single" w:sz="4" w:space="0" w:color="000000"/>
              <w:bottom w:val="single" w:sz="4" w:space="0" w:color="000000"/>
              <w:right w:val="single" w:sz="4" w:space="0" w:color="000000"/>
            </w:tcBorders>
          </w:tcPr>
          <w:p w14:paraId="79D7804B" w14:textId="77777777" w:rsidR="00736F4A" w:rsidRDefault="00100640">
            <w:pPr>
              <w:spacing w:line="240" w:lineRule="auto"/>
              <w:ind w:right="39"/>
              <w:rPr>
                <w:lang w:val="hu-HU"/>
              </w:rPr>
            </w:pPr>
            <w:r>
              <w:rPr>
                <w:lang w:val="hu-HU"/>
              </w:rPr>
              <w:t>0,50 (0,09, 2,74)</w:t>
            </w:r>
          </w:p>
        </w:tc>
      </w:tr>
      <w:tr w:rsidR="00736F4A" w14:paraId="3D304F8E"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4FC1D5B1" w14:textId="77777777" w:rsidR="00736F4A" w:rsidRDefault="00100640">
            <w:pPr>
              <w:spacing w:line="240" w:lineRule="auto"/>
              <w:ind w:left="708"/>
              <w:rPr>
                <w:lang w:val="hu-HU"/>
              </w:rPr>
            </w:pPr>
            <w:r>
              <w:rPr>
                <w:lang w:val="hu-HU"/>
              </w:rPr>
              <w:t>Major GI vérzés</w:t>
            </w:r>
          </w:p>
        </w:tc>
        <w:tc>
          <w:tcPr>
            <w:tcW w:w="2242" w:type="dxa"/>
            <w:tcBorders>
              <w:top w:val="single" w:sz="4" w:space="0" w:color="000000"/>
              <w:left w:val="single" w:sz="4" w:space="0" w:color="000000"/>
              <w:bottom w:val="single" w:sz="4" w:space="0" w:color="000000"/>
              <w:right w:val="single" w:sz="4" w:space="0" w:color="000000"/>
            </w:tcBorders>
          </w:tcPr>
          <w:p w14:paraId="5A2FD824" w14:textId="77777777" w:rsidR="00736F4A" w:rsidRDefault="00100640">
            <w:pPr>
              <w:spacing w:line="240" w:lineRule="auto"/>
              <w:ind w:right="39"/>
              <w:rPr>
                <w:lang w:val="hu-HU"/>
              </w:rPr>
            </w:pPr>
            <w:r>
              <w:rPr>
                <w:lang w:val="hu-HU"/>
              </w:rPr>
              <w:t>10 (0,4%)</w:t>
            </w:r>
          </w:p>
        </w:tc>
        <w:tc>
          <w:tcPr>
            <w:tcW w:w="2033" w:type="dxa"/>
            <w:tcBorders>
              <w:top w:val="single" w:sz="4" w:space="0" w:color="000000"/>
              <w:left w:val="single" w:sz="4" w:space="0" w:color="000000"/>
              <w:bottom w:val="single" w:sz="4" w:space="0" w:color="000000"/>
              <w:right w:val="single" w:sz="4" w:space="0" w:color="000000"/>
            </w:tcBorders>
          </w:tcPr>
          <w:p w14:paraId="7883CC0B" w14:textId="77777777" w:rsidR="00736F4A" w:rsidRDefault="00100640">
            <w:pPr>
              <w:spacing w:line="240" w:lineRule="auto"/>
              <w:ind w:right="37"/>
              <w:rPr>
                <w:lang w:val="hu-HU"/>
              </w:rPr>
            </w:pPr>
            <w:r>
              <w:rPr>
                <w:lang w:val="hu-HU"/>
              </w:rPr>
              <w:t>12 (0,5%)</w:t>
            </w:r>
          </w:p>
        </w:tc>
        <w:tc>
          <w:tcPr>
            <w:tcW w:w="2126" w:type="dxa"/>
            <w:tcBorders>
              <w:top w:val="single" w:sz="4" w:space="0" w:color="000000"/>
              <w:left w:val="single" w:sz="4" w:space="0" w:color="000000"/>
              <w:bottom w:val="single" w:sz="4" w:space="0" w:color="000000"/>
              <w:right w:val="single" w:sz="4" w:space="0" w:color="000000"/>
            </w:tcBorders>
          </w:tcPr>
          <w:p w14:paraId="7337C292" w14:textId="77777777" w:rsidR="00736F4A" w:rsidRDefault="00100640">
            <w:pPr>
              <w:spacing w:line="240" w:lineRule="auto"/>
              <w:ind w:right="39"/>
              <w:rPr>
                <w:lang w:val="hu-HU"/>
              </w:rPr>
            </w:pPr>
            <w:r>
              <w:rPr>
                <w:lang w:val="hu-HU"/>
              </w:rPr>
              <w:t>0,83 (0,36, 1,93)</w:t>
            </w:r>
          </w:p>
        </w:tc>
      </w:tr>
      <w:tr w:rsidR="00736F4A" w14:paraId="324F437B"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0168BF73" w14:textId="77777777" w:rsidR="00736F4A" w:rsidRDefault="00100640">
            <w:pPr>
              <w:spacing w:line="240" w:lineRule="auto"/>
              <w:ind w:left="708"/>
              <w:rPr>
                <w:lang w:val="hu-HU"/>
              </w:rPr>
            </w:pPr>
            <w:r>
              <w:rPr>
                <w:lang w:val="hu-HU"/>
              </w:rPr>
              <w:t>Életet veszélyeztető vérzés</w:t>
            </w:r>
          </w:p>
        </w:tc>
        <w:tc>
          <w:tcPr>
            <w:tcW w:w="2242" w:type="dxa"/>
            <w:tcBorders>
              <w:top w:val="single" w:sz="4" w:space="0" w:color="000000"/>
              <w:left w:val="single" w:sz="4" w:space="0" w:color="000000"/>
              <w:bottom w:val="single" w:sz="4" w:space="0" w:color="000000"/>
              <w:right w:val="single" w:sz="4" w:space="0" w:color="000000"/>
            </w:tcBorders>
          </w:tcPr>
          <w:p w14:paraId="2A854F7B" w14:textId="77777777" w:rsidR="00736F4A" w:rsidRDefault="00100640">
            <w:pPr>
              <w:spacing w:line="240" w:lineRule="auto"/>
              <w:ind w:right="37"/>
              <w:rPr>
                <w:lang w:val="hu-HU"/>
              </w:rPr>
            </w:pPr>
            <w:r>
              <w:rPr>
                <w:lang w:val="hu-HU"/>
              </w:rPr>
              <w:t>4 (0,2%)</w:t>
            </w:r>
          </w:p>
        </w:tc>
        <w:tc>
          <w:tcPr>
            <w:tcW w:w="2033" w:type="dxa"/>
            <w:tcBorders>
              <w:top w:val="single" w:sz="4" w:space="0" w:color="000000"/>
              <w:left w:val="single" w:sz="4" w:space="0" w:color="000000"/>
              <w:bottom w:val="single" w:sz="4" w:space="0" w:color="000000"/>
              <w:right w:val="single" w:sz="4" w:space="0" w:color="000000"/>
            </w:tcBorders>
          </w:tcPr>
          <w:p w14:paraId="5746FE12" w14:textId="77777777" w:rsidR="00736F4A" w:rsidRDefault="00100640">
            <w:pPr>
              <w:spacing w:line="240" w:lineRule="auto"/>
              <w:ind w:right="37"/>
              <w:rPr>
                <w:lang w:val="hu-HU"/>
              </w:rPr>
            </w:pPr>
            <w:r>
              <w:rPr>
                <w:lang w:val="hu-HU"/>
              </w:rPr>
              <w:t>6 (0,2%)</w:t>
            </w:r>
          </w:p>
        </w:tc>
        <w:tc>
          <w:tcPr>
            <w:tcW w:w="2126" w:type="dxa"/>
            <w:tcBorders>
              <w:top w:val="single" w:sz="4" w:space="0" w:color="000000"/>
              <w:left w:val="single" w:sz="4" w:space="0" w:color="000000"/>
              <w:bottom w:val="single" w:sz="4" w:space="0" w:color="000000"/>
              <w:right w:val="single" w:sz="4" w:space="0" w:color="000000"/>
            </w:tcBorders>
          </w:tcPr>
          <w:p w14:paraId="598DDC74" w14:textId="77777777" w:rsidR="00736F4A" w:rsidRDefault="00100640">
            <w:pPr>
              <w:spacing w:line="240" w:lineRule="auto"/>
              <w:ind w:right="39"/>
              <w:rPr>
                <w:lang w:val="hu-HU"/>
              </w:rPr>
            </w:pPr>
            <w:r>
              <w:rPr>
                <w:lang w:val="hu-HU"/>
              </w:rPr>
              <w:t>0,66 (0,19, 2,36)</w:t>
            </w:r>
          </w:p>
        </w:tc>
      </w:tr>
      <w:tr w:rsidR="00736F4A" w14:paraId="22305872"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25DC8A65" w14:textId="77777777" w:rsidR="00736F4A" w:rsidRDefault="00100640">
            <w:pPr>
              <w:spacing w:line="240" w:lineRule="auto"/>
              <w:rPr>
                <w:lang w:val="hu-HU"/>
              </w:rPr>
            </w:pPr>
            <w:r>
              <w:rPr>
                <w:lang w:val="hu-HU"/>
              </w:rPr>
              <w:t xml:space="preserve">Major vérzéses esemény </w:t>
            </w:r>
          </w:p>
          <w:p w14:paraId="18B60DD3" w14:textId="77777777" w:rsidR="00736F4A" w:rsidRDefault="00100640">
            <w:pPr>
              <w:spacing w:line="240" w:lineRule="auto"/>
              <w:rPr>
                <w:lang w:val="hu-HU"/>
              </w:rPr>
            </w:pPr>
            <w:r>
              <w:rPr>
                <w:lang w:val="hu-HU"/>
              </w:rPr>
              <w:t xml:space="preserve">/klinikailag releváns vérzés </w:t>
            </w:r>
          </w:p>
        </w:tc>
        <w:tc>
          <w:tcPr>
            <w:tcW w:w="2242" w:type="dxa"/>
            <w:tcBorders>
              <w:top w:val="single" w:sz="4" w:space="0" w:color="000000"/>
              <w:left w:val="single" w:sz="4" w:space="0" w:color="000000"/>
              <w:bottom w:val="single" w:sz="4" w:space="0" w:color="000000"/>
              <w:right w:val="single" w:sz="4" w:space="0" w:color="000000"/>
            </w:tcBorders>
          </w:tcPr>
          <w:p w14:paraId="1B3D15EC" w14:textId="77777777" w:rsidR="00736F4A" w:rsidRDefault="00100640">
            <w:pPr>
              <w:spacing w:line="240" w:lineRule="auto"/>
              <w:ind w:right="37"/>
              <w:rPr>
                <w:lang w:val="hu-HU"/>
              </w:rPr>
            </w:pPr>
            <w:r>
              <w:rPr>
                <w:lang w:val="hu-HU"/>
              </w:rPr>
              <w:t>109 (4,4%)</w:t>
            </w:r>
          </w:p>
        </w:tc>
        <w:tc>
          <w:tcPr>
            <w:tcW w:w="2033" w:type="dxa"/>
            <w:tcBorders>
              <w:top w:val="single" w:sz="4" w:space="0" w:color="000000"/>
              <w:left w:val="single" w:sz="4" w:space="0" w:color="000000"/>
              <w:bottom w:val="single" w:sz="4" w:space="0" w:color="000000"/>
              <w:right w:val="single" w:sz="4" w:space="0" w:color="000000"/>
            </w:tcBorders>
          </w:tcPr>
          <w:p w14:paraId="117EB00A" w14:textId="77777777" w:rsidR="00736F4A" w:rsidRDefault="00100640">
            <w:pPr>
              <w:spacing w:line="240" w:lineRule="auto"/>
              <w:ind w:right="39"/>
              <w:rPr>
                <w:lang w:val="hu-HU"/>
              </w:rPr>
            </w:pPr>
            <w:r>
              <w:rPr>
                <w:lang w:val="hu-HU"/>
              </w:rPr>
              <w:t>189 (7,7%)</w:t>
            </w:r>
          </w:p>
        </w:tc>
        <w:tc>
          <w:tcPr>
            <w:tcW w:w="2126" w:type="dxa"/>
            <w:tcBorders>
              <w:top w:val="single" w:sz="4" w:space="0" w:color="000000"/>
              <w:left w:val="single" w:sz="4" w:space="0" w:color="000000"/>
              <w:bottom w:val="single" w:sz="4" w:space="0" w:color="000000"/>
              <w:right w:val="single" w:sz="4" w:space="0" w:color="000000"/>
            </w:tcBorders>
          </w:tcPr>
          <w:p w14:paraId="4434370A" w14:textId="77777777" w:rsidR="00736F4A" w:rsidRDefault="00100640">
            <w:pPr>
              <w:spacing w:line="240" w:lineRule="auto"/>
              <w:ind w:right="39"/>
              <w:rPr>
                <w:lang w:val="hu-HU"/>
              </w:rPr>
            </w:pPr>
            <w:r>
              <w:rPr>
                <w:lang w:val="hu-HU"/>
              </w:rPr>
              <w:t>0,56 (0,45, 0,71)</w:t>
            </w:r>
          </w:p>
        </w:tc>
      </w:tr>
      <w:tr w:rsidR="00736F4A" w14:paraId="228CDF11"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33BDD0C7" w14:textId="77777777" w:rsidR="00736F4A" w:rsidRDefault="00100640">
            <w:pPr>
              <w:spacing w:line="240" w:lineRule="auto"/>
              <w:rPr>
                <w:lang w:val="hu-HU"/>
              </w:rPr>
            </w:pPr>
            <w:r>
              <w:rPr>
                <w:lang w:val="hu-HU"/>
              </w:rPr>
              <w:t xml:space="preserve">Bármilyen vérzés </w:t>
            </w:r>
          </w:p>
        </w:tc>
        <w:tc>
          <w:tcPr>
            <w:tcW w:w="2242" w:type="dxa"/>
            <w:tcBorders>
              <w:top w:val="single" w:sz="4" w:space="0" w:color="000000"/>
              <w:left w:val="single" w:sz="4" w:space="0" w:color="000000"/>
              <w:bottom w:val="single" w:sz="4" w:space="0" w:color="000000"/>
              <w:right w:val="single" w:sz="4" w:space="0" w:color="000000"/>
            </w:tcBorders>
          </w:tcPr>
          <w:p w14:paraId="13FF2116" w14:textId="77777777" w:rsidR="00736F4A" w:rsidRDefault="00100640">
            <w:pPr>
              <w:spacing w:line="240" w:lineRule="auto"/>
              <w:ind w:right="37"/>
              <w:rPr>
                <w:lang w:val="hu-HU"/>
              </w:rPr>
            </w:pPr>
            <w:r>
              <w:rPr>
                <w:lang w:val="hu-HU"/>
              </w:rPr>
              <w:t>354 (14,4%)</w:t>
            </w:r>
          </w:p>
        </w:tc>
        <w:tc>
          <w:tcPr>
            <w:tcW w:w="2033" w:type="dxa"/>
            <w:tcBorders>
              <w:top w:val="single" w:sz="4" w:space="0" w:color="000000"/>
              <w:left w:val="single" w:sz="4" w:space="0" w:color="000000"/>
              <w:bottom w:val="single" w:sz="4" w:space="0" w:color="000000"/>
              <w:right w:val="single" w:sz="4" w:space="0" w:color="000000"/>
            </w:tcBorders>
          </w:tcPr>
          <w:p w14:paraId="3DA504B6" w14:textId="77777777" w:rsidR="00736F4A" w:rsidRDefault="00100640">
            <w:pPr>
              <w:spacing w:line="240" w:lineRule="auto"/>
              <w:ind w:right="39"/>
              <w:rPr>
                <w:lang w:val="hu-HU"/>
              </w:rPr>
            </w:pPr>
            <w:r>
              <w:rPr>
                <w:lang w:val="hu-HU"/>
              </w:rPr>
              <w:t>503 (20,4%)</w:t>
            </w:r>
          </w:p>
        </w:tc>
        <w:tc>
          <w:tcPr>
            <w:tcW w:w="2126" w:type="dxa"/>
            <w:tcBorders>
              <w:top w:val="single" w:sz="4" w:space="0" w:color="000000"/>
              <w:left w:val="single" w:sz="4" w:space="0" w:color="000000"/>
              <w:bottom w:val="single" w:sz="4" w:space="0" w:color="000000"/>
              <w:right w:val="single" w:sz="4" w:space="0" w:color="000000"/>
            </w:tcBorders>
          </w:tcPr>
          <w:p w14:paraId="7EB28B09" w14:textId="77777777" w:rsidR="00736F4A" w:rsidRDefault="00100640">
            <w:pPr>
              <w:spacing w:line="240" w:lineRule="auto"/>
              <w:ind w:right="39"/>
              <w:rPr>
                <w:lang w:val="hu-HU"/>
              </w:rPr>
            </w:pPr>
            <w:r>
              <w:rPr>
                <w:lang w:val="hu-HU"/>
              </w:rPr>
              <w:t>0,67 (0,59, 0,77)</w:t>
            </w:r>
          </w:p>
        </w:tc>
      </w:tr>
      <w:tr w:rsidR="00736F4A" w14:paraId="0DBF102A"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11566054" w14:textId="77777777" w:rsidR="00736F4A" w:rsidRDefault="00100640">
            <w:pPr>
              <w:spacing w:line="240" w:lineRule="auto"/>
              <w:ind w:left="649"/>
              <w:rPr>
                <w:lang w:val="hu-HU"/>
              </w:rPr>
            </w:pPr>
            <w:r>
              <w:rPr>
                <w:lang w:val="hu-HU"/>
              </w:rPr>
              <w:t xml:space="preserve">Bármilyen GI vérzés </w:t>
            </w:r>
          </w:p>
        </w:tc>
        <w:tc>
          <w:tcPr>
            <w:tcW w:w="2242" w:type="dxa"/>
            <w:tcBorders>
              <w:top w:val="single" w:sz="4" w:space="0" w:color="000000"/>
              <w:left w:val="single" w:sz="4" w:space="0" w:color="000000"/>
              <w:bottom w:val="single" w:sz="4" w:space="0" w:color="000000"/>
              <w:right w:val="single" w:sz="4" w:space="0" w:color="000000"/>
            </w:tcBorders>
          </w:tcPr>
          <w:p w14:paraId="39BA1F21" w14:textId="77777777" w:rsidR="00736F4A" w:rsidRDefault="00100640">
            <w:pPr>
              <w:spacing w:line="240" w:lineRule="auto"/>
              <w:ind w:right="39"/>
              <w:rPr>
                <w:lang w:val="hu-HU"/>
              </w:rPr>
            </w:pPr>
            <w:r>
              <w:rPr>
                <w:lang w:val="hu-HU"/>
              </w:rPr>
              <w:t>70 (2,9%)</w:t>
            </w:r>
          </w:p>
        </w:tc>
        <w:tc>
          <w:tcPr>
            <w:tcW w:w="2033" w:type="dxa"/>
            <w:tcBorders>
              <w:top w:val="single" w:sz="4" w:space="0" w:color="000000"/>
              <w:left w:val="single" w:sz="4" w:space="0" w:color="000000"/>
              <w:bottom w:val="single" w:sz="4" w:space="0" w:color="000000"/>
              <w:right w:val="single" w:sz="4" w:space="0" w:color="000000"/>
            </w:tcBorders>
          </w:tcPr>
          <w:p w14:paraId="3448F9B3" w14:textId="77777777" w:rsidR="00736F4A" w:rsidRDefault="00100640">
            <w:pPr>
              <w:spacing w:line="240" w:lineRule="auto"/>
              <w:ind w:right="37"/>
              <w:rPr>
                <w:lang w:val="hu-HU"/>
              </w:rPr>
            </w:pPr>
            <w:r>
              <w:rPr>
                <w:lang w:val="hu-HU"/>
              </w:rPr>
              <w:t>55 (2,2%)</w:t>
            </w:r>
          </w:p>
        </w:tc>
        <w:tc>
          <w:tcPr>
            <w:tcW w:w="2126" w:type="dxa"/>
            <w:tcBorders>
              <w:top w:val="single" w:sz="4" w:space="0" w:color="000000"/>
              <w:left w:val="single" w:sz="4" w:space="0" w:color="000000"/>
              <w:bottom w:val="single" w:sz="4" w:space="0" w:color="000000"/>
              <w:right w:val="single" w:sz="4" w:space="0" w:color="000000"/>
            </w:tcBorders>
          </w:tcPr>
          <w:p w14:paraId="6EA01128" w14:textId="77777777" w:rsidR="00736F4A" w:rsidRDefault="00100640">
            <w:pPr>
              <w:spacing w:line="240" w:lineRule="auto"/>
              <w:ind w:right="39"/>
              <w:rPr>
                <w:lang w:val="hu-HU"/>
              </w:rPr>
            </w:pPr>
            <w:r>
              <w:rPr>
                <w:lang w:val="hu-HU"/>
              </w:rPr>
              <w:t>1,27 (0,90, 1,82)</w:t>
            </w:r>
          </w:p>
        </w:tc>
      </w:tr>
    </w:tbl>
    <w:p w14:paraId="75DBCCA2" w14:textId="77777777" w:rsidR="00736F4A" w:rsidRDefault="00736F4A">
      <w:pPr>
        <w:spacing w:line="240" w:lineRule="auto"/>
        <w:rPr>
          <w:lang w:val="hu-HU"/>
        </w:rPr>
      </w:pPr>
    </w:p>
    <w:p w14:paraId="0C465798" w14:textId="77777777" w:rsidR="00736F4A" w:rsidRDefault="00100640">
      <w:pPr>
        <w:spacing w:line="240" w:lineRule="auto"/>
        <w:ind w:left="7" w:right="9"/>
      </w:pPr>
      <w:r>
        <w:t xml:space="preserve">A vérzéses eseményeket mindkét kezelés esetében a parenterális kezelés leállítását követően, a dabigatrán-etexilát, illetve a warfarin első bevételétől számolták (csak </w:t>
      </w:r>
      <w:r>
        <w:rPr>
          <w:i/>
          <w:iCs/>
        </w:rPr>
        <w:t>per os</w:t>
      </w:r>
      <w:r>
        <w:t xml:space="preserve"> kezelési periódus). Ide tartozik minden, a dabigatrán-etexilát-kezelés alatt előforduló vérzéses esemény. A warfarin-kezelés alatt előforduló összes vérzéses esemény bekerült az összesítésbe, kivéve azokat, amelyek a warfarin és parenterális kezelés átfedő periódusában jelentkeztek.</w:t>
      </w:r>
    </w:p>
    <w:p w14:paraId="019B15B3" w14:textId="77777777" w:rsidR="00736F4A" w:rsidRDefault="00736F4A">
      <w:pPr>
        <w:spacing w:line="240" w:lineRule="auto"/>
        <w:ind w:left="7" w:right="9"/>
      </w:pPr>
    </w:p>
    <w:p w14:paraId="359C1F56" w14:textId="77777777" w:rsidR="00736F4A" w:rsidRDefault="00100640">
      <w:pPr>
        <w:spacing w:line="240" w:lineRule="auto"/>
        <w:ind w:left="7" w:right="9"/>
      </w:pPr>
      <w:r>
        <w:t>A 14. táblázat a kulcsfontosságú RE-MEDY, az MVT és PE prevenciós vizsgálatban észlelt vérzéses eseményeket mutatja. A vérzéses események (mint major vagy klinikailag releváns vérzéses esemény és bármilyen vérzés) szignifikánsan alacsonyabb gyakorisággal fordultak elő a dabigatrán-etexilát-kezelés mellett, mint a warfarin esetében (névleges alfa-érték 5%).</w:t>
      </w:r>
    </w:p>
    <w:p w14:paraId="416AFFA2" w14:textId="77777777" w:rsidR="00736F4A" w:rsidRDefault="00736F4A">
      <w:pPr>
        <w:spacing w:line="240" w:lineRule="auto"/>
        <w:rPr>
          <w:lang w:val="hu-HU"/>
        </w:rPr>
      </w:pPr>
    </w:p>
    <w:p w14:paraId="40DDC38A" w14:textId="77777777" w:rsidR="00736F4A" w:rsidRDefault="00100640">
      <w:pPr>
        <w:spacing w:line="240" w:lineRule="auto"/>
        <w:rPr>
          <w:b/>
          <w:bCs/>
          <w:lang w:val="hu-HU"/>
        </w:rPr>
      </w:pPr>
      <w:r>
        <w:rPr>
          <w:b/>
          <w:bCs/>
          <w:lang w:val="hu-HU"/>
        </w:rPr>
        <w:t>14. táblázat: A RE-MEDY – MVT és PE prevenciós vizsgálatban észlelt vérzéses események.</w:t>
      </w:r>
    </w:p>
    <w:p w14:paraId="16A36F3C" w14:textId="77777777" w:rsidR="00736F4A" w:rsidRDefault="00736F4A">
      <w:pPr>
        <w:spacing w:line="240" w:lineRule="auto"/>
        <w:rPr>
          <w:lang w:val="hu-HU"/>
        </w:rPr>
      </w:pPr>
    </w:p>
    <w:tbl>
      <w:tblPr>
        <w:tblW w:w="9060" w:type="dxa"/>
        <w:tblInd w:w="17" w:type="dxa"/>
        <w:tblCellMar>
          <w:top w:w="51" w:type="dxa"/>
          <w:right w:w="88" w:type="dxa"/>
        </w:tblCellMar>
        <w:tblLook w:val="04A0" w:firstRow="1" w:lastRow="0" w:firstColumn="1" w:lastColumn="0" w:noHBand="0" w:noVBand="1"/>
      </w:tblPr>
      <w:tblGrid>
        <w:gridCol w:w="2815"/>
        <w:gridCol w:w="2201"/>
        <w:gridCol w:w="2155"/>
        <w:gridCol w:w="1889"/>
      </w:tblGrid>
      <w:tr w:rsidR="00736F4A" w14:paraId="252BE9F9" w14:textId="77777777">
        <w:trPr>
          <w:trHeight w:val="1781"/>
        </w:trPr>
        <w:tc>
          <w:tcPr>
            <w:tcW w:w="2815" w:type="dxa"/>
            <w:tcBorders>
              <w:top w:val="single" w:sz="4" w:space="0" w:color="000000"/>
              <w:left w:val="single" w:sz="4" w:space="0" w:color="000000"/>
              <w:bottom w:val="single" w:sz="4" w:space="0" w:color="000000"/>
              <w:right w:val="single" w:sz="4" w:space="0" w:color="000000"/>
            </w:tcBorders>
          </w:tcPr>
          <w:p w14:paraId="16EF0C11" w14:textId="77777777" w:rsidR="00736F4A" w:rsidRDefault="00736F4A">
            <w:pPr>
              <w:spacing w:line="240" w:lineRule="auto"/>
              <w:rPr>
                <w:lang w:val="hu-HU"/>
              </w:rPr>
            </w:pPr>
          </w:p>
        </w:tc>
        <w:tc>
          <w:tcPr>
            <w:tcW w:w="2201" w:type="dxa"/>
            <w:tcBorders>
              <w:top w:val="single" w:sz="4" w:space="0" w:color="000000"/>
              <w:left w:val="single" w:sz="4" w:space="0" w:color="000000"/>
              <w:bottom w:val="single" w:sz="4" w:space="0" w:color="000000"/>
              <w:right w:val="single" w:sz="4" w:space="0" w:color="000000"/>
            </w:tcBorders>
          </w:tcPr>
          <w:p w14:paraId="6BAEB5A6" w14:textId="77777777" w:rsidR="00736F4A" w:rsidRDefault="00100640">
            <w:pPr>
              <w:spacing w:line="240" w:lineRule="auto"/>
              <w:ind w:right="19"/>
              <w:rPr>
                <w:lang w:val="hu-HU"/>
              </w:rPr>
            </w:pPr>
            <w:r>
              <w:rPr>
                <w:lang w:val="hu-HU"/>
              </w:rPr>
              <w:t xml:space="preserve">Dabigatrán-etexilát </w:t>
            </w:r>
          </w:p>
          <w:p w14:paraId="287B9A77" w14:textId="77777777" w:rsidR="00736F4A" w:rsidRDefault="00100640">
            <w:pPr>
              <w:spacing w:line="240" w:lineRule="auto"/>
              <w:ind w:right="22"/>
              <w:rPr>
                <w:lang w:val="hu-HU"/>
              </w:rPr>
            </w:pPr>
            <w:r>
              <w:rPr>
                <w:lang w:val="hu-HU"/>
              </w:rPr>
              <w:t xml:space="preserve">naponta kétszer 150 mg </w:t>
            </w:r>
          </w:p>
        </w:tc>
        <w:tc>
          <w:tcPr>
            <w:tcW w:w="2155" w:type="dxa"/>
            <w:tcBorders>
              <w:top w:val="single" w:sz="4" w:space="0" w:color="000000"/>
              <w:left w:val="single" w:sz="4" w:space="0" w:color="000000"/>
              <w:bottom w:val="single" w:sz="4" w:space="0" w:color="000000"/>
              <w:right w:val="single" w:sz="4" w:space="0" w:color="000000"/>
            </w:tcBorders>
          </w:tcPr>
          <w:p w14:paraId="28E19622" w14:textId="77777777" w:rsidR="00736F4A" w:rsidRDefault="00100640">
            <w:pPr>
              <w:spacing w:line="240" w:lineRule="auto"/>
              <w:ind w:right="19"/>
              <w:rPr>
                <w:lang w:val="hu-HU"/>
              </w:rPr>
            </w:pPr>
            <w:r>
              <w:rPr>
                <w:lang w:val="hu-HU"/>
              </w:rPr>
              <w:t>Warfarin</w:t>
            </w:r>
          </w:p>
        </w:tc>
        <w:tc>
          <w:tcPr>
            <w:tcW w:w="1889" w:type="dxa"/>
            <w:tcBorders>
              <w:top w:val="single" w:sz="4" w:space="0" w:color="000000"/>
              <w:left w:val="single" w:sz="4" w:space="0" w:color="000000"/>
              <w:bottom w:val="single" w:sz="4" w:space="0" w:color="000000"/>
              <w:right w:val="single" w:sz="4" w:space="0" w:color="000000"/>
            </w:tcBorders>
          </w:tcPr>
          <w:p w14:paraId="71495417" w14:textId="77777777" w:rsidR="00736F4A" w:rsidRDefault="00100640">
            <w:pPr>
              <w:spacing w:line="240" w:lineRule="auto"/>
              <w:ind w:right="19"/>
              <w:rPr>
                <w:lang w:val="hu-HU"/>
              </w:rPr>
            </w:pPr>
            <w:r>
              <w:rPr>
                <w:lang w:val="hu-HU"/>
              </w:rPr>
              <w:t>Relatív hazárd (hazard ratio) a warfarinhoz képest (95%-os konfidencia intervallum)</w:t>
            </w:r>
          </w:p>
        </w:tc>
      </w:tr>
      <w:tr w:rsidR="00736F4A" w14:paraId="77D72A7A"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20BBB36D" w14:textId="77777777" w:rsidR="00736F4A" w:rsidRDefault="00100640">
            <w:pPr>
              <w:spacing w:line="240" w:lineRule="auto"/>
              <w:rPr>
                <w:lang w:val="hu-HU"/>
              </w:rPr>
            </w:pPr>
            <w:r>
              <w:rPr>
                <w:lang w:val="hu-HU"/>
              </w:rPr>
              <w:t>Kezelt betegek</w:t>
            </w:r>
          </w:p>
        </w:tc>
        <w:tc>
          <w:tcPr>
            <w:tcW w:w="2201" w:type="dxa"/>
            <w:tcBorders>
              <w:top w:val="single" w:sz="4" w:space="0" w:color="000000"/>
              <w:left w:val="single" w:sz="4" w:space="0" w:color="000000"/>
              <w:bottom w:val="single" w:sz="4" w:space="0" w:color="000000"/>
              <w:right w:val="single" w:sz="4" w:space="0" w:color="000000"/>
            </w:tcBorders>
          </w:tcPr>
          <w:p w14:paraId="5BDF1864" w14:textId="77777777" w:rsidR="00736F4A" w:rsidRDefault="00100640">
            <w:pPr>
              <w:spacing w:line="240" w:lineRule="auto"/>
              <w:ind w:right="22"/>
              <w:rPr>
                <w:lang w:val="hu-HU"/>
              </w:rPr>
            </w:pPr>
            <w:r>
              <w:rPr>
                <w:lang w:val="hu-HU"/>
              </w:rPr>
              <w:t xml:space="preserve">1430 </w:t>
            </w:r>
          </w:p>
        </w:tc>
        <w:tc>
          <w:tcPr>
            <w:tcW w:w="2155" w:type="dxa"/>
            <w:tcBorders>
              <w:top w:val="single" w:sz="4" w:space="0" w:color="000000"/>
              <w:left w:val="single" w:sz="4" w:space="0" w:color="000000"/>
              <w:bottom w:val="single" w:sz="4" w:space="0" w:color="000000"/>
              <w:right w:val="single" w:sz="4" w:space="0" w:color="000000"/>
            </w:tcBorders>
          </w:tcPr>
          <w:p w14:paraId="18B78C39" w14:textId="77777777" w:rsidR="00736F4A" w:rsidRDefault="00100640">
            <w:pPr>
              <w:spacing w:line="240" w:lineRule="auto"/>
              <w:ind w:right="20"/>
              <w:rPr>
                <w:lang w:val="hu-HU"/>
              </w:rPr>
            </w:pPr>
            <w:r>
              <w:rPr>
                <w:lang w:val="hu-HU"/>
              </w:rPr>
              <w:t xml:space="preserve">1426 </w:t>
            </w:r>
          </w:p>
        </w:tc>
        <w:tc>
          <w:tcPr>
            <w:tcW w:w="1889" w:type="dxa"/>
            <w:tcBorders>
              <w:top w:val="single" w:sz="4" w:space="0" w:color="000000"/>
              <w:left w:val="single" w:sz="4" w:space="0" w:color="000000"/>
              <w:bottom w:val="single" w:sz="4" w:space="0" w:color="000000"/>
              <w:right w:val="single" w:sz="4" w:space="0" w:color="000000"/>
            </w:tcBorders>
          </w:tcPr>
          <w:p w14:paraId="548B1CA8" w14:textId="77777777" w:rsidR="00736F4A" w:rsidRDefault="00736F4A">
            <w:pPr>
              <w:spacing w:line="240" w:lineRule="auto"/>
              <w:rPr>
                <w:lang w:val="hu-HU"/>
              </w:rPr>
            </w:pPr>
          </w:p>
        </w:tc>
      </w:tr>
      <w:tr w:rsidR="00736F4A" w14:paraId="655F2C56"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1485752C" w14:textId="77777777" w:rsidR="00736F4A" w:rsidRDefault="00100640">
            <w:pPr>
              <w:spacing w:line="240" w:lineRule="auto"/>
              <w:rPr>
                <w:lang w:val="hu-HU"/>
              </w:rPr>
            </w:pPr>
            <w:r>
              <w:rPr>
                <w:lang w:val="hu-HU"/>
              </w:rPr>
              <w:t>Major vérzéses esemény</w:t>
            </w:r>
          </w:p>
        </w:tc>
        <w:tc>
          <w:tcPr>
            <w:tcW w:w="2201" w:type="dxa"/>
            <w:tcBorders>
              <w:top w:val="single" w:sz="4" w:space="0" w:color="000000"/>
              <w:left w:val="single" w:sz="4" w:space="0" w:color="000000"/>
              <w:bottom w:val="single" w:sz="4" w:space="0" w:color="000000"/>
              <w:right w:val="single" w:sz="4" w:space="0" w:color="000000"/>
            </w:tcBorders>
          </w:tcPr>
          <w:p w14:paraId="5EECCD5C" w14:textId="77777777" w:rsidR="00736F4A" w:rsidRDefault="00100640">
            <w:pPr>
              <w:spacing w:line="240" w:lineRule="auto"/>
              <w:ind w:right="18"/>
              <w:rPr>
                <w:lang w:val="hu-HU"/>
              </w:rPr>
            </w:pPr>
            <w:r>
              <w:rPr>
                <w:lang w:val="hu-HU"/>
              </w:rPr>
              <w:t>13 (0,9%)</w:t>
            </w:r>
          </w:p>
        </w:tc>
        <w:tc>
          <w:tcPr>
            <w:tcW w:w="2155" w:type="dxa"/>
            <w:tcBorders>
              <w:top w:val="single" w:sz="4" w:space="0" w:color="000000"/>
              <w:left w:val="single" w:sz="4" w:space="0" w:color="000000"/>
              <w:bottom w:val="single" w:sz="4" w:space="0" w:color="000000"/>
              <w:right w:val="single" w:sz="4" w:space="0" w:color="000000"/>
            </w:tcBorders>
          </w:tcPr>
          <w:p w14:paraId="3D8F1AFD" w14:textId="77777777" w:rsidR="00736F4A" w:rsidRDefault="00100640">
            <w:pPr>
              <w:spacing w:line="240" w:lineRule="auto"/>
              <w:ind w:right="20"/>
              <w:rPr>
                <w:lang w:val="hu-HU"/>
              </w:rPr>
            </w:pPr>
            <w:r>
              <w:rPr>
                <w:lang w:val="hu-HU"/>
              </w:rPr>
              <w:t>25 (1,8%)</w:t>
            </w:r>
          </w:p>
        </w:tc>
        <w:tc>
          <w:tcPr>
            <w:tcW w:w="1889" w:type="dxa"/>
            <w:tcBorders>
              <w:top w:val="single" w:sz="4" w:space="0" w:color="000000"/>
              <w:left w:val="single" w:sz="4" w:space="0" w:color="000000"/>
              <w:bottom w:val="single" w:sz="4" w:space="0" w:color="000000"/>
              <w:right w:val="single" w:sz="4" w:space="0" w:color="000000"/>
            </w:tcBorders>
          </w:tcPr>
          <w:p w14:paraId="360B2A36" w14:textId="77777777" w:rsidR="00736F4A" w:rsidRDefault="00100640">
            <w:pPr>
              <w:spacing w:line="240" w:lineRule="auto"/>
              <w:ind w:right="18"/>
              <w:rPr>
                <w:lang w:val="hu-HU"/>
              </w:rPr>
            </w:pPr>
            <w:r>
              <w:rPr>
                <w:lang w:val="hu-HU"/>
              </w:rPr>
              <w:t>0,54 (0,25, 1,16)</w:t>
            </w:r>
          </w:p>
        </w:tc>
      </w:tr>
      <w:tr w:rsidR="00736F4A" w14:paraId="70DE9014" w14:textId="77777777">
        <w:trPr>
          <w:trHeight w:val="262"/>
        </w:trPr>
        <w:tc>
          <w:tcPr>
            <w:tcW w:w="2815" w:type="dxa"/>
            <w:tcBorders>
              <w:top w:val="single" w:sz="4" w:space="0" w:color="000000"/>
              <w:left w:val="single" w:sz="4" w:space="0" w:color="000000"/>
              <w:bottom w:val="single" w:sz="4" w:space="0" w:color="000000"/>
              <w:right w:val="single" w:sz="4" w:space="0" w:color="000000"/>
            </w:tcBorders>
          </w:tcPr>
          <w:p w14:paraId="0F34CD77" w14:textId="77777777" w:rsidR="00736F4A" w:rsidRDefault="00100640">
            <w:pPr>
              <w:spacing w:line="240" w:lineRule="auto"/>
              <w:ind w:left="708"/>
              <w:rPr>
                <w:lang w:val="hu-HU"/>
              </w:rPr>
            </w:pPr>
            <w:r>
              <w:rPr>
                <w:lang w:val="hu-HU"/>
              </w:rPr>
              <w:t>Intracranialis vérzés</w:t>
            </w:r>
          </w:p>
        </w:tc>
        <w:tc>
          <w:tcPr>
            <w:tcW w:w="2201" w:type="dxa"/>
            <w:tcBorders>
              <w:top w:val="single" w:sz="4" w:space="0" w:color="000000"/>
              <w:left w:val="single" w:sz="4" w:space="0" w:color="000000"/>
              <w:bottom w:val="single" w:sz="4" w:space="0" w:color="000000"/>
              <w:right w:val="single" w:sz="4" w:space="0" w:color="000000"/>
            </w:tcBorders>
          </w:tcPr>
          <w:p w14:paraId="77BB091F" w14:textId="77777777" w:rsidR="00736F4A" w:rsidRDefault="00100640">
            <w:pPr>
              <w:spacing w:line="240" w:lineRule="auto"/>
              <w:ind w:right="18"/>
              <w:rPr>
                <w:lang w:val="hu-HU"/>
              </w:rPr>
            </w:pPr>
            <w:r>
              <w:rPr>
                <w:lang w:val="hu-HU"/>
              </w:rPr>
              <w:t>2 (0,1%)</w:t>
            </w:r>
          </w:p>
        </w:tc>
        <w:tc>
          <w:tcPr>
            <w:tcW w:w="2155" w:type="dxa"/>
            <w:tcBorders>
              <w:top w:val="single" w:sz="4" w:space="0" w:color="000000"/>
              <w:left w:val="single" w:sz="4" w:space="0" w:color="000000"/>
              <w:bottom w:val="single" w:sz="4" w:space="0" w:color="000000"/>
              <w:right w:val="single" w:sz="4" w:space="0" w:color="000000"/>
            </w:tcBorders>
          </w:tcPr>
          <w:p w14:paraId="5D59E19F" w14:textId="77777777" w:rsidR="00736F4A" w:rsidRDefault="00100640">
            <w:pPr>
              <w:spacing w:line="240" w:lineRule="auto"/>
              <w:ind w:right="20"/>
              <w:rPr>
                <w:lang w:val="hu-HU"/>
              </w:rPr>
            </w:pPr>
            <w:r>
              <w:rPr>
                <w:lang w:val="hu-HU"/>
              </w:rPr>
              <w:t>4 (0,3%)</w:t>
            </w:r>
          </w:p>
        </w:tc>
        <w:tc>
          <w:tcPr>
            <w:tcW w:w="1889" w:type="dxa"/>
            <w:tcBorders>
              <w:top w:val="single" w:sz="4" w:space="0" w:color="000000"/>
              <w:left w:val="single" w:sz="4" w:space="0" w:color="000000"/>
              <w:bottom w:val="single" w:sz="4" w:space="0" w:color="000000"/>
              <w:right w:val="single" w:sz="4" w:space="0" w:color="000000"/>
            </w:tcBorders>
          </w:tcPr>
          <w:p w14:paraId="5C31783C" w14:textId="77777777" w:rsidR="00736F4A" w:rsidRDefault="00100640">
            <w:pPr>
              <w:spacing w:line="240" w:lineRule="auto"/>
              <w:ind w:left="36"/>
              <w:rPr>
                <w:lang w:val="hu-HU"/>
              </w:rPr>
            </w:pPr>
            <w:r>
              <w:rPr>
                <w:lang w:val="hu-HU"/>
              </w:rPr>
              <w:t>Nem számítható *</w:t>
            </w:r>
          </w:p>
        </w:tc>
      </w:tr>
      <w:tr w:rsidR="00736F4A" w14:paraId="71527D99"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254A39E4" w14:textId="77777777" w:rsidR="00736F4A" w:rsidRDefault="00100640">
            <w:pPr>
              <w:spacing w:line="240" w:lineRule="auto"/>
              <w:ind w:left="708"/>
              <w:rPr>
                <w:lang w:val="hu-HU"/>
              </w:rPr>
            </w:pPr>
            <w:r>
              <w:rPr>
                <w:lang w:val="hu-HU"/>
              </w:rPr>
              <w:t>Major GI vérzés</w:t>
            </w:r>
          </w:p>
        </w:tc>
        <w:tc>
          <w:tcPr>
            <w:tcW w:w="2201" w:type="dxa"/>
            <w:tcBorders>
              <w:top w:val="single" w:sz="4" w:space="0" w:color="000000"/>
              <w:left w:val="single" w:sz="4" w:space="0" w:color="000000"/>
              <w:bottom w:val="single" w:sz="4" w:space="0" w:color="000000"/>
              <w:right w:val="single" w:sz="4" w:space="0" w:color="000000"/>
            </w:tcBorders>
          </w:tcPr>
          <w:p w14:paraId="2B9BA597" w14:textId="77777777" w:rsidR="00736F4A" w:rsidRDefault="00100640">
            <w:pPr>
              <w:spacing w:line="240" w:lineRule="auto"/>
              <w:ind w:right="18"/>
              <w:rPr>
                <w:lang w:val="hu-HU"/>
              </w:rPr>
            </w:pPr>
            <w:r>
              <w:rPr>
                <w:lang w:val="hu-HU"/>
              </w:rPr>
              <w:t>4 (0,3%)</w:t>
            </w:r>
          </w:p>
        </w:tc>
        <w:tc>
          <w:tcPr>
            <w:tcW w:w="2155" w:type="dxa"/>
            <w:tcBorders>
              <w:top w:val="single" w:sz="4" w:space="0" w:color="000000"/>
              <w:left w:val="single" w:sz="4" w:space="0" w:color="000000"/>
              <w:bottom w:val="single" w:sz="4" w:space="0" w:color="000000"/>
              <w:right w:val="single" w:sz="4" w:space="0" w:color="000000"/>
            </w:tcBorders>
          </w:tcPr>
          <w:p w14:paraId="0D2C4975" w14:textId="77777777" w:rsidR="00736F4A" w:rsidRDefault="00100640">
            <w:pPr>
              <w:spacing w:line="240" w:lineRule="auto"/>
              <w:ind w:right="20"/>
              <w:rPr>
                <w:lang w:val="hu-HU"/>
              </w:rPr>
            </w:pPr>
            <w:r>
              <w:rPr>
                <w:lang w:val="hu-HU"/>
              </w:rPr>
              <w:t>8 (0,5%)</w:t>
            </w:r>
          </w:p>
        </w:tc>
        <w:tc>
          <w:tcPr>
            <w:tcW w:w="1889" w:type="dxa"/>
            <w:tcBorders>
              <w:top w:val="single" w:sz="4" w:space="0" w:color="000000"/>
              <w:left w:val="single" w:sz="4" w:space="0" w:color="000000"/>
              <w:bottom w:val="single" w:sz="4" w:space="0" w:color="000000"/>
              <w:right w:val="single" w:sz="4" w:space="0" w:color="000000"/>
            </w:tcBorders>
          </w:tcPr>
          <w:p w14:paraId="770AB86F" w14:textId="77777777" w:rsidR="00736F4A" w:rsidRDefault="00100640">
            <w:pPr>
              <w:spacing w:line="240" w:lineRule="auto"/>
              <w:ind w:left="34"/>
              <w:rPr>
                <w:lang w:val="hu-HU"/>
              </w:rPr>
            </w:pPr>
            <w:r>
              <w:rPr>
                <w:lang w:val="hu-HU"/>
              </w:rPr>
              <w:t xml:space="preserve">Nem számítható * </w:t>
            </w:r>
          </w:p>
        </w:tc>
      </w:tr>
      <w:tr w:rsidR="00736F4A" w14:paraId="03274F19"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04A9396B" w14:textId="77777777" w:rsidR="00736F4A" w:rsidRDefault="00100640">
            <w:pPr>
              <w:spacing w:line="240" w:lineRule="auto"/>
              <w:ind w:left="708"/>
              <w:rPr>
                <w:lang w:val="hu-HU"/>
              </w:rPr>
            </w:pPr>
            <w:r>
              <w:rPr>
                <w:lang w:val="hu-HU"/>
              </w:rPr>
              <w:t>Életet veszélyeztető vérzés</w:t>
            </w:r>
          </w:p>
        </w:tc>
        <w:tc>
          <w:tcPr>
            <w:tcW w:w="2201" w:type="dxa"/>
            <w:tcBorders>
              <w:top w:val="single" w:sz="4" w:space="0" w:color="000000"/>
              <w:left w:val="single" w:sz="4" w:space="0" w:color="000000"/>
              <w:bottom w:val="single" w:sz="4" w:space="0" w:color="000000"/>
              <w:right w:val="single" w:sz="4" w:space="0" w:color="000000"/>
            </w:tcBorders>
          </w:tcPr>
          <w:p w14:paraId="6B0C6176" w14:textId="77777777" w:rsidR="00736F4A" w:rsidRDefault="00100640">
            <w:pPr>
              <w:spacing w:line="240" w:lineRule="auto"/>
              <w:ind w:right="18"/>
              <w:rPr>
                <w:lang w:val="hu-HU"/>
              </w:rPr>
            </w:pPr>
            <w:r>
              <w:rPr>
                <w:lang w:val="hu-HU"/>
              </w:rPr>
              <w:t>1 (0,1%)</w:t>
            </w:r>
          </w:p>
        </w:tc>
        <w:tc>
          <w:tcPr>
            <w:tcW w:w="2155" w:type="dxa"/>
            <w:tcBorders>
              <w:top w:val="single" w:sz="4" w:space="0" w:color="000000"/>
              <w:left w:val="single" w:sz="4" w:space="0" w:color="000000"/>
              <w:bottom w:val="single" w:sz="4" w:space="0" w:color="000000"/>
              <w:right w:val="single" w:sz="4" w:space="0" w:color="000000"/>
            </w:tcBorders>
          </w:tcPr>
          <w:p w14:paraId="5503D06C" w14:textId="77777777" w:rsidR="00736F4A" w:rsidRDefault="00100640">
            <w:pPr>
              <w:spacing w:line="240" w:lineRule="auto"/>
              <w:ind w:right="20"/>
              <w:rPr>
                <w:lang w:val="hu-HU"/>
              </w:rPr>
            </w:pPr>
            <w:r>
              <w:rPr>
                <w:lang w:val="hu-HU"/>
              </w:rPr>
              <w:t>3 (0,2%)</w:t>
            </w:r>
          </w:p>
        </w:tc>
        <w:tc>
          <w:tcPr>
            <w:tcW w:w="1889" w:type="dxa"/>
            <w:tcBorders>
              <w:top w:val="single" w:sz="4" w:space="0" w:color="000000"/>
              <w:left w:val="single" w:sz="4" w:space="0" w:color="000000"/>
              <w:bottom w:val="single" w:sz="4" w:space="0" w:color="000000"/>
              <w:right w:val="single" w:sz="4" w:space="0" w:color="000000"/>
            </w:tcBorders>
          </w:tcPr>
          <w:p w14:paraId="0E5F9016" w14:textId="77777777" w:rsidR="00736F4A" w:rsidRDefault="00100640">
            <w:pPr>
              <w:spacing w:line="240" w:lineRule="auto"/>
              <w:ind w:left="36"/>
              <w:rPr>
                <w:lang w:val="hu-HU"/>
              </w:rPr>
            </w:pPr>
            <w:r>
              <w:rPr>
                <w:lang w:val="hu-HU"/>
              </w:rPr>
              <w:t>Nem számítható *</w:t>
            </w:r>
          </w:p>
        </w:tc>
      </w:tr>
      <w:tr w:rsidR="00736F4A" w14:paraId="61AFB871"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161220EA" w14:textId="77777777" w:rsidR="00736F4A" w:rsidRDefault="00100640">
            <w:pPr>
              <w:spacing w:line="240" w:lineRule="auto"/>
              <w:rPr>
                <w:lang w:val="hu-HU"/>
              </w:rPr>
            </w:pPr>
            <w:r>
              <w:rPr>
                <w:lang w:val="hu-HU"/>
              </w:rPr>
              <w:t xml:space="preserve">Major vérzéses esemény </w:t>
            </w:r>
          </w:p>
          <w:p w14:paraId="508578A4" w14:textId="77777777" w:rsidR="00736F4A" w:rsidRDefault="00100640">
            <w:pPr>
              <w:spacing w:line="240" w:lineRule="auto"/>
              <w:rPr>
                <w:lang w:val="hu-HU"/>
              </w:rPr>
            </w:pPr>
            <w:r>
              <w:rPr>
                <w:lang w:val="hu-HU"/>
              </w:rPr>
              <w:t xml:space="preserve">/klinikailag releváns vérzés </w:t>
            </w:r>
          </w:p>
        </w:tc>
        <w:tc>
          <w:tcPr>
            <w:tcW w:w="2201" w:type="dxa"/>
            <w:tcBorders>
              <w:top w:val="single" w:sz="4" w:space="0" w:color="000000"/>
              <w:left w:val="single" w:sz="4" w:space="0" w:color="000000"/>
              <w:bottom w:val="single" w:sz="4" w:space="0" w:color="000000"/>
              <w:right w:val="single" w:sz="4" w:space="0" w:color="000000"/>
            </w:tcBorders>
          </w:tcPr>
          <w:p w14:paraId="2B720EEF" w14:textId="77777777" w:rsidR="00736F4A" w:rsidRDefault="00100640">
            <w:pPr>
              <w:spacing w:line="240" w:lineRule="auto"/>
              <w:ind w:right="18"/>
              <w:rPr>
                <w:lang w:val="hu-HU"/>
              </w:rPr>
            </w:pPr>
            <w:r>
              <w:rPr>
                <w:lang w:val="hu-HU"/>
              </w:rPr>
              <w:t>80 (5,6%)</w:t>
            </w:r>
          </w:p>
        </w:tc>
        <w:tc>
          <w:tcPr>
            <w:tcW w:w="2155" w:type="dxa"/>
            <w:tcBorders>
              <w:top w:val="single" w:sz="4" w:space="0" w:color="000000"/>
              <w:left w:val="single" w:sz="4" w:space="0" w:color="000000"/>
              <w:bottom w:val="single" w:sz="4" w:space="0" w:color="000000"/>
              <w:right w:val="single" w:sz="4" w:space="0" w:color="000000"/>
            </w:tcBorders>
          </w:tcPr>
          <w:p w14:paraId="51B3BB1E" w14:textId="77777777" w:rsidR="00736F4A" w:rsidRDefault="00100640">
            <w:pPr>
              <w:spacing w:line="240" w:lineRule="auto"/>
              <w:ind w:right="18"/>
              <w:rPr>
                <w:lang w:val="hu-HU"/>
              </w:rPr>
            </w:pPr>
            <w:r>
              <w:rPr>
                <w:lang w:val="hu-HU"/>
              </w:rPr>
              <w:t>145 (10,2%)</w:t>
            </w:r>
          </w:p>
        </w:tc>
        <w:tc>
          <w:tcPr>
            <w:tcW w:w="1889" w:type="dxa"/>
            <w:tcBorders>
              <w:top w:val="single" w:sz="4" w:space="0" w:color="000000"/>
              <w:left w:val="single" w:sz="4" w:space="0" w:color="000000"/>
              <w:bottom w:val="single" w:sz="4" w:space="0" w:color="000000"/>
              <w:right w:val="single" w:sz="4" w:space="0" w:color="000000"/>
            </w:tcBorders>
          </w:tcPr>
          <w:p w14:paraId="771E54FF" w14:textId="77777777" w:rsidR="00736F4A" w:rsidRDefault="00100640">
            <w:pPr>
              <w:spacing w:line="240" w:lineRule="auto"/>
              <w:ind w:right="18"/>
              <w:rPr>
                <w:lang w:val="hu-HU"/>
              </w:rPr>
            </w:pPr>
            <w:r>
              <w:rPr>
                <w:lang w:val="hu-HU"/>
              </w:rPr>
              <w:t>0,55 (0,41, 0,72)</w:t>
            </w:r>
          </w:p>
        </w:tc>
      </w:tr>
      <w:tr w:rsidR="00736F4A" w14:paraId="693C4C69"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2D439FFE" w14:textId="77777777" w:rsidR="00736F4A" w:rsidRDefault="00100640">
            <w:pPr>
              <w:spacing w:line="240" w:lineRule="auto"/>
              <w:rPr>
                <w:lang w:val="hu-HU"/>
              </w:rPr>
            </w:pPr>
            <w:r>
              <w:rPr>
                <w:lang w:val="hu-HU"/>
              </w:rPr>
              <w:t xml:space="preserve">Bármilyen vérzés </w:t>
            </w:r>
          </w:p>
        </w:tc>
        <w:tc>
          <w:tcPr>
            <w:tcW w:w="2201" w:type="dxa"/>
            <w:tcBorders>
              <w:top w:val="single" w:sz="4" w:space="0" w:color="000000"/>
              <w:left w:val="single" w:sz="4" w:space="0" w:color="000000"/>
              <w:bottom w:val="single" w:sz="4" w:space="0" w:color="000000"/>
              <w:right w:val="single" w:sz="4" w:space="0" w:color="000000"/>
            </w:tcBorders>
          </w:tcPr>
          <w:p w14:paraId="165D9E0E" w14:textId="77777777" w:rsidR="00736F4A" w:rsidRDefault="00100640">
            <w:pPr>
              <w:spacing w:line="240" w:lineRule="auto"/>
              <w:ind w:right="20"/>
              <w:rPr>
                <w:lang w:val="hu-HU"/>
              </w:rPr>
            </w:pPr>
            <w:r>
              <w:rPr>
                <w:lang w:val="hu-HU"/>
              </w:rPr>
              <w:t>278 (19,4%)</w:t>
            </w:r>
          </w:p>
        </w:tc>
        <w:tc>
          <w:tcPr>
            <w:tcW w:w="2155" w:type="dxa"/>
            <w:tcBorders>
              <w:top w:val="single" w:sz="4" w:space="0" w:color="000000"/>
              <w:left w:val="single" w:sz="4" w:space="0" w:color="000000"/>
              <w:bottom w:val="single" w:sz="4" w:space="0" w:color="000000"/>
              <w:right w:val="single" w:sz="4" w:space="0" w:color="000000"/>
            </w:tcBorders>
          </w:tcPr>
          <w:p w14:paraId="20853D34" w14:textId="77777777" w:rsidR="00736F4A" w:rsidRDefault="00100640">
            <w:pPr>
              <w:spacing w:line="240" w:lineRule="auto"/>
              <w:ind w:right="18"/>
              <w:rPr>
                <w:lang w:val="hu-HU"/>
              </w:rPr>
            </w:pPr>
            <w:r>
              <w:rPr>
                <w:lang w:val="hu-HU"/>
              </w:rPr>
              <w:t>373 (26,2%)</w:t>
            </w:r>
          </w:p>
        </w:tc>
        <w:tc>
          <w:tcPr>
            <w:tcW w:w="1889" w:type="dxa"/>
            <w:tcBorders>
              <w:top w:val="single" w:sz="4" w:space="0" w:color="000000"/>
              <w:left w:val="single" w:sz="4" w:space="0" w:color="000000"/>
              <w:bottom w:val="single" w:sz="4" w:space="0" w:color="000000"/>
              <w:right w:val="single" w:sz="4" w:space="0" w:color="000000"/>
            </w:tcBorders>
          </w:tcPr>
          <w:p w14:paraId="3289BD9F" w14:textId="77777777" w:rsidR="00736F4A" w:rsidRDefault="00100640">
            <w:pPr>
              <w:spacing w:line="240" w:lineRule="auto"/>
              <w:ind w:right="18"/>
              <w:rPr>
                <w:lang w:val="hu-HU"/>
              </w:rPr>
            </w:pPr>
            <w:r>
              <w:rPr>
                <w:lang w:val="hu-HU"/>
              </w:rPr>
              <w:t>0,71 (0,61, 0,83)</w:t>
            </w:r>
          </w:p>
        </w:tc>
      </w:tr>
      <w:tr w:rsidR="00736F4A" w14:paraId="1A29AE4D" w14:textId="77777777">
        <w:trPr>
          <w:trHeight w:val="269"/>
        </w:trPr>
        <w:tc>
          <w:tcPr>
            <w:tcW w:w="2815" w:type="dxa"/>
            <w:tcBorders>
              <w:top w:val="single" w:sz="4" w:space="0" w:color="000000"/>
              <w:left w:val="single" w:sz="4" w:space="0" w:color="000000"/>
              <w:bottom w:val="single" w:sz="4" w:space="0" w:color="000000"/>
              <w:right w:val="single" w:sz="4" w:space="0" w:color="000000"/>
            </w:tcBorders>
          </w:tcPr>
          <w:p w14:paraId="494C3535" w14:textId="77777777" w:rsidR="00736F4A" w:rsidRDefault="00100640">
            <w:pPr>
              <w:spacing w:line="240" w:lineRule="auto"/>
              <w:ind w:left="566"/>
              <w:rPr>
                <w:lang w:val="hu-HU"/>
              </w:rPr>
            </w:pPr>
            <w:r>
              <w:rPr>
                <w:lang w:val="hu-HU"/>
              </w:rPr>
              <w:t>Bármilyen GI vérzés</w:t>
            </w:r>
          </w:p>
        </w:tc>
        <w:tc>
          <w:tcPr>
            <w:tcW w:w="2201" w:type="dxa"/>
            <w:tcBorders>
              <w:top w:val="single" w:sz="4" w:space="0" w:color="000000"/>
              <w:left w:val="single" w:sz="4" w:space="0" w:color="000000"/>
              <w:bottom w:val="single" w:sz="4" w:space="0" w:color="000000"/>
              <w:right w:val="single" w:sz="4" w:space="0" w:color="000000"/>
            </w:tcBorders>
          </w:tcPr>
          <w:p w14:paraId="0BA1FCA9" w14:textId="77777777" w:rsidR="00736F4A" w:rsidRDefault="00100640">
            <w:pPr>
              <w:spacing w:line="240" w:lineRule="auto"/>
              <w:ind w:right="18"/>
              <w:rPr>
                <w:lang w:val="hu-HU"/>
              </w:rPr>
            </w:pPr>
            <w:r>
              <w:rPr>
                <w:lang w:val="hu-HU"/>
              </w:rPr>
              <w:t>45 (3,1%)</w:t>
            </w:r>
          </w:p>
        </w:tc>
        <w:tc>
          <w:tcPr>
            <w:tcW w:w="2155" w:type="dxa"/>
            <w:tcBorders>
              <w:top w:val="single" w:sz="4" w:space="0" w:color="000000"/>
              <w:left w:val="single" w:sz="4" w:space="0" w:color="000000"/>
              <w:bottom w:val="single" w:sz="4" w:space="0" w:color="000000"/>
              <w:right w:val="single" w:sz="4" w:space="0" w:color="000000"/>
            </w:tcBorders>
          </w:tcPr>
          <w:p w14:paraId="6066A108" w14:textId="77777777" w:rsidR="00736F4A" w:rsidRDefault="00100640">
            <w:pPr>
              <w:spacing w:line="240" w:lineRule="auto"/>
              <w:ind w:left="37"/>
              <w:rPr>
                <w:lang w:val="hu-HU"/>
              </w:rPr>
            </w:pPr>
            <w:r>
              <w:rPr>
                <w:lang w:val="hu-HU"/>
              </w:rPr>
              <w:t>32 (2,2%)</w:t>
            </w:r>
          </w:p>
        </w:tc>
        <w:tc>
          <w:tcPr>
            <w:tcW w:w="1889" w:type="dxa"/>
            <w:tcBorders>
              <w:top w:val="single" w:sz="4" w:space="0" w:color="000000"/>
              <w:left w:val="single" w:sz="4" w:space="0" w:color="000000"/>
              <w:bottom w:val="single" w:sz="4" w:space="0" w:color="000000"/>
              <w:right w:val="single" w:sz="4" w:space="0" w:color="000000"/>
            </w:tcBorders>
          </w:tcPr>
          <w:p w14:paraId="5C3C8E3D" w14:textId="77777777" w:rsidR="00736F4A" w:rsidRDefault="00100640">
            <w:pPr>
              <w:spacing w:line="240" w:lineRule="auto"/>
              <w:ind w:right="18"/>
              <w:rPr>
                <w:lang w:val="hu-HU"/>
              </w:rPr>
            </w:pPr>
            <w:r>
              <w:rPr>
                <w:lang w:val="hu-HU"/>
              </w:rPr>
              <w:t>1,39 (0,87, 2,20)</w:t>
            </w:r>
          </w:p>
        </w:tc>
      </w:tr>
    </w:tbl>
    <w:p w14:paraId="4C108847" w14:textId="77777777" w:rsidR="00736F4A" w:rsidRDefault="00100640">
      <w:pPr>
        <w:spacing w:line="240" w:lineRule="auto"/>
        <w:ind w:left="7" w:right="9"/>
      </w:pPr>
      <w:r>
        <w:t xml:space="preserve">*A relatív hazárd nem becsülhető meg, mert valamelyik csoportban/kezelésnél nem volt esemény </w:t>
      </w:r>
    </w:p>
    <w:p w14:paraId="3148F07F" w14:textId="77777777" w:rsidR="00736F4A" w:rsidRDefault="00736F4A">
      <w:pPr>
        <w:spacing w:line="240" w:lineRule="auto"/>
        <w:rPr>
          <w:lang w:val="hu-HU"/>
        </w:rPr>
      </w:pPr>
    </w:p>
    <w:p w14:paraId="563F16C5" w14:textId="77777777" w:rsidR="00736F4A" w:rsidRDefault="00100640">
      <w:pPr>
        <w:spacing w:line="240" w:lineRule="auto"/>
        <w:ind w:left="7" w:right="9"/>
      </w:pPr>
      <w:r>
        <w:t>A 15. táblázat az MVT és PE prevencióját vizsgáló kulcsfontosságú RE-SONATE vizsgálatban észlelt vérzéses eseményeket mutatja. A major vagy klinikailag releváns vérzéses esemény és bármilyen vérzés szignifikánsan alacsonyabb gyakorisággal fordultak elő a placebo esetén, mint a dabigatrán-etexilát-kezelés mellett (névleges alfa-érték 5%).</w:t>
      </w:r>
    </w:p>
    <w:p w14:paraId="4D596D37" w14:textId="77777777" w:rsidR="00736F4A" w:rsidRDefault="00736F4A">
      <w:pPr>
        <w:spacing w:line="240" w:lineRule="auto"/>
        <w:rPr>
          <w:lang w:val="hu-HU"/>
        </w:rPr>
      </w:pPr>
    </w:p>
    <w:p w14:paraId="7ABFB529" w14:textId="77777777" w:rsidR="00736F4A" w:rsidRDefault="00100640">
      <w:pPr>
        <w:tabs>
          <w:tab w:val="right" w:pos="9084"/>
        </w:tabs>
        <w:spacing w:line="240" w:lineRule="auto"/>
        <w:ind w:left="-3"/>
        <w:rPr>
          <w:b/>
        </w:rPr>
      </w:pPr>
      <w:r>
        <w:rPr>
          <w:b/>
        </w:rPr>
        <w:t>15. táblázat. A RE-SONATE – MVT és PE prevenciós vizsgálatban észlelt vérzéses események</w:t>
      </w:r>
    </w:p>
    <w:p w14:paraId="2795F276" w14:textId="77777777" w:rsidR="00736F4A" w:rsidRDefault="00736F4A">
      <w:pPr>
        <w:spacing w:line="240" w:lineRule="auto"/>
        <w:rPr>
          <w:lang w:val="hu-HU"/>
        </w:rPr>
      </w:pPr>
    </w:p>
    <w:tbl>
      <w:tblPr>
        <w:tblW w:w="9060" w:type="dxa"/>
        <w:tblInd w:w="17" w:type="dxa"/>
        <w:tblCellMar>
          <w:top w:w="51" w:type="dxa"/>
          <w:right w:w="115" w:type="dxa"/>
        </w:tblCellMar>
        <w:tblLook w:val="04A0" w:firstRow="1" w:lastRow="0" w:firstColumn="1" w:lastColumn="0" w:noHBand="0" w:noVBand="1"/>
      </w:tblPr>
      <w:tblGrid>
        <w:gridCol w:w="2813"/>
        <w:gridCol w:w="2203"/>
        <w:gridCol w:w="2146"/>
        <w:gridCol w:w="1898"/>
      </w:tblGrid>
      <w:tr w:rsidR="00736F4A" w14:paraId="0706BC9E" w14:textId="77777777">
        <w:trPr>
          <w:trHeight w:val="1274"/>
        </w:trPr>
        <w:tc>
          <w:tcPr>
            <w:tcW w:w="2813" w:type="dxa"/>
            <w:tcBorders>
              <w:top w:val="single" w:sz="4" w:space="0" w:color="000000"/>
              <w:left w:val="single" w:sz="4" w:space="0" w:color="000000"/>
              <w:bottom w:val="single" w:sz="4" w:space="0" w:color="000000"/>
              <w:right w:val="single" w:sz="4" w:space="0" w:color="000000"/>
            </w:tcBorders>
          </w:tcPr>
          <w:p w14:paraId="3E83696A" w14:textId="77777777" w:rsidR="00736F4A" w:rsidRDefault="00736F4A">
            <w:pPr>
              <w:spacing w:line="240" w:lineRule="auto"/>
              <w:rPr>
                <w:lang w:val="hu-HU"/>
              </w:rPr>
            </w:pPr>
          </w:p>
        </w:tc>
        <w:tc>
          <w:tcPr>
            <w:tcW w:w="2203" w:type="dxa"/>
            <w:tcBorders>
              <w:top w:val="single" w:sz="4" w:space="0" w:color="000000"/>
              <w:left w:val="single" w:sz="4" w:space="0" w:color="000000"/>
              <w:bottom w:val="single" w:sz="4" w:space="0" w:color="000000"/>
              <w:right w:val="single" w:sz="4" w:space="0" w:color="000000"/>
            </w:tcBorders>
          </w:tcPr>
          <w:p w14:paraId="526FEB76" w14:textId="77777777" w:rsidR="00736F4A" w:rsidRDefault="00100640">
            <w:pPr>
              <w:spacing w:line="240" w:lineRule="auto"/>
              <w:ind w:left="9"/>
              <w:rPr>
                <w:lang w:val="hu-HU"/>
              </w:rPr>
            </w:pPr>
            <w:r>
              <w:rPr>
                <w:lang w:val="hu-HU"/>
              </w:rPr>
              <w:t>Dabigatrán-etexilát</w:t>
            </w:r>
          </w:p>
          <w:p w14:paraId="2AA8F38C" w14:textId="77777777" w:rsidR="00736F4A" w:rsidRDefault="00100640">
            <w:pPr>
              <w:spacing w:line="240" w:lineRule="auto"/>
              <w:ind w:left="8"/>
              <w:rPr>
                <w:lang w:val="hu-HU"/>
              </w:rPr>
            </w:pPr>
            <w:r>
              <w:rPr>
                <w:lang w:val="hu-HU"/>
              </w:rPr>
              <w:t>naponta kétszer</w:t>
            </w:r>
          </w:p>
          <w:p w14:paraId="2E9407FE" w14:textId="77777777" w:rsidR="00736F4A" w:rsidRDefault="00100640">
            <w:pPr>
              <w:spacing w:line="240" w:lineRule="auto"/>
              <w:ind w:left="8"/>
              <w:rPr>
                <w:lang w:val="hu-HU"/>
              </w:rPr>
            </w:pPr>
            <w:r>
              <w:rPr>
                <w:lang w:val="hu-HU"/>
              </w:rPr>
              <w:t>150 mg</w:t>
            </w:r>
          </w:p>
        </w:tc>
        <w:tc>
          <w:tcPr>
            <w:tcW w:w="2146" w:type="dxa"/>
            <w:tcBorders>
              <w:top w:val="single" w:sz="4" w:space="0" w:color="000000"/>
              <w:left w:val="single" w:sz="4" w:space="0" w:color="000000"/>
              <w:bottom w:val="single" w:sz="4" w:space="0" w:color="000000"/>
              <w:right w:val="single" w:sz="4" w:space="0" w:color="000000"/>
            </w:tcBorders>
          </w:tcPr>
          <w:p w14:paraId="000375B7" w14:textId="77777777" w:rsidR="00736F4A" w:rsidRDefault="00100640">
            <w:pPr>
              <w:spacing w:line="240" w:lineRule="auto"/>
              <w:ind w:left="10"/>
              <w:rPr>
                <w:lang w:val="hu-HU"/>
              </w:rPr>
            </w:pPr>
            <w:r>
              <w:rPr>
                <w:lang w:val="hu-HU"/>
              </w:rPr>
              <w:t>Placebo</w:t>
            </w:r>
          </w:p>
        </w:tc>
        <w:tc>
          <w:tcPr>
            <w:tcW w:w="1898" w:type="dxa"/>
            <w:tcBorders>
              <w:top w:val="single" w:sz="4" w:space="0" w:color="000000"/>
              <w:left w:val="single" w:sz="4" w:space="0" w:color="000000"/>
              <w:bottom w:val="single" w:sz="4" w:space="0" w:color="000000"/>
              <w:right w:val="single" w:sz="4" w:space="0" w:color="000000"/>
            </w:tcBorders>
          </w:tcPr>
          <w:p w14:paraId="1FC7AA2D" w14:textId="77777777" w:rsidR="00736F4A" w:rsidRDefault="00100640">
            <w:pPr>
              <w:spacing w:line="240" w:lineRule="auto"/>
              <w:rPr>
                <w:lang w:val="hu-HU"/>
              </w:rPr>
            </w:pPr>
            <w:r>
              <w:rPr>
                <w:lang w:val="hu-HU"/>
              </w:rPr>
              <w:t xml:space="preserve">Relatív hazárd vs placebo </w:t>
            </w:r>
          </w:p>
          <w:p w14:paraId="49D838C5" w14:textId="77777777" w:rsidR="00736F4A" w:rsidRDefault="00100640">
            <w:pPr>
              <w:spacing w:line="240" w:lineRule="auto"/>
              <w:ind w:firstLine="14"/>
              <w:rPr>
                <w:lang w:val="hu-HU"/>
              </w:rPr>
            </w:pPr>
            <w:r>
              <w:rPr>
                <w:lang w:val="hu-HU"/>
              </w:rPr>
              <w:t>(95%-os konfidencia intervallum)</w:t>
            </w:r>
          </w:p>
        </w:tc>
      </w:tr>
      <w:tr w:rsidR="00736F4A" w14:paraId="0907B5F9"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287EA981" w14:textId="77777777" w:rsidR="00736F4A" w:rsidRDefault="00100640">
            <w:pPr>
              <w:spacing w:line="240" w:lineRule="auto"/>
              <w:rPr>
                <w:lang w:val="hu-HU"/>
              </w:rPr>
            </w:pPr>
            <w:r>
              <w:rPr>
                <w:lang w:val="hu-HU"/>
              </w:rPr>
              <w:t>Kezelt betegek</w:t>
            </w:r>
          </w:p>
        </w:tc>
        <w:tc>
          <w:tcPr>
            <w:tcW w:w="2203" w:type="dxa"/>
            <w:tcBorders>
              <w:top w:val="single" w:sz="4" w:space="0" w:color="000000"/>
              <w:left w:val="single" w:sz="4" w:space="0" w:color="000000"/>
              <w:bottom w:val="single" w:sz="4" w:space="0" w:color="000000"/>
              <w:right w:val="single" w:sz="4" w:space="0" w:color="000000"/>
            </w:tcBorders>
          </w:tcPr>
          <w:p w14:paraId="1E3984DE" w14:textId="77777777" w:rsidR="00736F4A" w:rsidRDefault="00100640">
            <w:pPr>
              <w:spacing w:line="240" w:lineRule="auto"/>
              <w:ind w:left="7"/>
              <w:jc w:val="center"/>
              <w:rPr>
                <w:lang w:val="hu-HU"/>
              </w:rPr>
            </w:pPr>
            <w:r>
              <w:rPr>
                <w:lang w:val="hu-HU"/>
              </w:rPr>
              <w:t>684</w:t>
            </w:r>
          </w:p>
        </w:tc>
        <w:tc>
          <w:tcPr>
            <w:tcW w:w="2146" w:type="dxa"/>
            <w:tcBorders>
              <w:top w:val="single" w:sz="4" w:space="0" w:color="000000"/>
              <w:left w:val="single" w:sz="4" w:space="0" w:color="000000"/>
              <w:bottom w:val="single" w:sz="4" w:space="0" w:color="000000"/>
              <w:right w:val="single" w:sz="4" w:space="0" w:color="000000"/>
            </w:tcBorders>
          </w:tcPr>
          <w:p w14:paraId="1FAB0BAC" w14:textId="77777777" w:rsidR="00736F4A" w:rsidRDefault="00100640">
            <w:pPr>
              <w:spacing w:line="240" w:lineRule="auto"/>
              <w:ind w:left="7"/>
              <w:jc w:val="center"/>
              <w:rPr>
                <w:lang w:val="hu-HU"/>
              </w:rPr>
            </w:pPr>
            <w:r>
              <w:rPr>
                <w:lang w:val="hu-HU"/>
              </w:rPr>
              <w:t>659</w:t>
            </w:r>
          </w:p>
        </w:tc>
        <w:tc>
          <w:tcPr>
            <w:tcW w:w="1898" w:type="dxa"/>
            <w:tcBorders>
              <w:top w:val="single" w:sz="4" w:space="0" w:color="000000"/>
              <w:left w:val="single" w:sz="4" w:space="0" w:color="000000"/>
              <w:bottom w:val="single" w:sz="4" w:space="0" w:color="000000"/>
              <w:right w:val="single" w:sz="4" w:space="0" w:color="000000"/>
            </w:tcBorders>
          </w:tcPr>
          <w:p w14:paraId="7FEB82D9" w14:textId="77777777" w:rsidR="00736F4A" w:rsidRDefault="00736F4A">
            <w:pPr>
              <w:spacing w:line="240" w:lineRule="auto"/>
              <w:rPr>
                <w:lang w:val="hu-HU"/>
              </w:rPr>
            </w:pPr>
          </w:p>
        </w:tc>
      </w:tr>
      <w:tr w:rsidR="00736F4A" w14:paraId="5FDC7B65"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07DCBDBE" w14:textId="77777777" w:rsidR="00736F4A" w:rsidRDefault="00100640">
            <w:pPr>
              <w:spacing w:line="240" w:lineRule="auto"/>
              <w:rPr>
                <w:lang w:val="hu-HU"/>
              </w:rPr>
            </w:pPr>
            <w:r>
              <w:rPr>
                <w:lang w:val="hu-HU"/>
              </w:rPr>
              <w:t xml:space="preserve">Major vérzéses esemény </w:t>
            </w:r>
          </w:p>
        </w:tc>
        <w:tc>
          <w:tcPr>
            <w:tcW w:w="2203" w:type="dxa"/>
            <w:tcBorders>
              <w:top w:val="single" w:sz="4" w:space="0" w:color="000000"/>
              <w:left w:val="single" w:sz="4" w:space="0" w:color="000000"/>
              <w:bottom w:val="single" w:sz="4" w:space="0" w:color="000000"/>
              <w:right w:val="single" w:sz="4" w:space="0" w:color="000000"/>
            </w:tcBorders>
          </w:tcPr>
          <w:p w14:paraId="3A67E2E9" w14:textId="77777777" w:rsidR="00736F4A" w:rsidRDefault="00100640">
            <w:pPr>
              <w:spacing w:line="240" w:lineRule="auto"/>
              <w:ind w:left="6"/>
              <w:jc w:val="center"/>
              <w:rPr>
                <w:lang w:val="hu-HU"/>
              </w:rPr>
            </w:pPr>
            <w:r>
              <w:rPr>
                <w:lang w:val="hu-HU"/>
              </w:rPr>
              <w:t>2 (0,3%)</w:t>
            </w:r>
          </w:p>
        </w:tc>
        <w:tc>
          <w:tcPr>
            <w:tcW w:w="2146" w:type="dxa"/>
            <w:tcBorders>
              <w:top w:val="single" w:sz="4" w:space="0" w:color="000000"/>
              <w:left w:val="single" w:sz="4" w:space="0" w:color="000000"/>
              <w:bottom w:val="single" w:sz="4" w:space="0" w:color="000000"/>
              <w:right w:val="single" w:sz="4" w:space="0" w:color="000000"/>
            </w:tcBorders>
          </w:tcPr>
          <w:p w14:paraId="3E78EA06" w14:textId="77777777" w:rsidR="00736F4A" w:rsidRDefault="00100640">
            <w:pPr>
              <w:spacing w:line="240" w:lineRule="auto"/>
              <w:ind w:left="7"/>
              <w:jc w:val="center"/>
              <w:rPr>
                <w:lang w:val="hu-HU"/>
              </w:rPr>
            </w:pPr>
            <w:r>
              <w:rPr>
                <w:lang w:val="hu-HU"/>
              </w:rPr>
              <w:t>0</w:t>
            </w:r>
          </w:p>
        </w:tc>
        <w:tc>
          <w:tcPr>
            <w:tcW w:w="1898" w:type="dxa"/>
            <w:tcBorders>
              <w:top w:val="single" w:sz="4" w:space="0" w:color="000000"/>
              <w:left w:val="single" w:sz="4" w:space="0" w:color="000000"/>
              <w:bottom w:val="single" w:sz="4" w:space="0" w:color="000000"/>
              <w:right w:val="single" w:sz="4" w:space="0" w:color="000000"/>
            </w:tcBorders>
          </w:tcPr>
          <w:p w14:paraId="3FB6B8CE" w14:textId="77777777" w:rsidR="00736F4A" w:rsidRDefault="00100640">
            <w:pPr>
              <w:spacing w:line="240" w:lineRule="auto"/>
              <w:ind w:left="166"/>
              <w:rPr>
                <w:lang w:val="hu-HU"/>
              </w:rPr>
            </w:pPr>
            <w:r>
              <w:rPr>
                <w:lang w:val="hu-HU"/>
              </w:rPr>
              <w:t>Nem számítható*</w:t>
            </w:r>
          </w:p>
        </w:tc>
      </w:tr>
      <w:tr w:rsidR="00736F4A" w14:paraId="07F0B7BD"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2876B340" w14:textId="77777777" w:rsidR="00736F4A" w:rsidRDefault="00100640">
            <w:pPr>
              <w:spacing w:line="240" w:lineRule="auto"/>
              <w:ind w:left="708"/>
              <w:rPr>
                <w:lang w:val="hu-HU"/>
              </w:rPr>
            </w:pPr>
            <w:r>
              <w:rPr>
                <w:lang w:val="hu-HU"/>
              </w:rPr>
              <w:t>Intracranialis vérzés</w:t>
            </w:r>
          </w:p>
        </w:tc>
        <w:tc>
          <w:tcPr>
            <w:tcW w:w="2203" w:type="dxa"/>
            <w:tcBorders>
              <w:top w:val="single" w:sz="4" w:space="0" w:color="000000"/>
              <w:left w:val="single" w:sz="4" w:space="0" w:color="000000"/>
              <w:bottom w:val="single" w:sz="4" w:space="0" w:color="000000"/>
              <w:right w:val="single" w:sz="4" w:space="0" w:color="000000"/>
            </w:tcBorders>
          </w:tcPr>
          <w:p w14:paraId="6CC764C1" w14:textId="77777777" w:rsidR="00736F4A" w:rsidRDefault="00100640">
            <w:pPr>
              <w:spacing w:line="240" w:lineRule="auto"/>
              <w:ind w:left="7"/>
              <w:jc w:val="center"/>
              <w:rPr>
                <w:lang w:val="hu-HU"/>
              </w:rPr>
            </w:pPr>
            <w:r>
              <w:rPr>
                <w:lang w:val="hu-HU"/>
              </w:rPr>
              <w:t>0</w:t>
            </w:r>
          </w:p>
        </w:tc>
        <w:tc>
          <w:tcPr>
            <w:tcW w:w="2146" w:type="dxa"/>
            <w:tcBorders>
              <w:top w:val="single" w:sz="4" w:space="0" w:color="000000"/>
              <w:left w:val="single" w:sz="4" w:space="0" w:color="000000"/>
              <w:bottom w:val="single" w:sz="4" w:space="0" w:color="000000"/>
              <w:right w:val="single" w:sz="4" w:space="0" w:color="000000"/>
            </w:tcBorders>
          </w:tcPr>
          <w:p w14:paraId="38713D65" w14:textId="77777777" w:rsidR="00736F4A" w:rsidRDefault="00100640">
            <w:pPr>
              <w:spacing w:line="240" w:lineRule="auto"/>
              <w:ind w:left="7"/>
              <w:jc w:val="center"/>
              <w:rPr>
                <w:lang w:val="hu-HU"/>
              </w:rPr>
            </w:pPr>
            <w:r>
              <w:rPr>
                <w:lang w:val="hu-HU"/>
              </w:rPr>
              <w:t>0</w:t>
            </w:r>
          </w:p>
        </w:tc>
        <w:tc>
          <w:tcPr>
            <w:tcW w:w="1898" w:type="dxa"/>
            <w:tcBorders>
              <w:top w:val="single" w:sz="4" w:space="0" w:color="000000"/>
              <w:left w:val="single" w:sz="4" w:space="0" w:color="000000"/>
              <w:bottom w:val="single" w:sz="4" w:space="0" w:color="000000"/>
              <w:right w:val="single" w:sz="4" w:space="0" w:color="000000"/>
            </w:tcBorders>
          </w:tcPr>
          <w:p w14:paraId="6B4D1A24" w14:textId="77777777" w:rsidR="00736F4A" w:rsidRDefault="00100640">
            <w:pPr>
              <w:spacing w:line="240" w:lineRule="auto"/>
              <w:ind w:left="166"/>
              <w:rPr>
                <w:lang w:val="hu-HU"/>
              </w:rPr>
            </w:pPr>
            <w:r>
              <w:rPr>
                <w:lang w:val="hu-HU"/>
              </w:rPr>
              <w:t>Nem számítható*</w:t>
            </w:r>
          </w:p>
        </w:tc>
      </w:tr>
      <w:tr w:rsidR="00736F4A" w14:paraId="2D71C9CA"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38C58D6D" w14:textId="77777777" w:rsidR="00736F4A" w:rsidRDefault="00100640">
            <w:pPr>
              <w:spacing w:line="240" w:lineRule="auto"/>
              <w:ind w:left="708"/>
              <w:rPr>
                <w:lang w:val="hu-HU"/>
              </w:rPr>
            </w:pPr>
            <w:r>
              <w:rPr>
                <w:lang w:val="hu-HU"/>
              </w:rPr>
              <w:t>Major GI vérzés</w:t>
            </w:r>
          </w:p>
        </w:tc>
        <w:tc>
          <w:tcPr>
            <w:tcW w:w="2203" w:type="dxa"/>
            <w:tcBorders>
              <w:top w:val="single" w:sz="4" w:space="0" w:color="000000"/>
              <w:left w:val="single" w:sz="4" w:space="0" w:color="000000"/>
              <w:bottom w:val="single" w:sz="4" w:space="0" w:color="000000"/>
              <w:right w:val="single" w:sz="4" w:space="0" w:color="000000"/>
            </w:tcBorders>
          </w:tcPr>
          <w:p w14:paraId="0DCF582E" w14:textId="77777777" w:rsidR="00736F4A" w:rsidRDefault="00100640">
            <w:pPr>
              <w:spacing w:line="240" w:lineRule="auto"/>
              <w:ind w:left="6"/>
              <w:jc w:val="center"/>
              <w:rPr>
                <w:lang w:val="hu-HU"/>
              </w:rPr>
            </w:pPr>
            <w:r>
              <w:rPr>
                <w:lang w:val="hu-HU"/>
              </w:rPr>
              <w:t>2 (0,3%)</w:t>
            </w:r>
          </w:p>
        </w:tc>
        <w:tc>
          <w:tcPr>
            <w:tcW w:w="2146" w:type="dxa"/>
            <w:tcBorders>
              <w:top w:val="single" w:sz="4" w:space="0" w:color="000000"/>
              <w:left w:val="single" w:sz="4" w:space="0" w:color="000000"/>
              <w:bottom w:val="single" w:sz="4" w:space="0" w:color="000000"/>
              <w:right w:val="single" w:sz="4" w:space="0" w:color="000000"/>
            </w:tcBorders>
          </w:tcPr>
          <w:p w14:paraId="66769E6C" w14:textId="77777777" w:rsidR="00736F4A" w:rsidRDefault="00100640">
            <w:pPr>
              <w:spacing w:line="240" w:lineRule="auto"/>
              <w:ind w:left="7"/>
              <w:jc w:val="center"/>
              <w:rPr>
                <w:lang w:val="hu-HU"/>
              </w:rPr>
            </w:pPr>
            <w:r>
              <w:rPr>
                <w:lang w:val="hu-HU"/>
              </w:rPr>
              <w:t>0</w:t>
            </w:r>
          </w:p>
        </w:tc>
        <w:tc>
          <w:tcPr>
            <w:tcW w:w="1898" w:type="dxa"/>
            <w:tcBorders>
              <w:top w:val="single" w:sz="4" w:space="0" w:color="000000"/>
              <w:left w:val="single" w:sz="4" w:space="0" w:color="000000"/>
              <w:bottom w:val="single" w:sz="4" w:space="0" w:color="000000"/>
              <w:right w:val="single" w:sz="4" w:space="0" w:color="000000"/>
            </w:tcBorders>
          </w:tcPr>
          <w:p w14:paraId="6FA87A89" w14:textId="77777777" w:rsidR="00736F4A" w:rsidRDefault="00100640">
            <w:pPr>
              <w:spacing w:line="240" w:lineRule="auto"/>
              <w:ind w:left="166"/>
              <w:rPr>
                <w:lang w:val="hu-HU"/>
              </w:rPr>
            </w:pPr>
            <w:r>
              <w:rPr>
                <w:lang w:val="hu-HU"/>
              </w:rPr>
              <w:t>Nem számítható*</w:t>
            </w:r>
          </w:p>
        </w:tc>
      </w:tr>
      <w:tr w:rsidR="00736F4A" w14:paraId="5E250E3E"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01571324" w14:textId="77777777" w:rsidR="00736F4A" w:rsidRDefault="00100640">
            <w:pPr>
              <w:spacing w:line="240" w:lineRule="auto"/>
              <w:ind w:left="708"/>
              <w:rPr>
                <w:lang w:val="hu-HU"/>
              </w:rPr>
            </w:pPr>
            <w:r>
              <w:rPr>
                <w:lang w:val="hu-HU"/>
              </w:rPr>
              <w:t>Életet veszélyeztető vérzés</w:t>
            </w:r>
          </w:p>
        </w:tc>
        <w:tc>
          <w:tcPr>
            <w:tcW w:w="2203" w:type="dxa"/>
            <w:tcBorders>
              <w:top w:val="single" w:sz="4" w:space="0" w:color="000000"/>
              <w:left w:val="single" w:sz="4" w:space="0" w:color="000000"/>
              <w:bottom w:val="single" w:sz="4" w:space="0" w:color="000000"/>
              <w:right w:val="single" w:sz="4" w:space="0" w:color="000000"/>
            </w:tcBorders>
          </w:tcPr>
          <w:p w14:paraId="04860DDE" w14:textId="77777777" w:rsidR="00736F4A" w:rsidRDefault="00100640">
            <w:pPr>
              <w:spacing w:line="240" w:lineRule="auto"/>
              <w:ind w:left="7"/>
              <w:jc w:val="center"/>
              <w:rPr>
                <w:lang w:val="hu-HU"/>
              </w:rPr>
            </w:pPr>
            <w:r>
              <w:rPr>
                <w:lang w:val="hu-HU"/>
              </w:rPr>
              <w:t>0</w:t>
            </w:r>
          </w:p>
        </w:tc>
        <w:tc>
          <w:tcPr>
            <w:tcW w:w="2146" w:type="dxa"/>
            <w:tcBorders>
              <w:top w:val="single" w:sz="4" w:space="0" w:color="000000"/>
              <w:left w:val="single" w:sz="4" w:space="0" w:color="000000"/>
              <w:bottom w:val="single" w:sz="4" w:space="0" w:color="000000"/>
              <w:right w:val="single" w:sz="4" w:space="0" w:color="000000"/>
            </w:tcBorders>
          </w:tcPr>
          <w:p w14:paraId="25CEC38F" w14:textId="77777777" w:rsidR="00736F4A" w:rsidRDefault="00100640">
            <w:pPr>
              <w:spacing w:line="240" w:lineRule="auto"/>
              <w:ind w:left="7"/>
              <w:jc w:val="center"/>
              <w:rPr>
                <w:lang w:val="hu-HU"/>
              </w:rPr>
            </w:pPr>
            <w:r>
              <w:rPr>
                <w:lang w:val="hu-HU"/>
              </w:rPr>
              <w:t>0</w:t>
            </w:r>
          </w:p>
        </w:tc>
        <w:tc>
          <w:tcPr>
            <w:tcW w:w="1898" w:type="dxa"/>
            <w:tcBorders>
              <w:top w:val="single" w:sz="4" w:space="0" w:color="000000"/>
              <w:left w:val="single" w:sz="4" w:space="0" w:color="000000"/>
              <w:bottom w:val="single" w:sz="4" w:space="0" w:color="000000"/>
              <w:right w:val="single" w:sz="4" w:space="0" w:color="000000"/>
            </w:tcBorders>
          </w:tcPr>
          <w:p w14:paraId="083115FC" w14:textId="77777777" w:rsidR="00736F4A" w:rsidRDefault="00100640">
            <w:pPr>
              <w:spacing w:line="240" w:lineRule="auto"/>
              <w:ind w:left="166"/>
              <w:rPr>
                <w:lang w:val="hu-HU"/>
              </w:rPr>
            </w:pPr>
            <w:r>
              <w:rPr>
                <w:lang w:val="hu-HU"/>
              </w:rPr>
              <w:t>Nem számítható*</w:t>
            </w:r>
          </w:p>
        </w:tc>
      </w:tr>
      <w:tr w:rsidR="00736F4A" w14:paraId="73A73709"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4EA050BA" w14:textId="77777777" w:rsidR="00736F4A" w:rsidRDefault="00100640">
            <w:pPr>
              <w:spacing w:line="240" w:lineRule="auto"/>
              <w:ind w:firstLine="55"/>
              <w:rPr>
                <w:lang w:val="hu-HU"/>
              </w:rPr>
            </w:pPr>
            <w:r>
              <w:rPr>
                <w:lang w:val="hu-HU"/>
              </w:rPr>
              <w:t>Major vérzéses esemény /klinikailag releváns vérzés</w:t>
            </w:r>
          </w:p>
        </w:tc>
        <w:tc>
          <w:tcPr>
            <w:tcW w:w="2203" w:type="dxa"/>
            <w:tcBorders>
              <w:top w:val="single" w:sz="4" w:space="0" w:color="000000"/>
              <w:left w:val="single" w:sz="4" w:space="0" w:color="000000"/>
              <w:bottom w:val="single" w:sz="4" w:space="0" w:color="000000"/>
              <w:right w:val="single" w:sz="4" w:space="0" w:color="000000"/>
            </w:tcBorders>
          </w:tcPr>
          <w:p w14:paraId="7745DCD0" w14:textId="77777777" w:rsidR="00736F4A" w:rsidRDefault="00100640">
            <w:pPr>
              <w:spacing w:line="240" w:lineRule="auto"/>
              <w:ind w:left="6"/>
              <w:jc w:val="center"/>
              <w:rPr>
                <w:lang w:val="hu-HU"/>
              </w:rPr>
            </w:pPr>
            <w:r>
              <w:rPr>
                <w:lang w:val="hu-HU"/>
              </w:rPr>
              <w:t>36 (5,3%)</w:t>
            </w:r>
          </w:p>
        </w:tc>
        <w:tc>
          <w:tcPr>
            <w:tcW w:w="2146" w:type="dxa"/>
            <w:tcBorders>
              <w:top w:val="single" w:sz="4" w:space="0" w:color="000000"/>
              <w:left w:val="single" w:sz="4" w:space="0" w:color="000000"/>
              <w:bottom w:val="single" w:sz="4" w:space="0" w:color="000000"/>
              <w:right w:val="single" w:sz="4" w:space="0" w:color="000000"/>
            </w:tcBorders>
          </w:tcPr>
          <w:p w14:paraId="4E351152" w14:textId="77777777" w:rsidR="00736F4A" w:rsidRDefault="00100640">
            <w:pPr>
              <w:spacing w:line="240" w:lineRule="auto"/>
              <w:ind w:left="6"/>
              <w:jc w:val="center"/>
              <w:rPr>
                <w:lang w:val="hu-HU"/>
              </w:rPr>
            </w:pPr>
            <w:r>
              <w:rPr>
                <w:lang w:val="hu-HU"/>
              </w:rPr>
              <w:t>13 (2,0%)</w:t>
            </w:r>
          </w:p>
        </w:tc>
        <w:tc>
          <w:tcPr>
            <w:tcW w:w="1898" w:type="dxa"/>
            <w:tcBorders>
              <w:top w:val="single" w:sz="4" w:space="0" w:color="000000"/>
              <w:left w:val="single" w:sz="4" w:space="0" w:color="000000"/>
              <w:bottom w:val="single" w:sz="4" w:space="0" w:color="000000"/>
              <w:right w:val="single" w:sz="4" w:space="0" w:color="000000"/>
            </w:tcBorders>
          </w:tcPr>
          <w:p w14:paraId="64E65712" w14:textId="77777777" w:rsidR="00736F4A" w:rsidRDefault="00100640">
            <w:pPr>
              <w:spacing w:line="240" w:lineRule="auto"/>
              <w:rPr>
                <w:lang w:val="hu-HU"/>
              </w:rPr>
            </w:pPr>
            <w:r>
              <w:rPr>
                <w:lang w:val="hu-HU"/>
              </w:rPr>
              <w:t>2,69 (1,43, 5,07)</w:t>
            </w:r>
          </w:p>
        </w:tc>
      </w:tr>
      <w:tr w:rsidR="00736F4A" w14:paraId="2203FF59"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70F74AE1" w14:textId="77777777" w:rsidR="00736F4A" w:rsidRDefault="00100640">
            <w:pPr>
              <w:spacing w:line="240" w:lineRule="auto"/>
              <w:rPr>
                <w:lang w:val="hu-HU"/>
              </w:rPr>
            </w:pPr>
            <w:r>
              <w:rPr>
                <w:lang w:val="hu-HU"/>
              </w:rPr>
              <w:t xml:space="preserve">Bármilyen vérzés </w:t>
            </w:r>
          </w:p>
        </w:tc>
        <w:tc>
          <w:tcPr>
            <w:tcW w:w="2203" w:type="dxa"/>
            <w:tcBorders>
              <w:top w:val="single" w:sz="4" w:space="0" w:color="000000"/>
              <w:left w:val="single" w:sz="4" w:space="0" w:color="000000"/>
              <w:bottom w:val="single" w:sz="4" w:space="0" w:color="000000"/>
              <w:right w:val="single" w:sz="4" w:space="0" w:color="000000"/>
            </w:tcBorders>
          </w:tcPr>
          <w:p w14:paraId="5A008842" w14:textId="77777777" w:rsidR="00736F4A" w:rsidRDefault="00100640">
            <w:pPr>
              <w:spacing w:line="240" w:lineRule="auto"/>
              <w:ind w:left="9"/>
              <w:jc w:val="center"/>
              <w:rPr>
                <w:lang w:val="hu-HU"/>
              </w:rPr>
            </w:pPr>
            <w:r>
              <w:rPr>
                <w:lang w:val="hu-HU"/>
              </w:rPr>
              <w:t>72 (10,5%)</w:t>
            </w:r>
          </w:p>
        </w:tc>
        <w:tc>
          <w:tcPr>
            <w:tcW w:w="2146" w:type="dxa"/>
            <w:tcBorders>
              <w:top w:val="single" w:sz="4" w:space="0" w:color="000000"/>
              <w:left w:val="single" w:sz="4" w:space="0" w:color="000000"/>
              <w:bottom w:val="single" w:sz="4" w:space="0" w:color="000000"/>
              <w:right w:val="single" w:sz="4" w:space="0" w:color="000000"/>
            </w:tcBorders>
          </w:tcPr>
          <w:p w14:paraId="617822D1" w14:textId="77777777" w:rsidR="00736F4A" w:rsidRDefault="00100640">
            <w:pPr>
              <w:spacing w:line="240" w:lineRule="auto"/>
              <w:ind w:left="6"/>
              <w:jc w:val="center"/>
              <w:rPr>
                <w:lang w:val="hu-HU"/>
              </w:rPr>
            </w:pPr>
            <w:r>
              <w:rPr>
                <w:lang w:val="hu-HU"/>
              </w:rPr>
              <w:t>40 (6,1%)</w:t>
            </w:r>
          </w:p>
        </w:tc>
        <w:tc>
          <w:tcPr>
            <w:tcW w:w="1898" w:type="dxa"/>
            <w:tcBorders>
              <w:top w:val="single" w:sz="4" w:space="0" w:color="000000"/>
              <w:left w:val="single" w:sz="4" w:space="0" w:color="000000"/>
              <w:bottom w:val="single" w:sz="4" w:space="0" w:color="000000"/>
              <w:right w:val="single" w:sz="4" w:space="0" w:color="000000"/>
            </w:tcBorders>
          </w:tcPr>
          <w:p w14:paraId="58DC99C5" w14:textId="77777777" w:rsidR="00736F4A" w:rsidRDefault="00100640">
            <w:pPr>
              <w:spacing w:line="240" w:lineRule="auto"/>
              <w:rPr>
                <w:lang w:val="hu-HU"/>
              </w:rPr>
            </w:pPr>
            <w:r>
              <w:rPr>
                <w:lang w:val="hu-HU"/>
              </w:rPr>
              <w:t>1,77 (1,20, 2,61)</w:t>
            </w:r>
          </w:p>
        </w:tc>
      </w:tr>
      <w:tr w:rsidR="00736F4A" w14:paraId="1383C1A1"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0E67B893" w14:textId="77777777" w:rsidR="00736F4A" w:rsidRDefault="00100640">
            <w:pPr>
              <w:spacing w:line="240" w:lineRule="auto"/>
              <w:ind w:left="708"/>
              <w:rPr>
                <w:lang w:val="hu-HU"/>
              </w:rPr>
            </w:pPr>
            <w:r>
              <w:rPr>
                <w:lang w:val="hu-HU"/>
              </w:rPr>
              <w:t>Bármilyen GI vérzés</w:t>
            </w:r>
          </w:p>
        </w:tc>
        <w:tc>
          <w:tcPr>
            <w:tcW w:w="2203" w:type="dxa"/>
            <w:tcBorders>
              <w:top w:val="single" w:sz="4" w:space="0" w:color="000000"/>
              <w:left w:val="single" w:sz="4" w:space="0" w:color="000000"/>
              <w:bottom w:val="single" w:sz="4" w:space="0" w:color="000000"/>
              <w:right w:val="single" w:sz="4" w:space="0" w:color="000000"/>
            </w:tcBorders>
          </w:tcPr>
          <w:p w14:paraId="3C209E91" w14:textId="77777777" w:rsidR="00736F4A" w:rsidRDefault="00100640">
            <w:pPr>
              <w:spacing w:line="240" w:lineRule="auto"/>
              <w:ind w:left="6"/>
              <w:jc w:val="center"/>
              <w:rPr>
                <w:lang w:val="hu-HU"/>
              </w:rPr>
            </w:pPr>
            <w:r>
              <w:rPr>
                <w:lang w:val="hu-HU"/>
              </w:rPr>
              <w:t>5 (0,7%)</w:t>
            </w:r>
          </w:p>
        </w:tc>
        <w:tc>
          <w:tcPr>
            <w:tcW w:w="2146" w:type="dxa"/>
            <w:tcBorders>
              <w:top w:val="single" w:sz="4" w:space="0" w:color="000000"/>
              <w:left w:val="single" w:sz="4" w:space="0" w:color="000000"/>
              <w:bottom w:val="single" w:sz="4" w:space="0" w:color="000000"/>
              <w:right w:val="single" w:sz="4" w:space="0" w:color="000000"/>
            </w:tcBorders>
          </w:tcPr>
          <w:p w14:paraId="4A6FFF3C" w14:textId="77777777" w:rsidR="00736F4A" w:rsidRDefault="00100640">
            <w:pPr>
              <w:spacing w:line="240" w:lineRule="auto"/>
              <w:ind w:left="6"/>
              <w:jc w:val="center"/>
              <w:rPr>
                <w:lang w:val="hu-HU"/>
              </w:rPr>
            </w:pPr>
            <w:r>
              <w:rPr>
                <w:lang w:val="hu-HU"/>
              </w:rPr>
              <w:t>2 (0,3%)</w:t>
            </w:r>
          </w:p>
        </w:tc>
        <w:tc>
          <w:tcPr>
            <w:tcW w:w="1898" w:type="dxa"/>
            <w:tcBorders>
              <w:top w:val="single" w:sz="4" w:space="0" w:color="000000"/>
              <w:left w:val="single" w:sz="4" w:space="0" w:color="000000"/>
              <w:bottom w:val="single" w:sz="4" w:space="0" w:color="000000"/>
              <w:right w:val="single" w:sz="4" w:space="0" w:color="000000"/>
            </w:tcBorders>
          </w:tcPr>
          <w:p w14:paraId="459F837A" w14:textId="77777777" w:rsidR="00736F4A" w:rsidRDefault="00100640">
            <w:pPr>
              <w:spacing w:line="240" w:lineRule="auto"/>
              <w:rPr>
                <w:lang w:val="hu-HU"/>
              </w:rPr>
            </w:pPr>
            <w:r>
              <w:rPr>
                <w:lang w:val="hu-HU"/>
              </w:rPr>
              <w:t>2,38 (0,46, 12,27)</w:t>
            </w:r>
          </w:p>
        </w:tc>
      </w:tr>
    </w:tbl>
    <w:p w14:paraId="40A7FCF4" w14:textId="77777777" w:rsidR="00736F4A" w:rsidRDefault="00100640">
      <w:pPr>
        <w:spacing w:line="240" w:lineRule="auto"/>
        <w:ind w:left="7" w:right="9"/>
      </w:pPr>
      <w:r>
        <w:t>*A relatív hazárd nem becsülhető meg, mert valamelyik kezelési csoportban nem volt esemény</w:t>
      </w:r>
    </w:p>
    <w:p w14:paraId="079FF0B7" w14:textId="77777777" w:rsidR="00736F4A" w:rsidRDefault="00736F4A">
      <w:pPr>
        <w:spacing w:line="240" w:lineRule="auto"/>
        <w:rPr>
          <w:lang w:val="hu-HU"/>
        </w:rPr>
      </w:pPr>
    </w:p>
    <w:p w14:paraId="1DE24851" w14:textId="77777777" w:rsidR="00736F4A" w:rsidRDefault="00100640">
      <w:pPr>
        <w:spacing w:line="240" w:lineRule="auto"/>
        <w:ind w:left="7"/>
      </w:pPr>
      <w:r>
        <w:rPr>
          <w:i/>
          <w:u w:val="single" w:color="000000"/>
        </w:rPr>
        <w:t>Agranulocytosis és neutropenia</w:t>
      </w:r>
    </w:p>
    <w:p w14:paraId="0CFD08DF" w14:textId="77777777" w:rsidR="00736F4A" w:rsidRDefault="00736F4A">
      <w:pPr>
        <w:spacing w:line="240" w:lineRule="auto"/>
        <w:rPr>
          <w:lang w:val="hu-HU"/>
        </w:rPr>
      </w:pPr>
    </w:p>
    <w:p w14:paraId="624A0463" w14:textId="77777777" w:rsidR="00736F4A" w:rsidRDefault="00100640">
      <w:pPr>
        <w:spacing w:line="240" w:lineRule="auto"/>
        <w:ind w:left="7" w:right="9"/>
      </w:pPr>
      <w:r>
        <w:t>Agranulocytosist és neutropeniát nagyon ritkán jelentettek a dabigatrán-etexilát engedélyezését követő alkalmazás során. Mivel a forgalomba hozatalt követő megfigyelések során a mellékhatásokat meghatározatlan nagyságú populációból jelentették, nem lehetséges ezek gyakoriságát megbízhatóan meghatározni. A becsült jelentési arány az agranulocytosis esetében 7 esemény/1 millió betegév, és a neutropenia esetén 5 esemény/1 millió betegév volt.</w:t>
      </w:r>
    </w:p>
    <w:p w14:paraId="4C973EB4" w14:textId="77777777" w:rsidR="00736F4A" w:rsidRDefault="00736F4A">
      <w:pPr>
        <w:spacing w:line="240" w:lineRule="auto"/>
        <w:rPr>
          <w:lang w:val="hu-HU"/>
        </w:rPr>
      </w:pPr>
    </w:p>
    <w:p w14:paraId="614D5914" w14:textId="77777777" w:rsidR="00736F4A" w:rsidRDefault="00100640">
      <w:pPr>
        <w:spacing w:line="240" w:lineRule="auto"/>
        <w:rPr>
          <w:u w:val="single"/>
          <w:lang w:val="hu-HU"/>
        </w:rPr>
      </w:pPr>
      <w:r>
        <w:rPr>
          <w:u w:val="single"/>
          <w:lang w:val="hu-HU"/>
        </w:rPr>
        <w:t>Gyermekek és serdülők</w:t>
      </w:r>
    </w:p>
    <w:p w14:paraId="6F5F3E5D" w14:textId="77777777" w:rsidR="00736F4A" w:rsidRDefault="00736F4A">
      <w:pPr>
        <w:spacing w:line="240" w:lineRule="auto"/>
        <w:rPr>
          <w:u w:val="single"/>
          <w:lang w:val="hu-HU"/>
        </w:rPr>
      </w:pPr>
    </w:p>
    <w:p w14:paraId="33E8576B" w14:textId="77777777" w:rsidR="00736F4A" w:rsidRDefault="00100640">
      <w:pPr>
        <w:spacing w:line="240" w:lineRule="auto"/>
        <w:ind w:left="7" w:right="9"/>
      </w:pPr>
      <w:r>
        <w:t>A dabigatrán-etexilát biztonságosságát gyermekeknél és serdülőknél VTE kezelésében és VTE kiújulásának megelőzésében két III. fázisú vizsgálatban tanulmányozták (DIVERSITY és 1160.108). Összesen 328 gyermeket és serdülőt kezeltek dabigatrán-etexiláttal. A betegek az életkornak és a testtömegnek megfelelően korrigált dózist kaptak az életkornak megfelelő gyógyszerformájú dabigatrán-etexilát-készítményből.</w:t>
      </w:r>
    </w:p>
    <w:p w14:paraId="736E716B" w14:textId="77777777" w:rsidR="00736F4A" w:rsidRDefault="00100640">
      <w:pPr>
        <w:spacing w:line="240" w:lineRule="auto"/>
        <w:ind w:left="7" w:right="9"/>
      </w:pPr>
      <w:r>
        <w:t>Összességében a gyermekeknél és serdülőknél várható biztonságossági profil megegyezik a felnőttek esetén jellemzővel. A dabigatrán-etexilátot kapó, VTE miatt és VTE kiújulásának megelőzése érdekében kezelt gyermekeknek és serdülőknek összesen 26%-a tapasztalt mellékhatásokat.</w:t>
      </w:r>
    </w:p>
    <w:p w14:paraId="6F0215FF" w14:textId="77777777" w:rsidR="00736F4A" w:rsidRDefault="00736F4A">
      <w:pPr>
        <w:spacing w:line="240" w:lineRule="auto"/>
        <w:rPr>
          <w:u w:val="single"/>
          <w:lang w:val="hu-HU"/>
        </w:rPr>
      </w:pPr>
    </w:p>
    <w:p w14:paraId="3E12C8DB" w14:textId="77777777" w:rsidR="00736F4A" w:rsidRDefault="00100640">
      <w:pPr>
        <w:spacing w:line="240" w:lineRule="auto"/>
        <w:rPr>
          <w:u w:val="single"/>
          <w:lang w:val="hu-HU"/>
        </w:rPr>
      </w:pPr>
      <w:r>
        <w:rPr>
          <w:rFonts w:ascii="TimesNewRoman,Italic" w:hAnsi="TimesNewRoman,Italic" w:cs="TimesNewRoman,Italic"/>
          <w:i/>
          <w:iCs/>
          <w:u w:val="single"/>
          <w:lang w:val="hu-HU" w:eastAsia="en-GB"/>
        </w:rPr>
        <w:t>A mellékhatások táblázatos felsorolása</w:t>
      </w:r>
    </w:p>
    <w:p w14:paraId="71B03EB7" w14:textId="77777777" w:rsidR="00736F4A" w:rsidRDefault="00736F4A">
      <w:pPr>
        <w:spacing w:line="240" w:lineRule="auto"/>
        <w:rPr>
          <w:u w:val="single"/>
          <w:lang w:val="hu-HU"/>
        </w:rPr>
      </w:pPr>
    </w:p>
    <w:p w14:paraId="1162E56C" w14:textId="77777777" w:rsidR="00736F4A" w:rsidRDefault="00100640">
      <w:pPr>
        <w:spacing w:line="240" w:lineRule="auto"/>
        <w:ind w:left="7" w:right="9"/>
      </w:pPr>
      <w:r>
        <w:t>A 16. táblázat a VTE miatt és VTE kiújulásának megelőzése érdekében kezelt gyermekek és serdülők vizsgálataiban azonosított mellékhatásokat mutatja be. A mellékhatásokat szervrendszerek és gyakoriság szerinti felosztásban, a következő gyakorisági kategóriák szerint ismertetjük: nagyon gyakori (≥ 1/10); gyakori (≥ 1/100 - &lt; 1/10); nem gyakori (≥ 1/1000 - &lt; 1/100); ritka (≥ 1/10 000 - &lt; 1/1000); nagyon ritka (&lt; 1/10 000), nem ismert (a gyakoriság a rendelkezésre álló adatokból nem állapítható meg).</w:t>
      </w:r>
    </w:p>
    <w:p w14:paraId="1A082C4A" w14:textId="77777777" w:rsidR="00736F4A" w:rsidRDefault="00736F4A">
      <w:pPr>
        <w:spacing w:line="240" w:lineRule="auto"/>
        <w:rPr>
          <w:u w:val="single"/>
          <w:lang w:val="hu-HU"/>
        </w:rPr>
      </w:pPr>
    </w:p>
    <w:p w14:paraId="4697D45F" w14:textId="77777777" w:rsidR="00736F4A" w:rsidRDefault="00100640">
      <w:pPr>
        <w:tabs>
          <w:tab w:val="center" w:pos="2123"/>
        </w:tabs>
        <w:spacing w:line="240" w:lineRule="auto"/>
        <w:ind w:left="-3"/>
        <w:rPr>
          <w:b/>
        </w:rPr>
      </w:pPr>
      <w:r>
        <w:rPr>
          <w:b/>
        </w:rPr>
        <w:t>16. táblázat. Mellékhatások</w:t>
      </w:r>
    </w:p>
    <w:p w14:paraId="49BB10E9" w14:textId="77777777" w:rsidR="00736F4A" w:rsidRDefault="00736F4A">
      <w:pPr>
        <w:spacing w:line="240" w:lineRule="auto"/>
        <w:rPr>
          <w:u w:val="single"/>
          <w:lang w:val="hu-HU"/>
        </w:rPr>
      </w:pPr>
    </w:p>
    <w:tbl>
      <w:tblPr>
        <w:tblW w:w="9286" w:type="dxa"/>
        <w:tblInd w:w="-96" w:type="dxa"/>
        <w:tblCellMar>
          <w:top w:w="51" w:type="dxa"/>
          <w:left w:w="0" w:type="dxa"/>
          <w:right w:w="115" w:type="dxa"/>
        </w:tblCellMar>
        <w:tblLook w:val="04A0" w:firstRow="1" w:lastRow="0" w:firstColumn="1" w:lastColumn="0" w:noHBand="0" w:noVBand="1"/>
      </w:tblPr>
      <w:tblGrid>
        <w:gridCol w:w="4078"/>
        <w:gridCol w:w="2028"/>
        <w:gridCol w:w="3180"/>
      </w:tblGrid>
      <w:tr w:rsidR="00736F4A" w14:paraId="440995CF"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288490AA" w14:textId="77777777" w:rsidR="00736F4A" w:rsidRDefault="00736F4A">
            <w:pPr>
              <w:spacing w:line="240" w:lineRule="auto"/>
              <w:rPr>
                <w:lang w:val="hu-HU"/>
              </w:rPr>
            </w:pPr>
          </w:p>
        </w:tc>
        <w:tc>
          <w:tcPr>
            <w:tcW w:w="5208" w:type="dxa"/>
            <w:gridSpan w:val="2"/>
            <w:tcBorders>
              <w:top w:val="single" w:sz="4" w:space="0" w:color="000000"/>
              <w:left w:val="single" w:sz="4" w:space="0" w:color="000000"/>
              <w:bottom w:val="single" w:sz="4" w:space="0" w:color="000000"/>
              <w:right w:val="single" w:sz="4" w:space="0" w:color="000000"/>
            </w:tcBorders>
          </w:tcPr>
          <w:p w14:paraId="00AE9152" w14:textId="77777777" w:rsidR="00736F4A" w:rsidRDefault="00100640">
            <w:pPr>
              <w:spacing w:line="240" w:lineRule="auto"/>
              <w:ind w:right="45"/>
              <w:rPr>
                <w:lang w:val="hu-HU"/>
              </w:rPr>
            </w:pPr>
            <w:r>
              <w:rPr>
                <w:lang w:val="hu-HU"/>
              </w:rPr>
              <w:t>Gyakoriság</w:t>
            </w:r>
          </w:p>
        </w:tc>
      </w:tr>
      <w:tr w:rsidR="00736F4A" w14:paraId="3AC4F3C9"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3EC507AF" w14:textId="77777777" w:rsidR="00736F4A" w:rsidRDefault="00100640">
            <w:pPr>
              <w:spacing w:line="240" w:lineRule="auto"/>
              <w:ind w:right="853"/>
              <w:rPr>
                <w:lang w:val="hu-HU"/>
              </w:rPr>
            </w:pPr>
            <w:r>
              <w:rPr>
                <w:lang w:val="hu-HU"/>
              </w:rPr>
              <w:t>Szervrendszer/Preferált kifejezés</w:t>
            </w:r>
          </w:p>
        </w:tc>
        <w:tc>
          <w:tcPr>
            <w:tcW w:w="5208" w:type="dxa"/>
            <w:gridSpan w:val="2"/>
            <w:tcBorders>
              <w:top w:val="single" w:sz="4" w:space="0" w:color="000000"/>
              <w:left w:val="single" w:sz="4" w:space="0" w:color="000000"/>
              <w:bottom w:val="single" w:sz="4" w:space="0" w:color="000000"/>
              <w:right w:val="single" w:sz="4" w:space="0" w:color="000000"/>
            </w:tcBorders>
          </w:tcPr>
          <w:p w14:paraId="27C48F94" w14:textId="77777777" w:rsidR="00736F4A" w:rsidRDefault="00100640">
            <w:pPr>
              <w:spacing w:line="240" w:lineRule="auto"/>
              <w:ind w:left="1186" w:hanging="816"/>
              <w:rPr>
                <w:lang w:val="hu-HU"/>
              </w:rPr>
            </w:pPr>
            <w:r>
              <w:rPr>
                <w:lang w:val="hu-HU"/>
              </w:rPr>
              <w:t>VTE kezelése és VTE kiújulásának megelőzése gyermekeknél és serdülőknél</w:t>
            </w:r>
          </w:p>
        </w:tc>
      </w:tr>
      <w:tr w:rsidR="00736F4A" w14:paraId="351F1B86"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30C949C0" w14:textId="77777777" w:rsidR="00736F4A" w:rsidRDefault="00100640">
            <w:pPr>
              <w:spacing w:line="240" w:lineRule="auto"/>
              <w:rPr>
                <w:lang w:val="hu-HU"/>
              </w:rPr>
            </w:pPr>
            <w:r>
              <w:rPr>
                <w:lang w:val="hu-HU"/>
              </w:rPr>
              <w:lastRenderedPageBreak/>
              <w:t>Vérképzőszervi és nyirokrendszeri betegségek és tünetek</w:t>
            </w:r>
          </w:p>
        </w:tc>
      </w:tr>
      <w:tr w:rsidR="00736F4A" w14:paraId="61C20203" w14:textId="77777777">
        <w:trPr>
          <w:trHeight w:val="140"/>
        </w:trPr>
        <w:tc>
          <w:tcPr>
            <w:tcW w:w="4078" w:type="dxa"/>
            <w:tcBorders>
              <w:top w:val="single" w:sz="4" w:space="0" w:color="000000"/>
              <w:left w:val="single" w:sz="4" w:space="0" w:color="000000"/>
              <w:bottom w:val="single" w:sz="4" w:space="0" w:color="000000"/>
              <w:right w:val="single" w:sz="4" w:space="0" w:color="000000"/>
            </w:tcBorders>
          </w:tcPr>
          <w:p w14:paraId="056FB62E" w14:textId="77777777" w:rsidR="00736F4A" w:rsidRDefault="00100640">
            <w:pPr>
              <w:spacing w:line="240" w:lineRule="auto"/>
              <w:ind w:left="180"/>
              <w:rPr>
                <w:lang w:val="hu-HU"/>
              </w:rPr>
            </w:pPr>
            <w:r>
              <w:rPr>
                <w:lang w:val="hu-HU"/>
              </w:rPr>
              <w:t>Anaemia</w:t>
            </w:r>
          </w:p>
        </w:tc>
        <w:tc>
          <w:tcPr>
            <w:tcW w:w="5208" w:type="dxa"/>
            <w:gridSpan w:val="2"/>
            <w:tcBorders>
              <w:top w:val="single" w:sz="4" w:space="0" w:color="000000"/>
              <w:left w:val="single" w:sz="4" w:space="0" w:color="000000"/>
              <w:bottom w:val="single" w:sz="4" w:space="0" w:color="000000"/>
              <w:right w:val="single" w:sz="4" w:space="0" w:color="000000"/>
            </w:tcBorders>
          </w:tcPr>
          <w:p w14:paraId="29ACB5AA" w14:textId="77777777" w:rsidR="00736F4A" w:rsidRDefault="00100640">
            <w:pPr>
              <w:spacing w:line="240" w:lineRule="auto"/>
              <w:ind w:left="9"/>
              <w:rPr>
                <w:lang w:val="hu-HU"/>
              </w:rPr>
            </w:pPr>
            <w:r>
              <w:rPr>
                <w:lang w:val="hu-HU"/>
              </w:rPr>
              <w:t>Gyakori</w:t>
            </w:r>
          </w:p>
        </w:tc>
      </w:tr>
      <w:tr w:rsidR="00736F4A" w14:paraId="533C7860"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AD42353" w14:textId="77777777" w:rsidR="00736F4A" w:rsidRDefault="00100640">
            <w:pPr>
              <w:spacing w:line="240" w:lineRule="auto"/>
              <w:ind w:left="180"/>
              <w:rPr>
                <w:lang w:val="hu-HU"/>
              </w:rPr>
            </w:pPr>
            <w:r>
              <w:rPr>
                <w:lang w:val="hu-HU"/>
              </w:rPr>
              <w:t>Csökkent haemoglobinszint</w:t>
            </w:r>
          </w:p>
        </w:tc>
        <w:tc>
          <w:tcPr>
            <w:tcW w:w="5208" w:type="dxa"/>
            <w:gridSpan w:val="2"/>
            <w:tcBorders>
              <w:top w:val="single" w:sz="4" w:space="0" w:color="000000"/>
              <w:left w:val="single" w:sz="4" w:space="0" w:color="000000"/>
              <w:bottom w:val="single" w:sz="4" w:space="0" w:color="000000"/>
              <w:right w:val="single" w:sz="4" w:space="0" w:color="000000"/>
            </w:tcBorders>
          </w:tcPr>
          <w:p w14:paraId="675C191E" w14:textId="77777777" w:rsidR="00736F4A" w:rsidRDefault="00100640">
            <w:pPr>
              <w:spacing w:line="240" w:lineRule="auto"/>
              <w:ind w:left="9"/>
              <w:rPr>
                <w:lang w:val="hu-HU"/>
              </w:rPr>
            </w:pPr>
            <w:r>
              <w:rPr>
                <w:lang w:val="hu-HU"/>
              </w:rPr>
              <w:t>Nem gyakori</w:t>
            </w:r>
          </w:p>
        </w:tc>
      </w:tr>
      <w:tr w:rsidR="00736F4A" w14:paraId="4F328515"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51E2EAF8" w14:textId="77777777" w:rsidR="00736F4A" w:rsidRDefault="00100640">
            <w:pPr>
              <w:spacing w:line="240" w:lineRule="auto"/>
              <w:ind w:left="180"/>
              <w:rPr>
                <w:lang w:val="hu-HU"/>
              </w:rPr>
            </w:pPr>
            <w:r>
              <w:rPr>
                <w:lang w:val="hu-HU"/>
              </w:rPr>
              <w:t>Thrombocytopenia</w:t>
            </w:r>
          </w:p>
        </w:tc>
        <w:tc>
          <w:tcPr>
            <w:tcW w:w="5208" w:type="dxa"/>
            <w:gridSpan w:val="2"/>
            <w:tcBorders>
              <w:top w:val="single" w:sz="4" w:space="0" w:color="000000"/>
              <w:left w:val="single" w:sz="4" w:space="0" w:color="000000"/>
              <w:bottom w:val="single" w:sz="4" w:space="0" w:color="000000"/>
              <w:right w:val="single" w:sz="4" w:space="0" w:color="000000"/>
            </w:tcBorders>
          </w:tcPr>
          <w:p w14:paraId="095CFBBF" w14:textId="77777777" w:rsidR="00736F4A" w:rsidRDefault="00100640">
            <w:pPr>
              <w:spacing w:line="240" w:lineRule="auto"/>
              <w:ind w:left="9"/>
              <w:rPr>
                <w:lang w:val="hu-HU"/>
              </w:rPr>
            </w:pPr>
            <w:r>
              <w:rPr>
                <w:lang w:val="hu-HU"/>
              </w:rPr>
              <w:t>Gyakori</w:t>
            </w:r>
          </w:p>
        </w:tc>
      </w:tr>
      <w:tr w:rsidR="00736F4A" w14:paraId="4A96E5A3"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0286765" w14:textId="77777777" w:rsidR="00736F4A" w:rsidRDefault="00100640">
            <w:pPr>
              <w:spacing w:line="240" w:lineRule="auto"/>
              <w:ind w:left="180"/>
              <w:rPr>
                <w:lang w:val="hu-HU"/>
              </w:rPr>
            </w:pPr>
            <w:r>
              <w:rPr>
                <w:lang w:val="hu-HU"/>
              </w:rPr>
              <w:t>Csökkent haematokritérték</w:t>
            </w:r>
          </w:p>
        </w:tc>
        <w:tc>
          <w:tcPr>
            <w:tcW w:w="5208" w:type="dxa"/>
            <w:gridSpan w:val="2"/>
            <w:tcBorders>
              <w:top w:val="single" w:sz="4" w:space="0" w:color="000000"/>
              <w:left w:val="single" w:sz="4" w:space="0" w:color="000000"/>
              <w:bottom w:val="single" w:sz="4" w:space="0" w:color="000000"/>
              <w:right w:val="single" w:sz="4" w:space="0" w:color="000000"/>
            </w:tcBorders>
          </w:tcPr>
          <w:p w14:paraId="091375B2" w14:textId="77777777" w:rsidR="00736F4A" w:rsidRDefault="00100640">
            <w:pPr>
              <w:spacing w:line="240" w:lineRule="auto"/>
              <w:ind w:left="9"/>
              <w:rPr>
                <w:lang w:val="hu-HU"/>
              </w:rPr>
            </w:pPr>
            <w:r>
              <w:rPr>
                <w:lang w:val="hu-HU"/>
              </w:rPr>
              <w:t>Nem gyakori</w:t>
            </w:r>
          </w:p>
        </w:tc>
      </w:tr>
      <w:tr w:rsidR="00736F4A" w14:paraId="31928D78"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9F46BFE" w14:textId="77777777" w:rsidR="00736F4A" w:rsidRDefault="00100640">
            <w:pPr>
              <w:spacing w:line="240" w:lineRule="auto"/>
              <w:ind w:left="180"/>
              <w:rPr>
                <w:lang w:val="hu-HU"/>
              </w:rPr>
            </w:pPr>
            <w:r>
              <w:rPr>
                <w:lang w:val="hu-HU"/>
              </w:rPr>
              <w:t>Neutropenia</w:t>
            </w:r>
          </w:p>
        </w:tc>
        <w:tc>
          <w:tcPr>
            <w:tcW w:w="5208" w:type="dxa"/>
            <w:gridSpan w:val="2"/>
            <w:tcBorders>
              <w:top w:val="single" w:sz="4" w:space="0" w:color="000000"/>
              <w:left w:val="single" w:sz="4" w:space="0" w:color="000000"/>
              <w:bottom w:val="single" w:sz="4" w:space="0" w:color="000000"/>
              <w:right w:val="single" w:sz="4" w:space="0" w:color="000000"/>
            </w:tcBorders>
          </w:tcPr>
          <w:p w14:paraId="50DFB794" w14:textId="77777777" w:rsidR="00736F4A" w:rsidRDefault="00100640">
            <w:pPr>
              <w:spacing w:line="240" w:lineRule="auto"/>
              <w:ind w:left="9"/>
              <w:rPr>
                <w:lang w:val="hu-HU"/>
              </w:rPr>
            </w:pPr>
            <w:r>
              <w:rPr>
                <w:lang w:val="hu-HU"/>
              </w:rPr>
              <w:t>Nem gyakori</w:t>
            </w:r>
          </w:p>
        </w:tc>
      </w:tr>
      <w:tr w:rsidR="00736F4A" w14:paraId="0C0D4E08"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5E4A133A" w14:textId="77777777" w:rsidR="00736F4A" w:rsidRDefault="00100640">
            <w:pPr>
              <w:spacing w:line="240" w:lineRule="auto"/>
              <w:ind w:left="180"/>
              <w:rPr>
                <w:lang w:val="hu-HU"/>
              </w:rPr>
            </w:pPr>
            <w:r>
              <w:rPr>
                <w:lang w:val="hu-HU"/>
              </w:rPr>
              <w:t>Agranulocytosis</w:t>
            </w:r>
          </w:p>
        </w:tc>
        <w:tc>
          <w:tcPr>
            <w:tcW w:w="5208" w:type="dxa"/>
            <w:gridSpan w:val="2"/>
            <w:tcBorders>
              <w:top w:val="single" w:sz="4" w:space="0" w:color="000000"/>
              <w:left w:val="single" w:sz="4" w:space="0" w:color="000000"/>
              <w:bottom w:val="single" w:sz="4" w:space="0" w:color="000000"/>
              <w:right w:val="single" w:sz="4" w:space="0" w:color="000000"/>
            </w:tcBorders>
          </w:tcPr>
          <w:p w14:paraId="5AD081B8" w14:textId="77777777" w:rsidR="00736F4A" w:rsidRDefault="00100640">
            <w:pPr>
              <w:spacing w:line="240" w:lineRule="auto"/>
              <w:ind w:left="9"/>
              <w:rPr>
                <w:lang w:val="hu-HU"/>
              </w:rPr>
            </w:pPr>
            <w:r>
              <w:rPr>
                <w:lang w:val="hu-HU"/>
              </w:rPr>
              <w:t>Nem ismert</w:t>
            </w:r>
          </w:p>
        </w:tc>
      </w:tr>
      <w:tr w:rsidR="00736F4A" w14:paraId="7C2E97EE"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757748BE" w14:textId="77777777" w:rsidR="00736F4A" w:rsidRDefault="00100640">
            <w:pPr>
              <w:spacing w:line="240" w:lineRule="auto"/>
              <w:rPr>
                <w:lang w:val="hu-HU"/>
              </w:rPr>
            </w:pPr>
            <w:r>
              <w:rPr>
                <w:lang w:val="hu-HU"/>
              </w:rPr>
              <w:t>Immunrendszeri betegségek és tünetek</w:t>
            </w:r>
          </w:p>
        </w:tc>
      </w:tr>
      <w:tr w:rsidR="00736F4A" w14:paraId="212C225A"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22878FDB" w14:textId="77777777" w:rsidR="00736F4A" w:rsidRDefault="00100640">
            <w:pPr>
              <w:spacing w:line="240" w:lineRule="auto"/>
              <w:ind w:left="180"/>
              <w:rPr>
                <w:lang w:val="hu-HU"/>
              </w:rPr>
            </w:pPr>
            <w:r>
              <w:rPr>
                <w:lang w:val="hu-HU"/>
              </w:rPr>
              <w:t xml:space="preserve">Gyógyszer-túlérzékenység </w:t>
            </w:r>
          </w:p>
        </w:tc>
        <w:tc>
          <w:tcPr>
            <w:tcW w:w="5208" w:type="dxa"/>
            <w:gridSpan w:val="2"/>
            <w:tcBorders>
              <w:top w:val="single" w:sz="4" w:space="0" w:color="000000"/>
              <w:left w:val="single" w:sz="4" w:space="0" w:color="000000"/>
              <w:bottom w:val="single" w:sz="4" w:space="0" w:color="000000"/>
              <w:right w:val="single" w:sz="4" w:space="0" w:color="000000"/>
            </w:tcBorders>
          </w:tcPr>
          <w:p w14:paraId="45A68AEB" w14:textId="77777777" w:rsidR="00736F4A" w:rsidRDefault="00100640">
            <w:pPr>
              <w:spacing w:line="240" w:lineRule="auto"/>
              <w:ind w:left="4"/>
              <w:rPr>
                <w:lang w:val="hu-HU"/>
              </w:rPr>
            </w:pPr>
            <w:r>
              <w:rPr>
                <w:lang w:val="hu-HU"/>
              </w:rPr>
              <w:t>Nem gyakori</w:t>
            </w:r>
          </w:p>
        </w:tc>
      </w:tr>
      <w:tr w:rsidR="00736F4A" w14:paraId="5B7BEE08"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52EAD63" w14:textId="77777777" w:rsidR="00736F4A" w:rsidRDefault="00100640">
            <w:pPr>
              <w:spacing w:line="240" w:lineRule="auto"/>
              <w:ind w:left="180"/>
              <w:rPr>
                <w:lang w:val="hu-HU"/>
              </w:rPr>
            </w:pPr>
            <w:r>
              <w:rPr>
                <w:lang w:val="hu-HU"/>
              </w:rPr>
              <w:t>Bőrkiütés</w:t>
            </w:r>
          </w:p>
        </w:tc>
        <w:tc>
          <w:tcPr>
            <w:tcW w:w="5208" w:type="dxa"/>
            <w:gridSpan w:val="2"/>
            <w:tcBorders>
              <w:top w:val="single" w:sz="4" w:space="0" w:color="000000"/>
              <w:left w:val="single" w:sz="4" w:space="0" w:color="000000"/>
              <w:bottom w:val="single" w:sz="4" w:space="0" w:color="000000"/>
              <w:right w:val="single" w:sz="4" w:space="0" w:color="000000"/>
            </w:tcBorders>
          </w:tcPr>
          <w:p w14:paraId="5ABE8EDF" w14:textId="77777777" w:rsidR="00736F4A" w:rsidRDefault="00100640">
            <w:pPr>
              <w:spacing w:line="240" w:lineRule="auto"/>
              <w:ind w:left="9"/>
              <w:rPr>
                <w:lang w:val="hu-HU"/>
              </w:rPr>
            </w:pPr>
            <w:r>
              <w:rPr>
                <w:lang w:val="hu-HU"/>
              </w:rPr>
              <w:t>Gyakori</w:t>
            </w:r>
          </w:p>
        </w:tc>
      </w:tr>
      <w:tr w:rsidR="00736F4A" w14:paraId="489105C4"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C678DC3" w14:textId="77777777" w:rsidR="00736F4A" w:rsidRDefault="00100640">
            <w:pPr>
              <w:spacing w:line="240" w:lineRule="auto"/>
              <w:ind w:left="180"/>
              <w:rPr>
                <w:lang w:val="hu-HU"/>
              </w:rPr>
            </w:pPr>
            <w:r>
              <w:rPr>
                <w:lang w:val="hu-HU"/>
              </w:rPr>
              <w:t>Viszketés</w:t>
            </w:r>
          </w:p>
        </w:tc>
        <w:tc>
          <w:tcPr>
            <w:tcW w:w="5208" w:type="dxa"/>
            <w:gridSpan w:val="2"/>
            <w:tcBorders>
              <w:top w:val="single" w:sz="4" w:space="0" w:color="000000"/>
              <w:left w:val="single" w:sz="4" w:space="0" w:color="000000"/>
              <w:bottom w:val="single" w:sz="4" w:space="0" w:color="000000"/>
              <w:right w:val="single" w:sz="4" w:space="0" w:color="000000"/>
            </w:tcBorders>
          </w:tcPr>
          <w:p w14:paraId="6BB6380C" w14:textId="77777777" w:rsidR="00736F4A" w:rsidRDefault="00100640">
            <w:pPr>
              <w:spacing w:line="240" w:lineRule="auto"/>
              <w:ind w:left="4"/>
              <w:rPr>
                <w:lang w:val="hu-HU"/>
              </w:rPr>
            </w:pPr>
            <w:r>
              <w:rPr>
                <w:lang w:val="hu-HU"/>
              </w:rPr>
              <w:t>Nem gyakori</w:t>
            </w:r>
          </w:p>
        </w:tc>
      </w:tr>
      <w:tr w:rsidR="00736F4A" w14:paraId="3CBEAF3A"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E970F22" w14:textId="77777777" w:rsidR="00736F4A" w:rsidRDefault="00100640">
            <w:pPr>
              <w:spacing w:line="240" w:lineRule="auto"/>
              <w:ind w:left="180"/>
              <w:rPr>
                <w:lang w:val="hu-HU"/>
              </w:rPr>
            </w:pPr>
            <w:r>
              <w:rPr>
                <w:lang w:val="hu-HU"/>
              </w:rPr>
              <w:t>Anafilaxiás reakció</w:t>
            </w:r>
          </w:p>
        </w:tc>
        <w:tc>
          <w:tcPr>
            <w:tcW w:w="5208" w:type="dxa"/>
            <w:gridSpan w:val="2"/>
            <w:tcBorders>
              <w:top w:val="single" w:sz="4" w:space="0" w:color="000000"/>
              <w:left w:val="single" w:sz="4" w:space="0" w:color="000000"/>
              <w:bottom w:val="single" w:sz="4" w:space="0" w:color="000000"/>
              <w:right w:val="single" w:sz="4" w:space="0" w:color="000000"/>
            </w:tcBorders>
          </w:tcPr>
          <w:p w14:paraId="042C90E1" w14:textId="77777777" w:rsidR="00736F4A" w:rsidRDefault="00100640">
            <w:pPr>
              <w:spacing w:line="240" w:lineRule="auto"/>
              <w:ind w:left="9"/>
              <w:rPr>
                <w:lang w:val="hu-HU"/>
              </w:rPr>
            </w:pPr>
            <w:r>
              <w:rPr>
                <w:lang w:val="hu-HU"/>
              </w:rPr>
              <w:t>Nem ismert</w:t>
            </w:r>
          </w:p>
        </w:tc>
      </w:tr>
      <w:tr w:rsidR="00736F4A" w14:paraId="5ACCBB4E"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7A551357" w14:textId="77777777" w:rsidR="00736F4A" w:rsidRDefault="00100640">
            <w:pPr>
              <w:spacing w:line="240" w:lineRule="auto"/>
              <w:ind w:left="180"/>
              <w:rPr>
                <w:lang w:val="hu-HU"/>
              </w:rPr>
            </w:pPr>
            <w:r>
              <w:rPr>
                <w:lang w:val="hu-HU"/>
              </w:rPr>
              <w:t>Angiooedema</w:t>
            </w:r>
          </w:p>
        </w:tc>
        <w:tc>
          <w:tcPr>
            <w:tcW w:w="5208" w:type="dxa"/>
            <w:gridSpan w:val="2"/>
            <w:tcBorders>
              <w:top w:val="single" w:sz="4" w:space="0" w:color="000000"/>
              <w:left w:val="single" w:sz="4" w:space="0" w:color="000000"/>
              <w:bottom w:val="single" w:sz="4" w:space="0" w:color="000000"/>
              <w:right w:val="single" w:sz="4" w:space="0" w:color="000000"/>
            </w:tcBorders>
          </w:tcPr>
          <w:p w14:paraId="2CD3F78E" w14:textId="77777777" w:rsidR="00736F4A" w:rsidRDefault="00100640">
            <w:pPr>
              <w:spacing w:line="240" w:lineRule="auto"/>
              <w:ind w:left="9"/>
              <w:rPr>
                <w:lang w:val="hu-HU"/>
              </w:rPr>
            </w:pPr>
            <w:r>
              <w:rPr>
                <w:lang w:val="hu-HU"/>
              </w:rPr>
              <w:t>Nem ismert</w:t>
            </w:r>
          </w:p>
        </w:tc>
      </w:tr>
      <w:tr w:rsidR="00736F4A" w14:paraId="4077382E"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B3A8C6E" w14:textId="77777777" w:rsidR="00736F4A" w:rsidRDefault="00100640">
            <w:pPr>
              <w:spacing w:line="240" w:lineRule="auto"/>
              <w:ind w:left="180"/>
              <w:rPr>
                <w:lang w:val="hu-HU"/>
              </w:rPr>
            </w:pPr>
            <w:r>
              <w:rPr>
                <w:lang w:val="hu-HU"/>
              </w:rPr>
              <w:t>Csalánkiütés</w:t>
            </w:r>
          </w:p>
        </w:tc>
        <w:tc>
          <w:tcPr>
            <w:tcW w:w="5208" w:type="dxa"/>
            <w:gridSpan w:val="2"/>
            <w:tcBorders>
              <w:top w:val="single" w:sz="4" w:space="0" w:color="000000"/>
              <w:left w:val="single" w:sz="4" w:space="0" w:color="000000"/>
              <w:bottom w:val="single" w:sz="4" w:space="0" w:color="000000"/>
              <w:right w:val="single" w:sz="4" w:space="0" w:color="000000"/>
            </w:tcBorders>
          </w:tcPr>
          <w:p w14:paraId="102A43C9" w14:textId="77777777" w:rsidR="00736F4A" w:rsidRDefault="00100640">
            <w:pPr>
              <w:spacing w:line="240" w:lineRule="auto"/>
              <w:ind w:left="9"/>
              <w:rPr>
                <w:lang w:val="hu-HU"/>
              </w:rPr>
            </w:pPr>
            <w:r>
              <w:rPr>
                <w:lang w:val="hu-HU"/>
              </w:rPr>
              <w:t>Gyakori</w:t>
            </w:r>
          </w:p>
        </w:tc>
      </w:tr>
      <w:tr w:rsidR="00736F4A" w14:paraId="5F06AAD2"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8B32576" w14:textId="77777777" w:rsidR="00736F4A" w:rsidRDefault="00100640">
            <w:pPr>
              <w:spacing w:line="240" w:lineRule="auto"/>
              <w:ind w:left="180"/>
              <w:rPr>
                <w:lang w:val="hu-HU"/>
              </w:rPr>
            </w:pPr>
            <w:r>
              <w:rPr>
                <w:lang w:val="hu-HU"/>
              </w:rPr>
              <w:t>Hörgőgörcs</w:t>
            </w:r>
          </w:p>
        </w:tc>
        <w:tc>
          <w:tcPr>
            <w:tcW w:w="5208" w:type="dxa"/>
            <w:gridSpan w:val="2"/>
            <w:tcBorders>
              <w:top w:val="single" w:sz="4" w:space="0" w:color="000000"/>
              <w:left w:val="single" w:sz="4" w:space="0" w:color="000000"/>
              <w:bottom w:val="single" w:sz="4" w:space="0" w:color="000000"/>
              <w:right w:val="single" w:sz="4" w:space="0" w:color="000000"/>
            </w:tcBorders>
          </w:tcPr>
          <w:p w14:paraId="4BB0F729" w14:textId="77777777" w:rsidR="00736F4A" w:rsidRDefault="00100640">
            <w:pPr>
              <w:spacing w:line="240" w:lineRule="auto"/>
              <w:ind w:left="9"/>
              <w:rPr>
                <w:lang w:val="hu-HU"/>
              </w:rPr>
            </w:pPr>
            <w:r>
              <w:rPr>
                <w:lang w:val="hu-HU"/>
              </w:rPr>
              <w:t>Nem ismert</w:t>
            </w:r>
          </w:p>
        </w:tc>
      </w:tr>
      <w:tr w:rsidR="00736F4A" w14:paraId="6FC3DD3D" w14:textId="77777777">
        <w:trPr>
          <w:trHeight w:val="262"/>
        </w:trPr>
        <w:tc>
          <w:tcPr>
            <w:tcW w:w="9286" w:type="dxa"/>
            <w:gridSpan w:val="3"/>
            <w:tcBorders>
              <w:top w:val="single" w:sz="4" w:space="0" w:color="000000"/>
              <w:left w:val="single" w:sz="4" w:space="0" w:color="000000"/>
              <w:bottom w:val="single" w:sz="4" w:space="0" w:color="000000"/>
              <w:right w:val="single" w:sz="4" w:space="0" w:color="000000"/>
            </w:tcBorders>
          </w:tcPr>
          <w:p w14:paraId="1DD42CB5" w14:textId="77777777" w:rsidR="00736F4A" w:rsidRDefault="00100640">
            <w:pPr>
              <w:spacing w:line="240" w:lineRule="auto"/>
              <w:rPr>
                <w:lang w:val="hu-HU"/>
              </w:rPr>
            </w:pPr>
            <w:r>
              <w:rPr>
                <w:lang w:val="hu-HU"/>
              </w:rPr>
              <w:t>Idegrendszeri betegségek és tünetek</w:t>
            </w:r>
          </w:p>
        </w:tc>
      </w:tr>
      <w:tr w:rsidR="00736F4A" w14:paraId="7948D58A"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480B63EC" w14:textId="77777777" w:rsidR="00736F4A" w:rsidRDefault="00100640">
            <w:pPr>
              <w:spacing w:line="240" w:lineRule="auto"/>
              <w:ind w:left="180"/>
              <w:rPr>
                <w:lang w:val="hu-HU"/>
              </w:rPr>
            </w:pPr>
            <w:r>
              <w:rPr>
                <w:lang w:val="hu-HU"/>
              </w:rPr>
              <w:t>Koponyaűri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78052AD3" w14:textId="77777777" w:rsidR="00736F4A" w:rsidRDefault="00100640">
            <w:pPr>
              <w:spacing w:line="240" w:lineRule="auto"/>
              <w:ind w:left="4"/>
              <w:rPr>
                <w:lang w:val="hu-HU"/>
              </w:rPr>
            </w:pPr>
            <w:r>
              <w:rPr>
                <w:lang w:val="hu-HU"/>
              </w:rPr>
              <w:t>Nem gyakori</w:t>
            </w:r>
          </w:p>
        </w:tc>
      </w:tr>
      <w:tr w:rsidR="00736F4A" w14:paraId="5CEB5268"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7A34F6C1" w14:textId="77777777" w:rsidR="00736F4A" w:rsidRDefault="00100640">
            <w:pPr>
              <w:spacing w:line="240" w:lineRule="auto"/>
              <w:rPr>
                <w:lang w:val="hu-HU"/>
              </w:rPr>
            </w:pPr>
            <w:r>
              <w:rPr>
                <w:lang w:val="hu-HU"/>
              </w:rPr>
              <w:t>Érbetegségek és tünetek</w:t>
            </w:r>
          </w:p>
        </w:tc>
      </w:tr>
      <w:tr w:rsidR="00736F4A" w14:paraId="581036F8"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4AC54934" w14:textId="77777777" w:rsidR="00736F4A" w:rsidRDefault="00100640">
            <w:pPr>
              <w:spacing w:line="240" w:lineRule="auto"/>
              <w:ind w:left="180"/>
              <w:rPr>
                <w:lang w:val="hu-HU"/>
              </w:rPr>
            </w:pPr>
            <w:r>
              <w:rPr>
                <w:lang w:val="hu-HU"/>
              </w:rPr>
              <w:t>Haematoma</w:t>
            </w:r>
          </w:p>
        </w:tc>
        <w:tc>
          <w:tcPr>
            <w:tcW w:w="5208" w:type="dxa"/>
            <w:gridSpan w:val="2"/>
            <w:tcBorders>
              <w:top w:val="single" w:sz="4" w:space="0" w:color="000000"/>
              <w:left w:val="single" w:sz="4" w:space="0" w:color="000000"/>
              <w:bottom w:val="single" w:sz="4" w:space="0" w:color="000000"/>
              <w:right w:val="single" w:sz="4" w:space="0" w:color="000000"/>
            </w:tcBorders>
          </w:tcPr>
          <w:p w14:paraId="0D963F8A" w14:textId="77777777" w:rsidR="00736F4A" w:rsidRDefault="00100640">
            <w:pPr>
              <w:spacing w:line="240" w:lineRule="auto"/>
              <w:ind w:left="9"/>
              <w:rPr>
                <w:lang w:val="hu-HU"/>
              </w:rPr>
            </w:pPr>
            <w:r>
              <w:rPr>
                <w:lang w:val="hu-HU"/>
              </w:rPr>
              <w:t>Gyakori</w:t>
            </w:r>
          </w:p>
        </w:tc>
      </w:tr>
      <w:tr w:rsidR="00736F4A" w14:paraId="486B6DBF"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0119BDE3" w14:textId="77777777" w:rsidR="00736F4A" w:rsidRDefault="00100640">
            <w:pPr>
              <w:spacing w:line="240" w:lineRule="auto"/>
              <w:ind w:left="180"/>
              <w:rPr>
                <w:lang w:val="hu-HU"/>
              </w:rPr>
            </w:pPr>
            <w:r>
              <w:rPr>
                <w:lang w:val="hu-HU"/>
              </w:rPr>
              <w:t>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53964F42" w14:textId="77777777" w:rsidR="00736F4A" w:rsidRDefault="00100640">
            <w:pPr>
              <w:spacing w:line="240" w:lineRule="auto"/>
              <w:ind w:left="9"/>
              <w:rPr>
                <w:lang w:val="hu-HU"/>
              </w:rPr>
            </w:pPr>
            <w:r>
              <w:rPr>
                <w:lang w:val="hu-HU"/>
              </w:rPr>
              <w:t>Nem ismert</w:t>
            </w:r>
          </w:p>
        </w:tc>
      </w:tr>
      <w:tr w:rsidR="00736F4A" w14:paraId="1DDA44AB" w14:textId="77777777">
        <w:trPr>
          <w:trHeight w:val="262"/>
        </w:trPr>
        <w:tc>
          <w:tcPr>
            <w:tcW w:w="9286" w:type="dxa"/>
            <w:gridSpan w:val="3"/>
            <w:tcBorders>
              <w:top w:val="single" w:sz="4" w:space="0" w:color="000000"/>
              <w:left w:val="single" w:sz="4" w:space="0" w:color="000000"/>
              <w:bottom w:val="single" w:sz="4" w:space="0" w:color="000000"/>
              <w:right w:val="single" w:sz="4" w:space="0" w:color="000000"/>
            </w:tcBorders>
          </w:tcPr>
          <w:p w14:paraId="5C5E045D" w14:textId="77777777" w:rsidR="00736F4A" w:rsidRDefault="00100640">
            <w:pPr>
              <w:spacing w:line="240" w:lineRule="auto"/>
              <w:rPr>
                <w:lang w:val="hu-HU"/>
              </w:rPr>
            </w:pPr>
            <w:r>
              <w:rPr>
                <w:lang w:val="hu-HU"/>
              </w:rPr>
              <w:t>Légzőrendszeri, mellkasi és mediastinalis betegségek és tünetek</w:t>
            </w:r>
          </w:p>
        </w:tc>
      </w:tr>
      <w:tr w:rsidR="00736F4A" w14:paraId="6C7AE2C8"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598928A4" w14:textId="77777777" w:rsidR="00736F4A" w:rsidRDefault="00100640">
            <w:pPr>
              <w:spacing w:line="240" w:lineRule="auto"/>
              <w:ind w:left="180"/>
              <w:rPr>
                <w:lang w:val="hu-HU"/>
              </w:rPr>
            </w:pPr>
            <w:r>
              <w:rPr>
                <w:lang w:val="hu-HU"/>
              </w:rPr>
              <w:t xml:space="preserve">Orrvérzés </w:t>
            </w:r>
          </w:p>
        </w:tc>
        <w:tc>
          <w:tcPr>
            <w:tcW w:w="5208" w:type="dxa"/>
            <w:gridSpan w:val="2"/>
            <w:tcBorders>
              <w:top w:val="single" w:sz="4" w:space="0" w:color="000000"/>
              <w:left w:val="single" w:sz="4" w:space="0" w:color="000000"/>
              <w:bottom w:val="single" w:sz="4" w:space="0" w:color="000000"/>
              <w:right w:val="single" w:sz="4" w:space="0" w:color="000000"/>
            </w:tcBorders>
          </w:tcPr>
          <w:p w14:paraId="7DE8F138" w14:textId="77777777" w:rsidR="00736F4A" w:rsidRDefault="00100640">
            <w:pPr>
              <w:spacing w:line="240" w:lineRule="auto"/>
              <w:ind w:left="9"/>
              <w:rPr>
                <w:lang w:val="hu-HU"/>
              </w:rPr>
            </w:pPr>
            <w:r>
              <w:rPr>
                <w:lang w:val="hu-HU"/>
              </w:rPr>
              <w:t>Gyakori</w:t>
            </w:r>
          </w:p>
        </w:tc>
      </w:tr>
      <w:tr w:rsidR="00736F4A" w14:paraId="7A834F0A"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415B1329" w14:textId="77777777" w:rsidR="00736F4A" w:rsidRDefault="00100640">
            <w:pPr>
              <w:spacing w:line="240" w:lineRule="auto"/>
              <w:ind w:left="180"/>
              <w:rPr>
                <w:lang w:val="hu-HU"/>
              </w:rPr>
            </w:pPr>
            <w:r>
              <w:rPr>
                <w:lang w:val="hu-HU"/>
              </w:rPr>
              <w:t>Haemoptoe</w:t>
            </w:r>
          </w:p>
        </w:tc>
        <w:tc>
          <w:tcPr>
            <w:tcW w:w="5208" w:type="dxa"/>
            <w:gridSpan w:val="2"/>
            <w:tcBorders>
              <w:top w:val="single" w:sz="4" w:space="0" w:color="000000"/>
              <w:left w:val="single" w:sz="4" w:space="0" w:color="000000"/>
              <w:bottom w:val="single" w:sz="4" w:space="0" w:color="000000"/>
              <w:right w:val="single" w:sz="4" w:space="0" w:color="000000"/>
            </w:tcBorders>
          </w:tcPr>
          <w:p w14:paraId="5DFAD326" w14:textId="77777777" w:rsidR="00736F4A" w:rsidRDefault="00100640">
            <w:pPr>
              <w:spacing w:line="240" w:lineRule="auto"/>
              <w:ind w:left="9"/>
              <w:rPr>
                <w:lang w:val="hu-HU"/>
              </w:rPr>
            </w:pPr>
            <w:r>
              <w:rPr>
                <w:lang w:val="hu-HU"/>
              </w:rPr>
              <w:t>Nem gyakori</w:t>
            </w:r>
          </w:p>
        </w:tc>
      </w:tr>
      <w:tr w:rsidR="00736F4A" w14:paraId="2794E610"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1A7C249A" w14:textId="77777777" w:rsidR="00736F4A" w:rsidRDefault="00100640">
            <w:pPr>
              <w:spacing w:line="240" w:lineRule="auto"/>
              <w:rPr>
                <w:lang w:val="hu-HU"/>
              </w:rPr>
            </w:pPr>
            <w:r>
              <w:rPr>
                <w:lang w:val="hu-HU"/>
              </w:rPr>
              <w:t>Emésztőrendszeri betegségek és tünetek</w:t>
            </w:r>
          </w:p>
        </w:tc>
      </w:tr>
      <w:tr w:rsidR="00736F4A" w14:paraId="25DA6181"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64ABD8B" w14:textId="77777777" w:rsidR="00736F4A" w:rsidRDefault="00100640">
            <w:pPr>
              <w:spacing w:line="240" w:lineRule="auto"/>
              <w:ind w:left="180"/>
              <w:rPr>
                <w:lang w:val="hu-HU"/>
              </w:rPr>
            </w:pPr>
            <w:r>
              <w:rPr>
                <w:lang w:val="hu-HU"/>
              </w:rPr>
              <w:t>Emésztőrendszeri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4C564D25" w14:textId="77777777" w:rsidR="00736F4A" w:rsidRDefault="00100640">
            <w:pPr>
              <w:spacing w:line="240" w:lineRule="auto"/>
              <w:ind w:left="9"/>
              <w:rPr>
                <w:lang w:val="hu-HU"/>
              </w:rPr>
            </w:pPr>
            <w:r>
              <w:rPr>
                <w:lang w:val="hu-HU"/>
              </w:rPr>
              <w:t>Nem gyakori</w:t>
            </w:r>
          </w:p>
        </w:tc>
      </w:tr>
      <w:tr w:rsidR="00736F4A" w14:paraId="5042CBBA"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45DB5C44" w14:textId="77777777" w:rsidR="00736F4A" w:rsidRDefault="00100640">
            <w:pPr>
              <w:spacing w:line="240" w:lineRule="auto"/>
              <w:ind w:left="180"/>
              <w:rPr>
                <w:lang w:val="hu-HU"/>
              </w:rPr>
            </w:pPr>
            <w:r>
              <w:rPr>
                <w:lang w:val="hu-HU"/>
              </w:rPr>
              <w:t>Hasi fájdalom</w:t>
            </w:r>
          </w:p>
        </w:tc>
        <w:tc>
          <w:tcPr>
            <w:tcW w:w="5208" w:type="dxa"/>
            <w:gridSpan w:val="2"/>
            <w:tcBorders>
              <w:top w:val="single" w:sz="4" w:space="0" w:color="000000"/>
              <w:left w:val="single" w:sz="4" w:space="0" w:color="000000"/>
              <w:bottom w:val="single" w:sz="4" w:space="0" w:color="000000"/>
              <w:right w:val="single" w:sz="4" w:space="0" w:color="000000"/>
            </w:tcBorders>
          </w:tcPr>
          <w:p w14:paraId="0B6F84B5" w14:textId="77777777" w:rsidR="00736F4A" w:rsidRDefault="00100640">
            <w:pPr>
              <w:spacing w:line="240" w:lineRule="auto"/>
              <w:ind w:left="4"/>
              <w:rPr>
                <w:lang w:val="hu-HU"/>
              </w:rPr>
            </w:pPr>
            <w:r>
              <w:rPr>
                <w:lang w:val="hu-HU"/>
              </w:rPr>
              <w:t>Nem gyakori</w:t>
            </w:r>
          </w:p>
        </w:tc>
      </w:tr>
      <w:tr w:rsidR="00736F4A" w14:paraId="52A503EB"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2D8E6C59" w14:textId="77777777" w:rsidR="00736F4A" w:rsidRDefault="00100640">
            <w:pPr>
              <w:spacing w:line="240" w:lineRule="auto"/>
              <w:ind w:left="180"/>
              <w:rPr>
                <w:lang w:val="hu-HU"/>
              </w:rPr>
            </w:pPr>
            <w:r>
              <w:rPr>
                <w:lang w:val="hu-HU"/>
              </w:rPr>
              <w:t xml:space="preserve">Hasmenés </w:t>
            </w:r>
          </w:p>
        </w:tc>
        <w:tc>
          <w:tcPr>
            <w:tcW w:w="5208" w:type="dxa"/>
            <w:gridSpan w:val="2"/>
            <w:tcBorders>
              <w:top w:val="single" w:sz="4" w:space="0" w:color="000000"/>
              <w:left w:val="single" w:sz="4" w:space="0" w:color="000000"/>
              <w:bottom w:val="single" w:sz="4" w:space="0" w:color="000000"/>
              <w:right w:val="single" w:sz="4" w:space="0" w:color="000000"/>
            </w:tcBorders>
          </w:tcPr>
          <w:p w14:paraId="4BDF5AA3" w14:textId="77777777" w:rsidR="00736F4A" w:rsidRDefault="00100640">
            <w:pPr>
              <w:spacing w:line="240" w:lineRule="auto"/>
              <w:ind w:left="9"/>
              <w:rPr>
                <w:lang w:val="hu-HU"/>
              </w:rPr>
            </w:pPr>
            <w:r>
              <w:rPr>
                <w:lang w:val="hu-HU"/>
              </w:rPr>
              <w:t>Gyakori</w:t>
            </w:r>
          </w:p>
        </w:tc>
      </w:tr>
      <w:tr w:rsidR="00736F4A" w14:paraId="22BC7647"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1F942D02" w14:textId="77777777" w:rsidR="00736F4A" w:rsidRDefault="00100640">
            <w:pPr>
              <w:spacing w:line="240" w:lineRule="auto"/>
              <w:ind w:left="180"/>
              <w:rPr>
                <w:lang w:val="hu-HU"/>
              </w:rPr>
            </w:pPr>
            <w:r>
              <w:rPr>
                <w:lang w:val="hu-HU"/>
              </w:rPr>
              <w:t xml:space="preserve">Dyspepsia </w:t>
            </w:r>
          </w:p>
        </w:tc>
        <w:tc>
          <w:tcPr>
            <w:tcW w:w="5208" w:type="dxa"/>
            <w:gridSpan w:val="2"/>
            <w:tcBorders>
              <w:top w:val="single" w:sz="4" w:space="0" w:color="000000"/>
              <w:left w:val="single" w:sz="4" w:space="0" w:color="000000"/>
              <w:bottom w:val="single" w:sz="4" w:space="0" w:color="000000"/>
              <w:right w:val="single" w:sz="4" w:space="0" w:color="000000"/>
            </w:tcBorders>
          </w:tcPr>
          <w:p w14:paraId="128F6904" w14:textId="77777777" w:rsidR="00736F4A" w:rsidRDefault="00100640">
            <w:pPr>
              <w:spacing w:line="240" w:lineRule="auto"/>
              <w:ind w:left="9"/>
              <w:rPr>
                <w:lang w:val="hu-HU"/>
              </w:rPr>
            </w:pPr>
            <w:r>
              <w:rPr>
                <w:lang w:val="hu-HU"/>
              </w:rPr>
              <w:t>Gyakori</w:t>
            </w:r>
          </w:p>
        </w:tc>
      </w:tr>
      <w:tr w:rsidR="00736F4A" w14:paraId="0B519103"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31241A2" w14:textId="77777777" w:rsidR="00736F4A" w:rsidRDefault="00100640">
            <w:pPr>
              <w:spacing w:line="240" w:lineRule="auto"/>
              <w:ind w:left="180"/>
              <w:rPr>
                <w:lang w:val="hu-HU"/>
              </w:rPr>
            </w:pPr>
            <w:r>
              <w:rPr>
                <w:lang w:val="hu-HU"/>
              </w:rPr>
              <w:t xml:space="preserve">Hányinger </w:t>
            </w:r>
          </w:p>
        </w:tc>
        <w:tc>
          <w:tcPr>
            <w:tcW w:w="5208" w:type="dxa"/>
            <w:gridSpan w:val="2"/>
            <w:tcBorders>
              <w:top w:val="single" w:sz="4" w:space="0" w:color="000000"/>
              <w:left w:val="single" w:sz="4" w:space="0" w:color="000000"/>
              <w:bottom w:val="single" w:sz="4" w:space="0" w:color="000000"/>
              <w:right w:val="single" w:sz="4" w:space="0" w:color="000000"/>
            </w:tcBorders>
          </w:tcPr>
          <w:p w14:paraId="5E6CB466" w14:textId="77777777" w:rsidR="00736F4A" w:rsidRDefault="00100640">
            <w:pPr>
              <w:spacing w:line="240" w:lineRule="auto"/>
              <w:ind w:left="5"/>
              <w:rPr>
                <w:lang w:val="hu-HU"/>
              </w:rPr>
            </w:pPr>
            <w:r>
              <w:rPr>
                <w:lang w:val="hu-HU"/>
              </w:rPr>
              <w:t xml:space="preserve">Gyakori </w:t>
            </w:r>
          </w:p>
        </w:tc>
      </w:tr>
      <w:tr w:rsidR="00736F4A" w14:paraId="68251172"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5334DF67" w14:textId="77777777" w:rsidR="00736F4A" w:rsidRDefault="00100640">
            <w:pPr>
              <w:spacing w:line="240" w:lineRule="auto"/>
              <w:ind w:left="180"/>
              <w:rPr>
                <w:lang w:val="hu-HU"/>
              </w:rPr>
            </w:pPr>
            <w:r>
              <w:rPr>
                <w:lang w:val="hu-HU"/>
              </w:rPr>
              <w:t>Rectalis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2E6B5EEA" w14:textId="77777777" w:rsidR="00736F4A" w:rsidRDefault="00100640">
            <w:pPr>
              <w:spacing w:line="240" w:lineRule="auto"/>
              <w:ind w:left="4"/>
              <w:rPr>
                <w:lang w:val="hu-HU"/>
              </w:rPr>
            </w:pPr>
            <w:r>
              <w:rPr>
                <w:lang w:val="hu-HU"/>
              </w:rPr>
              <w:t>Nem gyakori</w:t>
            </w:r>
          </w:p>
        </w:tc>
      </w:tr>
      <w:tr w:rsidR="00736F4A" w14:paraId="7D4D9988"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11B2577" w14:textId="77777777" w:rsidR="00736F4A" w:rsidRDefault="00100640">
            <w:pPr>
              <w:spacing w:line="240" w:lineRule="auto"/>
              <w:ind w:left="180"/>
              <w:rPr>
                <w:lang w:val="hu-HU"/>
              </w:rPr>
            </w:pPr>
            <w:r>
              <w:rPr>
                <w:lang w:val="hu-HU"/>
              </w:rPr>
              <w:t>Aranyérvérzés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39794B61" w14:textId="77777777" w:rsidR="00736F4A" w:rsidRDefault="00100640">
            <w:pPr>
              <w:spacing w:line="240" w:lineRule="auto"/>
              <w:ind w:left="9"/>
              <w:rPr>
                <w:lang w:val="hu-HU"/>
              </w:rPr>
            </w:pPr>
            <w:r>
              <w:rPr>
                <w:lang w:val="hu-HU"/>
              </w:rPr>
              <w:t>Nem ismert</w:t>
            </w:r>
          </w:p>
        </w:tc>
      </w:tr>
      <w:tr w:rsidR="00736F4A" w14:paraId="7DD14EDF"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2507F9AF" w14:textId="77777777" w:rsidR="00736F4A" w:rsidRDefault="00100640">
            <w:pPr>
              <w:spacing w:line="240" w:lineRule="auto"/>
              <w:ind w:left="180"/>
              <w:rPr>
                <w:lang w:val="hu-HU"/>
              </w:rPr>
            </w:pPr>
            <w:r>
              <w:rPr>
                <w:lang w:val="hu-HU"/>
              </w:rPr>
              <w:t>Gastrointestinalis fekély, a nyelőcsőfekélyt is beleértve</w:t>
            </w:r>
          </w:p>
        </w:tc>
        <w:tc>
          <w:tcPr>
            <w:tcW w:w="5208" w:type="dxa"/>
            <w:gridSpan w:val="2"/>
            <w:tcBorders>
              <w:top w:val="single" w:sz="4" w:space="0" w:color="000000"/>
              <w:left w:val="single" w:sz="4" w:space="0" w:color="000000"/>
              <w:bottom w:val="single" w:sz="4" w:space="0" w:color="000000"/>
              <w:right w:val="single" w:sz="4" w:space="0" w:color="000000"/>
            </w:tcBorders>
          </w:tcPr>
          <w:p w14:paraId="3E026B0B" w14:textId="77777777" w:rsidR="00736F4A" w:rsidRDefault="00100640">
            <w:pPr>
              <w:spacing w:line="240" w:lineRule="auto"/>
              <w:ind w:left="9"/>
              <w:rPr>
                <w:lang w:val="hu-HU"/>
              </w:rPr>
            </w:pPr>
            <w:r>
              <w:rPr>
                <w:lang w:val="hu-HU"/>
              </w:rPr>
              <w:t>Nem ismert</w:t>
            </w:r>
          </w:p>
        </w:tc>
      </w:tr>
      <w:tr w:rsidR="00736F4A" w14:paraId="51416A76"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1CBC4F5" w14:textId="77777777" w:rsidR="00736F4A" w:rsidRDefault="00100640">
            <w:pPr>
              <w:spacing w:line="240" w:lineRule="auto"/>
              <w:ind w:left="180"/>
              <w:rPr>
                <w:lang w:val="hu-HU"/>
              </w:rPr>
            </w:pPr>
            <w:r>
              <w:rPr>
                <w:lang w:val="hu-HU"/>
              </w:rPr>
              <w:t xml:space="preserve">Gastrooesophagitis </w:t>
            </w:r>
          </w:p>
        </w:tc>
        <w:tc>
          <w:tcPr>
            <w:tcW w:w="5208" w:type="dxa"/>
            <w:gridSpan w:val="2"/>
            <w:tcBorders>
              <w:top w:val="single" w:sz="4" w:space="0" w:color="000000"/>
              <w:left w:val="single" w:sz="4" w:space="0" w:color="000000"/>
              <w:bottom w:val="single" w:sz="4" w:space="0" w:color="000000"/>
              <w:right w:val="single" w:sz="4" w:space="0" w:color="000000"/>
            </w:tcBorders>
          </w:tcPr>
          <w:p w14:paraId="614FE642" w14:textId="77777777" w:rsidR="00736F4A" w:rsidRDefault="00100640">
            <w:pPr>
              <w:spacing w:line="240" w:lineRule="auto"/>
              <w:ind w:left="4"/>
              <w:rPr>
                <w:lang w:val="hu-HU"/>
              </w:rPr>
            </w:pPr>
            <w:r>
              <w:rPr>
                <w:lang w:val="hu-HU"/>
              </w:rPr>
              <w:t>Nem gyakori</w:t>
            </w:r>
          </w:p>
        </w:tc>
      </w:tr>
      <w:tr w:rsidR="00736F4A" w14:paraId="7DDE219C"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559E0DB4" w14:textId="77777777" w:rsidR="00736F4A" w:rsidRDefault="00100640">
            <w:pPr>
              <w:spacing w:line="240" w:lineRule="auto"/>
              <w:ind w:left="180"/>
              <w:rPr>
                <w:lang w:val="hu-HU"/>
              </w:rPr>
            </w:pPr>
            <w:r>
              <w:rPr>
                <w:lang w:val="hu-HU"/>
              </w:rPr>
              <w:t>Gastrooesophagealis refluxbetegség</w:t>
            </w:r>
          </w:p>
        </w:tc>
        <w:tc>
          <w:tcPr>
            <w:tcW w:w="5208" w:type="dxa"/>
            <w:gridSpan w:val="2"/>
            <w:tcBorders>
              <w:top w:val="single" w:sz="4" w:space="0" w:color="000000"/>
              <w:left w:val="single" w:sz="4" w:space="0" w:color="000000"/>
              <w:bottom w:val="single" w:sz="4" w:space="0" w:color="000000"/>
              <w:right w:val="single" w:sz="4" w:space="0" w:color="000000"/>
            </w:tcBorders>
          </w:tcPr>
          <w:p w14:paraId="2B808E41" w14:textId="77777777" w:rsidR="00736F4A" w:rsidRDefault="00100640">
            <w:pPr>
              <w:spacing w:line="240" w:lineRule="auto"/>
              <w:ind w:left="9"/>
              <w:rPr>
                <w:lang w:val="hu-HU"/>
              </w:rPr>
            </w:pPr>
            <w:r>
              <w:rPr>
                <w:lang w:val="hu-HU"/>
              </w:rPr>
              <w:t>Gyakori</w:t>
            </w:r>
          </w:p>
        </w:tc>
      </w:tr>
      <w:tr w:rsidR="00736F4A" w14:paraId="3C893ED4"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4DBC613F" w14:textId="77777777" w:rsidR="00736F4A" w:rsidRDefault="00100640">
            <w:pPr>
              <w:spacing w:line="240" w:lineRule="auto"/>
              <w:ind w:left="180"/>
              <w:rPr>
                <w:lang w:val="hu-HU"/>
              </w:rPr>
            </w:pPr>
            <w:r>
              <w:rPr>
                <w:lang w:val="hu-HU"/>
              </w:rPr>
              <w:t>Hányás</w:t>
            </w:r>
          </w:p>
        </w:tc>
        <w:tc>
          <w:tcPr>
            <w:tcW w:w="5208" w:type="dxa"/>
            <w:gridSpan w:val="2"/>
            <w:tcBorders>
              <w:top w:val="single" w:sz="4" w:space="0" w:color="000000"/>
              <w:left w:val="single" w:sz="4" w:space="0" w:color="000000"/>
              <w:bottom w:val="single" w:sz="4" w:space="0" w:color="000000"/>
              <w:right w:val="single" w:sz="4" w:space="0" w:color="000000"/>
            </w:tcBorders>
          </w:tcPr>
          <w:p w14:paraId="4EEB863A" w14:textId="77777777" w:rsidR="00736F4A" w:rsidRDefault="00100640">
            <w:pPr>
              <w:spacing w:line="240" w:lineRule="auto"/>
              <w:ind w:left="9"/>
              <w:rPr>
                <w:lang w:val="hu-HU"/>
              </w:rPr>
            </w:pPr>
            <w:r>
              <w:rPr>
                <w:lang w:val="hu-HU"/>
              </w:rPr>
              <w:t>Gyakori</w:t>
            </w:r>
          </w:p>
        </w:tc>
      </w:tr>
      <w:tr w:rsidR="00736F4A" w14:paraId="11E9202C"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83C2A19" w14:textId="77777777" w:rsidR="00736F4A" w:rsidRDefault="00100640">
            <w:pPr>
              <w:spacing w:line="240" w:lineRule="auto"/>
              <w:ind w:left="180"/>
              <w:rPr>
                <w:lang w:val="hu-HU"/>
              </w:rPr>
            </w:pPr>
            <w:r>
              <w:rPr>
                <w:lang w:val="hu-HU"/>
              </w:rPr>
              <w:t xml:space="preserve">Dysphagia </w:t>
            </w:r>
          </w:p>
        </w:tc>
        <w:tc>
          <w:tcPr>
            <w:tcW w:w="5208" w:type="dxa"/>
            <w:gridSpan w:val="2"/>
            <w:tcBorders>
              <w:top w:val="single" w:sz="4" w:space="0" w:color="000000"/>
              <w:left w:val="single" w:sz="4" w:space="0" w:color="000000"/>
              <w:bottom w:val="single" w:sz="4" w:space="0" w:color="000000"/>
              <w:right w:val="single" w:sz="4" w:space="0" w:color="000000"/>
            </w:tcBorders>
          </w:tcPr>
          <w:p w14:paraId="3727EE2E" w14:textId="77777777" w:rsidR="00736F4A" w:rsidRDefault="00100640">
            <w:pPr>
              <w:spacing w:line="240" w:lineRule="auto"/>
              <w:ind w:left="4"/>
              <w:rPr>
                <w:lang w:val="hu-HU"/>
              </w:rPr>
            </w:pPr>
            <w:r>
              <w:rPr>
                <w:lang w:val="hu-HU"/>
              </w:rPr>
              <w:t>Nem gyakori</w:t>
            </w:r>
          </w:p>
        </w:tc>
      </w:tr>
      <w:tr w:rsidR="00736F4A" w14:paraId="5D1D6652"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3783FA12" w14:textId="77777777" w:rsidR="00736F4A" w:rsidRDefault="00100640">
            <w:pPr>
              <w:spacing w:line="240" w:lineRule="auto"/>
              <w:rPr>
                <w:lang w:val="hu-HU"/>
              </w:rPr>
            </w:pPr>
            <w:r>
              <w:rPr>
                <w:lang w:val="hu-HU"/>
              </w:rPr>
              <w:t>Máj- és epebetegségek, illetve tünetek</w:t>
            </w:r>
          </w:p>
        </w:tc>
      </w:tr>
      <w:tr w:rsidR="00736F4A" w14:paraId="4D0810FD"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4BEB3334" w14:textId="77777777" w:rsidR="00736F4A" w:rsidRDefault="00100640">
            <w:pPr>
              <w:spacing w:line="240" w:lineRule="auto"/>
              <w:ind w:left="180"/>
              <w:rPr>
                <w:lang w:val="hu-HU"/>
              </w:rPr>
            </w:pPr>
            <w:r>
              <w:rPr>
                <w:lang w:val="hu-HU"/>
              </w:rPr>
              <w:t>Kóros májfunkció/kóros májfunkciós vizsgálati eredmények</w:t>
            </w:r>
          </w:p>
        </w:tc>
        <w:tc>
          <w:tcPr>
            <w:tcW w:w="5208" w:type="dxa"/>
            <w:gridSpan w:val="2"/>
            <w:tcBorders>
              <w:top w:val="single" w:sz="4" w:space="0" w:color="000000"/>
              <w:left w:val="single" w:sz="4" w:space="0" w:color="000000"/>
              <w:bottom w:val="single" w:sz="4" w:space="0" w:color="000000"/>
              <w:right w:val="single" w:sz="4" w:space="0" w:color="000000"/>
            </w:tcBorders>
          </w:tcPr>
          <w:p w14:paraId="19181C72" w14:textId="77777777" w:rsidR="00736F4A" w:rsidRDefault="00100640">
            <w:pPr>
              <w:spacing w:line="240" w:lineRule="auto"/>
              <w:ind w:left="9"/>
              <w:rPr>
                <w:lang w:val="hu-HU"/>
              </w:rPr>
            </w:pPr>
            <w:r>
              <w:rPr>
                <w:lang w:val="hu-HU"/>
              </w:rPr>
              <w:t>Nem ismert</w:t>
            </w:r>
          </w:p>
        </w:tc>
      </w:tr>
      <w:tr w:rsidR="00736F4A" w14:paraId="6B5CA017"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49809001" w14:textId="77777777" w:rsidR="00736F4A" w:rsidRDefault="00100640">
            <w:pPr>
              <w:spacing w:line="240" w:lineRule="auto"/>
              <w:ind w:left="180"/>
              <w:rPr>
                <w:highlight w:val="yellow"/>
                <w:lang w:val="hu-HU"/>
              </w:rPr>
            </w:pPr>
            <w:r>
              <w:rPr>
                <w:lang w:val="hu-HU"/>
              </w:rPr>
              <w:t>Glutamát-piruvát-transzamináz szintjének emelkedése</w:t>
            </w:r>
          </w:p>
        </w:tc>
        <w:tc>
          <w:tcPr>
            <w:tcW w:w="5208" w:type="dxa"/>
            <w:gridSpan w:val="2"/>
            <w:tcBorders>
              <w:top w:val="single" w:sz="4" w:space="0" w:color="000000"/>
              <w:left w:val="single" w:sz="4" w:space="0" w:color="000000"/>
              <w:bottom w:val="single" w:sz="4" w:space="0" w:color="000000"/>
              <w:right w:val="single" w:sz="4" w:space="0" w:color="000000"/>
            </w:tcBorders>
          </w:tcPr>
          <w:p w14:paraId="642144E3" w14:textId="77777777" w:rsidR="00736F4A" w:rsidRDefault="00100640">
            <w:pPr>
              <w:spacing w:line="240" w:lineRule="auto"/>
              <w:ind w:left="9"/>
              <w:rPr>
                <w:highlight w:val="yellow"/>
                <w:lang w:val="hu-HU"/>
              </w:rPr>
            </w:pPr>
            <w:r>
              <w:rPr>
                <w:lang w:val="hu-HU"/>
              </w:rPr>
              <w:t>Nem gyakori</w:t>
            </w:r>
          </w:p>
        </w:tc>
      </w:tr>
      <w:tr w:rsidR="00736F4A" w14:paraId="5E726C2C"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5B767436" w14:textId="77777777" w:rsidR="00736F4A" w:rsidRDefault="00100640">
            <w:pPr>
              <w:spacing w:line="240" w:lineRule="auto"/>
              <w:ind w:left="180"/>
              <w:rPr>
                <w:lang w:val="hu-HU"/>
              </w:rPr>
            </w:pPr>
            <w:r>
              <w:rPr>
                <w:lang w:val="hu-HU"/>
              </w:rPr>
              <w:t>Glutamát-oxálacetát-transzamináz szintjének emelkedése</w:t>
            </w:r>
          </w:p>
        </w:tc>
        <w:tc>
          <w:tcPr>
            <w:tcW w:w="5208" w:type="dxa"/>
            <w:gridSpan w:val="2"/>
            <w:tcBorders>
              <w:top w:val="single" w:sz="4" w:space="0" w:color="000000"/>
              <w:left w:val="single" w:sz="4" w:space="0" w:color="000000"/>
              <w:bottom w:val="single" w:sz="4" w:space="0" w:color="000000"/>
              <w:right w:val="single" w:sz="4" w:space="0" w:color="000000"/>
            </w:tcBorders>
          </w:tcPr>
          <w:p w14:paraId="6A551E25" w14:textId="77777777" w:rsidR="00736F4A" w:rsidRDefault="00100640">
            <w:pPr>
              <w:spacing w:line="240" w:lineRule="auto"/>
              <w:ind w:left="9"/>
              <w:rPr>
                <w:lang w:val="hu-HU"/>
              </w:rPr>
            </w:pPr>
            <w:r>
              <w:rPr>
                <w:lang w:val="hu-HU"/>
              </w:rPr>
              <w:t>Nem gyakori</w:t>
            </w:r>
          </w:p>
        </w:tc>
      </w:tr>
      <w:tr w:rsidR="00736F4A" w14:paraId="0D6E7D06"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6ACC20D" w14:textId="77777777" w:rsidR="00736F4A" w:rsidRDefault="00100640">
            <w:pPr>
              <w:spacing w:line="240" w:lineRule="auto"/>
              <w:ind w:left="180"/>
              <w:rPr>
                <w:lang w:val="hu-HU"/>
              </w:rPr>
            </w:pPr>
            <w:r>
              <w:rPr>
                <w:lang w:val="hu-HU"/>
              </w:rPr>
              <w:t>Májenzimszint-emelkedés</w:t>
            </w:r>
          </w:p>
        </w:tc>
        <w:tc>
          <w:tcPr>
            <w:tcW w:w="5208" w:type="dxa"/>
            <w:gridSpan w:val="2"/>
            <w:tcBorders>
              <w:top w:val="single" w:sz="4" w:space="0" w:color="000000"/>
              <w:left w:val="single" w:sz="4" w:space="0" w:color="000000"/>
              <w:bottom w:val="single" w:sz="4" w:space="0" w:color="000000"/>
              <w:right w:val="single" w:sz="4" w:space="0" w:color="000000"/>
            </w:tcBorders>
          </w:tcPr>
          <w:p w14:paraId="0C9D6669" w14:textId="77777777" w:rsidR="00736F4A" w:rsidRDefault="00100640">
            <w:pPr>
              <w:spacing w:line="240" w:lineRule="auto"/>
              <w:ind w:left="9"/>
              <w:rPr>
                <w:lang w:val="hu-HU"/>
              </w:rPr>
            </w:pPr>
            <w:r>
              <w:rPr>
                <w:lang w:val="hu-HU"/>
              </w:rPr>
              <w:t>Gyakori</w:t>
            </w:r>
          </w:p>
        </w:tc>
      </w:tr>
      <w:tr w:rsidR="00736F4A" w14:paraId="4F246615"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2BF0F77" w14:textId="77777777" w:rsidR="00736F4A" w:rsidRDefault="00100640">
            <w:pPr>
              <w:spacing w:line="240" w:lineRule="auto"/>
              <w:ind w:left="180"/>
              <w:rPr>
                <w:lang w:val="hu-HU"/>
              </w:rPr>
            </w:pPr>
            <w:r>
              <w:rPr>
                <w:lang w:val="hu-HU"/>
              </w:rPr>
              <w:lastRenderedPageBreak/>
              <w:t>Hyperbilirubinaemia</w:t>
            </w:r>
          </w:p>
        </w:tc>
        <w:tc>
          <w:tcPr>
            <w:tcW w:w="5208" w:type="dxa"/>
            <w:gridSpan w:val="2"/>
            <w:tcBorders>
              <w:top w:val="single" w:sz="4" w:space="0" w:color="000000"/>
              <w:left w:val="single" w:sz="4" w:space="0" w:color="000000"/>
              <w:bottom w:val="single" w:sz="4" w:space="0" w:color="000000"/>
              <w:right w:val="single" w:sz="4" w:space="0" w:color="000000"/>
            </w:tcBorders>
          </w:tcPr>
          <w:p w14:paraId="56C14296" w14:textId="77777777" w:rsidR="00736F4A" w:rsidRDefault="00100640">
            <w:pPr>
              <w:spacing w:line="240" w:lineRule="auto"/>
              <w:ind w:left="9"/>
              <w:rPr>
                <w:lang w:val="hu-HU"/>
              </w:rPr>
            </w:pPr>
            <w:r>
              <w:rPr>
                <w:lang w:val="hu-HU"/>
              </w:rPr>
              <w:t>Nem gyakori</w:t>
            </w:r>
          </w:p>
        </w:tc>
      </w:tr>
      <w:tr w:rsidR="00736F4A" w14:paraId="6EC6EDF3"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426D1B8E" w14:textId="77777777" w:rsidR="00736F4A" w:rsidRDefault="00100640">
            <w:pPr>
              <w:spacing w:line="240" w:lineRule="auto"/>
              <w:rPr>
                <w:lang w:val="hu-HU"/>
              </w:rPr>
            </w:pPr>
            <w:r>
              <w:rPr>
                <w:lang w:val="hu-HU"/>
              </w:rPr>
              <w:t>A bőr és a bőr alatti szövet betegségei és tünetei</w:t>
            </w:r>
          </w:p>
        </w:tc>
      </w:tr>
      <w:tr w:rsidR="00736F4A" w14:paraId="44E89EE9"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0A37B89" w14:textId="77777777" w:rsidR="00736F4A" w:rsidRDefault="00100640">
            <w:pPr>
              <w:spacing w:line="240" w:lineRule="auto"/>
              <w:ind w:left="180"/>
              <w:rPr>
                <w:lang w:val="hu-HU"/>
              </w:rPr>
            </w:pPr>
            <w:r>
              <w:rPr>
                <w:lang w:val="hu-HU"/>
              </w:rPr>
              <w:t>Bőrvérzés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7AC72523" w14:textId="77777777" w:rsidR="00736F4A" w:rsidRDefault="00100640">
            <w:pPr>
              <w:spacing w:line="240" w:lineRule="auto"/>
              <w:ind w:left="10"/>
              <w:rPr>
                <w:lang w:val="hu-HU"/>
              </w:rPr>
            </w:pPr>
            <w:r>
              <w:rPr>
                <w:lang w:val="hu-HU"/>
              </w:rPr>
              <w:t xml:space="preserve">Nem gyakori </w:t>
            </w:r>
          </w:p>
        </w:tc>
      </w:tr>
      <w:tr w:rsidR="00736F4A" w14:paraId="0E2E252A"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2B251967" w14:textId="77777777" w:rsidR="00736F4A" w:rsidRDefault="00100640">
            <w:pPr>
              <w:spacing w:line="240" w:lineRule="auto"/>
              <w:ind w:left="180"/>
              <w:rPr>
                <w:lang w:val="hu-HU"/>
              </w:rPr>
            </w:pPr>
            <w:r>
              <w:rPr>
                <w:lang w:val="hu-HU"/>
              </w:rPr>
              <w:t>Alopecia</w:t>
            </w:r>
          </w:p>
        </w:tc>
        <w:tc>
          <w:tcPr>
            <w:tcW w:w="5208" w:type="dxa"/>
            <w:gridSpan w:val="2"/>
            <w:tcBorders>
              <w:top w:val="single" w:sz="4" w:space="0" w:color="000000"/>
              <w:left w:val="single" w:sz="4" w:space="0" w:color="000000"/>
              <w:bottom w:val="single" w:sz="4" w:space="0" w:color="000000"/>
              <w:right w:val="single" w:sz="4" w:space="0" w:color="000000"/>
            </w:tcBorders>
          </w:tcPr>
          <w:p w14:paraId="494C4634" w14:textId="77777777" w:rsidR="00736F4A" w:rsidRDefault="00100640">
            <w:pPr>
              <w:spacing w:line="240" w:lineRule="auto"/>
              <w:ind w:left="9"/>
              <w:rPr>
                <w:lang w:val="hu-HU"/>
              </w:rPr>
            </w:pPr>
            <w:r>
              <w:rPr>
                <w:lang w:val="hu-HU"/>
              </w:rPr>
              <w:t>Gyakori</w:t>
            </w:r>
          </w:p>
        </w:tc>
      </w:tr>
      <w:tr w:rsidR="00736F4A" w14:paraId="140411CE"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1B5481CB" w14:textId="77777777" w:rsidR="00736F4A" w:rsidRDefault="00100640">
            <w:pPr>
              <w:spacing w:line="240" w:lineRule="auto"/>
              <w:rPr>
                <w:lang w:val="hu-HU"/>
              </w:rPr>
            </w:pPr>
            <w:r>
              <w:rPr>
                <w:lang w:val="hu-HU"/>
              </w:rPr>
              <w:t>A csont- és izomrendszer, valamint a kötőszövet betegségei és tünetei</w:t>
            </w:r>
          </w:p>
        </w:tc>
      </w:tr>
      <w:tr w:rsidR="00736F4A" w14:paraId="1C22EB30"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B2BC321" w14:textId="77777777" w:rsidR="00736F4A" w:rsidRDefault="00100640">
            <w:pPr>
              <w:spacing w:line="240" w:lineRule="auto"/>
              <w:ind w:left="180"/>
              <w:rPr>
                <w:lang w:val="hu-HU"/>
              </w:rPr>
            </w:pPr>
            <w:r>
              <w:rPr>
                <w:lang w:val="hu-HU"/>
              </w:rPr>
              <w:t>Haemarthrosis</w:t>
            </w:r>
          </w:p>
        </w:tc>
        <w:tc>
          <w:tcPr>
            <w:tcW w:w="5208" w:type="dxa"/>
            <w:gridSpan w:val="2"/>
            <w:tcBorders>
              <w:top w:val="single" w:sz="4" w:space="0" w:color="000000"/>
              <w:left w:val="single" w:sz="4" w:space="0" w:color="000000"/>
              <w:bottom w:val="single" w:sz="4" w:space="0" w:color="000000"/>
              <w:right w:val="single" w:sz="4" w:space="0" w:color="000000"/>
            </w:tcBorders>
          </w:tcPr>
          <w:p w14:paraId="58E9CB23" w14:textId="77777777" w:rsidR="00736F4A" w:rsidRDefault="00100640">
            <w:pPr>
              <w:spacing w:line="240" w:lineRule="auto"/>
              <w:ind w:left="9"/>
              <w:rPr>
                <w:lang w:val="hu-HU"/>
              </w:rPr>
            </w:pPr>
            <w:r>
              <w:rPr>
                <w:lang w:val="hu-HU"/>
              </w:rPr>
              <w:t>Nem ismert</w:t>
            </w:r>
          </w:p>
        </w:tc>
      </w:tr>
      <w:tr w:rsidR="00736F4A" w14:paraId="4D667680" w14:textId="77777777">
        <w:trPr>
          <w:trHeight w:val="264"/>
        </w:trPr>
        <w:tc>
          <w:tcPr>
            <w:tcW w:w="6106" w:type="dxa"/>
            <w:gridSpan w:val="2"/>
            <w:tcBorders>
              <w:top w:val="single" w:sz="4" w:space="0" w:color="000000"/>
              <w:left w:val="single" w:sz="4" w:space="0" w:color="000000"/>
              <w:bottom w:val="single" w:sz="4" w:space="0" w:color="000000"/>
              <w:right w:val="nil"/>
            </w:tcBorders>
          </w:tcPr>
          <w:p w14:paraId="02A55261" w14:textId="77777777" w:rsidR="00736F4A" w:rsidRDefault="00100640">
            <w:pPr>
              <w:spacing w:line="240" w:lineRule="auto"/>
              <w:ind w:left="108"/>
              <w:rPr>
                <w:lang w:val="hu-HU"/>
              </w:rPr>
            </w:pPr>
            <w:r>
              <w:rPr>
                <w:lang w:val="hu-HU"/>
              </w:rPr>
              <w:t>Vese- és húgyúti betegségek és tünetek</w:t>
            </w:r>
          </w:p>
        </w:tc>
        <w:tc>
          <w:tcPr>
            <w:tcW w:w="3180" w:type="dxa"/>
            <w:tcBorders>
              <w:top w:val="single" w:sz="4" w:space="0" w:color="000000"/>
              <w:left w:val="nil"/>
              <w:bottom w:val="single" w:sz="4" w:space="0" w:color="000000"/>
              <w:right w:val="single" w:sz="4" w:space="0" w:color="000000"/>
            </w:tcBorders>
          </w:tcPr>
          <w:p w14:paraId="1B5600B9" w14:textId="77777777" w:rsidR="00736F4A" w:rsidRDefault="00736F4A">
            <w:pPr>
              <w:spacing w:line="240" w:lineRule="auto"/>
              <w:rPr>
                <w:lang w:val="hu-HU"/>
              </w:rPr>
            </w:pPr>
          </w:p>
        </w:tc>
      </w:tr>
      <w:tr w:rsidR="00736F4A" w14:paraId="34E2B607"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6EDCED4E" w14:textId="77777777" w:rsidR="00736F4A" w:rsidRDefault="00100640">
            <w:pPr>
              <w:spacing w:line="240" w:lineRule="auto"/>
              <w:ind w:left="288"/>
              <w:rPr>
                <w:lang w:val="hu-HU"/>
              </w:rPr>
            </w:pPr>
            <w:r>
              <w:rPr>
                <w:lang w:val="hu-HU"/>
              </w:rPr>
              <w:t>Urogenitalis vérzés, a haematuriát is beleértve</w:t>
            </w:r>
          </w:p>
        </w:tc>
        <w:tc>
          <w:tcPr>
            <w:tcW w:w="2028" w:type="dxa"/>
            <w:tcBorders>
              <w:top w:val="single" w:sz="4" w:space="0" w:color="000000"/>
              <w:left w:val="single" w:sz="4" w:space="0" w:color="000000"/>
              <w:bottom w:val="single" w:sz="4" w:space="0" w:color="000000"/>
              <w:right w:val="nil"/>
            </w:tcBorders>
          </w:tcPr>
          <w:p w14:paraId="2C88BD40" w14:textId="77777777" w:rsidR="00736F4A" w:rsidRDefault="00736F4A">
            <w:pPr>
              <w:spacing w:line="240" w:lineRule="auto"/>
              <w:rPr>
                <w:lang w:val="hu-HU"/>
              </w:rPr>
            </w:pPr>
          </w:p>
        </w:tc>
        <w:tc>
          <w:tcPr>
            <w:tcW w:w="3180" w:type="dxa"/>
            <w:tcBorders>
              <w:top w:val="single" w:sz="4" w:space="0" w:color="000000"/>
              <w:left w:val="nil"/>
              <w:bottom w:val="single" w:sz="4" w:space="0" w:color="000000"/>
              <w:right w:val="single" w:sz="4" w:space="0" w:color="000000"/>
            </w:tcBorders>
          </w:tcPr>
          <w:p w14:paraId="14D11A18" w14:textId="77777777" w:rsidR="00736F4A" w:rsidRDefault="00100640">
            <w:pPr>
              <w:spacing w:line="240" w:lineRule="auto"/>
              <w:rPr>
                <w:lang w:val="hu-HU"/>
              </w:rPr>
            </w:pPr>
            <w:r>
              <w:rPr>
                <w:lang w:val="hu-HU"/>
              </w:rPr>
              <w:t xml:space="preserve">Nem gyakori </w:t>
            </w:r>
          </w:p>
        </w:tc>
      </w:tr>
      <w:tr w:rsidR="00736F4A" w14:paraId="36E9DC7A" w14:textId="77777777">
        <w:trPr>
          <w:trHeight w:val="264"/>
        </w:trPr>
        <w:tc>
          <w:tcPr>
            <w:tcW w:w="6106" w:type="dxa"/>
            <w:gridSpan w:val="2"/>
            <w:tcBorders>
              <w:top w:val="single" w:sz="4" w:space="0" w:color="000000"/>
              <w:left w:val="single" w:sz="4" w:space="0" w:color="000000"/>
              <w:bottom w:val="single" w:sz="4" w:space="0" w:color="000000"/>
              <w:right w:val="nil"/>
            </w:tcBorders>
          </w:tcPr>
          <w:p w14:paraId="786E03EE" w14:textId="77777777" w:rsidR="00736F4A" w:rsidRDefault="00100640">
            <w:pPr>
              <w:spacing w:line="240" w:lineRule="auto"/>
              <w:ind w:left="108"/>
              <w:rPr>
                <w:lang w:val="hu-HU"/>
              </w:rPr>
            </w:pPr>
            <w:r>
              <w:rPr>
                <w:lang w:val="hu-HU"/>
              </w:rPr>
              <w:t>Általános tünetek, az alkalmazás helyén fellépő reakciók</w:t>
            </w:r>
          </w:p>
        </w:tc>
        <w:tc>
          <w:tcPr>
            <w:tcW w:w="3180" w:type="dxa"/>
            <w:tcBorders>
              <w:top w:val="single" w:sz="4" w:space="0" w:color="000000"/>
              <w:left w:val="nil"/>
              <w:bottom w:val="single" w:sz="4" w:space="0" w:color="000000"/>
              <w:right w:val="single" w:sz="4" w:space="0" w:color="000000"/>
            </w:tcBorders>
          </w:tcPr>
          <w:p w14:paraId="2F99B60D" w14:textId="77777777" w:rsidR="00736F4A" w:rsidRDefault="00736F4A">
            <w:pPr>
              <w:spacing w:line="240" w:lineRule="auto"/>
              <w:rPr>
                <w:lang w:val="hu-HU"/>
              </w:rPr>
            </w:pPr>
          </w:p>
        </w:tc>
      </w:tr>
      <w:tr w:rsidR="00736F4A" w14:paraId="4E8E94E3"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44BC004C" w14:textId="77777777" w:rsidR="00736F4A" w:rsidRDefault="00100640">
            <w:pPr>
              <w:spacing w:line="240" w:lineRule="auto"/>
              <w:ind w:left="288"/>
              <w:rPr>
                <w:lang w:val="hu-HU"/>
              </w:rPr>
            </w:pPr>
            <w:r>
              <w:rPr>
                <w:lang w:val="hu-HU"/>
              </w:rPr>
              <w:t>Vérzés az injekció beadásának helyén</w:t>
            </w:r>
          </w:p>
        </w:tc>
        <w:tc>
          <w:tcPr>
            <w:tcW w:w="2028" w:type="dxa"/>
            <w:tcBorders>
              <w:top w:val="single" w:sz="4" w:space="0" w:color="000000"/>
              <w:left w:val="single" w:sz="4" w:space="0" w:color="000000"/>
              <w:bottom w:val="single" w:sz="4" w:space="0" w:color="000000"/>
              <w:right w:val="nil"/>
            </w:tcBorders>
          </w:tcPr>
          <w:p w14:paraId="7B64447D" w14:textId="77777777" w:rsidR="00736F4A" w:rsidRDefault="00736F4A">
            <w:pPr>
              <w:spacing w:line="240" w:lineRule="auto"/>
              <w:rPr>
                <w:lang w:val="hu-HU"/>
              </w:rPr>
            </w:pPr>
          </w:p>
        </w:tc>
        <w:tc>
          <w:tcPr>
            <w:tcW w:w="3180" w:type="dxa"/>
            <w:tcBorders>
              <w:top w:val="single" w:sz="4" w:space="0" w:color="000000"/>
              <w:left w:val="nil"/>
              <w:bottom w:val="single" w:sz="4" w:space="0" w:color="000000"/>
              <w:right w:val="single" w:sz="4" w:space="0" w:color="000000"/>
            </w:tcBorders>
          </w:tcPr>
          <w:p w14:paraId="50A46A4B" w14:textId="77777777" w:rsidR="00736F4A" w:rsidRDefault="00100640">
            <w:pPr>
              <w:spacing w:line="240" w:lineRule="auto"/>
              <w:ind w:left="60"/>
              <w:rPr>
                <w:lang w:val="hu-HU"/>
              </w:rPr>
            </w:pPr>
            <w:r>
              <w:rPr>
                <w:lang w:val="hu-HU"/>
              </w:rPr>
              <w:t>Nem ismert</w:t>
            </w:r>
          </w:p>
        </w:tc>
      </w:tr>
      <w:tr w:rsidR="00736F4A" w14:paraId="6CE806FE"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4EF2B9E8" w14:textId="77777777" w:rsidR="00736F4A" w:rsidRDefault="00100640">
            <w:pPr>
              <w:spacing w:line="240" w:lineRule="auto"/>
              <w:ind w:left="288"/>
              <w:rPr>
                <w:lang w:val="hu-HU"/>
              </w:rPr>
            </w:pPr>
            <w:r>
              <w:rPr>
                <w:lang w:val="hu-HU"/>
              </w:rPr>
              <w:t>Vérzés a kanül helyén</w:t>
            </w:r>
          </w:p>
        </w:tc>
        <w:tc>
          <w:tcPr>
            <w:tcW w:w="2028" w:type="dxa"/>
            <w:tcBorders>
              <w:top w:val="single" w:sz="4" w:space="0" w:color="000000"/>
              <w:left w:val="single" w:sz="4" w:space="0" w:color="000000"/>
              <w:bottom w:val="single" w:sz="4" w:space="0" w:color="000000"/>
              <w:right w:val="nil"/>
            </w:tcBorders>
          </w:tcPr>
          <w:p w14:paraId="50D2D345" w14:textId="77777777" w:rsidR="00736F4A" w:rsidRDefault="00736F4A">
            <w:pPr>
              <w:spacing w:line="240" w:lineRule="auto"/>
              <w:rPr>
                <w:lang w:val="hu-HU"/>
              </w:rPr>
            </w:pPr>
          </w:p>
        </w:tc>
        <w:tc>
          <w:tcPr>
            <w:tcW w:w="3180" w:type="dxa"/>
            <w:tcBorders>
              <w:top w:val="single" w:sz="4" w:space="0" w:color="000000"/>
              <w:left w:val="nil"/>
              <w:bottom w:val="single" w:sz="4" w:space="0" w:color="000000"/>
              <w:right w:val="single" w:sz="4" w:space="0" w:color="000000"/>
            </w:tcBorders>
          </w:tcPr>
          <w:p w14:paraId="42FFDDAD" w14:textId="77777777" w:rsidR="00736F4A" w:rsidRDefault="00100640">
            <w:pPr>
              <w:spacing w:line="240" w:lineRule="auto"/>
              <w:ind w:left="60"/>
              <w:rPr>
                <w:lang w:val="hu-HU"/>
              </w:rPr>
            </w:pPr>
            <w:r>
              <w:rPr>
                <w:lang w:val="hu-HU"/>
              </w:rPr>
              <w:t>Nem ismert</w:t>
            </w:r>
          </w:p>
        </w:tc>
      </w:tr>
      <w:tr w:rsidR="00736F4A" w14:paraId="72787241" w14:textId="77777777">
        <w:trPr>
          <w:trHeight w:val="262"/>
        </w:trPr>
        <w:tc>
          <w:tcPr>
            <w:tcW w:w="6106" w:type="dxa"/>
            <w:gridSpan w:val="2"/>
            <w:tcBorders>
              <w:top w:val="single" w:sz="4" w:space="0" w:color="000000"/>
              <w:left w:val="single" w:sz="4" w:space="0" w:color="000000"/>
              <w:bottom w:val="single" w:sz="4" w:space="0" w:color="000000"/>
              <w:right w:val="nil"/>
            </w:tcBorders>
          </w:tcPr>
          <w:p w14:paraId="1C61339D" w14:textId="77777777" w:rsidR="00736F4A" w:rsidRDefault="00100640">
            <w:pPr>
              <w:spacing w:line="240" w:lineRule="auto"/>
              <w:ind w:left="108"/>
              <w:rPr>
                <w:lang w:val="hu-HU"/>
              </w:rPr>
            </w:pPr>
            <w:r>
              <w:rPr>
                <w:lang w:val="hu-HU"/>
              </w:rPr>
              <w:t>Sérülés, mérgezés és a beavatkozással kapcsolatos szövődmények</w:t>
            </w:r>
          </w:p>
        </w:tc>
        <w:tc>
          <w:tcPr>
            <w:tcW w:w="3180" w:type="dxa"/>
            <w:tcBorders>
              <w:top w:val="single" w:sz="4" w:space="0" w:color="000000"/>
              <w:left w:val="nil"/>
              <w:bottom w:val="single" w:sz="4" w:space="0" w:color="000000"/>
              <w:right w:val="single" w:sz="4" w:space="0" w:color="000000"/>
            </w:tcBorders>
          </w:tcPr>
          <w:p w14:paraId="5805D2E5" w14:textId="77777777" w:rsidR="00736F4A" w:rsidRDefault="00736F4A">
            <w:pPr>
              <w:spacing w:line="240" w:lineRule="auto"/>
              <w:rPr>
                <w:lang w:val="hu-HU"/>
              </w:rPr>
            </w:pPr>
          </w:p>
        </w:tc>
      </w:tr>
      <w:tr w:rsidR="00736F4A" w14:paraId="69C95B77"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1C42A5E" w14:textId="77777777" w:rsidR="00736F4A" w:rsidRDefault="00100640">
            <w:pPr>
              <w:spacing w:line="240" w:lineRule="auto"/>
              <w:ind w:left="288"/>
              <w:rPr>
                <w:lang w:val="hu-HU"/>
              </w:rPr>
            </w:pPr>
            <w:r>
              <w:rPr>
                <w:lang w:val="hu-HU"/>
              </w:rPr>
              <w:t>Traumás vérzés</w:t>
            </w:r>
          </w:p>
        </w:tc>
        <w:tc>
          <w:tcPr>
            <w:tcW w:w="2028" w:type="dxa"/>
            <w:tcBorders>
              <w:top w:val="single" w:sz="4" w:space="0" w:color="000000"/>
              <w:left w:val="single" w:sz="4" w:space="0" w:color="000000"/>
              <w:bottom w:val="single" w:sz="4" w:space="0" w:color="000000"/>
              <w:right w:val="nil"/>
            </w:tcBorders>
          </w:tcPr>
          <w:p w14:paraId="2D9A0A47" w14:textId="77777777" w:rsidR="00736F4A" w:rsidRDefault="00736F4A">
            <w:pPr>
              <w:spacing w:line="240" w:lineRule="auto"/>
              <w:rPr>
                <w:lang w:val="hu-HU"/>
              </w:rPr>
            </w:pPr>
          </w:p>
        </w:tc>
        <w:tc>
          <w:tcPr>
            <w:tcW w:w="3180" w:type="dxa"/>
            <w:tcBorders>
              <w:top w:val="single" w:sz="4" w:space="0" w:color="000000"/>
              <w:left w:val="nil"/>
              <w:bottom w:val="single" w:sz="4" w:space="0" w:color="000000"/>
              <w:right w:val="single" w:sz="4" w:space="0" w:color="000000"/>
            </w:tcBorders>
          </w:tcPr>
          <w:p w14:paraId="09890D21" w14:textId="77777777" w:rsidR="00736F4A" w:rsidRDefault="00100640">
            <w:pPr>
              <w:spacing w:line="240" w:lineRule="auto"/>
              <w:rPr>
                <w:lang w:val="hu-HU"/>
              </w:rPr>
            </w:pPr>
            <w:r>
              <w:rPr>
                <w:lang w:val="hu-HU"/>
              </w:rPr>
              <w:t>Nem gyakori</w:t>
            </w:r>
          </w:p>
        </w:tc>
      </w:tr>
      <w:tr w:rsidR="00736F4A" w14:paraId="2BFD87F6"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CC6D213" w14:textId="77777777" w:rsidR="00736F4A" w:rsidRDefault="00100640">
            <w:pPr>
              <w:spacing w:line="240" w:lineRule="auto"/>
              <w:ind w:left="288"/>
              <w:rPr>
                <w:lang w:val="hu-HU"/>
              </w:rPr>
            </w:pPr>
            <w:r>
              <w:rPr>
                <w:lang w:val="hu-HU"/>
              </w:rPr>
              <w:t>Vérzés a bemetszés helyén</w:t>
            </w:r>
          </w:p>
        </w:tc>
        <w:tc>
          <w:tcPr>
            <w:tcW w:w="2028" w:type="dxa"/>
            <w:tcBorders>
              <w:top w:val="single" w:sz="4" w:space="0" w:color="000000"/>
              <w:left w:val="single" w:sz="4" w:space="0" w:color="000000"/>
              <w:bottom w:val="single" w:sz="4" w:space="0" w:color="000000"/>
              <w:right w:val="nil"/>
            </w:tcBorders>
          </w:tcPr>
          <w:p w14:paraId="227607AF" w14:textId="77777777" w:rsidR="00736F4A" w:rsidRDefault="00736F4A">
            <w:pPr>
              <w:spacing w:line="240" w:lineRule="auto"/>
              <w:rPr>
                <w:lang w:val="hu-HU"/>
              </w:rPr>
            </w:pPr>
          </w:p>
        </w:tc>
        <w:tc>
          <w:tcPr>
            <w:tcW w:w="3180" w:type="dxa"/>
            <w:tcBorders>
              <w:top w:val="single" w:sz="4" w:space="0" w:color="000000"/>
              <w:left w:val="nil"/>
              <w:bottom w:val="single" w:sz="4" w:space="0" w:color="000000"/>
              <w:right w:val="single" w:sz="4" w:space="0" w:color="000000"/>
            </w:tcBorders>
          </w:tcPr>
          <w:p w14:paraId="251183E4" w14:textId="77777777" w:rsidR="00736F4A" w:rsidRDefault="00100640">
            <w:pPr>
              <w:spacing w:line="240" w:lineRule="auto"/>
              <w:ind w:left="60"/>
              <w:rPr>
                <w:lang w:val="hu-HU"/>
              </w:rPr>
            </w:pPr>
            <w:r>
              <w:rPr>
                <w:lang w:val="hu-HU"/>
              </w:rPr>
              <w:t>Nem ismert</w:t>
            </w:r>
          </w:p>
        </w:tc>
      </w:tr>
    </w:tbl>
    <w:p w14:paraId="3855C2CE" w14:textId="77777777" w:rsidR="00736F4A" w:rsidRDefault="00736F4A">
      <w:pPr>
        <w:spacing w:line="240" w:lineRule="auto"/>
        <w:rPr>
          <w:u w:val="single"/>
          <w:lang w:val="hu-HU"/>
        </w:rPr>
      </w:pPr>
    </w:p>
    <w:p w14:paraId="4D1F3BE4" w14:textId="77777777" w:rsidR="00736F4A" w:rsidRDefault="00100640">
      <w:pPr>
        <w:spacing w:line="240" w:lineRule="auto"/>
        <w:ind w:left="7"/>
        <w:rPr>
          <w:iCs/>
        </w:rPr>
      </w:pPr>
      <w:r>
        <w:rPr>
          <w:iCs/>
          <w:u w:val="single" w:color="000000"/>
        </w:rPr>
        <w:t>Vérzéses reakciók</w:t>
      </w:r>
    </w:p>
    <w:p w14:paraId="4249789D" w14:textId="77777777" w:rsidR="00736F4A" w:rsidRDefault="00100640">
      <w:pPr>
        <w:spacing w:line="240" w:lineRule="auto"/>
        <w:ind w:left="7" w:right="9"/>
      </w:pPr>
      <w:r>
        <w:t>A két III. fázisú vizsgálatban, VTE kezelése és VTE kiújulásának megelőzése gyermekeknél és serdülőknél indikációban összesen 7 beteg (2,1%) tapasztalt egy major vérzéses eseményt, 5 beteg (1,5%) egy klinikailag jelentős, nem major vérzéses eseményt és 75 beteg (22,9%) egy kisebb vérzéses eseményt. A vérzéses események gyakorisága összességében magasabb volt a legidősebb korcsoportban (12 – &lt; 18 évesek: 28,6%), mint a fiatalabb korcsoportokban (születés – &lt; 2 évesek: 23,3%; 2 – &lt; 12 évesek: 16,2%). A major vagy súlyos vérzések lokalizációjuktól függetlenül rokkantsághoz, életet veszélyeztető állapothoz vagy akár halálos kimenetelhez vezethetnek.</w:t>
      </w:r>
    </w:p>
    <w:p w14:paraId="17A4F043" w14:textId="77777777" w:rsidR="00736F4A" w:rsidRDefault="00736F4A">
      <w:pPr>
        <w:spacing w:line="240" w:lineRule="auto"/>
        <w:rPr>
          <w:u w:val="single"/>
          <w:lang w:val="hu-HU"/>
        </w:rPr>
      </w:pPr>
    </w:p>
    <w:p w14:paraId="2DA1E9EC" w14:textId="77777777" w:rsidR="00736F4A" w:rsidRDefault="00100640">
      <w:pPr>
        <w:spacing w:line="240" w:lineRule="auto"/>
        <w:rPr>
          <w:u w:val="single"/>
          <w:lang w:val="hu-HU"/>
        </w:rPr>
      </w:pPr>
      <w:r>
        <w:rPr>
          <w:u w:val="single"/>
          <w:lang w:val="hu-HU"/>
        </w:rPr>
        <w:t>Feltételezett mellékhatások bejelentése</w:t>
      </w:r>
    </w:p>
    <w:p w14:paraId="3797C353" w14:textId="77777777" w:rsidR="00736F4A" w:rsidRDefault="00100640">
      <w:pPr>
        <w:spacing w:line="240" w:lineRule="auto"/>
        <w:rPr>
          <w:lang w:val="hu-HU"/>
        </w:rPr>
      </w:pPr>
      <w:r>
        <w:rPr>
          <w:lang w:val="hu-HU"/>
        </w:rPr>
        <w:t>A gyógyszer engedélyezését követően lényeges a feltételezett mellékhatások bejelentése, mert ez fontos eszköze annak, hogy a gyógyszer előny/kockázat profilját folyamatosan figyelemmel lehessen kísérni.</w:t>
      </w:r>
    </w:p>
    <w:p w14:paraId="542D10A8" w14:textId="77777777" w:rsidR="00736F4A" w:rsidRDefault="00100640">
      <w:pPr>
        <w:spacing w:line="240" w:lineRule="auto"/>
        <w:rPr>
          <w:lang w:val="hu-HU"/>
        </w:rPr>
      </w:pPr>
      <w:r>
        <w:rPr>
          <w:lang w:val="hu-HU"/>
        </w:rPr>
        <w:t xml:space="preserve">Az egészségügyi szakembereket kérjük, hogy jelentsék be a feltételezett mellékhatásokat a hatóság részére az </w:t>
      </w:r>
      <w:hyperlink r:id="rId7" w:history="1">
        <w:r>
          <w:rPr>
            <w:rStyle w:val="Hiperhivatkozs1"/>
            <w:lang w:val="hu-HU"/>
          </w:rPr>
          <w:t>V. függelékben</w:t>
        </w:r>
      </w:hyperlink>
      <w:r>
        <w:rPr>
          <w:lang w:val="hu-HU"/>
        </w:rPr>
        <w:t xml:space="preserve"> található elérhetőségek valamelyikén keresztül</w:t>
      </w:r>
      <w:r>
        <w:rPr>
          <w:color w:val="008000"/>
          <w:lang w:val="hu-HU"/>
        </w:rPr>
        <w:t>.</w:t>
      </w:r>
    </w:p>
    <w:p w14:paraId="5FE4DE23" w14:textId="77777777" w:rsidR="00736F4A" w:rsidRDefault="00736F4A">
      <w:pPr>
        <w:spacing w:line="240" w:lineRule="auto"/>
        <w:rPr>
          <w:b/>
          <w:bCs/>
          <w:noProof/>
          <w:lang w:val="hu-HU"/>
        </w:rPr>
      </w:pPr>
    </w:p>
    <w:p w14:paraId="6A2ACE23" w14:textId="77777777" w:rsidR="00736F4A" w:rsidRDefault="00100640">
      <w:pPr>
        <w:spacing w:line="240" w:lineRule="auto"/>
        <w:ind w:left="567" w:hanging="567"/>
        <w:outlineLvl w:val="0"/>
        <w:rPr>
          <w:b/>
          <w:bCs/>
          <w:lang w:val="hu-HU"/>
        </w:rPr>
      </w:pPr>
      <w:r>
        <w:rPr>
          <w:b/>
          <w:bCs/>
          <w:lang w:val="hu-HU"/>
        </w:rPr>
        <w:t>4.9</w:t>
      </w:r>
      <w:r>
        <w:rPr>
          <w:b/>
          <w:bCs/>
          <w:lang w:val="hu-HU"/>
        </w:rPr>
        <w:tab/>
        <w:t>Túladagolás</w:t>
      </w:r>
    </w:p>
    <w:p w14:paraId="0733045D" w14:textId="77777777" w:rsidR="00736F4A" w:rsidRDefault="00736F4A">
      <w:pPr>
        <w:spacing w:line="240" w:lineRule="auto"/>
        <w:ind w:left="567" w:hanging="567"/>
        <w:outlineLvl w:val="0"/>
        <w:rPr>
          <w:lang w:val="hu-HU"/>
        </w:rPr>
      </w:pPr>
    </w:p>
    <w:p w14:paraId="4B3B09A0" w14:textId="77777777" w:rsidR="00736F4A" w:rsidRDefault="00100640">
      <w:pPr>
        <w:spacing w:line="240" w:lineRule="auto"/>
        <w:ind w:left="7" w:right="9"/>
      </w:pPr>
      <w:r>
        <w:t>A javasoltnál nagyobb dabigatrán-etexilát-dózisok a beteget fokozott vérzésveszélynek teszik ki.</w:t>
      </w:r>
    </w:p>
    <w:p w14:paraId="32ED0E8D" w14:textId="77777777" w:rsidR="00736F4A" w:rsidRDefault="00736F4A">
      <w:pPr>
        <w:spacing w:line="240" w:lineRule="auto"/>
        <w:ind w:left="7" w:right="9"/>
      </w:pPr>
    </w:p>
    <w:p w14:paraId="4B53FF61" w14:textId="77777777" w:rsidR="00736F4A" w:rsidRDefault="00100640">
      <w:pPr>
        <w:spacing w:line="240" w:lineRule="auto"/>
        <w:ind w:left="7" w:right="9"/>
      </w:pPr>
      <w:r>
        <w:t>Túladagolás gyanúja esetén alvadási vizsgálat segíthet meghatározni a vérzés kockázatát (lásd 4.4 és 5.1 pont). A kalibrált kvantitatív dTT (hTI) vizsgálat vagy ismételt dTT (hTI) mérések lehetővé teszik egy bizonyos dabigatrán-szint kialakulási idejének előjelzését (lásd 5.1 pont) abban az esetben is, ha kiegészítő beavatkozást, pl. dialízist kezdtek.</w:t>
      </w:r>
    </w:p>
    <w:p w14:paraId="70790301" w14:textId="77777777" w:rsidR="00736F4A" w:rsidRDefault="00736F4A">
      <w:pPr>
        <w:spacing w:line="240" w:lineRule="auto"/>
        <w:ind w:left="7" w:right="9"/>
      </w:pPr>
    </w:p>
    <w:p w14:paraId="6D75243D" w14:textId="77777777" w:rsidR="00736F4A" w:rsidRDefault="00100640">
      <w:pPr>
        <w:spacing w:line="240" w:lineRule="auto"/>
        <w:ind w:left="7" w:right="9"/>
      </w:pPr>
      <w:r>
        <w:t>A túlzott alvadásgátlás a dabigatrán-etexilát-kezelés megszakítását teheti szükségessé. Mivel a dabigatrán főleg a vesén keresztül választódik ki, fenn kell tartani a megfelelő diuresist. Mivel fehérjekötődése alacsony, a dabigatrán dializálható. Csak korlátozott klinikai tapasztalat áll rendelkezésre e lehetőség használhatóságával kapcsolatban (lásd 5.2 pont).</w:t>
      </w:r>
    </w:p>
    <w:p w14:paraId="41FC2123" w14:textId="77777777" w:rsidR="00736F4A" w:rsidRDefault="00736F4A">
      <w:pPr>
        <w:spacing w:line="240" w:lineRule="auto"/>
        <w:ind w:left="7" w:right="9"/>
      </w:pPr>
    </w:p>
    <w:p w14:paraId="009001A1" w14:textId="77777777" w:rsidR="00736F4A" w:rsidRDefault="00100640">
      <w:pPr>
        <w:spacing w:line="240" w:lineRule="auto"/>
        <w:ind w:left="7" w:right="9"/>
        <w:rPr>
          <w:u w:val="single"/>
        </w:rPr>
      </w:pPr>
      <w:r>
        <w:rPr>
          <w:u w:val="single"/>
        </w:rPr>
        <w:t>A vérzéses szövődmények kezelése</w:t>
      </w:r>
    </w:p>
    <w:p w14:paraId="2F9B1CA9" w14:textId="77777777" w:rsidR="00736F4A" w:rsidRDefault="00736F4A">
      <w:pPr>
        <w:spacing w:line="240" w:lineRule="auto"/>
        <w:ind w:left="7" w:right="9"/>
      </w:pPr>
    </w:p>
    <w:p w14:paraId="6CA74873" w14:textId="77777777" w:rsidR="00736F4A" w:rsidRDefault="00100640">
      <w:pPr>
        <w:spacing w:line="240" w:lineRule="auto"/>
        <w:ind w:left="7" w:right="9"/>
      </w:pPr>
      <w:r>
        <w:t>Vérzéses szövődmény esetén a dabigatrán-etexilát-kezelést le kell állítani, és a vérzésforrást ki kell deríteni. A klinikai szituációtól függően a gyógyszert rendelő orvos megítélése szerint megfelelő szupportív kezelést, pl. sebészi vérzéscsillapítást és vérpótlást kell végezni.</w:t>
      </w:r>
    </w:p>
    <w:p w14:paraId="68934CF0" w14:textId="77777777" w:rsidR="00736F4A" w:rsidRDefault="00736F4A">
      <w:pPr>
        <w:spacing w:line="240" w:lineRule="auto"/>
        <w:ind w:left="7" w:right="9"/>
      </w:pPr>
    </w:p>
    <w:p w14:paraId="75FB7DA8" w14:textId="77777777" w:rsidR="00736F4A" w:rsidRDefault="00100640">
      <w:pPr>
        <w:spacing w:line="240" w:lineRule="auto"/>
        <w:ind w:left="7" w:right="9"/>
      </w:pPr>
      <w:r>
        <w:lastRenderedPageBreak/>
        <w:t>Azokban a helyzetekben, amikor felnőtt betegeknél a dabigatrán-etexilát antikoaguláns hatásának gyors felfüggesztése szükséges, specifikus antidótum (idarucizumab) áll rendelkezésre, mely a dabigatrán-etexilát farmakodinámiás hatását antagonizálja. Az idarucizumab hatásosságát és biztonságosságát nem határozták meg a gyermekeknél és serdülőknél (lásd 4.4 pont).</w:t>
      </w:r>
    </w:p>
    <w:p w14:paraId="4C109A81" w14:textId="77777777" w:rsidR="00736F4A" w:rsidRDefault="00736F4A">
      <w:pPr>
        <w:spacing w:line="240" w:lineRule="auto"/>
        <w:ind w:left="7" w:right="9"/>
      </w:pPr>
    </w:p>
    <w:p w14:paraId="34042619" w14:textId="77777777" w:rsidR="00736F4A" w:rsidRDefault="00100640">
      <w:pPr>
        <w:spacing w:line="240" w:lineRule="auto"/>
        <w:ind w:left="7" w:right="9"/>
      </w:pPr>
      <w:r>
        <w:t>Mérlegelni lehet alvadási faktor koncentrátum (aktivált vagy nem aktivált) vagy rekombináns VIIa-faktor adását is. Van olyan kísérletes bizonyíték, ami alátámasztja ezen gyógyszerek szerepét a dabigatrán antikoaguláns hatásának felfüggesztésében. Ezek klinikai használhatóságára és az esetleges rebound thromboembolia kialakulásának kockázatára vonatkozóan csak nagyon korlátozott mennyiségű adat áll rendelkezésre. Az alvadási vizsgálatok a javasolt alvadási faktor koncentrátumok adását követően megbízhatatlanná válhatnak. Fokozott elővigyázatossággal kell eljárni ezen vizsgálatok eredményének értékelésekor. Megfontolandó a thrombocyta-koncentrátum adása thrombocytopenia, illetve hosszú hatású thrombocyta-aggregáció-gátló gyógyszerek alkalmazását követően. A tüneti kezelést a kezelőorvos döntése alapján kell végezni.</w:t>
      </w:r>
    </w:p>
    <w:p w14:paraId="1E3661C1" w14:textId="77777777" w:rsidR="00736F4A" w:rsidRDefault="00736F4A">
      <w:pPr>
        <w:spacing w:line="240" w:lineRule="auto"/>
        <w:ind w:left="7" w:right="9"/>
      </w:pPr>
    </w:p>
    <w:p w14:paraId="2750E655" w14:textId="77777777" w:rsidR="00736F4A" w:rsidRDefault="00100640">
      <w:pPr>
        <w:spacing w:line="240" w:lineRule="auto"/>
        <w:ind w:left="7" w:right="9"/>
      </w:pPr>
      <w:r>
        <w:t xml:space="preserve">Major vérzések esetén megfontolandó egy, a </w:t>
      </w:r>
      <w:r>
        <w:rPr>
          <w:lang w:val="hu-HU"/>
        </w:rPr>
        <w:t>véralvadással kapcsolatos betegségek kezelésében</w:t>
      </w:r>
      <w:r>
        <w:t xml:space="preserve"> jártas szakemberrel való konzultáció, ha van ilyen az intézményben.</w:t>
      </w:r>
    </w:p>
    <w:p w14:paraId="65A10DB7" w14:textId="77777777" w:rsidR="00736F4A" w:rsidRDefault="00736F4A">
      <w:pPr>
        <w:spacing w:line="240" w:lineRule="auto"/>
        <w:ind w:left="7" w:right="9"/>
      </w:pPr>
    </w:p>
    <w:p w14:paraId="6E980037" w14:textId="77777777" w:rsidR="00736F4A" w:rsidRDefault="00736F4A">
      <w:pPr>
        <w:spacing w:line="240" w:lineRule="auto"/>
        <w:ind w:left="7" w:right="9"/>
      </w:pPr>
    </w:p>
    <w:p w14:paraId="584D3CE8" w14:textId="77777777" w:rsidR="00736F4A" w:rsidRDefault="00100640">
      <w:pPr>
        <w:spacing w:line="240" w:lineRule="auto"/>
        <w:outlineLvl w:val="0"/>
        <w:rPr>
          <w:b/>
          <w:bCs/>
          <w:lang w:val="hu-HU"/>
        </w:rPr>
      </w:pPr>
      <w:r>
        <w:rPr>
          <w:b/>
          <w:bCs/>
          <w:lang w:val="hu-HU"/>
        </w:rPr>
        <w:t>5.</w:t>
      </w:r>
      <w:r>
        <w:rPr>
          <w:b/>
          <w:bCs/>
          <w:lang w:val="hu-HU"/>
        </w:rPr>
        <w:tab/>
        <w:t>FARMAKOLÓGIAI TULAJDONSÁGOK</w:t>
      </w:r>
    </w:p>
    <w:p w14:paraId="26268519" w14:textId="77777777" w:rsidR="00736F4A" w:rsidRDefault="00736F4A">
      <w:pPr>
        <w:spacing w:line="240" w:lineRule="auto"/>
        <w:ind w:left="567" w:hanging="567"/>
        <w:outlineLvl w:val="0"/>
        <w:rPr>
          <w:b/>
          <w:bCs/>
          <w:lang w:val="hu-HU"/>
        </w:rPr>
      </w:pPr>
    </w:p>
    <w:p w14:paraId="2ECCCA61" w14:textId="77777777" w:rsidR="00736F4A" w:rsidRDefault="00100640">
      <w:pPr>
        <w:spacing w:line="240" w:lineRule="auto"/>
        <w:ind w:left="567" w:hanging="567"/>
        <w:outlineLvl w:val="0"/>
        <w:rPr>
          <w:b/>
          <w:bCs/>
          <w:lang w:val="hu-HU"/>
        </w:rPr>
      </w:pPr>
      <w:r>
        <w:rPr>
          <w:b/>
          <w:bCs/>
          <w:lang w:val="hu-HU"/>
        </w:rPr>
        <w:t>5.1</w:t>
      </w:r>
      <w:r>
        <w:rPr>
          <w:b/>
          <w:bCs/>
          <w:lang w:val="hu-HU"/>
        </w:rPr>
        <w:tab/>
        <w:t>Farmakodinámiás tulajdonságok</w:t>
      </w:r>
    </w:p>
    <w:p w14:paraId="017CAADB" w14:textId="77777777" w:rsidR="00736F4A" w:rsidRDefault="00736F4A">
      <w:pPr>
        <w:spacing w:line="240" w:lineRule="auto"/>
        <w:rPr>
          <w:lang w:val="hu-HU"/>
        </w:rPr>
      </w:pPr>
    </w:p>
    <w:p w14:paraId="26B34F34" w14:textId="77777777" w:rsidR="00736F4A" w:rsidRDefault="00100640">
      <w:pPr>
        <w:spacing w:line="240" w:lineRule="auto"/>
        <w:ind w:left="7" w:right="9"/>
      </w:pPr>
      <w:r>
        <w:t>Farmakoterápiás csoport: Antithrombotikus gyógyszerek, direkt thrombin-inhibitorok, ATC kód: B01AE07.</w:t>
      </w:r>
    </w:p>
    <w:p w14:paraId="47F247D9" w14:textId="77777777" w:rsidR="00736F4A" w:rsidRDefault="00736F4A">
      <w:pPr>
        <w:spacing w:line="240" w:lineRule="auto"/>
        <w:rPr>
          <w:lang w:val="hu-HU"/>
        </w:rPr>
      </w:pPr>
    </w:p>
    <w:p w14:paraId="34BB1986" w14:textId="77777777" w:rsidR="00736F4A" w:rsidRDefault="00100640">
      <w:pPr>
        <w:spacing w:line="240" w:lineRule="auto"/>
        <w:rPr>
          <w:u w:val="single"/>
          <w:lang w:val="hu-HU"/>
        </w:rPr>
      </w:pPr>
      <w:r>
        <w:rPr>
          <w:u w:val="single"/>
          <w:lang w:val="hu-HU"/>
        </w:rPr>
        <w:t>Hatásmechanizmus</w:t>
      </w:r>
    </w:p>
    <w:p w14:paraId="08CF08FE" w14:textId="77777777" w:rsidR="00736F4A" w:rsidRDefault="00736F4A">
      <w:pPr>
        <w:spacing w:line="240" w:lineRule="auto"/>
        <w:rPr>
          <w:lang w:val="hu-HU"/>
        </w:rPr>
      </w:pPr>
    </w:p>
    <w:p w14:paraId="0998AD8D" w14:textId="77777777" w:rsidR="00736F4A" w:rsidRDefault="00100640">
      <w:pPr>
        <w:spacing w:line="240" w:lineRule="auto"/>
        <w:ind w:left="7" w:right="9"/>
      </w:pPr>
      <w:r>
        <w:t xml:space="preserve">A dabigatrán-etexilát egy kismolekulájú prodrug, amelynek nincs farmakológiai aktivitása. </w:t>
      </w:r>
      <w:r>
        <w:rPr>
          <w:i/>
        </w:rPr>
        <w:t>Per os</w:t>
      </w:r>
      <w:r>
        <w:t xml:space="preserve"> adást követően a dabigatrán-etexilát gyorsan felszívódik és dabigatránná alakul a plazmában és a májban egy észteráz által katalizált hidrolízisen keresztül. A dabigatrán egy erős, kompetitív, reverzibilis direkt thrombin-inhibitor, és a legfontosabb aktív forma a plazmában.</w:t>
      </w:r>
    </w:p>
    <w:p w14:paraId="4146B351" w14:textId="77777777" w:rsidR="00736F4A" w:rsidRDefault="00100640">
      <w:pPr>
        <w:spacing w:line="240" w:lineRule="auto"/>
        <w:ind w:left="7" w:right="9"/>
      </w:pPr>
      <w:r>
        <w:t>Mivel a thrombin (szerin proteáz) teszi lehetővé a fibrinogén fibrinné történő átalakulását az alvadási kaszkád során, annak gátlása megelőzi a thrombus kialakulását. A dabigatrán gátolja a szabad thrombint, a fibrinhez kötött thrombint és a thrombin által kiváltott thrombocyta-aggregációt.</w:t>
      </w:r>
    </w:p>
    <w:p w14:paraId="505A1400" w14:textId="77777777" w:rsidR="00736F4A" w:rsidRDefault="00736F4A">
      <w:pPr>
        <w:spacing w:line="240" w:lineRule="auto"/>
        <w:rPr>
          <w:lang w:val="hu-HU"/>
        </w:rPr>
      </w:pPr>
    </w:p>
    <w:p w14:paraId="2ABE1B38" w14:textId="77777777" w:rsidR="00736F4A" w:rsidRDefault="00100640">
      <w:pPr>
        <w:spacing w:line="240" w:lineRule="auto"/>
        <w:rPr>
          <w:u w:val="single"/>
          <w:lang w:val="hu-HU"/>
        </w:rPr>
      </w:pPr>
      <w:r>
        <w:rPr>
          <w:u w:val="single"/>
          <w:lang w:val="hu-HU"/>
        </w:rPr>
        <w:t>Farmakodinámiás hatások</w:t>
      </w:r>
    </w:p>
    <w:p w14:paraId="5A26F74D" w14:textId="77777777" w:rsidR="00736F4A" w:rsidRDefault="00736F4A">
      <w:pPr>
        <w:spacing w:line="240" w:lineRule="auto"/>
        <w:rPr>
          <w:lang w:val="hu-HU"/>
        </w:rPr>
      </w:pPr>
    </w:p>
    <w:p w14:paraId="23EA3B83" w14:textId="77777777" w:rsidR="00736F4A" w:rsidRDefault="00100640">
      <w:pPr>
        <w:spacing w:line="240" w:lineRule="auto"/>
        <w:ind w:left="7" w:right="9"/>
      </w:pPr>
      <w:r>
        <w:t xml:space="preserve">Az </w:t>
      </w:r>
      <w:r>
        <w:rPr>
          <w:i/>
        </w:rPr>
        <w:t xml:space="preserve">in vivo </w:t>
      </w:r>
      <w:r>
        <w:t xml:space="preserve">és </w:t>
      </w:r>
      <w:r>
        <w:rPr>
          <w:i/>
        </w:rPr>
        <w:t xml:space="preserve">ex vivo </w:t>
      </w:r>
      <w:r>
        <w:t xml:space="preserve">állatkísérletekben antithromboticus hatást és antikoaguláns aktivitást mutattak ki a dabigatrán intravénás és a dabigatrán-etexilát </w:t>
      </w:r>
      <w:r>
        <w:rPr>
          <w:i/>
        </w:rPr>
        <w:t>per os</w:t>
      </w:r>
      <w:r>
        <w:t xml:space="preserve"> adását követően számos thrombosisos állatmodellben.</w:t>
      </w:r>
    </w:p>
    <w:p w14:paraId="6BF9D1B3" w14:textId="77777777" w:rsidR="00736F4A" w:rsidRDefault="00736F4A">
      <w:pPr>
        <w:spacing w:line="240" w:lineRule="auto"/>
        <w:ind w:left="7" w:right="9"/>
      </w:pPr>
    </w:p>
    <w:p w14:paraId="69EEBA4F" w14:textId="77777777" w:rsidR="00736F4A" w:rsidRDefault="00100640">
      <w:pPr>
        <w:spacing w:line="240" w:lineRule="auto"/>
        <w:ind w:left="7" w:right="9"/>
      </w:pPr>
      <w:r>
        <w:t xml:space="preserve">A II. fázisú vizsgálatok alapján egyértelmű összefüggés van a plazma dabigatrán-koncentrációja és az antikoaguláns hatás mértéke között. A dabigatrán megnyújtja a thrombinidőt (TT), az </w:t>
      </w:r>
      <w:r>
        <w:rPr>
          <w:lang w:val="hu-HU"/>
        </w:rPr>
        <w:t>ecarin alvadási időt (</w:t>
      </w:r>
      <w:r>
        <w:t>ECT) és az aPTT-t.</w:t>
      </w:r>
    </w:p>
    <w:p w14:paraId="066E5353" w14:textId="77777777" w:rsidR="00736F4A" w:rsidRDefault="00736F4A">
      <w:pPr>
        <w:spacing w:line="240" w:lineRule="auto"/>
        <w:ind w:left="7" w:right="9"/>
      </w:pPr>
    </w:p>
    <w:p w14:paraId="517F5CD6" w14:textId="77777777" w:rsidR="00736F4A" w:rsidRDefault="00100640">
      <w:pPr>
        <w:spacing w:line="240" w:lineRule="auto"/>
        <w:ind w:left="7" w:right="9"/>
      </w:pPr>
      <w:r>
        <w:t>A kalibrált kvantitatív hígított TT (dTT, hTI) vizsgálattal megbecsülhető a dabigatrán plazmakoncentrációja, amit össze lehet hasonlítani a várt dabigatrán-plazmakoncentrációkkal. Amikor a kalibrált hígított thrombinidő (dTT, hTI) teszttel mért dabigatrán plazmakoncentráció a mennyiségi meghatározás határértékénél vagy az alatt van, megfontolandó további véralvadási próbák, pl. thrombinidő (TT), ecarin alvadási idő (ECT) vagy aktivált parciális thromboplastinidő (aPTT) elvégzése.</w:t>
      </w:r>
    </w:p>
    <w:p w14:paraId="1E1954BD" w14:textId="77777777" w:rsidR="00736F4A" w:rsidRDefault="00736F4A">
      <w:pPr>
        <w:spacing w:line="240" w:lineRule="auto"/>
        <w:ind w:left="7" w:right="9"/>
      </w:pPr>
    </w:p>
    <w:p w14:paraId="4CD485B7" w14:textId="77777777" w:rsidR="00736F4A" w:rsidRDefault="00100640">
      <w:pPr>
        <w:spacing w:line="240" w:lineRule="auto"/>
        <w:ind w:left="7" w:right="9"/>
      </w:pPr>
      <w:r>
        <w:t>Az ECT a direkt thrombin-inhibitorok aktivitásának közvetlen mérését teszi lehetővé.</w:t>
      </w:r>
    </w:p>
    <w:p w14:paraId="101A9A05" w14:textId="77777777" w:rsidR="00736F4A" w:rsidRDefault="00736F4A">
      <w:pPr>
        <w:spacing w:line="240" w:lineRule="auto"/>
        <w:ind w:left="7" w:right="9"/>
      </w:pPr>
    </w:p>
    <w:p w14:paraId="679371CE" w14:textId="77777777" w:rsidR="00736F4A" w:rsidRDefault="00100640">
      <w:pPr>
        <w:spacing w:line="240" w:lineRule="auto"/>
        <w:ind w:left="7" w:right="9"/>
      </w:pPr>
      <w:r>
        <w:t xml:space="preserve">Az aPTT vizsgálat széles körben elérhető és megközelítően jelzi a dabigatránnal elért alvadásgátlás intenzitását. Az aPTT érzékenysége azonban korlátozott és nem alkalmas az antikoaguláns hatás </w:t>
      </w:r>
      <w:r>
        <w:lastRenderedPageBreak/>
        <w:t>precíz mérésére, különösen magas dabigatrán-plazmakoncentrációk esetén. Jóllehet a magas aPTT-értékeket körültekintően kell értelmezni, a magas aPTT-érték azt jelzi, hogy a beteg antikoagulált állapotban van.</w:t>
      </w:r>
    </w:p>
    <w:p w14:paraId="1E81CA53" w14:textId="77777777" w:rsidR="00736F4A" w:rsidRDefault="00736F4A">
      <w:pPr>
        <w:spacing w:line="240" w:lineRule="auto"/>
        <w:ind w:left="7" w:right="9"/>
      </w:pPr>
    </w:p>
    <w:p w14:paraId="743B8780" w14:textId="77777777" w:rsidR="00736F4A" w:rsidRDefault="00100640">
      <w:pPr>
        <w:spacing w:line="240" w:lineRule="auto"/>
        <w:ind w:left="7" w:right="9"/>
      </w:pPr>
      <w:r>
        <w:t>Általánosságban feltételezhető, hogy az antikoaguláns aktivitás ezen mérései tükrözhetik a dabigatrán-szinteket és iránymutatók lehetnek a vérzésveszély megbecslésekor, pl. a dabigatrán mélyponti koncentrációjának 90. percentilisét meghaladó értékek, vagy az aPTT-hez hasonló koagulációs vizsgálatok mélyponton mért értékei (az aPTT küszöbértékeket lásd a 4.4 pont alatt az 5. táblázatban), melyeket a fokozott vérzésveszéllyel összefüggő tényezőkként kell figyelembe venni.</w:t>
      </w:r>
    </w:p>
    <w:p w14:paraId="2ACA1FEE" w14:textId="77777777" w:rsidR="00736F4A" w:rsidRDefault="00736F4A">
      <w:pPr>
        <w:spacing w:line="240" w:lineRule="auto"/>
        <w:ind w:right="9"/>
      </w:pPr>
    </w:p>
    <w:p w14:paraId="2737ACA1" w14:textId="77777777" w:rsidR="00736F4A" w:rsidRDefault="00100640">
      <w:pPr>
        <w:spacing w:line="240" w:lineRule="auto"/>
        <w:ind w:left="7"/>
      </w:pPr>
      <w:r>
        <w:rPr>
          <w:i/>
          <w:u w:val="single" w:color="000000"/>
        </w:rPr>
        <w:t>A stroke és a szisztémás embolizáció prevenciója nem billentyű eredetű pitvarfibrillációban szenvedő,</w:t>
      </w:r>
      <w:r>
        <w:rPr>
          <w:i/>
        </w:rPr>
        <w:t xml:space="preserve"> </w:t>
      </w:r>
      <w:r>
        <w:rPr>
          <w:i/>
          <w:u w:val="single" w:color="000000"/>
        </w:rPr>
        <w:t>egy vagy több rizikótényezővel rendelkező felnőtt betegeknél (SPAF)</w:t>
      </w:r>
    </w:p>
    <w:p w14:paraId="1DE654B0" w14:textId="77777777" w:rsidR="00736F4A" w:rsidRDefault="00736F4A">
      <w:pPr>
        <w:spacing w:line="240" w:lineRule="auto"/>
        <w:ind w:left="7" w:right="9"/>
      </w:pPr>
    </w:p>
    <w:p w14:paraId="284BA042" w14:textId="77777777" w:rsidR="00736F4A" w:rsidRDefault="00100640">
      <w:pPr>
        <w:spacing w:line="240" w:lineRule="auto"/>
        <w:ind w:left="7" w:right="9"/>
      </w:pPr>
      <w:r>
        <w:t>A dabigatrán plazma csúcskoncentrációinak dinamikus egyensúlyi mértani átlagértéke a naponta kétszer adott 150 mg dabigatrán adását követően 2 órával mérve 175 ng/ml volt, 117–275 ng/ml közötti tartománnyal (25-ös és 75-ös percentilis közötti tartomány). A dabigatrán mélyponti koncentrációjának mértani átlagértéke a mélyponton, reggel, az adagolási intervallum végén mérve (azaz 12 órával a 150 mg-os dabigatrán esti dózis után) átlagosan 91,0 ng/ml volt, 61,0–143 ng/ml közötti tartománnyal (25-ös és 75-ös percentilis közötti tartomány).</w:t>
      </w:r>
    </w:p>
    <w:p w14:paraId="784FBFEB" w14:textId="77777777" w:rsidR="00736F4A" w:rsidRDefault="00736F4A">
      <w:pPr>
        <w:spacing w:line="240" w:lineRule="auto"/>
        <w:ind w:left="7" w:right="9"/>
      </w:pPr>
    </w:p>
    <w:p w14:paraId="26828033" w14:textId="77777777" w:rsidR="00736F4A" w:rsidRDefault="00100640">
      <w:pPr>
        <w:spacing w:line="240" w:lineRule="auto"/>
        <w:ind w:left="7" w:right="9"/>
      </w:pPr>
      <w:r>
        <w:t xml:space="preserve">Nem billentyű eredetű pitvarfibrillációban szenvedő betegeknél a stroke és a szisztémás </w:t>
      </w:r>
      <w:r>
        <w:rPr>
          <w:color w:val="000000"/>
          <w:lang w:val="hu-HU" w:eastAsia="hu-HU"/>
        </w:rPr>
        <w:t xml:space="preserve">embolizáció </w:t>
      </w:r>
      <w:r>
        <w:t>prevenciójára adott napi kétszer 150 mg dabigatrán-etexilát esetén:</w:t>
      </w:r>
    </w:p>
    <w:p w14:paraId="777CF8AB" w14:textId="77777777" w:rsidR="00736F4A" w:rsidRDefault="00100640">
      <w:pPr>
        <w:numPr>
          <w:ilvl w:val="0"/>
          <w:numId w:val="28"/>
        </w:numPr>
        <w:tabs>
          <w:tab w:val="clear" w:pos="567"/>
        </w:tabs>
        <w:spacing w:line="240" w:lineRule="auto"/>
        <w:ind w:right="9" w:hanging="566"/>
      </w:pPr>
      <w:r>
        <w:t>a dabigatrán-koncentrációk 90-es percentilis értéke a mélyponton mérve (10-16 órával a megelőző dózis után) 200 ng/ml volt;</w:t>
      </w:r>
    </w:p>
    <w:p w14:paraId="105CB7A7" w14:textId="77777777" w:rsidR="00736F4A" w:rsidRDefault="00100640">
      <w:pPr>
        <w:numPr>
          <w:ilvl w:val="0"/>
          <w:numId w:val="28"/>
        </w:numPr>
        <w:tabs>
          <w:tab w:val="clear" w:pos="567"/>
        </w:tabs>
        <w:spacing w:line="240" w:lineRule="auto"/>
        <w:ind w:right="9" w:hanging="566"/>
      </w:pPr>
      <w:r>
        <w:t>az ECT esetében a mélyponton (10-16 órával a megelőző dózis után), a normálérték felső határának háromszorosára emelkedett érték felelt meg az ECT megnyúlás 90-es percentilisét jelentő 103 másodpercnek;</w:t>
      </w:r>
    </w:p>
    <w:p w14:paraId="4FFE3B23" w14:textId="77777777" w:rsidR="00736F4A" w:rsidRDefault="00100640">
      <w:pPr>
        <w:numPr>
          <w:ilvl w:val="0"/>
          <w:numId w:val="28"/>
        </w:numPr>
        <w:tabs>
          <w:tab w:val="clear" w:pos="567"/>
        </w:tabs>
        <w:spacing w:line="240" w:lineRule="auto"/>
        <w:ind w:right="9" w:hanging="566"/>
      </w:pPr>
      <w:r>
        <w:t>az aPTT a normálérték felső határának kétszeresére történő megnyúlása (aPTT megnyúlás körülbelül 80 másodperc), a mélyponton (10</w:t>
      </w:r>
      <w:r>
        <w:noBreakHyphen/>
        <w:t>16 órával a megelőző dózis után) felelt meg a megfigyelt 90-es percentilis értéknek.</w:t>
      </w:r>
    </w:p>
    <w:p w14:paraId="672F93C4" w14:textId="77777777" w:rsidR="00736F4A" w:rsidRDefault="00736F4A">
      <w:pPr>
        <w:spacing w:line="240" w:lineRule="auto"/>
        <w:ind w:left="7" w:right="9"/>
      </w:pPr>
    </w:p>
    <w:p w14:paraId="2744AF2E" w14:textId="77777777" w:rsidR="00736F4A" w:rsidRDefault="00100640">
      <w:pPr>
        <w:spacing w:line="240" w:lineRule="auto"/>
        <w:ind w:left="7"/>
      </w:pPr>
      <w:r>
        <w:rPr>
          <w:i/>
          <w:u w:val="single" w:color="000000"/>
        </w:rPr>
        <w:t>Az MVT és PE kezelése és az MVT és PE kiújulásának megelőzése felnőtt betegeknél (MVT/PE)</w:t>
      </w:r>
    </w:p>
    <w:p w14:paraId="11013D8C" w14:textId="77777777" w:rsidR="00736F4A" w:rsidRDefault="00736F4A">
      <w:pPr>
        <w:spacing w:line="240" w:lineRule="auto"/>
        <w:ind w:left="7" w:right="233"/>
      </w:pPr>
    </w:p>
    <w:p w14:paraId="77A2E26C" w14:textId="77777777" w:rsidR="00736F4A" w:rsidRDefault="00100640">
      <w:pPr>
        <w:spacing w:line="240" w:lineRule="auto"/>
        <w:ind w:left="7" w:right="233"/>
      </w:pPr>
      <w:r>
        <w:t>MVT és PE miatt napi kétszer 150 mg dabigatrán-etexiláttal kezelt betegeknél a dabigatrán adagolás után 10-16 órával, az adagolási intervallum végén mért (azaz 12 órával a 150 mg-os dabigatrán esti dózisa után) mélyponti koncentráció mértani átlaga 59,7 ng/ml volt, a mért értékek 38,6 és 94,5 ng/ml között voltak (25-ös és 75-ös percentilis közötti tartomány). Az MVT és PE kezelése során a napi kétszer 150 mg dabigatrán-etexilát adása esetén:</w:t>
      </w:r>
    </w:p>
    <w:p w14:paraId="3ED53CC6" w14:textId="77777777" w:rsidR="00736F4A" w:rsidRDefault="00100640">
      <w:pPr>
        <w:numPr>
          <w:ilvl w:val="0"/>
          <w:numId w:val="28"/>
        </w:numPr>
        <w:tabs>
          <w:tab w:val="clear" w:pos="567"/>
        </w:tabs>
        <w:spacing w:line="240" w:lineRule="auto"/>
        <w:ind w:right="9" w:hanging="566"/>
      </w:pPr>
      <w:r>
        <w:t>a dabigatrán-koncentrációk 90-es percentilis értéke a mélyponton mérve (10-16 órával a megelőző dózis után) 146 ng/ml volt;</w:t>
      </w:r>
    </w:p>
    <w:p w14:paraId="1589555E" w14:textId="77777777" w:rsidR="00736F4A" w:rsidRDefault="00100640">
      <w:pPr>
        <w:numPr>
          <w:ilvl w:val="0"/>
          <w:numId w:val="28"/>
        </w:numPr>
        <w:tabs>
          <w:tab w:val="clear" w:pos="567"/>
        </w:tabs>
        <w:spacing w:line="240" w:lineRule="auto"/>
        <w:ind w:right="9" w:hanging="566"/>
      </w:pPr>
      <w:r>
        <w:t>az ECT esetében a mélyponton (10-16 órával a megelőző dózis után), a normálérték felső határának 2,3-szorosára emelkedett érték felelt meg az ECT megnyúlás 90-es percentilisét jelentő 74 másodpercnek;</w:t>
      </w:r>
    </w:p>
    <w:p w14:paraId="509CBE08" w14:textId="77777777" w:rsidR="00736F4A" w:rsidRDefault="00100640">
      <w:pPr>
        <w:numPr>
          <w:ilvl w:val="0"/>
          <w:numId w:val="28"/>
        </w:numPr>
        <w:tabs>
          <w:tab w:val="clear" w:pos="567"/>
        </w:tabs>
        <w:spacing w:line="240" w:lineRule="auto"/>
        <w:ind w:right="9" w:hanging="566"/>
      </w:pPr>
      <w:r>
        <w:t>az aPTT a mélyponton (10-16 órával a megelőző dózis után) mért 90-es percentilis értéke 62 másodperc volt, ami a kiindulási érték 1,8-szorosa.</w:t>
      </w:r>
    </w:p>
    <w:p w14:paraId="28330C4E" w14:textId="77777777" w:rsidR="00736F4A" w:rsidRDefault="00736F4A">
      <w:pPr>
        <w:spacing w:line="240" w:lineRule="auto"/>
        <w:ind w:right="9"/>
      </w:pPr>
    </w:p>
    <w:p w14:paraId="496BC62E" w14:textId="77777777" w:rsidR="00736F4A" w:rsidRDefault="00100640">
      <w:pPr>
        <w:spacing w:line="240" w:lineRule="auto"/>
        <w:ind w:left="7" w:right="9"/>
      </w:pPr>
      <w:r>
        <w:t>Az MVT és PE kiújulásának prevenciója miatt napi kétszer 150 mg dabigatránnal kezelt betegekre vonatkozó farmakokinetikai adatok nem állnak rendelkezésre.</w:t>
      </w:r>
    </w:p>
    <w:p w14:paraId="469EB53E" w14:textId="77777777" w:rsidR="00736F4A" w:rsidRDefault="00736F4A">
      <w:pPr>
        <w:spacing w:line="240" w:lineRule="auto"/>
        <w:rPr>
          <w:lang w:val="hu-HU"/>
        </w:rPr>
      </w:pPr>
    </w:p>
    <w:p w14:paraId="519BDFE4" w14:textId="77777777" w:rsidR="00736F4A" w:rsidRDefault="00100640">
      <w:pPr>
        <w:spacing w:line="240" w:lineRule="auto"/>
        <w:rPr>
          <w:u w:val="single"/>
          <w:lang w:val="hu-HU"/>
        </w:rPr>
      </w:pPr>
      <w:r>
        <w:rPr>
          <w:u w:val="single"/>
          <w:lang w:val="hu-HU"/>
        </w:rPr>
        <w:t>Klinikai hatásosság és biztonságosság</w:t>
      </w:r>
    </w:p>
    <w:p w14:paraId="63E91BE5" w14:textId="77777777" w:rsidR="00736F4A" w:rsidRDefault="00736F4A">
      <w:pPr>
        <w:spacing w:line="240" w:lineRule="auto"/>
        <w:rPr>
          <w:lang w:val="hu-HU"/>
        </w:rPr>
      </w:pPr>
    </w:p>
    <w:p w14:paraId="00E019E1" w14:textId="77777777" w:rsidR="00736F4A" w:rsidRDefault="00100640">
      <w:pPr>
        <w:spacing w:line="240" w:lineRule="auto"/>
        <w:rPr>
          <w:i/>
          <w:iCs/>
          <w:lang w:val="hu-HU"/>
        </w:rPr>
      </w:pPr>
      <w:r>
        <w:rPr>
          <w:i/>
          <w:iCs/>
          <w:lang w:val="hu-HU"/>
        </w:rPr>
        <w:t>Etnikai származás</w:t>
      </w:r>
    </w:p>
    <w:p w14:paraId="304D7F9E" w14:textId="77777777" w:rsidR="00736F4A" w:rsidRDefault="00100640">
      <w:pPr>
        <w:spacing w:line="240" w:lineRule="auto"/>
        <w:rPr>
          <w:lang w:val="hu-HU"/>
        </w:rPr>
      </w:pPr>
      <w:r>
        <w:rPr>
          <w:lang w:val="hu-HU"/>
        </w:rPr>
        <w:t>Nem figyeltek meg klinikailag releváns különbséget a kaukázusi, afroamerikai, hispán, japán vagy kínai betegek között.</w:t>
      </w:r>
    </w:p>
    <w:p w14:paraId="282590B1" w14:textId="77777777" w:rsidR="00736F4A" w:rsidRDefault="00736F4A">
      <w:pPr>
        <w:spacing w:line="240" w:lineRule="auto"/>
        <w:rPr>
          <w:lang w:val="hu-HU"/>
        </w:rPr>
      </w:pPr>
    </w:p>
    <w:p w14:paraId="442C8F6F" w14:textId="77777777" w:rsidR="00736F4A" w:rsidRDefault="00100640">
      <w:pPr>
        <w:spacing w:line="240" w:lineRule="auto"/>
        <w:ind w:left="7"/>
      </w:pPr>
      <w:r>
        <w:rPr>
          <w:i/>
          <w:u w:val="single" w:color="000000"/>
        </w:rPr>
        <w:t>A stroke és a szisztémás embolizáció prevenciója nem billentyű eredetű pitvarfibrillációban szenvedő,</w:t>
      </w:r>
      <w:r>
        <w:rPr>
          <w:i/>
        </w:rPr>
        <w:t xml:space="preserve"> </w:t>
      </w:r>
      <w:r>
        <w:rPr>
          <w:i/>
          <w:u w:val="single" w:color="000000"/>
        </w:rPr>
        <w:t>egy vagy több rizikótényezővel rendelkező felnőtt betegeknél</w:t>
      </w:r>
    </w:p>
    <w:p w14:paraId="7C876F33" w14:textId="77777777" w:rsidR="00736F4A" w:rsidRDefault="00736F4A">
      <w:pPr>
        <w:spacing w:line="240" w:lineRule="auto"/>
        <w:ind w:left="7" w:right="9"/>
      </w:pPr>
    </w:p>
    <w:p w14:paraId="72C1DFD3" w14:textId="77777777" w:rsidR="00736F4A" w:rsidRDefault="00100640">
      <w:pPr>
        <w:spacing w:line="240" w:lineRule="auto"/>
        <w:ind w:left="7" w:right="9"/>
      </w:pPr>
      <w:r>
        <w:t>A dabigatrán-etexilát hatásosságának klinikai bizonyítéka a RE-LY vizsgálatból (Randomised Evaluation of Long-term anticoagulant therapY) származik, ami egy multicentrikus, nemzetközi, randomizált, paralell vizsgálati csoportos, kettős vak vizsgálat volt, amelyben a dabigatrán-etexilát két dózisát (naponta kétszer 110 mg és 150 mg) hasonlították össze a nyílt módon adott warfarinnal olyan pitvarfibrilláló betegeknél, akiknél közepes vagy magas volt a stroke és a szisztémás embolizáció kockázata. A vizsgálat elsődleges célja az volt, hogy bizonyítsa, a dabigatrán-etexilát nem rosszabb (non-inferioritás) a warfarinnál a stroke és a szisztémás embolizáció mint összetett végpont előfordulásának csökkentésében. A statisztikai szuperioritást szintén elemezték.</w:t>
      </w:r>
    </w:p>
    <w:p w14:paraId="12B49BDD" w14:textId="77777777" w:rsidR="00736F4A" w:rsidRDefault="00736F4A">
      <w:pPr>
        <w:spacing w:line="240" w:lineRule="auto"/>
        <w:ind w:left="7" w:right="9"/>
      </w:pPr>
    </w:p>
    <w:p w14:paraId="35CC2AA7" w14:textId="77777777" w:rsidR="00736F4A" w:rsidRDefault="00100640">
      <w:pPr>
        <w:spacing w:line="240" w:lineRule="auto"/>
        <w:ind w:left="7" w:right="9"/>
      </w:pPr>
      <w:r>
        <w:t>A RE-LY vizsgálatban összesen 18 113 beteget randomizáltak a dabigatrán-etexilát-csoportba, az átlagéletkor 71,5 év és az átlagos CHADS</w:t>
      </w:r>
      <w:r>
        <w:rPr>
          <w:vertAlign w:val="subscript"/>
        </w:rPr>
        <w:t xml:space="preserve">2 </w:t>
      </w:r>
      <w:r>
        <w:t>pontszám 2,1 volt. A betegpopuláció 64%-a volt férfi, 70%-a fehér és 16%-a ázsiai. A warfarin-csoportba randomizált betegek között a terápiás tartomány eléréshez szükséges idő (time to therapeutic range [TTR] [INR 2-3]) százalékos aránya 64,4% volt (medián TTR 67%).</w:t>
      </w:r>
    </w:p>
    <w:p w14:paraId="748D1970" w14:textId="77777777" w:rsidR="00736F4A" w:rsidRDefault="00736F4A">
      <w:pPr>
        <w:spacing w:line="240" w:lineRule="auto"/>
        <w:ind w:left="7" w:right="9"/>
      </w:pPr>
    </w:p>
    <w:p w14:paraId="6415D68C" w14:textId="77777777" w:rsidR="00736F4A" w:rsidRDefault="00100640">
      <w:pPr>
        <w:spacing w:line="240" w:lineRule="auto"/>
        <w:ind w:left="7" w:right="9"/>
      </w:pPr>
      <w:r>
        <w:t xml:space="preserve">A RE-LY vizsgálat kimutatta, hogy a dabigatrán-etexilát napi kétszer 110 mg-os dózisban nem rosszabb (non-inferiority) a warfarinnál a stroke és a szisztémás embolizáció prevenciójában pitvarfibrilláló betegeknél, és alkalmazása csökkent ICH, összvérzés és jelentős vérzés kockázattal jár. A napi kétszer 150 mg-os dózis szignifikáns mértékben csökkenti az ischaemiás és vérzéses stroke, </w:t>
      </w:r>
      <w:r>
        <w:rPr>
          <w:lang w:val="hu-HU"/>
        </w:rPr>
        <w:t>éreredetű halálozás</w:t>
      </w:r>
      <w:r>
        <w:t>, ICH és összes vérzés kockázatát a warfarinhoz viszonyítva. A jelentős vérzések aránya ennél a dózisnál a warfarin esetében észlelthez hasonló volt. A myocardialis infarctus előfordulási aránya kissé nagyobb volt a dabigatrán-etexilát napi kétszeri 110 mg-os (relatív hazárd 1,29; p=0,0929), vagy 150 mg-os dózisa (relatív hazárd 1,27; p=0,1240) esetén a warfarinhoz képest. Az INR gyakoribb monitorozásával a dabigatrán-etexilátnak warfarinhoz képest tapasztalt előnyei csökkennek.</w:t>
      </w:r>
    </w:p>
    <w:p w14:paraId="34D49240" w14:textId="77777777" w:rsidR="00736F4A" w:rsidRDefault="00736F4A">
      <w:pPr>
        <w:spacing w:line="240" w:lineRule="auto"/>
        <w:ind w:left="7" w:right="9"/>
      </w:pPr>
    </w:p>
    <w:p w14:paraId="59FB6F79" w14:textId="77777777" w:rsidR="00736F4A" w:rsidRDefault="00100640">
      <w:pPr>
        <w:spacing w:line="240" w:lineRule="auto"/>
        <w:ind w:left="7" w:right="9"/>
      </w:pPr>
      <w:r>
        <w:t>A 17-19. táblázatok a kulcsfontosságú eredmények részleteit mutatják a teljes populációban:</w:t>
      </w:r>
    </w:p>
    <w:p w14:paraId="1DF06713" w14:textId="77777777" w:rsidR="00736F4A" w:rsidRDefault="00736F4A">
      <w:pPr>
        <w:spacing w:line="240" w:lineRule="auto"/>
        <w:rPr>
          <w:lang w:val="hu-HU"/>
        </w:rPr>
      </w:pPr>
    </w:p>
    <w:p w14:paraId="2AAF0FE2" w14:textId="77777777" w:rsidR="00736F4A" w:rsidRDefault="00100640">
      <w:pPr>
        <w:spacing w:line="240" w:lineRule="auto"/>
      </w:pPr>
      <w:r>
        <w:rPr>
          <w:b/>
        </w:rPr>
        <w:t>17. táblázat. A stroke vagy a szisztémás embolizáció első megjelenésének elemzése (primer végpont) a RE-LY vizsgálat vizsgálati periódusában</w:t>
      </w:r>
    </w:p>
    <w:p w14:paraId="19010BA0" w14:textId="77777777" w:rsidR="00736F4A" w:rsidRDefault="00736F4A">
      <w:pPr>
        <w:spacing w:line="240" w:lineRule="auto"/>
      </w:pPr>
    </w:p>
    <w:tbl>
      <w:tblPr>
        <w:tblW w:w="9072" w:type="dxa"/>
        <w:tblInd w:w="-2" w:type="dxa"/>
        <w:tblCellMar>
          <w:top w:w="51" w:type="dxa"/>
          <w:left w:w="72" w:type="dxa"/>
          <w:right w:w="50" w:type="dxa"/>
        </w:tblCellMar>
        <w:tblLook w:val="04A0" w:firstRow="1" w:lastRow="0" w:firstColumn="1" w:lastColumn="0" w:noHBand="0" w:noVBand="1"/>
      </w:tblPr>
      <w:tblGrid>
        <w:gridCol w:w="2474"/>
        <w:gridCol w:w="2376"/>
        <w:gridCol w:w="2242"/>
        <w:gridCol w:w="1980"/>
      </w:tblGrid>
      <w:tr w:rsidR="00736F4A" w14:paraId="08CE733B" w14:textId="77777777">
        <w:trPr>
          <w:trHeight w:val="518"/>
        </w:trPr>
        <w:tc>
          <w:tcPr>
            <w:tcW w:w="2474" w:type="dxa"/>
            <w:tcBorders>
              <w:top w:val="single" w:sz="4" w:space="0" w:color="000000"/>
              <w:left w:val="single" w:sz="4" w:space="0" w:color="000000"/>
              <w:bottom w:val="single" w:sz="4" w:space="0" w:color="000000"/>
              <w:right w:val="single" w:sz="4" w:space="0" w:color="000000"/>
            </w:tcBorders>
          </w:tcPr>
          <w:p w14:paraId="5827A748" w14:textId="77777777" w:rsidR="00736F4A" w:rsidRDefault="00736F4A">
            <w:pPr>
              <w:spacing w:line="240" w:lineRule="auto"/>
              <w:rPr>
                <w:lang w:val="hu-HU"/>
              </w:rPr>
            </w:pPr>
          </w:p>
        </w:tc>
        <w:tc>
          <w:tcPr>
            <w:tcW w:w="2376" w:type="dxa"/>
            <w:tcBorders>
              <w:top w:val="single" w:sz="4" w:space="0" w:color="000000"/>
              <w:left w:val="single" w:sz="4" w:space="0" w:color="000000"/>
              <w:bottom w:val="single" w:sz="4" w:space="0" w:color="000000"/>
              <w:right w:val="single" w:sz="4" w:space="0" w:color="000000"/>
            </w:tcBorders>
          </w:tcPr>
          <w:p w14:paraId="04494ACE" w14:textId="77777777" w:rsidR="00736F4A" w:rsidRDefault="00100640">
            <w:pPr>
              <w:spacing w:line="240" w:lineRule="auto"/>
              <w:ind w:left="110" w:right="131"/>
              <w:rPr>
                <w:lang w:val="hu-HU"/>
              </w:rPr>
            </w:pPr>
            <w:r>
              <w:rPr>
                <w:lang w:val="hu-HU"/>
              </w:rPr>
              <w:t xml:space="preserve">Dabigatrán-etexilát napi kétszer 110 mg </w:t>
            </w:r>
          </w:p>
        </w:tc>
        <w:tc>
          <w:tcPr>
            <w:tcW w:w="2242" w:type="dxa"/>
            <w:tcBorders>
              <w:top w:val="single" w:sz="4" w:space="0" w:color="000000"/>
              <w:left w:val="single" w:sz="4" w:space="0" w:color="000000"/>
              <w:bottom w:val="single" w:sz="4" w:space="0" w:color="000000"/>
              <w:right w:val="single" w:sz="4" w:space="0" w:color="000000"/>
            </w:tcBorders>
          </w:tcPr>
          <w:p w14:paraId="0AC7658E" w14:textId="77777777" w:rsidR="00736F4A" w:rsidRDefault="00100640">
            <w:pPr>
              <w:spacing w:line="240" w:lineRule="auto"/>
              <w:ind w:left="43" w:right="63"/>
              <w:rPr>
                <w:lang w:val="hu-HU"/>
              </w:rPr>
            </w:pPr>
            <w:r>
              <w:rPr>
                <w:lang w:val="hu-HU"/>
              </w:rPr>
              <w:t xml:space="preserve">Dabigatrán-etexilát napi kétszer 150 mg </w:t>
            </w:r>
          </w:p>
        </w:tc>
        <w:tc>
          <w:tcPr>
            <w:tcW w:w="1980" w:type="dxa"/>
            <w:tcBorders>
              <w:top w:val="single" w:sz="4" w:space="0" w:color="000000"/>
              <w:left w:val="single" w:sz="4" w:space="0" w:color="000000"/>
              <w:bottom w:val="single" w:sz="4" w:space="0" w:color="000000"/>
              <w:right w:val="single" w:sz="4" w:space="0" w:color="000000"/>
            </w:tcBorders>
          </w:tcPr>
          <w:p w14:paraId="1E8FAC37" w14:textId="77777777" w:rsidR="00736F4A" w:rsidRDefault="00100640">
            <w:pPr>
              <w:spacing w:line="240" w:lineRule="auto"/>
              <w:ind w:right="20"/>
              <w:rPr>
                <w:lang w:val="hu-HU"/>
              </w:rPr>
            </w:pPr>
            <w:r>
              <w:rPr>
                <w:lang w:val="hu-HU"/>
              </w:rPr>
              <w:t xml:space="preserve">Warfarin </w:t>
            </w:r>
          </w:p>
        </w:tc>
      </w:tr>
      <w:tr w:rsidR="00736F4A" w14:paraId="5AAE2A0C" w14:textId="77777777">
        <w:trPr>
          <w:trHeight w:val="516"/>
        </w:trPr>
        <w:tc>
          <w:tcPr>
            <w:tcW w:w="2474" w:type="dxa"/>
            <w:tcBorders>
              <w:top w:val="single" w:sz="4" w:space="0" w:color="000000"/>
              <w:left w:val="single" w:sz="4" w:space="0" w:color="000000"/>
              <w:bottom w:val="single" w:sz="4" w:space="0" w:color="000000"/>
              <w:right w:val="single" w:sz="4" w:space="0" w:color="000000"/>
            </w:tcBorders>
          </w:tcPr>
          <w:p w14:paraId="73274937" w14:textId="77777777" w:rsidR="00736F4A" w:rsidRDefault="00100640">
            <w:pPr>
              <w:spacing w:line="240" w:lineRule="auto"/>
              <w:rPr>
                <w:lang w:val="hu-HU"/>
              </w:rPr>
            </w:pPr>
            <w:r>
              <w:rPr>
                <w:lang w:val="hu-HU"/>
              </w:rPr>
              <w:t>Randomizált vizsgálati személyek</w:t>
            </w:r>
          </w:p>
        </w:tc>
        <w:tc>
          <w:tcPr>
            <w:tcW w:w="2376" w:type="dxa"/>
            <w:tcBorders>
              <w:top w:val="single" w:sz="4" w:space="0" w:color="000000"/>
              <w:left w:val="single" w:sz="4" w:space="0" w:color="000000"/>
              <w:bottom w:val="single" w:sz="4" w:space="0" w:color="000000"/>
              <w:right w:val="single" w:sz="4" w:space="0" w:color="000000"/>
            </w:tcBorders>
          </w:tcPr>
          <w:p w14:paraId="4530B851" w14:textId="77777777" w:rsidR="00736F4A" w:rsidRDefault="00100640">
            <w:pPr>
              <w:spacing w:line="240" w:lineRule="auto"/>
              <w:ind w:right="17"/>
              <w:rPr>
                <w:lang w:val="hu-HU"/>
              </w:rPr>
            </w:pPr>
            <w:r>
              <w:rPr>
                <w:lang w:val="hu-HU"/>
              </w:rPr>
              <w:t>6015</w:t>
            </w:r>
          </w:p>
        </w:tc>
        <w:tc>
          <w:tcPr>
            <w:tcW w:w="2242" w:type="dxa"/>
            <w:tcBorders>
              <w:top w:val="single" w:sz="4" w:space="0" w:color="000000"/>
              <w:left w:val="single" w:sz="4" w:space="0" w:color="000000"/>
              <w:bottom w:val="single" w:sz="4" w:space="0" w:color="000000"/>
              <w:right w:val="single" w:sz="4" w:space="0" w:color="000000"/>
            </w:tcBorders>
          </w:tcPr>
          <w:p w14:paraId="791BE6A5" w14:textId="77777777" w:rsidR="00736F4A" w:rsidRDefault="00100640">
            <w:pPr>
              <w:spacing w:line="240" w:lineRule="auto"/>
              <w:ind w:right="22"/>
              <w:rPr>
                <w:lang w:val="hu-HU"/>
              </w:rPr>
            </w:pPr>
            <w:r>
              <w:rPr>
                <w:lang w:val="hu-HU"/>
              </w:rPr>
              <w:t>6076</w:t>
            </w:r>
          </w:p>
        </w:tc>
        <w:tc>
          <w:tcPr>
            <w:tcW w:w="1980" w:type="dxa"/>
            <w:tcBorders>
              <w:top w:val="single" w:sz="4" w:space="0" w:color="000000"/>
              <w:left w:val="single" w:sz="4" w:space="0" w:color="000000"/>
              <w:bottom w:val="single" w:sz="4" w:space="0" w:color="000000"/>
              <w:right w:val="single" w:sz="4" w:space="0" w:color="000000"/>
            </w:tcBorders>
          </w:tcPr>
          <w:p w14:paraId="3E6C455F" w14:textId="77777777" w:rsidR="00736F4A" w:rsidRDefault="00100640">
            <w:pPr>
              <w:spacing w:line="240" w:lineRule="auto"/>
              <w:ind w:right="15"/>
              <w:rPr>
                <w:lang w:val="hu-HU"/>
              </w:rPr>
            </w:pPr>
            <w:r>
              <w:rPr>
                <w:lang w:val="hu-HU"/>
              </w:rPr>
              <w:t>6022</w:t>
            </w:r>
          </w:p>
        </w:tc>
      </w:tr>
      <w:tr w:rsidR="00736F4A" w14:paraId="7D09E3F4" w14:textId="77777777">
        <w:trPr>
          <w:trHeight w:val="516"/>
        </w:trPr>
        <w:tc>
          <w:tcPr>
            <w:tcW w:w="2474" w:type="dxa"/>
            <w:tcBorders>
              <w:top w:val="single" w:sz="4" w:space="0" w:color="000000"/>
              <w:left w:val="single" w:sz="4" w:space="0" w:color="000000"/>
              <w:bottom w:val="single" w:sz="4" w:space="0" w:color="000000"/>
              <w:right w:val="single" w:sz="4" w:space="0" w:color="000000"/>
            </w:tcBorders>
          </w:tcPr>
          <w:p w14:paraId="668FF4B6" w14:textId="77777777" w:rsidR="00736F4A" w:rsidRDefault="00100640">
            <w:pPr>
              <w:spacing w:line="240" w:lineRule="auto"/>
              <w:ind w:left="566" w:hanging="566"/>
              <w:rPr>
                <w:lang w:val="hu-HU"/>
              </w:rPr>
            </w:pPr>
            <w:r>
              <w:rPr>
                <w:lang w:val="hu-HU"/>
              </w:rPr>
              <w:t>Stroke és/vagy szisztémás embolizáció</w:t>
            </w:r>
          </w:p>
        </w:tc>
        <w:tc>
          <w:tcPr>
            <w:tcW w:w="2376" w:type="dxa"/>
            <w:tcBorders>
              <w:top w:val="single" w:sz="4" w:space="0" w:color="000000"/>
              <w:left w:val="single" w:sz="4" w:space="0" w:color="000000"/>
              <w:bottom w:val="single" w:sz="4" w:space="0" w:color="000000"/>
              <w:right w:val="single" w:sz="4" w:space="0" w:color="000000"/>
            </w:tcBorders>
          </w:tcPr>
          <w:p w14:paraId="3BABC89A" w14:textId="77777777" w:rsidR="00736F4A" w:rsidRDefault="00736F4A">
            <w:pPr>
              <w:spacing w:line="240" w:lineRule="auto"/>
              <w:rPr>
                <w:lang w:val="hu-HU"/>
              </w:rPr>
            </w:pPr>
          </w:p>
        </w:tc>
        <w:tc>
          <w:tcPr>
            <w:tcW w:w="2242" w:type="dxa"/>
            <w:tcBorders>
              <w:top w:val="single" w:sz="4" w:space="0" w:color="000000"/>
              <w:left w:val="single" w:sz="4" w:space="0" w:color="000000"/>
              <w:bottom w:val="single" w:sz="4" w:space="0" w:color="000000"/>
              <w:right w:val="single" w:sz="4" w:space="0" w:color="000000"/>
            </w:tcBorders>
          </w:tcPr>
          <w:p w14:paraId="483B97A8" w14:textId="77777777" w:rsidR="00736F4A" w:rsidRDefault="00736F4A">
            <w:pPr>
              <w:spacing w:line="240" w:lineRule="auto"/>
              <w:rPr>
                <w:lang w:val="hu-HU"/>
              </w:rPr>
            </w:pPr>
          </w:p>
        </w:tc>
        <w:tc>
          <w:tcPr>
            <w:tcW w:w="1980" w:type="dxa"/>
            <w:tcBorders>
              <w:top w:val="single" w:sz="4" w:space="0" w:color="000000"/>
              <w:left w:val="single" w:sz="4" w:space="0" w:color="000000"/>
              <w:bottom w:val="single" w:sz="4" w:space="0" w:color="000000"/>
              <w:right w:val="single" w:sz="4" w:space="0" w:color="000000"/>
            </w:tcBorders>
          </w:tcPr>
          <w:p w14:paraId="3135EE76" w14:textId="77777777" w:rsidR="00736F4A" w:rsidRDefault="00736F4A">
            <w:pPr>
              <w:spacing w:line="240" w:lineRule="auto"/>
              <w:rPr>
                <w:lang w:val="hu-HU"/>
              </w:rPr>
            </w:pPr>
          </w:p>
        </w:tc>
      </w:tr>
      <w:tr w:rsidR="00736F4A" w14:paraId="05A71B12" w14:textId="77777777">
        <w:trPr>
          <w:trHeight w:val="264"/>
        </w:trPr>
        <w:tc>
          <w:tcPr>
            <w:tcW w:w="2474" w:type="dxa"/>
            <w:tcBorders>
              <w:top w:val="single" w:sz="4" w:space="0" w:color="000000"/>
              <w:left w:val="single" w:sz="4" w:space="0" w:color="000000"/>
              <w:bottom w:val="single" w:sz="4" w:space="0" w:color="000000"/>
              <w:right w:val="single" w:sz="4" w:space="0" w:color="000000"/>
            </w:tcBorders>
          </w:tcPr>
          <w:p w14:paraId="7F7B0597" w14:textId="77777777" w:rsidR="00736F4A" w:rsidRDefault="00100640">
            <w:pPr>
              <w:spacing w:line="240" w:lineRule="auto"/>
              <w:ind w:left="360"/>
              <w:rPr>
                <w:lang w:val="hu-HU"/>
              </w:rPr>
            </w:pPr>
            <w:r>
              <w:rPr>
                <w:lang w:val="hu-HU"/>
              </w:rPr>
              <w:t>Incidencia (%)</w:t>
            </w:r>
          </w:p>
        </w:tc>
        <w:tc>
          <w:tcPr>
            <w:tcW w:w="2376" w:type="dxa"/>
            <w:tcBorders>
              <w:top w:val="single" w:sz="4" w:space="0" w:color="000000"/>
              <w:left w:val="single" w:sz="4" w:space="0" w:color="000000"/>
              <w:bottom w:val="single" w:sz="4" w:space="0" w:color="000000"/>
              <w:right w:val="single" w:sz="4" w:space="0" w:color="000000"/>
            </w:tcBorders>
          </w:tcPr>
          <w:p w14:paraId="2D927F19" w14:textId="77777777" w:rsidR="00736F4A" w:rsidRDefault="00100640">
            <w:pPr>
              <w:spacing w:line="240" w:lineRule="auto"/>
              <w:ind w:right="21"/>
              <w:rPr>
                <w:lang w:val="hu-HU"/>
              </w:rPr>
            </w:pPr>
            <w:r>
              <w:rPr>
                <w:lang w:val="hu-HU"/>
              </w:rPr>
              <w:t>183 (1,54)</w:t>
            </w:r>
          </w:p>
        </w:tc>
        <w:tc>
          <w:tcPr>
            <w:tcW w:w="2242" w:type="dxa"/>
            <w:tcBorders>
              <w:top w:val="single" w:sz="4" w:space="0" w:color="000000"/>
              <w:left w:val="single" w:sz="4" w:space="0" w:color="000000"/>
              <w:bottom w:val="single" w:sz="4" w:space="0" w:color="000000"/>
              <w:right w:val="single" w:sz="4" w:space="0" w:color="000000"/>
            </w:tcBorders>
          </w:tcPr>
          <w:p w14:paraId="6822A4B1" w14:textId="77777777" w:rsidR="00736F4A" w:rsidRDefault="00100640">
            <w:pPr>
              <w:spacing w:line="240" w:lineRule="auto"/>
              <w:ind w:right="21"/>
              <w:rPr>
                <w:lang w:val="hu-HU"/>
              </w:rPr>
            </w:pPr>
            <w:r>
              <w:rPr>
                <w:lang w:val="hu-HU"/>
              </w:rPr>
              <w:t>135 (1,12)</w:t>
            </w:r>
          </w:p>
        </w:tc>
        <w:tc>
          <w:tcPr>
            <w:tcW w:w="1980" w:type="dxa"/>
            <w:tcBorders>
              <w:top w:val="single" w:sz="4" w:space="0" w:color="000000"/>
              <w:left w:val="single" w:sz="4" w:space="0" w:color="000000"/>
              <w:bottom w:val="single" w:sz="4" w:space="0" w:color="000000"/>
              <w:right w:val="single" w:sz="4" w:space="0" w:color="000000"/>
            </w:tcBorders>
          </w:tcPr>
          <w:p w14:paraId="14150680" w14:textId="77777777" w:rsidR="00736F4A" w:rsidRDefault="00100640">
            <w:pPr>
              <w:spacing w:line="240" w:lineRule="auto"/>
              <w:ind w:right="18"/>
              <w:rPr>
                <w:lang w:val="hu-HU"/>
              </w:rPr>
            </w:pPr>
            <w:r>
              <w:rPr>
                <w:lang w:val="hu-HU"/>
              </w:rPr>
              <w:t>203 (1,72)</w:t>
            </w:r>
          </w:p>
        </w:tc>
      </w:tr>
      <w:tr w:rsidR="00736F4A" w14:paraId="68126F7E" w14:textId="77777777">
        <w:trPr>
          <w:trHeight w:val="1022"/>
        </w:trPr>
        <w:tc>
          <w:tcPr>
            <w:tcW w:w="2474" w:type="dxa"/>
            <w:tcBorders>
              <w:top w:val="single" w:sz="4" w:space="0" w:color="000000"/>
              <w:left w:val="single" w:sz="4" w:space="0" w:color="000000"/>
              <w:bottom w:val="single" w:sz="4" w:space="0" w:color="000000"/>
              <w:right w:val="single" w:sz="4" w:space="0" w:color="000000"/>
            </w:tcBorders>
          </w:tcPr>
          <w:p w14:paraId="76C62859" w14:textId="77777777" w:rsidR="00736F4A" w:rsidRDefault="00100640">
            <w:pPr>
              <w:spacing w:line="240" w:lineRule="auto"/>
              <w:ind w:left="360"/>
              <w:rPr>
                <w:lang w:val="hu-HU"/>
              </w:rPr>
            </w:pPr>
            <w:r>
              <w:rPr>
                <w:lang w:val="hu-HU"/>
              </w:rPr>
              <w:t>Relatív hazárd (hazard ratio) a warfarinhoz képest (95% CI)</w:t>
            </w:r>
          </w:p>
        </w:tc>
        <w:tc>
          <w:tcPr>
            <w:tcW w:w="2376" w:type="dxa"/>
            <w:tcBorders>
              <w:top w:val="single" w:sz="4" w:space="0" w:color="000000"/>
              <w:left w:val="single" w:sz="4" w:space="0" w:color="000000"/>
              <w:bottom w:val="single" w:sz="4" w:space="0" w:color="000000"/>
              <w:right w:val="single" w:sz="4" w:space="0" w:color="000000"/>
            </w:tcBorders>
          </w:tcPr>
          <w:p w14:paraId="2B06E1FC" w14:textId="77777777" w:rsidR="00736F4A" w:rsidRDefault="00100640">
            <w:pPr>
              <w:spacing w:line="240" w:lineRule="auto"/>
              <w:ind w:right="20"/>
              <w:rPr>
                <w:lang w:val="hu-HU"/>
              </w:rPr>
            </w:pPr>
            <w:r>
              <w:rPr>
                <w:lang w:val="hu-HU"/>
              </w:rPr>
              <w:t>0,89 (0,73; 1,09)</w:t>
            </w:r>
          </w:p>
        </w:tc>
        <w:tc>
          <w:tcPr>
            <w:tcW w:w="2242" w:type="dxa"/>
            <w:tcBorders>
              <w:top w:val="single" w:sz="4" w:space="0" w:color="000000"/>
              <w:left w:val="single" w:sz="4" w:space="0" w:color="000000"/>
              <w:bottom w:val="single" w:sz="4" w:space="0" w:color="000000"/>
              <w:right w:val="single" w:sz="4" w:space="0" w:color="000000"/>
            </w:tcBorders>
          </w:tcPr>
          <w:p w14:paraId="42183991" w14:textId="77777777" w:rsidR="00736F4A" w:rsidRDefault="00100640">
            <w:pPr>
              <w:spacing w:line="240" w:lineRule="auto"/>
              <w:ind w:right="20"/>
              <w:rPr>
                <w:lang w:val="hu-HU"/>
              </w:rPr>
            </w:pPr>
            <w:r>
              <w:rPr>
                <w:lang w:val="hu-HU"/>
              </w:rPr>
              <w:t>0,65 (0,52; 0,81)</w:t>
            </w:r>
          </w:p>
        </w:tc>
        <w:tc>
          <w:tcPr>
            <w:tcW w:w="1980" w:type="dxa"/>
            <w:tcBorders>
              <w:top w:val="single" w:sz="4" w:space="0" w:color="000000"/>
              <w:left w:val="single" w:sz="4" w:space="0" w:color="000000"/>
              <w:bottom w:val="single" w:sz="4" w:space="0" w:color="000000"/>
              <w:right w:val="single" w:sz="4" w:space="0" w:color="000000"/>
            </w:tcBorders>
          </w:tcPr>
          <w:p w14:paraId="36655248" w14:textId="77777777" w:rsidR="00736F4A" w:rsidRDefault="00736F4A">
            <w:pPr>
              <w:spacing w:line="240" w:lineRule="auto"/>
              <w:rPr>
                <w:lang w:val="hu-HU"/>
              </w:rPr>
            </w:pPr>
          </w:p>
        </w:tc>
      </w:tr>
      <w:tr w:rsidR="00736F4A" w14:paraId="69824835" w14:textId="77777777">
        <w:trPr>
          <w:trHeight w:val="262"/>
        </w:trPr>
        <w:tc>
          <w:tcPr>
            <w:tcW w:w="2474" w:type="dxa"/>
            <w:tcBorders>
              <w:top w:val="single" w:sz="4" w:space="0" w:color="000000"/>
              <w:left w:val="single" w:sz="4" w:space="0" w:color="000000"/>
              <w:bottom w:val="single" w:sz="4" w:space="0" w:color="000000"/>
              <w:right w:val="single" w:sz="4" w:space="0" w:color="000000"/>
            </w:tcBorders>
          </w:tcPr>
          <w:p w14:paraId="264C1EB9" w14:textId="77777777" w:rsidR="00736F4A" w:rsidRDefault="00100640">
            <w:pPr>
              <w:spacing w:line="240" w:lineRule="auto"/>
              <w:ind w:left="360"/>
              <w:rPr>
                <w:lang w:val="hu-HU"/>
              </w:rPr>
            </w:pPr>
            <w:r>
              <w:rPr>
                <w:lang w:val="hu-HU"/>
              </w:rPr>
              <w:t>p-érték szuperioritás</w:t>
            </w:r>
          </w:p>
        </w:tc>
        <w:tc>
          <w:tcPr>
            <w:tcW w:w="2376" w:type="dxa"/>
            <w:tcBorders>
              <w:top w:val="single" w:sz="4" w:space="0" w:color="000000"/>
              <w:left w:val="single" w:sz="4" w:space="0" w:color="000000"/>
              <w:bottom w:val="single" w:sz="4" w:space="0" w:color="000000"/>
              <w:right w:val="single" w:sz="4" w:space="0" w:color="000000"/>
            </w:tcBorders>
          </w:tcPr>
          <w:p w14:paraId="514372E7" w14:textId="77777777" w:rsidR="00736F4A" w:rsidRDefault="00100640">
            <w:pPr>
              <w:spacing w:line="240" w:lineRule="auto"/>
              <w:ind w:right="20"/>
              <w:rPr>
                <w:lang w:val="hu-HU"/>
              </w:rPr>
            </w:pPr>
            <w:r>
              <w:rPr>
                <w:lang w:val="hu-HU"/>
              </w:rPr>
              <w:t>p=0,2721</w:t>
            </w:r>
          </w:p>
        </w:tc>
        <w:tc>
          <w:tcPr>
            <w:tcW w:w="2242" w:type="dxa"/>
            <w:tcBorders>
              <w:top w:val="single" w:sz="4" w:space="0" w:color="000000"/>
              <w:left w:val="single" w:sz="4" w:space="0" w:color="000000"/>
              <w:bottom w:val="single" w:sz="4" w:space="0" w:color="000000"/>
              <w:right w:val="single" w:sz="4" w:space="0" w:color="000000"/>
            </w:tcBorders>
          </w:tcPr>
          <w:p w14:paraId="239BDDA3" w14:textId="77777777" w:rsidR="00736F4A" w:rsidRDefault="00100640">
            <w:pPr>
              <w:spacing w:line="240" w:lineRule="auto"/>
              <w:ind w:right="20"/>
              <w:rPr>
                <w:lang w:val="hu-HU"/>
              </w:rPr>
            </w:pPr>
            <w:r>
              <w:rPr>
                <w:lang w:val="hu-HU"/>
              </w:rPr>
              <w:t>p=0,0001</w:t>
            </w:r>
          </w:p>
        </w:tc>
        <w:tc>
          <w:tcPr>
            <w:tcW w:w="1980" w:type="dxa"/>
            <w:tcBorders>
              <w:top w:val="single" w:sz="4" w:space="0" w:color="000000"/>
              <w:left w:val="single" w:sz="4" w:space="0" w:color="000000"/>
              <w:bottom w:val="single" w:sz="4" w:space="0" w:color="000000"/>
              <w:right w:val="single" w:sz="4" w:space="0" w:color="000000"/>
            </w:tcBorders>
          </w:tcPr>
          <w:p w14:paraId="2D928843" w14:textId="77777777" w:rsidR="00736F4A" w:rsidRDefault="00736F4A">
            <w:pPr>
              <w:spacing w:line="240" w:lineRule="auto"/>
              <w:rPr>
                <w:lang w:val="hu-HU"/>
              </w:rPr>
            </w:pPr>
          </w:p>
        </w:tc>
      </w:tr>
    </w:tbl>
    <w:p w14:paraId="4618F93D" w14:textId="77777777" w:rsidR="00736F4A" w:rsidRDefault="00100640">
      <w:pPr>
        <w:spacing w:line="240" w:lineRule="auto"/>
        <w:ind w:left="7" w:right="9"/>
      </w:pPr>
      <w:r>
        <w:t>% az éves esemény gyakoriságra vonatkozik</w:t>
      </w:r>
    </w:p>
    <w:p w14:paraId="471E66C9" w14:textId="77777777" w:rsidR="00736F4A" w:rsidRDefault="00736F4A">
      <w:pPr>
        <w:spacing w:line="240" w:lineRule="auto"/>
        <w:rPr>
          <w:lang w:val="hu-HU"/>
        </w:rPr>
      </w:pPr>
    </w:p>
    <w:p w14:paraId="745A0DC0" w14:textId="77777777" w:rsidR="00736F4A" w:rsidRDefault="00100640">
      <w:pPr>
        <w:spacing w:line="240" w:lineRule="auto"/>
      </w:pPr>
      <w:r>
        <w:rPr>
          <w:b/>
        </w:rPr>
        <w:t>18. táblázat. Az ischaemiás vagy vérzéses stroke első megjelenésének elemzése a RE-LY vizsgálat vizsgálati periódusában</w:t>
      </w:r>
    </w:p>
    <w:p w14:paraId="3DCE6BB2" w14:textId="77777777" w:rsidR="00736F4A" w:rsidRDefault="00736F4A">
      <w:pPr>
        <w:spacing w:line="240" w:lineRule="auto"/>
        <w:rPr>
          <w:lang w:val="hu-HU"/>
        </w:rPr>
      </w:pPr>
    </w:p>
    <w:tbl>
      <w:tblPr>
        <w:tblW w:w="9072" w:type="dxa"/>
        <w:tblInd w:w="-2" w:type="dxa"/>
        <w:tblCellMar>
          <w:top w:w="51" w:type="dxa"/>
          <w:left w:w="72" w:type="dxa"/>
          <w:right w:w="60" w:type="dxa"/>
        </w:tblCellMar>
        <w:tblLook w:val="04A0" w:firstRow="1" w:lastRow="0" w:firstColumn="1" w:lastColumn="0" w:noHBand="0" w:noVBand="1"/>
      </w:tblPr>
      <w:tblGrid>
        <w:gridCol w:w="2436"/>
        <w:gridCol w:w="2335"/>
        <w:gridCol w:w="2335"/>
        <w:gridCol w:w="1966"/>
      </w:tblGrid>
      <w:tr w:rsidR="00736F4A" w14:paraId="573330AD"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330669B3" w14:textId="77777777" w:rsidR="00736F4A" w:rsidRDefault="00736F4A">
            <w:pPr>
              <w:spacing w:line="240" w:lineRule="auto"/>
              <w:rPr>
                <w:lang w:val="hu-HU"/>
              </w:rPr>
            </w:pPr>
          </w:p>
        </w:tc>
        <w:tc>
          <w:tcPr>
            <w:tcW w:w="2335" w:type="dxa"/>
            <w:tcBorders>
              <w:top w:val="single" w:sz="4" w:space="0" w:color="000000"/>
              <w:left w:val="single" w:sz="4" w:space="0" w:color="000000"/>
              <w:bottom w:val="single" w:sz="4" w:space="0" w:color="000000"/>
              <w:right w:val="single" w:sz="4" w:space="0" w:color="000000"/>
            </w:tcBorders>
          </w:tcPr>
          <w:p w14:paraId="1811D04C" w14:textId="77777777" w:rsidR="00736F4A" w:rsidRDefault="00100640">
            <w:pPr>
              <w:spacing w:line="240" w:lineRule="auto"/>
              <w:ind w:left="89" w:right="102"/>
              <w:rPr>
                <w:lang w:val="hu-HU"/>
              </w:rPr>
            </w:pPr>
            <w:r>
              <w:rPr>
                <w:lang w:val="hu-HU"/>
              </w:rPr>
              <w:t xml:space="preserve">Dabigatrán-etexilát napi kétszer 110 mg </w:t>
            </w:r>
          </w:p>
        </w:tc>
        <w:tc>
          <w:tcPr>
            <w:tcW w:w="2335" w:type="dxa"/>
            <w:tcBorders>
              <w:top w:val="single" w:sz="4" w:space="0" w:color="000000"/>
              <w:left w:val="single" w:sz="4" w:space="0" w:color="000000"/>
              <w:bottom w:val="single" w:sz="4" w:space="0" w:color="000000"/>
              <w:right w:val="single" w:sz="4" w:space="0" w:color="000000"/>
            </w:tcBorders>
          </w:tcPr>
          <w:p w14:paraId="7E70A608" w14:textId="77777777" w:rsidR="00736F4A" w:rsidRDefault="00100640">
            <w:pPr>
              <w:spacing w:line="240" w:lineRule="auto"/>
              <w:ind w:left="89" w:right="102"/>
              <w:rPr>
                <w:lang w:val="hu-HU"/>
              </w:rPr>
            </w:pPr>
            <w:r>
              <w:rPr>
                <w:lang w:val="hu-HU"/>
              </w:rPr>
              <w:t xml:space="preserve">Dabigatrán-etexilát napi kétszer 150 mg </w:t>
            </w:r>
          </w:p>
        </w:tc>
        <w:tc>
          <w:tcPr>
            <w:tcW w:w="1966" w:type="dxa"/>
            <w:tcBorders>
              <w:top w:val="single" w:sz="4" w:space="0" w:color="000000"/>
              <w:left w:val="single" w:sz="4" w:space="0" w:color="000000"/>
              <w:bottom w:val="single" w:sz="4" w:space="0" w:color="000000"/>
              <w:right w:val="single" w:sz="4" w:space="0" w:color="000000"/>
            </w:tcBorders>
          </w:tcPr>
          <w:p w14:paraId="429E8A7A" w14:textId="77777777" w:rsidR="00736F4A" w:rsidRDefault="00100640">
            <w:pPr>
              <w:spacing w:line="240" w:lineRule="auto"/>
              <w:ind w:right="10"/>
              <w:rPr>
                <w:lang w:val="hu-HU"/>
              </w:rPr>
            </w:pPr>
            <w:r>
              <w:rPr>
                <w:lang w:val="hu-HU"/>
              </w:rPr>
              <w:t>Warfarin</w:t>
            </w:r>
          </w:p>
        </w:tc>
      </w:tr>
      <w:tr w:rsidR="00736F4A" w14:paraId="72E23749"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61DF4C30" w14:textId="77777777" w:rsidR="00736F4A" w:rsidRDefault="00100640">
            <w:pPr>
              <w:spacing w:line="240" w:lineRule="auto"/>
              <w:rPr>
                <w:lang w:val="hu-HU"/>
              </w:rPr>
            </w:pPr>
            <w:r>
              <w:rPr>
                <w:lang w:val="hu-HU"/>
              </w:rPr>
              <w:t>Randomizált vizsgálati személyek</w:t>
            </w:r>
          </w:p>
        </w:tc>
        <w:tc>
          <w:tcPr>
            <w:tcW w:w="2335" w:type="dxa"/>
            <w:tcBorders>
              <w:top w:val="single" w:sz="4" w:space="0" w:color="000000"/>
              <w:left w:val="single" w:sz="4" w:space="0" w:color="000000"/>
              <w:bottom w:val="single" w:sz="4" w:space="0" w:color="000000"/>
              <w:right w:val="single" w:sz="4" w:space="0" w:color="000000"/>
            </w:tcBorders>
          </w:tcPr>
          <w:p w14:paraId="4E7ACA7E" w14:textId="77777777" w:rsidR="00736F4A" w:rsidRDefault="00100640">
            <w:pPr>
              <w:spacing w:line="240" w:lineRule="auto"/>
              <w:ind w:right="10"/>
              <w:rPr>
                <w:lang w:val="hu-HU"/>
              </w:rPr>
            </w:pPr>
            <w:r>
              <w:rPr>
                <w:lang w:val="hu-HU"/>
              </w:rPr>
              <w:t>6015</w:t>
            </w:r>
          </w:p>
        </w:tc>
        <w:tc>
          <w:tcPr>
            <w:tcW w:w="2335" w:type="dxa"/>
            <w:tcBorders>
              <w:top w:val="single" w:sz="4" w:space="0" w:color="000000"/>
              <w:left w:val="single" w:sz="4" w:space="0" w:color="000000"/>
              <w:bottom w:val="single" w:sz="4" w:space="0" w:color="000000"/>
              <w:right w:val="single" w:sz="4" w:space="0" w:color="000000"/>
            </w:tcBorders>
          </w:tcPr>
          <w:p w14:paraId="57B723AE" w14:textId="77777777" w:rsidR="00736F4A" w:rsidRDefault="00100640">
            <w:pPr>
              <w:spacing w:line="240" w:lineRule="auto"/>
              <w:ind w:right="10"/>
              <w:rPr>
                <w:lang w:val="hu-HU"/>
              </w:rPr>
            </w:pPr>
            <w:r>
              <w:rPr>
                <w:lang w:val="hu-HU"/>
              </w:rPr>
              <w:t>6076</w:t>
            </w:r>
          </w:p>
        </w:tc>
        <w:tc>
          <w:tcPr>
            <w:tcW w:w="1966" w:type="dxa"/>
            <w:tcBorders>
              <w:top w:val="single" w:sz="4" w:space="0" w:color="000000"/>
              <w:left w:val="single" w:sz="4" w:space="0" w:color="000000"/>
              <w:bottom w:val="single" w:sz="4" w:space="0" w:color="000000"/>
              <w:right w:val="single" w:sz="4" w:space="0" w:color="000000"/>
            </w:tcBorders>
          </w:tcPr>
          <w:p w14:paraId="27E0B73C" w14:textId="77777777" w:rsidR="00736F4A" w:rsidRDefault="00100640">
            <w:pPr>
              <w:spacing w:line="240" w:lineRule="auto"/>
              <w:ind w:right="10"/>
              <w:rPr>
                <w:lang w:val="hu-HU"/>
              </w:rPr>
            </w:pPr>
            <w:r>
              <w:rPr>
                <w:lang w:val="hu-HU"/>
              </w:rPr>
              <w:t>6022</w:t>
            </w:r>
          </w:p>
        </w:tc>
      </w:tr>
      <w:tr w:rsidR="00736F4A" w14:paraId="33217F27"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6B6FD817" w14:textId="77777777" w:rsidR="00736F4A" w:rsidRDefault="00100640">
            <w:pPr>
              <w:spacing w:line="240" w:lineRule="auto"/>
              <w:rPr>
                <w:lang w:val="hu-HU"/>
              </w:rPr>
            </w:pPr>
            <w:r>
              <w:rPr>
                <w:lang w:val="hu-HU"/>
              </w:rPr>
              <w:t>Stroke</w:t>
            </w:r>
          </w:p>
        </w:tc>
        <w:tc>
          <w:tcPr>
            <w:tcW w:w="2335" w:type="dxa"/>
            <w:tcBorders>
              <w:top w:val="single" w:sz="4" w:space="0" w:color="000000"/>
              <w:left w:val="single" w:sz="4" w:space="0" w:color="000000"/>
              <w:bottom w:val="single" w:sz="4" w:space="0" w:color="000000"/>
              <w:right w:val="single" w:sz="4" w:space="0" w:color="000000"/>
            </w:tcBorders>
          </w:tcPr>
          <w:p w14:paraId="3CC1CBD6" w14:textId="77777777" w:rsidR="00736F4A" w:rsidRDefault="00736F4A">
            <w:pPr>
              <w:spacing w:line="240" w:lineRule="auto"/>
              <w:rPr>
                <w:lang w:val="hu-HU"/>
              </w:rPr>
            </w:pPr>
          </w:p>
        </w:tc>
        <w:tc>
          <w:tcPr>
            <w:tcW w:w="2335" w:type="dxa"/>
            <w:tcBorders>
              <w:top w:val="single" w:sz="4" w:space="0" w:color="000000"/>
              <w:left w:val="single" w:sz="4" w:space="0" w:color="000000"/>
              <w:bottom w:val="single" w:sz="4" w:space="0" w:color="000000"/>
              <w:right w:val="single" w:sz="4" w:space="0" w:color="000000"/>
            </w:tcBorders>
          </w:tcPr>
          <w:p w14:paraId="71B5B6B8" w14:textId="77777777" w:rsidR="00736F4A" w:rsidRDefault="00736F4A">
            <w:pPr>
              <w:spacing w:line="240" w:lineRule="auto"/>
              <w:rPr>
                <w:lang w:val="hu-HU"/>
              </w:rPr>
            </w:pPr>
          </w:p>
        </w:tc>
        <w:tc>
          <w:tcPr>
            <w:tcW w:w="1966" w:type="dxa"/>
            <w:tcBorders>
              <w:top w:val="single" w:sz="4" w:space="0" w:color="000000"/>
              <w:left w:val="single" w:sz="4" w:space="0" w:color="000000"/>
              <w:bottom w:val="single" w:sz="4" w:space="0" w:color="000000"/>
              <w:right w:val="single" w:sz="4" w:space="0" w:color="000000"/>
            </w:tcBorders>
          </w:tcPr>
          <w:p w14:paraId="632F92D9" w14:textId="77777777" w:rsidR="00736F4A" w:rsidRDefault="00736F4A">
            <w:pPr>
              <w:spacing w:line="240" w:lineRule="auto"/>
              <w:rPr>
                <w:lang w:val="hu-HU"/>
              </w:rPr>
            </w:pPr>
          </w:p>
        </w:tc>
      </w:tr>
      <w:tr w:rsidR="00736F4A" w14:paraId="64E6942B"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2717B95C" w14:textId="77777777" w:rsidR="00736F4A" w:rsidRDefault="00100640">
            <w:pPr>
              <w:spacing w:line="240" w:lineRule="auto"/>
              <w:ind w:left="131"/>
              <w:rPr>
                <w:lang w:val="hu-HU"/>
              </w:rPr>
            </w:pPr>
            <w:r>
              <w:rPr>
                <w:lang w:val="hu-HU"/>
              </w:rPr>
              <w:lastRenderedPageBreak/>
              <w:t>Incidencia (%)</w:t>
            </w:r>
          </w:p>
        </w:tc>
        <w:tc>
          <w:tcPr>
            <w:tcW w:w="2335" w:type="dxa"/>
            <w:tcBorders>
              <w:top w:val="single" w:sz="4" w:space="0" w:color="000000"/>
              <w:left w:val="single" w:sz="4" w:space="0" w:color="000000"/>
              <w:bottom w:val="single" w:sz="4" w:space="0" w:color="000000"/>
              <w:right w:val="single" w:sz="4" w:space="0" w:color="000000"/>
            </w:tcBorders>
          </w:tcPr>
          <w:p w14:paraId="542ECF1E" w14:textId="77777777" w:rsidR="00736F4A" w:rsidRDefault="00100640">
            <w:pPr>
              <w:spacing w:line="240" w:lineRule="auto"/>
              <w:ind w:right="13"/>
              <w:rPr>
                <w:lang w:val="hu-HU"/>
              </w:rPr>
            </w:pPr>
            <w:r>
              <w:rPr>
                <w:lang w:val="hu-HU"/>
              </w:rPr>
              <w:t>171 (1,44)</w:t>
            </w:r>
          </w:p>
        </w:tc>
        <w:tc>
          <w:tcPr>
            <w:tcW w:w="2335" w:type="dxa"/>
            <w:tcBorders>
              <w:top w:val="single" w:sz="4" w:space="0" w:color="000000"/>
              <w:left w:val="single" w:sz="4" w:space="0" w:color="000000"/>
              <w:bottom w:val="single" w:sz="4" w:space="0" w:color="000000"/>
              <w:right w:val="single" w:sz="4" w:space="0" w:color="000000"/>
            </w:tcBorders>
          </w:tcPr>
          <w:p w14:paraId="22CCA3CB" w14:textId="77777777" w:rsidR="00736F4A" w:rsidRDefault="00100640">
            <w:pPr>
              <w:spacing w:line="240" w:lineRule="auto"/>
              <w:ind w:right="13"/>
              <w:rPr>
                <w:lang w:val="hu-HU"/>
              </w:rPr>
            </w:pPr>
            <w:r>
              <w:rPr>
                <w:lang w:val="hu-HU"/>
              </w:rPr>
              <w:t>123 (1,01)</w:t>
            </w:r>
          </w:p>
        </w:tc>
        <w:tc>
          <w:tcPr>
            <w:tcW w:w="1966" w:type="dxa"/>
            <w:tcBorders>
              <w:top w:val="single" w:sz="4" w:space="0" w:color="000000"/>
              <w:left w:val="single" w:sz="4" w:space="0" w:color="000000"/>
              <w:bottom w:val="single" w:sz="4" w:space="0" w:color="000000"/>
              <w:right w:val="single" w:sz="4" w:space="0" w:color="000000"/>
            </w:tcBorders>
          </w:tcPr>
          <w:p w14:paraId="1FB459D2" w14:textId="77777777" w:rsidR="00736F4A" w:rsidRDefault="00100640">
            <w:pPr>
              <w:spacing w:line="240" w:lineRule="auto"/>
              <w:ind w:right="8"/>
              <w:rPr>
                <w:lang w:val="hu-HU"/>
              </w:rPr>
            </w:pPr>
            <w:r>
              <w:rPr>
                <w:lang w:val="hu-HU"/>
              </w:rPr>
              <w:t>187 (1,59)</w:t>
            </w:r>
          </w:p>
        </w:tc>
      </w:tr>
      <w:tr w:rsidR="00736F4A" w14:paraId="15FECB3B"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7CCF2F60" w14:textId="77777777" w:rsidR="00736F4A" w:rsidRDefault="00100640">
            <w:pPr>
              <w:spacing w:line="240" w:lineRule="auto"/>
              <w:ind w:left="566"/>
              <w:rPr>
                <w:lang w:val="hu-HU"/>
              </w:rPr>
            </w:pPr>
            <w:r>
              <w:rPr>
                <w:lang w:val="hu-HU"/>
              </w:rP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33597C73" w14:textId="77777777" w:rsidR="00736F4A" w:rsidRDefault="00100640">
            <w:pPr>
              <w:spacing w:line="240" w:lineRule="auto"/>
              <w:ind w:right="11"/>
              <w:rPr>
                <w:lang w:val="hu-HU"/>
              </w:rPr>
            </w:pPr>
            <w:r>
              <w:rPr>
                <w:lang w:val="hu-HU"/>
              </w:rPr>
              <w:t>0,91 (0,74, 1,12)</w:t>
            </w:r>
          </w:p>
        </w:tc>
        <w:tc>
          <w:tcPr>
            <w:tcW w:w="2335" w:type="dxa"/>
            <w:tcBorders>
              <w:top w:val="single" w:sz="4" w:space="0" w:color="000000"/>
              <w:left w:val="single" w:sz="4" w:space="0" w:color="000000"/>
              <w:bottom w:val="single" w:sz="4" w:space="0" w:color="000000"/>
              <w:right w:val="single" w:sz="4" w:space="0" w:color="000000"/>
            </w:tcBorders>
          </w:tcPr>
          <w:p w14:paraId="0B0803F3" w14:textId="77777777" w:rsidR="00736F4A" w:rsidRDefault="00100640">
            <w:pPr>
              <w:spacing w:line="240" w:lineRule="auto"/>
              <w:ind w:right="11"/>
              <w:rPr>
                <w:lang w:val="hu-HU"/>
              </w:rPr>
            </w:pPr>
            <w:r>
              <w:rPr>
                <w:lang w:val="hu-HU"/>
              </w:rPr>
              <w:t>0,64 (0,51, 0,81)</w:t>
            </w:r>
          </w:p>
        </w:tc>
        <w:tc>
          <w:tcPr>
            <w:tcW w:w="1966" w:type="dxa"/>
            <w:tcBorders>
              <w:top w:val="single" w:sz="4" w:space="0" w:color="000000"/>
              <w:left w:val="single" w:sz="4" w:space="0" w:color="000000"/>
              <w:bottom w:val="single" w:sz="4" w:space="0" w:color="000000"/>
              <w:right w:val="single" w:sz="4" w:space="0" w:color="000000"/>
            </w:tcBorders>
          </w:tcPr>
          <w:p w14:paraId="4D8C2F48" w14:textId="77777777" w:rsidR="00736F4A" w:rsidRDefault="00736F4A">
            <w:pPr>
              <w:spacing w:line="240" w:lineRule="auto"/>
              <w:rPr>
                <w:lang w:val="hu-HU"/>
              </w:rPr>
            </w:pPr>
          </w:p>
        </w:tc>
      </w:tr>
      <w:tr w:rsidR="00736F4A" w14:paraId="33047D95"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6AC74363" w14:textId="77777777" w:rsidR="00736F4A" w:rsidRDefault="00100640">
            <w:pPr>
              <w:spacing w:line="240" w:lineRule="auto"/>
              <w:ind w:left="566"/>
              <w:rPr>
                <w:lang w:val="hu-HU"/>
              </w:rPr>
            </w:pPr>
            <w:r>
              <w:rPr>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79712C91" w14:textId="77777777" w:rsidR="00736F4A" w:rsidRDefault="00100640">
            <w:pPr>
              <w:spacing w:line="240" w:lineRule="auto"/>
              <w:ind w:right="12"/>
              <w:rPr>
                <w:lang w:val="hu-HU"/>
              </w:rPr>
            </w:pPr>
            <w:r>
              <w:rPr>
                <w:lang w:val="hu-HU"/>
              </w:rPr>
              <w:t>0,3553</w:t>
            </w:r>
          </w:p>
        </w:tc>
        <w:tc>
          <w:tcPr>
            <w:tcW w:w="2335" w:type="dxa"/>
            <w:tcBorders>
              <w:top w:val="single" w:sz="4" w:space="0" w:color="000000"/>
              <w:left w:val="single" w:sz="4" w:space="0" w:color="000000"/>
              <w:bottom w:val="single" w:sz="4" w:space="0" w:color="000000"/>
              <w:right w:val="single" w:sz="4" w:space="0" w:color="000000"/>
            </w:tcBorders>
          </w:tcPr>
          <w:p w14:paraId="05C79D68" w14:textId="77777777" w:rsidR="00736F4A" w:rsidRDefault="00100640">
            <w:pPr>
              <w:spacing w:line="240" w:lineRule="auto"/>
              <w:ind w:right="12"/>
              <w:rPr>
                <w:lang w:val="hu-HU"/>
              </w:rPr>
            </w:pPr>
            <w:r>
              <w:rPr>
                <w:lang w:val="hu-HU"/>
              </w:rPr>
              <w:t>0,0001</w:t>
            </w:r>
          </w:p>
        </w:tc>
        <w:tc>
          <w:tcPr>
            <w:tcW w:w="1966" w:type="dxa"/>
            <w:tcBorders>
              <w:top w:val="single" w:sz="4" w:space="0" w:color="000000"/>
              <w:left w:val="single" w:sz="4" w:space="0" w:color="000000"/>
              <w:bottom w:val="single" w:sz="4" w:space="0" w:color="000000"/>
              <w:right w:val="single" w:sz="4" w:space="0" w:color="000000"/>
            </w:tcBorders>
          </w:tcPr>
          <w:p w14:paraId="55EE5374" w14:textId="77777777" w:rsidR="00736F4A" w:rsidRDefault="00736F4A">
            <w:pPr>
              <w:spacing w:line="240" w:lineRule="auto"/>
              <w:rPr>
                <w:lang w:val="hu-HU"/>
              </w:rPr>
            </w:pPr>
          </w:p>
        </w:tc>
      </w:tr>
      <w:tr w:rsidR="00736F4A" w14:paraId="3884B32A"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4E527AF2" w14:textId="77777777" w:rsidR="00736F4A" w:rsidRDefault="00100640">
            <w:pPr>
              <w:spacing w:line="240" w:lineRule="auto"/>
              <w:rPr>
                <w:lang w:val="hu-HU"/>
              </w:rPr>
            </w:pPr>
            <w:r>
              <w:rPr>
                <w:lang w:val="hu-HU"/>
              </w:rPr>
              <w:t>Szisztémás embolizáció</w:t>
            </w:r>
          </w:p>
        </w:tc>
        <w:tc>
          <w:tcPr>
            <w:tcW w:w="2335" w:type="dxa"/>
            <w:tcBorders>
              <w:top w:val="single" w:sz="4" w:space="0" w:color="000000"/>
              <w:left w:val="single" w:sz="4" w:space="0" w:color="000000"/>
              <w:bottom w:val="single" w:sz="4" w:space="0" w:color="000000"/>
              <w:right w:val="single" w:sz="4" w:space="0" w:color="000000"/>
            </w:tcBorders>
          </w:tcPr>
          <w:p w14:paraId="4D436A22" w14:textId="77777777" w:rsidR="00736F4A" w:rsidRDefault="00736F4A">
            <w:pPr>
              <w:spacing w:line="240" w:lineRule="auto"/>
              <w:rPr>
                <w:lang w:val="hu-HU"/>
              </w:rPr>
            </w:pPr>
          </w:p>
        </w:tc>
        <w:tc>
          <w:tcPr>
            <w:tcW w:w="2335" w:type="dxa"/>
            <w:tcBorders>
              <w:top w:val="single" w:sz="4" w:space="0" w:color="000000"/>
              <w:left w:val="single" w:sz="4" w:space="0" w:color="000000"/>
              <w:bottom w:val="single" w:sz="4" w:space="0" w:color="000000"/>
              <w:right w:val="single" w:sz="4" w:space="0" w:color="000000"/>
            </w:tcBorders>
          </w:tcPr>
          <w:p w14:paraId="2E4B7A7C" w14:textId="77777777" w:rsidR="00736F4A" w:rsidRDefault="00736F4A">
            <w:pPr>
              <w:spacing w:line="240" w:lineRule="auto"/>
              <w:rPr>
                <w:lang w:val="hu-HU"/>
              </w:rPr>
            </w:pPr>
          </w:p>
        </w:tc>
        <w:tc>
          <w:tcPr>
            <w:tcW w:w="1966" w:type="dxa"/>
            <w:tcBorders>
              <w:top w:val="single" w:sz="4" w:space="0" w:color="000000"/>
              <w:left w:val="single" w:sz="4" w:space="0" w:color="000000"/>
              <w:bottom w:val="single" w:sz="4" w:space="0" w:color="000000"/>
              <w:right w:val="single" w:sz="4" w:space="0" w:color="000000"/>
            </w:tcBorders>
          </w:tcPr>
          <w:p w14:paraId="20A6C29D" w14:textId="77777777" w:rsidR="00736F4A" w:rsidRDefault="00736F4A">
            <w:pPr>
              <w:spacing w:line="240" w:lineRule="auto"/>
              <w:rPr>
                <w:lang w:val="hu-HU"/>
              </w:rPr>
            </w:pPr>
          </w:p>
        </w:tc>
      </w:tr>
      <w:tr w:rsidR="00736F4A" w14:paraId="01A091F8"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55DA1997" w14:textId="77777777" w:rsidR="00736F4A" w:rsidRDefault="00100640">
            <w:pPr>
              <w:spacing w:line="240" w:lineRule="auto"/>
              <w:ind w:left="131"/>
              <w:rPr>
                <w:lang w:val="hu-HU"/>
              </w:rPr>
            </w:pPr>
            <w:r>
              <w:rPr>
                <w:lang w:val="hu-HU"/>
              </w:rPr>
              <w:t>Incidencia (%)</w:t>
            </w:r>
          </w:p>
        </w:tc>
        <w:tc>
          <w:tcPr>
            <w:tcW w:w="2335" w:type="dxa"/>
            <w:tcBorders>
              <w:top w:val="single" w:sz="4" w:space="0" w:color="000000"/>
              <w:left w:val="single" w:sz="4" w:space="0" w:color="000000"/>
              <w:bottom w:val="single" w:sz="4" w:space="0" w:color="000000"/>
              <w:right w:val="single" w:sz="4" w:space="0" w:color="000000"/>
            </w:tcBorders>
          </w:tcPr>
          <w:p w14:paraId="2B148CB3" w14:textId="77777777" w:rsidR="00736F4A" w:rsidRDefault="00100640">
            <w:pPr>
              <w:spacing w:line="240" w:lineRule="auto"/>
              <w:ind w:right="13"/>
              <w:rPr>
                <w:lang w:val="hu-HU"/>
              </w:rPr>
            </w:pPr>
            <w:r>
              <w:rPr>
                <w:lang w:val="hu-HU"/>
              </w:rPr>
              <w:t>15 (0,13)</w:t>
            </w:r>
          </w:p>
        </w:tc>
        <w:tc>
          <w:tcPr>
            <w:tcW w:w="2335" w:type="dxa"/>
            <w:tcBorders>
              <w:top w:val="single" w:sz="4" w:space="0" w:color="000000"/>
              <w:left w:val="single" w:sz="4" w:space="0" w:color="000000"/>
              <w:bottom w:val="single" w:sz="4" w:space="0" w:color="000000"/>
              <w:right w:val="single" w:sz="4" w:space="0" w:color="000000"/>
            </w:tcBorders>
          </w:tcPr>
          <w:p w14:paraId="4E667682" w14:textId="77777777" w:rsidR="00736F4A" w:rsidRDefault="00100640">
            <w:pPr>
              <w:spacing w:line="240" w:lineRule="auto"/>
              <w:ind w:right="13"/>
              <w:rPr>
                <w:lang w:val="hu-HU"/>
              </w:rPr>
            </w:pPr>
            <w:r>
              <w:rPr>
                <w:lang w:val="hu-HU"/>
              </w:rPr>
              <w:t>13 (0,11)</w:t>
            </w:r>
          </w:p>
        </w:tc>
        <w:tc>
          <w:tcPr>
            <w:tcW w:w="1966" w:type="dxa"/>
            <w:tcBorders>
              <w:top w:val="single" w:sz="4" w:space="0" w:color="000000"/>
              <w:left w:val="single" w:sz="4" w:space="0" w:color="000000"/>
              <w:bottom w:val="single" w:sz="4" w:space="0" w:color="000000"/>
              <w:right w:val="single" w:sz="4" w:space="0" w:color="000000"/>
            </w:tcBorders>
          </w:tcPr>
          <w:p w14:paraId="4BDD3E01" w14:textId="77777777" w:rsidR="00736F4A" w:rsidRDefault="00100640">
            <w:pPr>
              <w:spacing w:line="240" w:lineRule="auto"/>
              <w:ind w:right="8"/>
              <w:rPr>
                <w:lang w:val="hu-HU"/>
              </w:rPr>
            </w:pPr>
            <w:r>
              <w:rPr>
                <w:lang w:val="hu-HU"/>
              </w:rPr>
              <w:t>21 (0,18)</w:t>
            </w:r>
          </w:p>
        </w:tc>
      </w:tr>
      <w:tr w:rsidR="00736F4A" w14:paraId="32CF599C"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080C9643" w14:textId="77777777" w:rsidR="00736F4A" w:rsidRDefault="00100640">
            <w:pPr>
              <w:spacing w:line="240" w:lineRule="auto"/>
              <w:ind w:left="566"/>
              <w:rPr>
                <w:lang w:val="hu-HU"/>
              </w:rPr>
            </w:pPr>
            <w:r>
              <w:rPr>
                <w:lang w:val="hu-HU"/>
              </w:rP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65ED4089" w14:textId="77777777" w:rsidR="00736F4A" w:rsidRDefault="00100640">
            <w:pPr>
              <w:spacing w:line="240" w:lineRule="auto"/>
              <w:ind w:right="11"/>
              <w:rPr>
                <w:lang w:val="hu-HU"/>
              </w:rPr>
            </w:pPr>
            <w:r>
              <w:rPr>
                <w:lang w:val="hu-HU"/>
              </w:rPr>
              <w:t>0,71 (0,37, 1,38)</w:t>
            </w:r>
          </w:p>
        </w:tc>
        <w:tc>
          <w:tcPr>
            <w:tcW w:w="2335" w:type="dxa"/>
            <w:tcBorders>
              <w:top w:val="single" w:sz="4" w:space="0" w:color="000000"/>
              <w:left w:val="single" w:sz="4" w:space="0" w:color="000000"/>
              <w:bottom w:val="single" w:sz="4" w:space="0" w:color="000000"/>
              <w:right w:val="single" w:sz="4" w:space="0" w:color="000000"/>
            </w:tcBorders>
          </w:tcPr>
          <w:p w14:paraId="59D1B5F3" w14:textId="77777777" w:rsidR="00736F4A" w:rsidRDefault="00100640">
            <w:pPr>
              <w:spacing w:line="240" w:lineRule="auto"/>
              <w:ind w:right="11"/>
              <w:rPr>
                <w:lang w:val="hu-HU"/>
              </w:rPr>
            </w:pPr>
            <w:r>
              <w:rPr>
                <w:lang w:val="hu-HU"/>
              </w:rPr>
              <w:t>0,61 (0,30, 1,21)</w:t>
            </w:r>
          </w:p>
        </w:tc>
        <w:tc>
          <w:tcPr>
            <w:tcW w:w="1966" w:type="dxa"/>
            <w:tcBorders>
              <w:top w:val="single" w:sz="4" w:space="0" w:color="000000"/>
              <w:left w:val="single" w:sz="4" w:space="0" w:color="000000"/>
              <w:bottom w:val="single" w:sz="4" w:space="0" w:color="000000"/>
              <w:right w:val="single" w:sz="4" w:space="0" w:color="000000"/>
            </w:tcBorders>
          </w:tcPr>
          <w:p w14:paraId="5D3E1C45" w14:textId="77777777" w:rsidR="00736F4A" w:rsidRDefault="00736F4A">
            <w:pPr>
              <w:spacing w:line="240" w:lineRule="auto"/>
              <w:rPr>
                <w:lang w:val="hu-HU"/>
              </w:rPr>
            </w:pPr>
          </w:p>
        </w:tc>
      </w:tr>
      <w:tr w:rsidR="00736F4A" w14:paraId="4BABD7E7"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57AD87A4" w14:textId="77777777" w:rsidR="00736F4A" w:rsidRDefault="00100640">
            <w:pPr>
              <w:spacing w:line="240" w:lineRule="auto"/>
              <w:ind w:left="566"/>
              <w:rPr>
                <w:lang w:val="hu-HU"/>
              </w:rPr>
            </w:pPr>
            <w:r>
              <w:rPr>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373993D7" w14:textId="77777777" w:rsidR="00736F4A" w:rsidRDefault="00100640">
            <w:pPr>
              <w:spacing w:line="240" w:lineRule="auto"/>
              <w:ind w:right="12"/>
              <w:rPr>
                <w:lang w:val="hu-HU"/>
              </w:rPr>
            </w:pPr>
            <w:r>
              <w:rPr>
                <w:lang w:val="hu-HU"/>
              </w:rPr>
              <w:t>0,3099</w:t>
            </w:r>
          </w:p>
        </w:tc>
        <w:tc>
          <w:tcPr>
            <w:tcW w:w="2335" w:type="dxa"/>
            <w:tcBorders>
              <w:top w:val="single" w:sz="4" w:space="0" w:color="000000"/>
              <w:left w:val="single" w:sz="4" w:space="0" w:color="000000"/>
              <w:bottom w:val="single" w:sz="4" w:space="0" w:color="000000"/>
              <w:right w:val="single" w:sz="4" w:space="0" w:color="000000"/>
            </w:tcBorders>
          </w:tcPr>
          <w:p w14:paraId="36E98336" w14:textId="77777777" w:rsidR="00736F4A" w:rsidRDefault="00100640">
            <w:pPr>
              <w:spacing w:line="240" w:lineRule="auto"/>
              <w:ind w:right="12"/>
              <w:rPr>
                <w:lang w:val="hu-HU"/>
              </w:rPr>
            </w:pPr>
            <w:r>
              <w:rPr>
                <w:lang w:val="hu-HU"/>
              </w:rPr>
              <w:t>0,1582</w:t>
            </w:r>
          </w:p>
        </w:tc>
        <w:tc>
          <w:tcPr>
            <w:tcW w:w="1966" w:type="dxa"/>
            <w:tcBorders>
              <w:top w:val="single" w:sz="4" w:space="0" w:color="000000"/>
              <w:left w:val="single" w:sz="4" w:space="0" w:color="000000"/>
              <w:bottom w:val="single" w:sz="4" w:space="0" w:color="000000"/>
              <w:right w:val="single" w:sz="4" w:space="0" w:color="000000"/>
            </w:tcBorders>
          </w:tcPr>
          <w:p w14:paraId="375B7BDE" w14:textId="77777777" w:rsidR="00736F4A" w:rsidRDefault="00736F4A">
            <w:pPr>
              <w:spacing w:line="240" w:lineRule="auto"/>
              <w:rPr>
                <w:lang w:val="hu-HU"/>
              </w:rPr>
            </w:pPr>
          </w:p>
        </w:tc>
      </w:tr>
      <w:tr w:rsidR="00736F4A" w14:paraId="4DCD51B9"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1A86941C" w14:textId="77777777" w:rsidR="00736F4A" w:rsidRDefault="00100640">
            <w:pPr>
              <w:spacing w:line="240" w:lineRule="auto"/>
              <w:rPr>
                <w:lang w:val="hu-HU"/>
              </w:rPr>
            </w:pPr>
            <w:r>
              <w:rPr>
                <w:lang w:val="hu-HU"/>
              </w:rPr>
              <w:t>Ischaemiás stroke</w:t>
            </w:r>
          </w:p>
        </w:tc>
        <w:tc>
          <w:tcPr>
            <w:tcW w:w="2335" w:type="dxa"/>
            <w:tcBorders>
              <w:top w:val="single" w:sz="4" w:space="0" w:color="000000"/>
              <w:left w:val="single" w:sz="4" w:space="0" w:color="000000"/>
              <w:bottom w:val="single" w:sz="4" w:space="0" w:color="000000"/>
              <w:right w:val="single" w:sz="4" w:space="0" w:color="000000"/>
            </w:tcBorders>
          </w:tcPr>
          <w:p w14:paraId="37ECABD2" w14:textId="77777777" w:rsidR="00736F4A" w:rsidRDefault="00736F4A">
            <w:pPr>
              <w:spacing w:line="240" w:lineRule="auto"/>
              <w:rPr>
                <w:lang w:val="hu-HU"/>
              </w:rPr>
            </w:pPr>
          </w:p>
        </w:tc>
        <w:tc>
          <w:tcPr>
            <w:tcW w:w="2335" w:type="dxa"/>
            <w:tcBorders>
              <w:top w:val="single" w:sz="4" w:space="0" w:color="000000"/>
              <w:left w:val="single" w:sz="4" w:space="0" w:color="000000"/>
              <w:bottom w:val="single" w:sz="4" w:space="0" w:color="000000"/>
              <w:right w:val="single" w:sz="4" w:space="0" w:color="000000"/>
            </w:tcBorders>
          </w:tcPr>
          <w:p w14:paraId="0D88733B" w14:textId="77777777" w:rsidR="00736F4A" w:rsidRDefault="00736F4A">
            <w:pPr>
              <w:spacing w:line="240" w:lineRule="auto"/>
              <w:rPr>
                <w:lang w:val="hu-HU"/>
              </w:rPr>
            </w:pPr>
          </w:p>
        </w:tc>
        <w:tc>
          <w:tcPr>
            <w:tcW w:w="1966" w:type="dxa"/>
            <w:tcBorders>
              <w:top w:val="single" w:sz="4" w:space="0" w:color="000000"/>
              <w:left w:val="single" w:sz="4" w:space="0" w:color="000000"/>
              <w:bottom w:val="single" w:sz="4" w:space="0" w:color="000000"/>
              <w:right w:val="single" w:sz="4" w:space="0" w:color="000000"/>
            </w:tcBorders>
          </w:tcPr>
          <w:p w14:paraId="46B94D0A" w14:textId="77777777" w:rsidR="00736F4A" w:rsidRDefault="00736F4A">
            <w:pPr>
              <w:spacing w:line="240" w:lineRule="auto"/>
              <w:rPr>
                <w:lang w:val="hu-HU"/>
              </w:rPr>
            </w:pPr>
          </w:p>
        </w:tc>
      </w:tr>
      <w:tr w:rsidR="00736F4A" w14:paraId="20418DF6"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58C4FEEC" w14:textId="77777777" w:rsidR="00736F4A" w:rsidRDefault="00100640">
            <w:pPr>
              <w:spacing w:line="240" w:lineRule="auto"/>
              <w:ind w:left="131"/>
              <w:rPr>
                <w:lang w:val="hu-HU"/>
              </w:rPr>
            </w:pPr>
            <w:r>
              <w:rPr>
                <w:lang w:val="hu-HU"/>
              </w:rPr>
              <w:t>Incidencia (%)</w:t>
            </w:r>
          </w:p>
        </w:tc>
        <w:tc>
          <w:tcPr>
            <w:tcW w:w="2335" w:type="dxa"/>
            <w:tcBorders>
              <w:top w:val="single" w:sz="4" w:space="0" w:color="000000"/>
              <w:left w:val="single" w:sz="4" w:space="0" w:color="000000"/>
              <w:bottom w:val="single" w:sz="4" w:space="0" w:color="000000"/>
              <w:right w:val="single" w:sz="4" w:space="0" w:color="000000"/>
            </w:tcBorders>
          </w:tcPr>
          <w:p w14:paraId="18747FF9" w14:textId="77777777" w:rsidR="00736F4A" w:rsidRDefault="00100640">
            <w:pPr>
              <w:spacing w:line="240" w:lineRule="auto"/>
              <w:ind w:right="13"/>
              <w:rPr>
                <w:lang w:val="hu-HU"/>
              </w:rPr>
            </w:pPr>
            <w:r>
              <w:rPr>
                <w:lang w:val="hu-HU"/>
              </w:rPr>
              <w:t>152 (1,28)</w:t>
            </w:r>
          </w:p>
        </w:tc>
        <w:tc>
          <w:tcPr>
            <w:tcW w:w="2335" w:type="dxa"/>
            <w:tcBorders>
              <w:top w:val="single" w:sz="4" w:space="0" w:color="000000"/>
              <w:left w:val="single" w:sz="4" w:space="0" w:color="000000"/>
              <w:bottom w:val="single" w:sz="4" w:space="0" w:color="000000"/>
              <w:right w:val="single" w:sz="4" w:space="0" w:color="000000"/>
            </w:tcBorders>
          </w:tcPr>
          <w:p w14:paraId="485E3DF0" w14:textId="77777777" w:rsidR="00736F4A" w:rsidRDefault="00100640">
            <w:pPr>
              <w:spacing w:line="240" w:lineRule="auto"/>
              <w:ind w:right="13"/>
              <w:rPr>
                <w:lang w:val="hu-HU"/>
              </w:rPr>
            </w:pPr>
            <w:r>
              <w:rPr>
                <w:lang w:val="hu-HU"/>
              </w:rPr>
              <w:t>104 (0,86)</w:t>
            </w:r>
          </w:p>
        </w:tc>
        <w:tc>
          <w:tcPr>
            <w:tcW w:w="1966" w:type="dxa"/>
            <w:tcBorders>
              <w:top w:val="single" w:sz="4" w:space="0" w:color="000000"/>
              <w:left w:val="single" w:sz="4" w:space="0" w:color="000000"/>
              <w:bottom w:val="single" w:sz="4" w:space="0" w:color="000000"/>
              <w:right w:val="single" w:sz="4" w:space="0" w:color="000000"/>
            </w:tcBorders>
          </w:tcPr>
          <w:p w14:paraId="627AE8CB" w14:textId="77777777" w:rsidR="00736F4A" w:rsidRDefault="00100640">
            <w:pPr>
              <w:spacing w:line="240" w:lineRule="auto"/>
              <w:ind w:right="8"/>
              <w:rPr>
                <w:lang w:val="hu-HU"/>
              </w:rPr>
            </w:pPr>
            <w:r>
              <w:rPr>
                <w:lang w:val="hu-HU"/>
              </w:rPr>
              <w:t>134 (1,14)</w:t>
            </w:r>
          </w:p>
        </w:tc>
      </w:tr>
      <w:tr w:rsidR="00736F4A" w14:paraId="19F97F68"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0DEFE485" w14:textId="77777777" w:rsidR="00736F4A" w:rsidRDefault="00100640">
            <w:pPr>
              <w:spacing w:line="240" w:lineRule="auto"/>
              <w:ind w:left="566"/>
              <w:rPr>
                <w:lang w:val="hu-HU"/>
              </w:rPr>
            </w:pPr>
            <w:r>
              <w:rPr>
                <w:lang w:val="hu-HU"/>
              </w:rPr>
              <w:t xml:space="preserve">Relatív hazárd (hazard ratio) a warfarinhoz képest (95%-os CI) </w:t>
            </w:r>
          </w:p>
        </w:tc>
        <w:tc>
          <w:tcPr>
            <w:tcW w:w="2335" w:type="dxa"/>
            <w:tcBorders>
              <w:top w:val="single" w:sz="4" w:space="0" w:color="000000"/>
              <w:left w:val="single" w:sz="4" w:space="0" w:color="000000"/>
              <w:bottom w:val="single" w:sz="4" w:space="0" w:color="000000"/>
              <w:right w:val="single" w:sz="4" w:space="0" w:color="000000"/>
            </w:tcBorders>
          </w:tcPr>
          <w:p w14:paraId="471E871A" w14:textId="77777777" w:rsidR="00736F4A" w:rsidRDefault="00100640">
            <w:pPr>
              <w:spacing w:line="240" w:lineRule="auto"/>
              <w:ind w:right="11"/>
              <w:rPr>
                <w:lang w:val="hu-HU"/>
              </w:rPr>
            </w:pPr>
            <w:r>
              <w:rPr>
                <w:lang w:val="hu-HU"/>
              </w:rPr>
              <w:t>1,13 (0,89, 1,42)</w:t>
            </w:r>
          </w:p>
        </w:tc>
        <w:tc>
          <w:tcPr>
            <w:tcW w:w="2335" w:type="dxa"/>
            <w:tcBorders>
              <w:top w:val="single" w:sz="4" w:space="0" w:color="000000"/>
              <w:left w:val="single" w:sz="4" w:space="0" w:color="000000"/>
              <w:bottom w:val="single" w:sz="4" w:space="0" w:color="000000"/>
              <w:right w:val="single" w:sz="4" w:space="0" w:color="000000"/>
            </w:tcBorders>
          </w:tcPr>
          <w:p w14:paraId="7931C08A" w14:textId="77777777" w:rsidR="00736F4A" w:rsidRDefault="00100640">
            <w:pPr>
              <w:spacing w:line="240" w:lineRule="auto"/>
              <w:ind w:right="11"/>
              <w:rPr>
                <w:lang w:val="hu-HU"/>
              </w:rPr>
            </w:pPr>
            <w:r>
              <w:rPr>
                <w:lang w:val="hu-HU"/>
              </w:rPr>
              <w:t>0,76 (0,59, 0,98)</w:t>
            </w:r>
          </w:p>
        </w:tc>
        <w:tc>
          <w:tcPr>
            <w:tcW w:w="1966" w:type="dxa"/>
            <w:tcBorders>
              <w:top w:val="single" w:sz="4" w:space="0" w:color="000000"/>
              <w:left w:val="single" w:sz="4" w:space="0" w:color="000000"/>
              <w:bottom w:val="single" w:sz="4" w:space="0" w:color="000000"/>
              <w:right w:val="single" w:sz="4" w:space="0" w:color="000000"/>
            </w:tcBorders>
          </w:tcPr>
          <w:p w14:paraId="04B47502" w14:textId="77777777" w:rsidR="00736F4A" w:rsidRDefault="00736F4A">
            <w:pPr>
              <w:spacing w:line="240" w:lineRule="auto"/>
              <w:rPr>
                <w:lang w:val="hu-HU"/>
              </w:rPr>
            </w:pPr>
          </w:p>
        </w:tc>
      </w:tr>
      <w:tr w:rsidR="00736F4A" w14:paraId="5FFC9364"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13997CAB" w14:textId="77777777" w:rsidR="00736F4A" w:rsidRDefault="00100640">
            <w:pPr>
              <w:spacing w:line="240" w:lineRule="auto"/>
              <w:ind w:left="566"/>
              <w:rPr>
                <w:lang w:val="hu-HU"/>
              </w:rPr>
            </w:pPr>
            <w:r>
              <w:rPr>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02507555" w14:textId="77777777" w:rsidR="00736F4A" w:rsidRDefault="00100640">
            <w:pPr>
              <w:spacing w:line="240" w:lineRule="auto"/>
              <w:ind w:right="12"/>
              <w:rPr>
                <w:lang w:val="hu-HU"/>
              </w:rPr>
            </w:pPr>
            <w:r>
              <w:rPr>
                <w:lang w:val="hu-HU"/>
              </w:rPr>
              <w:t>0,3138</w:t>
            </w:r>
          </w:p>
        </w:tc>
        <w:tc>
          <w:tcPr>
            <w:tcW w:w="2335" w:type="dxa"/>
            <w:tcBorders>
              <w:top w:val="single" w:sz="4" w:space="0" w:color="000000"/>
              <w:left w:val="single" w:sz="4" w:space="0" w:color="000000"/>
              <w:bottom w:val="single" w:sz="4" w:space="0" w:color="000000"/>
              <w:right w:val="single" w:sz="4" w:space="0" w:color="000000"/>
            </w:tcBorders>
          </w:tcPr>
          <w:p w14:paraId="63B1DCBF" w14:textId="77777777" w:rsidR="00736F4A" w:rsidRDefault="00100640">
            <w:pPr>
              <w:spacing w:line="240" w:lineRule="auto"/>
              <w:ind w:right="12"/>
              <w:rPr>
                <w:lang w:val="hu-HU"/>
              </w:rPr>
            </w:pPr>
            <w:r>
              <w:rPr>
                <w:lang w:val="hu-HU"/>
              </w:rPr>
              <w:t>0,0351</w:t>
            </w:r>
          </w:p>
        </w:tc>
        <w:tc>
          <w:tcPr>
            <w:tcW w:w="1966" w:type="dxa"/>
            <w:tcBorders>
              <w:top w:val="single" w:sz="4" w:space="0" w:color="000000"/>
              <w:left w:val="single" w:sz="4" w:space="0" w:color="000000"/>
              <w:bottom w:val="single" w:sz="4" w:space="0" w:color="000000"/>
              <w:right w:val="single" w:sz="4" w:space="0" w:color="000000"/>
            </w:tcBorders>
          </w:tcPr>
          <w:p w14:paraId="396E854C" w14:textId="77777777" w:rsidR="00736F4A" w:rsidRDefault="00736F4A">
            <w:pPr>
              <w:spacing w:line="240" w:lineRule="auto"/>
              <w:rPr>
                <w:lang w:val="hu-HU"/>
              </w:rPr>
            </w:pPr>
          </w:p>
        </w:tc>
      </w:tr>
      <w:tr w:rsidR="00736F4A" w14:paraId="5095F32F"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77AF5AE9" w14:textId="77777777" w:rsidR="00736F4A" w:rsidRDefault="00100640">
            <w:pPr>
              <w:spacing w:line="240" w:lineRule="auto"/>
              <w:rPr>
                <w:lang w:val="hu-HU"/>
              </w:rPr>
            </w:pPr>
            <w:r>
              <w:rPr>
                <w:lang w:val="hu-HU"/>
              </w:rPr>
              <w:t>Haemorrhagiás stroke</w:t>
            </w:r>
          </w:p>
        </w:tc>
        <w:tc>
          <w:tcPr>
            <w:tcW w:w="2335" w:type="dxa"/>
            <w:tcBorders>
              <w:top w:val="single" w:sz="4" w:space="0" w:color="000000"/>
              <w:left w:val="single" w:sz="4" w:space="0" w:color="000000"/>
              <w:bottom w:val="single" w:sz="4" w:space="0" w:color="000000"/>
              <w:right w:val="single" w:sz="4" w:space="0" w:color="000000"/>
            </w:tcBorders>
          </w:tcPr>
          <w:p w14:paraId="1D3F98F4" w14:textId="77777777" w:rsidR="00736F4A" w:rsidRDefault="00736F4A">
            <w:pPr>
              <w:spacing w:line="240" w:lineRule="auto"/>
              <w:rPr>
                <w:lang w:val="hu-HU"/>
              </w:rPr>
            </w:pPr>
          </w:p>
        </w:tc>
        <w:tc>
          <w:tcPr>
            <w:tcW w:w="2335" w:type="dxa"/>
            <w:tcBorders>
              <w:top w:val="single" w:sz="4" w:space="0" w:color="000000"/>
              <w:left w:val="single" w:sz="4" w:space="0" w:color="000000"/>
              <w:bottom w:val="single" w:sz="4" w:space="0" w:color="000000"/>
              <w:right w:val="single" w:sz="4" w:space="0" w:color="000000"/>
            </w:tcBorders>
          </w:tcPr>
          <w:p w14:paraId="2BDB894E" w14:textId="77777777" w:rsidR="00736F4A" w:rsidRDefault="00736F4A">
            <w:pPr>
              <w:spacing w:line="240" w:lineRule="auto"/>
              <w:rPr>
                <w:lang w:val="hu-HU"/>
              </w:rPr>
            </w:pPr>
          </w:p>
        </w:tc>
        <w:tc>
          <w:tcPr>
            <w:tcW w:w="1966" w:type="dxa"/>
            <w:tcBorders>
              <w:top w:val="single" w:sz="4" w:space="0" w:color="000000"/>
              <w:left w:val="single" w:sz="4" w:space="0" w:color="000000"/>
              <w:bottom w:val="single" w:sz="4" w:space="0" w:color="000000"/>
              <w:right w:val="single" w:sz="4" w:space="0" w:color="000000"/>
            </w:tcBorders>
          </w:tcPr>
          <w:p w14:paraId="202F45D0" w14:textId="77777777" w:rsidR="00736F4A" w:rsidRDefault="00736F4A">
            <w:pPr>
              <w:spacing w:line="240" w:lineRule="auto"/>
              <w:rPr>
                <w:lang w:val="hu-HU"/>
              </w:rPr>
            </w:pPr>
          </w:p>
        </w:tc>
      </w:tr>
      <w:tr w:rsidR="00736F4A" w14:paraId="26058056"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239F3BE0" w14:textId="77777777" w:rsidR="00736F4A" w:rsidRDefault="00100640">
            <w:pPr>
              <w:spacing w:line="240" w:lineRule="auto"/>
              <w:ind w:left="131"/>
              <w:rPr>
                <w:lang w:val="hu-HU"/>
              </w:rPr>
            </w:pPr>
            <w:r>
              <w:rPr>
                <w:lang w:val="hu-HU"/>
              </w:rPr>
              <w:t>Incidencia (%)</w:t>
            </w:r>
          </w:p>
        </w:tc>
        <w:tc>
          <w:tcPr>
            <w:tcW w:w="2335" w:type="dxa"/>
            <w:tcBorders>
              <w:top w:val="single" w:sz="4" w:space="0" w:color="000000"/>
              <w:left w:val="single" w:sz="4" w:space="0" w:color="000000"/>
              <w:bottom w:val="single" w:sz="4" w:space="0" w:color="000000"/>
              <w:right w:val="single" w:sz="4" w:space="0" w:color="000000"/>
            </w:tcBorders>
          </w:tcPr>
          <w:p w14:paraId="2EC8C622" w14:textId="77777777" w:rsidR="00736F4A" w:rsidRDefault="00100640">
            <w:pPr>
              <w:spacing w:line="240" w:lineRule="auto"/>
              <w:ind w:right="13"/>
              <w:rPr>
                <w:lang w:val="hu-HU"/>
              </w:rPr>
            </w:pPr>
            <w:r>
              <w:rPr>
                <w:lang w:val="hu-HU"/>
              </w:rPr>
              <w:t>14 (0,12)</w:t>
            </w:r>
          </w:p>
        </w:tc>
        <w:tc>
          <w:tcPr>
            <w:tcW w:w="2335" w:type="dxa"/>
            <w:tcBorders>
              <w:top w:val="single" w:sz="4" w:space="0" w:color="000000"/>
              <w:left w:val="single" w:sz="4" w:space="0" w:color="000000"/>
              <w:bottom w:val="single" w:sz="4" w:space="0" w:color="000000"/>
              <w:right w:val="single" w:sz="4" w:space="0" w:color="000000"/>
            </w:tcBorders>
          </w:tcPr>
          <w:p w14:paraId="6765E44F" w14:textId="77777777" w:rsidR="00736F4A" w:rsidRDefault="00100640">
            <w:pPr>
              <w:spacing w:line="240" w:lineRule="auto"/>
              <w:ind w:right="13"/>
              <w:rPr>
                <w:lang w:val="hu-HU"/>
              </w:rPr>
            </w:pPr>
            <w:r>
              <w:rPr>
                <w:lang w:val="hu-HU"/>
              </w:rPr>
              <w:t>12 (0,10)</w:t>
            </w:r>
          </w:p>
        </w:tc>
        <w:tc>
          <w:tcPr>
            <w:tcW w:w="1966" w:type="dxa"/>
            <w:tcBorders>
              <w:top w:val="single" w:sz="4" w:space="0" w:color="000000"/>
              <w:left w:val="single" w:sz="4" w:space="0" w:color="000000"/>
              <w:bottom w:val="single" w:sz="4" w:space="0" w:color="000000"/>
              <w:right w:val="single" w:sz="4" w:space="0" w:color="000000"/>
            </w:tcBorders>
          </w:tcPr>
          <w:p w14:paraId="4AF4A25C" w14:textId="77777777" w:rsidR="00736F4A" w:rsidRDefault="00100640">
            <w:pPr>
              <w:spacing w:line="240" w:lineRule="auto"/>
              <w:ind w:right="8"/>
              <w:rPr>
                <w:lang w:val="hu-HU"/>
              </w:rPr>
            </w:pPr>
            <w:r>
              <w:rPr>
                <w:lang w:val="hu-HU"/>
              </w:rPr>
              <w:t>45 (0,38)</w:t>
            </w:r>
          </w:p>
        </w:tc>
      </w:tr>
      <w:tr w:rsidR="00736F4A" w14:paraId="5758D732"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3C191FB6" w14:textId="77777777" w:rsidR="00736F4A" w:rsidRDefault="00100640">
            <w:pPr>
              <w:spacing w:line="240" w:lineRule="auto"/>
              <w:ind w:left="566"/>
              <w:rPr>
                <w:lang w:val="hu-HU"/>
              </w:rPr>
            </w:pPr>
            <w:r>
              <w:rPr>
                <w:lang w:val="hu-HU"/>
              </w:rP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2AE25300" w14:textId="77777777" w:rsidR="00736F4A" w:rsidRDefault="00100640">
            <w:pPr>
              <w:spacing w:line="240" w:lineRule="auto"/>
              <w:ind w:right="11"/>
              <w:rPr>
                <w:lang w:val="hu-HU"/>
              </w:rPr>
            </w:pPr>
            <w:r>
              <w:rPr>
                <w:lang w:val="hu-HU"/>
              </w:rPr>
              <w:t>0,31 (0,17, 0,56)</w:t>
            </w:r>
          </w:p>
        </w:tc>
        <w:tc>
          <w:tcPr>
            <w:tcW w:w="2335" w:type="dxa"/>
            <w:tcBorders>
              <w:top w:val="single" w:sz="4" w:space="0" w:color="000000"/>
              <w:left w:val="single" w:sz="4" w:space="0" w:color="000000"/>
              <w:bottom w:val="single" w:sz="4" w:space="0" w:color="000000"/>
              <w:right w:val="single" w:sz="4" w:space="0" w:color="000000"/>
            </w:tcBorders>
          </w:tcPr>
          <w:p w14:paraId="4796DE39" w14:textId="77777777" w:rsidR="00736F4A" w:rsidRDefault="00100640">
            <w:pPr>
              <w:spacing w:line="240" w:lineRule="auto"/>
              <w:ind w:right="11"/>
              <w:rPr>
                <w:lang w:val="hu-HU"/>
              </w:rPr>
            </w:pPr>
            <w:r>
              <w:rPr>
                <w:lang w:val="hu-HU"/>
              </w:rPr>
              <w:t>0,26 (0,14, 0,49)</w:t>
            </w:r>
          </w:p>
        </w:tc>
        <w:tc>
          <w:tcPr>
            <w:tcW w:w="1966" w:type="dxa"/>
            <w:tcBorders>
              <w:top w:val="single" w:sz="4" w:space="0" w:color="000000"/>
              <w:left w:val="single" w:sz="4" w:space="0" w:color="000000"/>
              <w:bottom w:val="single" w:sz="4" w:space="0" w:color="000000"/>
              <w:right w:val="single" w:sz="4" w:space="0" w:color="000000"/>
            </w:tcBorders>
          </w:tcPr>
          <w:p w14:paraId="01D80588" w14:textId="77777777" w:rsidR="00736F4A" w:rsidRDefault="00736F4A">
            <w:pPr>
              <w:spacing w:line="240" w:lineRule="auto"/>
              <w:rPr>
                <w:lang w:val="hu-HU"/>
              </w:rPr>
            </w:pPr>
          </w:p>
        </w:tc>
      </w:tr>
      <w:tr w:rsidR="00736F4A" w14:paraId="2B4FB3D2"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06447A21" w14:textId="77777777" w:rsidR="00736F4A" w:rsidRDefault="00100640">
            <w:pPr>
              <w:spacing w:line="240" w:lineRule="auto"/>
              <w:ind w:left="566"/>
              <w:rPr>
                <w:lang w:val="hu-HU"/>
              </w:rPr>
            </w:pPr>
            <w:r>
              <w:rPr>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0C0DE9C1" w14:textId="77777777" w:rsidR="00736F4A" w:rsidRDefault="00100640">
            <w:pPr>
              <w:spacing w:line="240" w:lineRule="auto"/>
              <w:ind w:right="12"/>
              <w:rPr>
                <w:lang w:val="hu-HU"/>
              </w:rPr>
            </w:pPr>
            <w:r>
              <w:rPr>
                <w:lang w:val="hu-HU"/>
              </w:rPr>
              <w:t>0,0001</w:t>
            </w:r>
          </w:p>
        </w:tc>
        <w:tc>
          <w:tcPr>
            <w:tcW w:w="2335" w:type="dxa"/>
            <w:tcBorders>
              <w:top w:val="single" w:sz="4" w:space="0" w:color="000000"/>
              <w:left w:val="single" w:sz="4" w:space="0" w:color="000000"/>
              <w:bottom w:val="single" w:sz="4" w:space="0" w:color="000000"/>
              <w:right w:val="single" w:sz="4" w:space="0" w:color="000000"/>
            </w:tcBorders>
          </w:tcPr>
          <w:p w14:paraId="0CCD5993" w14:textId="77777777" w:rsidR="00736F4A" w:rsidRDefault="00100640">
            <w:pPr>
              <w:spacing w:line="240" w:lineRule="auto"/>
              <w:ind w:right="10"/>
              <w:rPr>
                <w:lang w:val="hu-HU"/>
              </w:rPr>
            </w:pPr>
            <w:r>
              <w:rPr>
                <w:lang w:val="hu-HU"/>
              </w:rPr>
              <w:t>&lt; 0,0001</w:t>
            </w:r>
          </w:p>
        </w:tc>
        <w:tc>
          <w:tcPr>
            <w:tcW w:w="1966" w:type="dxa"/>
            <w:tcBorders>
              <w:top w:val="single" w:sz="4" w:space="0" w:color="000000"/>
              <w:left w:val="single" w:sz="4" w:space="0" w:color="000000"/>
              <w:bottom w:val="single" w:sz="4" w:space="0" w:color="000000"/>
              <w:right w:val="single" w:sz="4" w:space="0" w:color="000000"/>
            </w:tcBorders>
          </w:tcPr>
          <w:p w14:paraId="3CF20251" w14:textId="77777777" w:rsidR="00736F4A" w:rsidRDefault="00736F4A">
            <w:pPr>
              <w:spacing w:line="240" w:lineRule="auto"/>
              <w:rPr>
                <w:lang w:val="hu-HU"/>
              </w:rPr>
            </w:pPr>
          </w:p>
        </w:tc>
      </w:tr>
    </w:tbl>
    <w:p w14:paraId="2BB24353" w14:textId="77777777" w:rsidR="00736F4A" w:rsidRDefault="00100640">
      <w:pPr>
        <w:spacing w:line="240" w:lineRule="auto"/>
        <w:ind w:left="7" w:right="9"/>
      </w:pPr>
      <w:r>
        <w:t>% az éves esemény gyakoriságra vonatkozik</w:t>
      </w:r>
    </w:p>
    <w:p w14:paraId="70CD9E4B" w14:textId="77777777" w:rsidR="00736F4A" w:rsidRDefault="00736F4A">
      <w:pPr>
        <w:spacing w:line="240" w:lineRule="auto"/>
        <w:rPr>
          <w:lang w:val="hu-HU"/>
        </w:rPr>
      </w:pPr>
    </w:p>
    <w:p w14:paraId="1B3E869B" w14:textId="77777777" w:rsidR="00736F4A" w:rsidRDefault="00100640">
      <w:pPr>
        <w:spacing w:line="240" w:lineRule="auto"/>
      </w:pPr>
      <w:r>
        <w:rPr>
          <w:b/>
        </w:rPr>
        <w:t xml:space="preserve">19. táblázat. A bármely okú és </w:t>
      </w:r>
      <w:r>
        <w:rPr>
          <w:b/>
          <w:lang w:val="hu-HU"/>
        </w:rPr>
        <w:t>kardiovaszkuláris halálozás</w:t>
      </w:r>
      <w:r>
        <w:rPr>
          <w:b/>
        </w:rPr>
        <w:t xml:space="preserve"> elemzése a RE-LY vizsgálat vizsgálati periódusában</w:t>
      </w:r>
    </w:p>
    <w:p w14:paraId="48BE9664" w14:textId="77777777" w:rsidR="00736F4A" w:rsidRDefault="00736F4A">
      <w:pPr>
        <w:spacing w:line="240" w:lineRule="auto"/>
        <w:rPr>
          <w:lang w:val="hu-HU"/>
        </w:rPr>
      </w:pPr>
    </w:p>
    <w:tbl>
      <w:tblPr>
        <w:tblW w:w="9072" w:type="dxa"/>
        <w:tblInd w:w="-2" w:type="dxa"/>
        <w:tblCellMar>
          <w:top w:w="51" w:type="dxa"/>
          <w:left w:w="72" w:type="dxa"/>
          <w:right w:w="45" w:type="dxa"/>
        </w:tblCellMar>
        <w:tblLook w:val="04A0" w:firstRow="1" w:lastRow="0" w:firstColumn="1" w:lastColumn="0" w:noHBand="0" w:noVBand="1"/>
      </w:tblPr>
      <w:tblGrid>
        <w:gridCol w:w="2436"/>
        <w:gridCol w:w="2335"/>
        <w:gridCol w:w="2335"/>
        <w:gridCol w:w="1966"/>
      </w:tblGrid>
      <w:tr w:rsidR="00736F4A" w14:paraId="3F14F8D3"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529C4901" w14:textId="77777777" w:rsidR="00736F4A" w:rsidRDefault="00736F4A">
            <w:pPr>
              <w:spacing w:line="240" w:lineRule="auto"/>
              <w:rPr>
                <w:lang w:val="hu-HU"/>
              </w:rPr>
            </w:pPr>
          </w:p>
        </w:tc>
        <w:tc>
          <w:tcPr>
            <w:tcW w:w="2335" w:type="dxa"/>
            <w:tcBorders>
              <w:top w:val="single" w:sz="4" w:space="0" w:color="000000"/>
              <w:left w:val="single" w:sz="4" w:space="0" w:color="000000"/>
              <w:bottom w:val="single" w:sz="4" w:space="0" w:color="000000"/>
              <w:right w:val="single" w:sz="4" w:space="0" w:color="000000"/>
            </w:tcBorders>
          </w:tcPr>
          <w:p w14:paraId="50A97A90" w14:textId="77777777" w:rsidR="00736F4A" w:rsidRDefault="00100640">
            <w:pPr>
              <w:spacing w:line="240" w:lineRule="auto"/>
              <w:ind w:left="89" w:right="116"/>
              <w:rPr>
                <w:lang w:val="hu-HU"/>
              </w:rPr>
            </w:pPr>
            <w:r>
              <w:rPr>
                <w:lang w:val="hu-HU"/>
              </w:rPr>
              <w:t xml:space="preserve">Dabigatrán-etexilát napi kétszer 110 mg </w:t>
            </w:r>
          </w:p>
        </w:tc>
        <w:tc>
          <w:tcPr>
            <w:tcW w:w="2335" w:type="dxa"/>
            <w:tcBorders>
              <w:top w:val="single" w:sz="4" w:space="0" w:color="000000"/>
              <w:left w:val="single" w:sz="4" w:space="0" w:color="000000"/>
              <w:bottom w:val="single" w:sz="4" w:space="0" w:color="000000"/>
              <w:right w:val="single" w:sz="4" w:space="0" w:color="000000"/>
            </w:tcBorders>
          </w:tcPr>
          <w:p w14:paraId="10CFBFEE" w14:textId="77777777" w:rsidR="00736F4A" w:rsidRDefault="00100640">
            <w:pPr>
              <w:spacing w:line="240" w:lineRule="auto"/>
              <w:ind w:left="89" w:right="116"/>
              <w:rPr>
                <w:lang w:val="hu-HU"/>
              </w:rPr>
            </w:pPr>
            <w:r>
              <w:rPr>
                <w:lang w:val="hu-HU"/>
              </w:rPr>
              <w:t xml:space="preserve">Dabigatrán-etexilát napi kétszer 150 mg </w:t>
            </w:r>
          </w:p>
        </w:tc>
        <w:tc>
          <w:tcPr>
            <w:tcW w:w="1966" w:type="dxa"/>
            <w:tcBorders>
              <w:top w:val="single" w:sz="4" w:space="0" w:color="000000"/>
              <w:left w:val="single" w:sz="4" w:space="0" w:color="000000"/>
              <w:bottom w:val="single" w:sz="4" w:space="0" w:color="000000"/>
              <w:right w:val="single" w:sz="4" w:space="0" w:color="000000"/>
            </w:tcBorders>
          </w:tcPr>
          <w:p w14:paraId="0D02CA3B" w14:textId="77777777" w:rsidR="00736F4A" w:rsidRDefault="00100640">
            <w:pPr>
              <w:spacing w:line="240" w:lineRule="auto"/>
              <w:ind w:right="24"/>
              <w:rPr>
                <w:lang w:val="hu-HU"/>
              </w:rPr>
            </w:pPr>
            <w:r>
              <w:rPr>
                <w:lang w:val="hu-HU"/>
              </w:rPr>
              <w:t>Warfarin</w:t>
            </w:r>
          </w:p>
        </w:tc>
      </w:tr>
      <w:tr w:rsidR="00736F4A" w14:paraId="4897F2D6"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229A83C1" w14:textId="77777777" w:rsidR="00736F4A" w:rsidRDefault="00100640">
            <w:pPr>
              <w:spacing w:line="240" w:lineRule="auto"/>
              <w:rPr>
                <w:lang w:val="hu-HU"/>
              </w:rPr>
            </w:pPr>
            <w:r>
              <w:rPr>
                <w:lang w:val="hu-HU"/>
              </w:rPr>
              <w:t>Randomizált vizsgálati személyek</w:t>
            </w:r>
          </w:p>
        </w:tc>
        <w:tc>
          <w:tcPr>
            <w:tcW w:w="2335" w:type="dxa"/>
            <w:tcBorders>
              <w:top w:val="single" w:sz="4" w:space="0" w:color="000000"/>
              <w:left w:val="single" w:sz="4" w:space="0" w:color="000000"/>
              <w:bottom w:val="single" w:sz="4" w:space="0" w:color="000000"/>
              <w:right w:val="single" w:sz="4" w:space="0" w:color="000000"/>
            </w:tcBorders>
          </w:tcPr>
          <w:p w14:paraId="1CBD596F" w14:textId="77777777" w:rsidR="00736F4A" w:rsidRDefault="00100640">
            <w:pPr>
              <w:spacing w:line="240" w:lineRule="auto"/>
              <w:ind w:right="29"/>
              <w:rPr>
                <w:lang w:val="hu-HU"/>
              </w:rPr>
            </w:pPr>
            <w:r>
              <w:rPr>
                <w:lang w:val="hu-HU"/>
              </w:rPr>
              <w:t xml:space="preserve">6015 </w:t>
            </w:r>
          </w:p>
        </w:tc>
        <w:tc>
          <w:tcPr>
            <w:tcW w:w="2335" w:type="dxa"/>
            <w:tcBorders>
              <w:top w:val="single" w:sz="4" w:space="0" w:color="000000"/>
              <w:left w:val="single" w:sz="4" w:space="0" w:color="000000"/>
              <w:bottom w:val="single" w:sz="4" w:space="0" w:color="000000"/>
              <w:right w:val="single" w:sz="4" w:space="0" w:color="000000"/>
            </w:tcBorders>
          </w:tcPr>
          <w:p w14:paraId="271CB465" w14:textId="77777777" w:rsidR="00736F4A" w:rsidRDefault="00100640">
            <w:pPr>
              <w:spacing w:line="240" w:lineRule="auto"/>
              <w:ind w:right="24"/>
              <w:rPr>
                <w:lang w:val="hu-HU"/>
              </w:rPr>
            </w:pPr>
            <w:r>
              <w:rPr>
                <w:lang w:val="hu-HU"/>
              </w:rPr>
              <w:t>6076</w:t>
            </w:r>
          </w:p>
        </w:tc>
        <w:tc>
          <w:tcPr>
            <w:tcW w:w="1966" w:type="dxa"/>
            <w:tcBorders>
              <w:top w:val="single" w:sz="4" w:space="0" w:color="000000"/>
              <w:left w:val="single" w:sz="4" w:space="0" w:color="000000"/>
              <w:bottom w:val="single" w:sz="4" w:space="0" w:color="000000"/>
              <w:right w:val="single" w:sz="4" w:space="0" w:color="000000"/>
            </w:tcBorders>
          </w:tcPr>
          <w:p w14:paraId="13413B98" w14:textId="77777777" w:rsidR="00736F4A" w:rsidRDefault="00100640">
            <w:pPr>
              <w:spacing w:line="240" w:lineRule="auto"/>
              <w:ind w:right="24"/>
              <w:rPr>
                <w:lang w:val="hu-HU"/>
              </w:rPr>
            </w:pPr>
            <w:r>
              <w:rPr>
                <w:lang w:val="hu-HU"/>
              </w:rPr>
              <w:t xml:space="preserve">6022 </w:t>
            </w:r>
          </w:p>
        </w:tc>
      </w:tr>
      <w:tr w:rsidR="00736F4A" w14:paraId="2B55E975"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084BD390" w14:textId="77777777" w:rsidR="00736F4A" w:rsidRDefault="00100640">
            <w:pPr>
              <w:spacing w:line="240" w:lineRule="auto"/>
              <w:rPr>
                <w:lang w:val="hu-HU"/>
              </w:rPr>
            </w:pPr>
            <w:r>
              <w:rPr>
                <w:lang w:val="hu-HU"/>
              </w:rPr>
              <w:t>Összhalálozás</w:t>
            </w:r>
          </w:p>
        </w:tc>
        <w:tc>
          <w:tcPr>
            <w:tcW w:w="2335" w:type="dxa"/>
            <w:tcBorders>
              <w:top w:val="single" w:sz="4" w:space="0" w:color="000000"/>
              <w:left w:val="single" w:sz="4" w:space="0" w:color="000000"/>
              <w:bottom w:val="single" w:sz="4" w:space="0" w:color="000000"/>
              <w:right w:val="single" w:sz="4" w:space="0" w:color="000000"/>
            </w:tcBorders>
          </w:tcPr>
          <w:p w14:paraId="5FFFEA4A" w14:textId="77777777" w:rsidR="00736F4A" w:rsidRDefault="00736F4A">
            <w:pPr>
              <w:spacing w:line="240" w:lineRule="auto"/>
              <w:rPr>
                <w:lang w:val="hu-HU"/>
              </w:rPr>
            </w:pPr>
          </w:p>
        </w:tc>
        <w:tc>
          <w:tcPr>
            <w:tcW w:w="2335" w:type="dxa"/>
            <w:tcBorders>
              <w:top w:val="single" w:sz="4" w:space="0" w:color="000000"/>
              <w:left w:val="single" w:sz="4" w:space="0" w:color="000000"/>
              <w:bottom w:val="single" w:sz="4" w:space="0" w:color="000000"/>
              <w:right w:val="single" w:sz="4" w:space="0" w:color="000000"/>
            </w:tcBorders>
          </w:tcPr>
          <w:p w14:paraId="77CC14D0" w14:textId="77777777" w:rsidR="00736F4A" w:rsidRDefault="00736F4A">
            <w:pPr>
              <w:spacing w:line="240" w:lineRule="auto"/>
              <w:rPr>
                <w:lang w:val="hu-HU"/>
              </w:rPr>
            </w:pPr>
          </w:p>
        </w:tc>
        <w:tc>
          <w:tcPr>
            <w:tcW w:w="1966" w:type="dxa"/>
            <w:tcBorders>
              <w:top w:val="single" w:sz="4" w:space="0" w:color="000000"/>
              <w:left w:val="single" w:sz="4" w:space="0" w:color="000000"/>
              <w:bottom w:val="single" w:sz="4" w:space="0" w:color="000000"/>
              <w:right w:val="single" w:sz="4" w:space="0" w:color="000000"/>
            </w:tcBorders>
          </w:tcPr>
          <w:p w14:paraId="6B475A09" w14:textId="77777777" w:rsidR="00736F4A" w:rsidRDefault="00736F4A">
            <w:pPr>
              <w:spacing w:line="240" w:lineRule="auto"/>
              <w:rPr>
                <w:lang w:val="hu-HU"/>
              </w:rPr>
            </w:pPr>
          </w:p>
        </w:tc>
      </w:tr>
      <w:tr w:rsidR="00736F4A" w14:paraId="52F59FDE"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19E9ED6C" w14:textId="77777777" w:rsidR="00736F4A" w:rsidRDefault="00100640">
            <w:pPr>
              <w:spacing w:line="240" w:lineRule="auto"/>
              <w:ind w:left="160"/>
              <w:rPr>
                <w:lang w:val="hu-HU"/>
              </w:rPr>
            </w:pPr>
            <w:r>
              <w:rPr>
                <w:lang w:val="hu-HU"/>
              </w:rPr>
              <w:t>Incidencia (%)</w:t>
            </w:r>
          </w:p>
        </w:tc>
        <w:tc>
          <w:tcPr>
            <w:tcW w:w="2335" w:type="dxa"/>
            <w:tcBorders>
              <w:top w:val="single" w:sz="4" w:space="0" w:color="000000"/>
              <w:left w:val="single" w:sz="4" w:space="0" w:color="000000"/>
              <w:bottom w:val="single" w:sz="4" w:space="0" w:color="000000"/>
              <w:right w:val="single" w:sz="4" w:space="0" w:color="000000"/>
            </w:tcBorders>
          </w:tcPr>
          <w:p w14:paraId="3E45F963" w14:textId="77777777" w:rsidR="00736F4A" w:rsidRDefault="00100640">
            <w:pPr>
              <w:spacing w:line="240" w:lineRule="auto"/>
              <w:ind w:right="28"/>
              <w:rPr>
                <w:lang w:val="hu-HU"/>
              </w:rPr>
            </w:pPr>
            <w:r>
              <w:rPr>
                <w:lang w:val="hu-HU"/>
              </w:rPr>
              <w:t>446 (3,75)</w:t>
            </w:r>
          </w:p>
        </w:tc>
        <w:tc>
          <w:tcPr>
            <w:tcW w:w="2335" w:type="dxa"/>
            <w:tcBorders>
              <w:top w:val="single" w:sz="4" w:space="0" w:color="000000"/>
              <w:left w:val="single" w:sz="4" w:space="0" w:color="000000"/>
              <w:bottom w:val="single" w:sz="4" w:space="0" w:color="000000"/>
              <w:right w:val="single" w:sz="4" w:space="0" w:color="000000"/>
            </w:tcBorders>
          </w:tcPr>
          <w:p w14:paraId="1D7D2ACD" w14:textId="77777777" w:rsidR="00736F4A" w:rsidRDefault="00100640">
            <w:pPr>
              <w:spacing w:line="240" w:lineRule="auto"/>
              <w:ind w:right="28"/>
              <w:rPr>
                <w:lang w:val="hu-HU"/>
              </w:rPr>
            </w:pPr>
            <w:r>
              <w:rPr>
                <w:lang w:val="hu-HU"/>
              </w:rPr>
              <w:t>438 (3,64)</w:t>
            </w:r>
          </w:p>
        </w:tc>
        <w:tc>
          <w:tcPr>
            <w:tcW w:w="1966" w:type="dxa"/>
            <w:tcBorders>
              <w:top w:val="single" w:sz="4" w:space="0" w:color="000000"/>
              <w:left w:val="single" w:sz="4" w:space="0" w:color="000000"/>
              <w:bottom w:val="single" w:sz="4" w:space="0" w:color="000000"/>
              <w:right w:val="single" w:sz="4" w:space="0" w:color="000000"/>
            </w:tcBorders>
          </w:tcPr>
          <w:p w14:paraId="65DFBA29" w14:textId="77777777" w:rsidR="00736F4A" w:rsidRDefault="00100640">
            <w:pPr>
              <w:spacing w:line="240" w:lineRule="auto"/>
              <w:ind w:right="23"/>
              <w:rPr>
                <w:lang w:val="hu-HU"/>
              </w:rPr>
            </w:pPr>
            <w:r>
              <w:rPr>
                <w:lang w:val="hu-HU"/>
              </w:rPr>
              <w:t>487 (4,13)</w:t>
            </w:r>
          </w:p>
        </w:tc>
      </w:tr>
      <w:tr w:rsidR="00736F4A" w14:paraId="3D7B8DE6"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3402F3D9" w14:textId="77777777" w:rsidR="00736F4A" w:rsidRDefault="00100640">
            <w:pPr>
              <w:spacing w:line="240" w:lineRule="auto"/>
              <w:ind w:left="581" w:firstLine="7"/>
              <w:rPr>
                <w:lang w:val="hu-HU"/>
              </w:rPr>
            </w:pPr>
            <w:r>
              <w:rPr>
                <w:lang w:val="hu-HU"/>
              </w:rPr>
              <w:t>Relatív hazárd (hazard ratio) a warfarinhoz képest (95% CI)</w:t>
            </w:r>
          </w:p>
        </w:tc>
        <w:tc>
          <w:tcPr>
            <w:tcW w:w="2335" w:type="dxa"/>
            <w:tcBorders>
              <w:top w:val="single" w:sz="4" w:space="0" w:color="000000"/>
              <w:left w:val="single" w:sz="4" w:space="0" w:color="000000"/>
              <w:bottom w:val="single" w:sz="4" w:space="0" w:color="000000"/>
              <w:right w:val="single" w:sz="4" w:space="0" w:color="000000"/>
            </w:tcBorders>
          </w:tcPr>
          <w:p w14:paraId="70518A65" w14:textId="77777777" w:rsidR="00736F4A" w:rsidRDefault="00100640">
            <w:pPr>
              <w:spacing w:line="240" w:lineRule="auto"/>
              <w:ind w:right="25"/>
              <w:rPr>
                <w:lang w:val="hu-HU"/>
              </w:rPr>
            </w:pPr>
            <w:r>
              <w:rPr>
                <w:lang w:val="hu-HU"/>
              </w:rPr>
              <w:t>0,91 (0,80, 1,03)</w:t>
            </w:r>
          </w:p>
        </w:tc>
        <w:tc>
          <w:tcPr>
            <w:tcW w:w="2335" w:type="dxa"/>
            <w:tcBorders>
              <w:top w:val="single" w:sz="4" w:space="0" w:color="000000"/>
              <w:left w:val="single" w:sz="4" w:space="0" w:color="000000"/>
              <w:bottom w:val="single" w:sz="4" w:space="0" w:color="000000"/>
              <w:right w:val="single" w:sz="4" w:space="0" w:color="000000"/>
            </w:tcBorders>
          </w:tcPr>
          <w:p w14:paraId="0337383C" w14:textId="77777777" w:rsidR="00736F4A" w:rsidRDefault="00100640">
            <w:pPr>
              <w:spacing w:line="240" w:lineRule="auto"/>
              <w:ind w:right="25"/>
              <w:rPr>
                <w:lang w:val="hu-HU"/>
              </w:rPr>
            </w:pPr>
            <w:r>
              <w:rPr>
                <w:lang w:val="hu-HU"/>
              </w:rPr>
              <w:t>0,88 (0,77, 1,00)</w:t>
            </w:r>
          </w:p>
        </w:tc>
        <w:tc>
          <w:tcPr>
            <w:tcW w:w="1966" w:type="dxa"/>
            <w:tcBorders>
              <w:top w:val="single" w:sz="4" w:space="0" w:color="000000"/>
              <w:left w:val="single" w:sz="4" w:space="0" w:color="000000"/>
              <w:bottom w:val="single" w:sz="4" w:space="0" w:color="000000"/>
              <w:right w:val="single" w:sz="4" w:space="0" w:color="000000"/>
            </w:tcBorders>
          </w:tcPr>
          <w:p w14:paraId="78750CDE" w14:textId="77777777" w:rsidR="00736F4A" w:rsidRDefault="00736F4A">
            <w:pPr>
              <w:spacing w:line="240" w:lineRule="auto"/>
              <w:rPr>
                <w:lang w:val="hu-HU"/>
              </w:rPr>
            </w:pPr>
          </w:p>
        </w:tc>
      </w:tr>
      <w:tr w:rsidR="00736F4A" w14:paraId="2D8EF526"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47FF74AA" w14:textId="77777777" w:rsidR="00736F4A" w:rsidRDefault="00100640">
            <w:pPr>
              <w:spacing w:line="240" w:lineRule="auto"/>
              <w:ind w:left="588"/>
              <w:rPr>
                <w:lang w:val="hu-HU"/>
              </w:rPr>
            </w:pPr>
            <w:r>
              <w:rPr>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2E2B7BDF" w14:textId="77777777" w:rsidR="00736F4A" w:rsidRDefault="00100640">
            <w:pPr>
              <w:spacing w:line="240" w:lineRule="auto"/>
              <w:ind w:right="27"/>
              <w:rPr>
                <w:lang w:val="hu-HU"/>
              </w:rPr>
            </w:pPr>
            <w:r>
              <w:rPr>
                <w:lang w:val="hu-HU"/>
              </w:rPr>
              <w:t>0,1308</w:t>
            </w:r>
          </w:p>
        </w:tc>
        <w:tc>
          <w:tcPr>
            <w:tcW w:w="2335" w:type="dxa"/>
            <w:tcBorders>
              <w:top w:val="single" w:sz="4" w:space="0" w:color="000000"/>
              <w:left w:val="single" w:sz="4" w:space="0" w:color="000000"/>
              <w:bottom w:val="single" w:sz="4" w:space="0" w:color="000000"/>
              <w:right w:val="single" w:sz="4" w:space="0" w:color="000000"/>
            </w:tcBorders>
          </w:tcPr>
          <w:p w14:paraId="553BD2E2" w14:textId="77777777" w:rsidR="00736F4A" w:rsidRDefault="00100640">
            <w:pPr>
              <w:spacing w:line="240" w:lineRule="auto"/>
              <w:ind w:right="27"/>
              <w:rPr>
                <w:lang w:val="hu-HU"/>
              </w:rPr>
            </w:pPr>
            <w:r>
              <w:rPr>
                <w:lang w:val="hu-HU"/>
              </w:rPr>
              <w:t>0,0517</w:t>
            </w:r>
          </w:p>
        </w:tc>
        <w:tc>
          <w:tcPr>
            <w:tcW w:w="1966" w:type="dxa"/>
            <w:tcBorders>
              <w:top w:val="single" w:sz="4" w:space="0" w:color="000000"/>
              <w:left w:val="single" w:sz="4" w:space="0" w:color="000000"/>
              <w:bottom w:val="single" w:sz="4" w:space="0" w:color="000000"/>
              <w:right w:val="single" w:sz="4" w:space="0" w:color="000000"/>
            </w:tcBorders>
          </w:tcPr>
          <w:p w14:paraId="7315FCC5" w14:textId="77777777" w:rsidR="00736F4A" w:rsidRDefault="00736F4A">
            <w:pPr>
              <w:spacing w:line="240" w:lineRule="auto"/>
              <w:rPr>
                <w:lang w:val="hu-HU"/>
              </w:rPr>
            </w:pPr>
          </w:p>
        </w:tc>
      </w:tr>
      <w:tr w:rsidR="00736F4A" w14:paraId="32CB157E"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605F75B7" w14:textId="77777777" w:rsidR="00736F4A" w:rsidRDefault="00100640">
            <w:pPr>
              <w:spacing w:line="240" w:lineRule="auto"/>
              <w:rPr>
                <w:lang w:val="hu-HU"/>
              </w:rPr>
            </w:pPr>
            <w:r>
              <w:rPr>
                <w:lang w:val="hu-HU"/>
              </w:rPr>
              <w:t>Vaszkuláris halálozás</w:t>
            </w:r>
          </w:p>
        </w:tc>
        <w:tc>
          <w:tcPr>
            <w:tcW w:w="2335" w:type="dxa"/>
            <w:tcBorders>
              <w:top w:val="single" w:sz="4" w:space="0" w:color="000000"/>
              <w:left w:val="single" w:sz="4" w:space="0" w:color="000000"/>
              <w:bottom w:val="single" w:sz="4" w:space="0" w:color="000000"/>
              <w:right w:val="single" w:sz="4" w:space="0" w:color="000000"/>
            </w:tcBorders>
          </w:tcPr>
          <w:p w14:paraId="4933CF30" w14:textId="77777777" w:rsidR="00736F4A" w:rsidRDefault="00736F4A">
            <w:pPr>
              <w:spacing w:line="240" w:lineRule="auto"/>
              <w:rPr>
                <w:lang w:val="hu-HU"/>
              </w:rPr>
            </w:pPr>
          </w:p>
        </w:tc>
        <w:tc>
          <w:tcPr>
            <w:tcW w:w="2335" w:type="dxa"/>
            <w:tcBorders>
              <w:top w:val="single" w:sz="4" w:space="0" w:color="000000"/>
              <w:left w:val="single" w:sz="4" w:space="0" w:color="000000"/>
              <w:bottom w:val="single" w:sz="4" w:space="0" w:color="000000"/>
              <w:right w:val="single" w:sz="4" w:space="0" w:color="000000"/>
            </w:tcBorders>
          </w:tcPr>
          <w:p w14:paraId="63A038E1" w14:textId="77777777" w:rsidR="00736F4A" w:rsidRDefault="00736F4A">
            <w:pPr>
              <w:spacing w:line="240" w:lineRule="auto"/>
              <w:rPr>
                <w:lang w:val="hu-HU"/>
              </w:rPr>
            </w:pPr>
          </w:p>
        </w:tc>
        <w:tc>
          <w:tcPr>
            <w:tcW w:w="1966" w:type="dxa"/>
            <w:tcBorders>
              <w:top w:val="single" w:sz="4" w:space="0" w:color="000000"/>
              <w:left w:val="single" w:sz="4" w:space="0" w:color="000000"/>
              <w:bottom w:val="single" w:sz="4" w:space="0" w:color="000000"/>
              <w:right w:val="single" w:sz="4" w:space="0" w:color="000000"/>
            </w:tcBorders>
          </w:tcPr>
          <w:p w14:paraId="14B304C7" w14:textId="77777777" w:rsidR="00736F4A" w:rsidRDefault="00736F4A">
            <w:pPr>
              <w:spacing w:line="240" w:lineRule="auto"/>
              <w:rPr>
                <w:lang w:val="hu-HU"/>
              </w:rPr>
            </w:pPr>
          </w:p>
        </w:tc>
      </w:tr>
      <w:tr w:rsidR="00736F4A" w14:paraId="5F648FC4"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34045C64" w14:textId="77777777" w:rsidR="00736F4A" w:rsidRDefault="00100640">
            <w:pPr>
              <w:spacing w:line="240" w:lineRule="auto"/>
              <w:ind w:left="117"/>
              <w:rPr>
                <w:lang w:val="hu-HU"/>
              </w:rPr>
            </w:pPr>
            <w:r>
              <w:rPr>
                <w:lang w:val="hu-HU"/>
              </w:rPr>
              <w:t>Incidencia (%)</w:t>
            </w:r>
          </w:p>
        </w:tc>
        <w:tc>
          <w:tcPr>
            <w:tcW w:w="2335" w:type="dxa"/>
            <w:tcBorders>
              <w:top w:val="single" w:sz="4" w:space="0" w:color="000000"/>
              <w:left w:val="single" w:sz="4" w:space="0" w:color="000000"/>
              <w:bottom w:val="single" w:sz="4" w:space="0" w:color="000000"/>
              <w:right w:val="single" w:sz="4" w:space="0" w:color="000000"/>
            </w:tcBorders>
          </w:tcPr>
          <w:p w14:paraId="26592519" w14:textId="77777777" w:rsidR="00736F4A" w:rsidRDefault="00100640">
            <w:pPr>
              <w:spacing w:line="240" w:lineRule="auto"/>
              <w:ind w:right="28"/>
              <w:rPr>
                <w:lang w:val="hu-HU"/>
              </w:rPr>
            </w:pPr>
            <w:r>
              <w:rPr>
                <w:lang w:val="hu-HU"/>
              </w:rPr>
              <w:t>289 (2,43)</w:t>
            </w:r>
          </w:p>
        </w:tc>
        <w:tc>
          <w:tcPr>
            <w:tcW w:w="2335" w:type="dxa"/>
            <w:tcBorders>
              <w:top w:val="single" w:sz="4" w:space="0" w:color="000000"/>
              <w:left w:val="single" w:sz="4" w:space="0" w:color="000000"/>
              <w:bottom w:val="single" w:sz="4" w:space="0" w:color="000000"/>
              <w:right w:val="single" w:sz="4" w:space="0" w:color="000000"/>
            </w:tcBorders>
          </w:tcPr>
          <w:p w14:paraId="44F0EF79" w14:textId="77777777" w:rsidR="00736F4A" w:rsidRDefault="00100640">
            <w:pPr>
              <w:spacing w:line="240" w:lineRule="auto"/>
              <w:ind w:right="28"/>
              <w:rPr>
                <w:lang w:val="hu-HU"/>
              </w:rPr>
            </w:pPr>
            <w:r>
              <w:rPr>
                <w:lang w:val="hu-HU"/>
              </w:rPr>
              <w:t>274 (2,28)</w:t>
            </w:r>
          </w:p>
        </w:tc>
        <w:tc>
          <w:tcPr>
            <w:tcW w:w="1966" w:type="dxa"/>
            <w:tcBorders>
              <w:top w:val="single" w:sz="4" w:space="0" w:color="000000"/>
              <w:left w:val="single" w:sz="4" w:space="0" w:color="000000"/>
              <w:bottom w:val="single" w:sz="4" w:space="0" w:color="000000"/>
              <w:right w:val="single" w:sz="4" w:space="0" w:color="000000"/>
            </w:tcBorders>
          </w:tcPr>
          <w:p w14:paraId="6A1FC20E" w14:textId="77777777" w:rsidR="00736F4A" w:rsidRDefault="00100640">
            <w:pPr>
              <w:spacing w:line="240" w:lineRule="auto"/>
              <w:ind w:right="23"/>
              <w:rPr>
                <w:lang w:val="hu-HU"/>
              </w:rPr>
            </w:pPr>
            <w:r>
              <w:rPr>
                <w:lang w:val="hu-HU"/>
              </w:rPr>
              <w:t>317 (2,69)</w:t>
            </w:r>
          </w:p>
        </w:tc>
      </w:tr>
      <w:tr w:rsidR="00736F4A" w14:paraId="25285FE9"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2FEC35A2" w14:textId="77777777" w:rsidR="00736F4A" w:rsidRDefault="00100640">
            <w:pPr>
              <w:spacing w:line="240" w:lineRule="auto"/>
              <w:ind w:left="566"/>
              <w:rPr>
                <w:lang w:val="hu-HU"/>
              </w:rPr>
            </w:pPr>
            <w:r>
              <w:rPr>
                <w:lang w:val="hu-HU"/>
              </w:rPr>
              <w:t>Relatív hazárd (hazard ratio) a warfarinhoz képest (95% CI)</w:t>
            </w:r>
          </w:p>
        </w:tc>
        <w:tc>
          <w:tcPr>
            <w:tcW w:w="2335" w:type="dxa"/>
            <w:tcBorders>
              <w:top w:val="single" w:sz="4" w:space="0" w:color="000000"/>
              <w:left w:val="single" w:sz="4" w:space="0" w:color="000000"/>
              <w:bottom w:val="single" w:sz="4" w:space="0" w:color="000000"/>
              <w:right w:val="single" w:sz="4" w:space="0" w:color="000000"/>
            </w:tcBorders>
          </w:tcPr>
          <w:p w14:paraId="13D2631E" w14:textId="77777777" w:rsidR="00736F4A" w:rsidRDefault="00100640">
            <w:pPr>
              <w:spacing w:line="240" w:lineRule="auto"/>
              <w:ind w:right="25"/>
              <w:rPr>
                <w:lang w:val="hu-HU"/>
              </w:rPr>
            </w:pPr>
            <w:r>
              <w:rPr>
                <w:lang w:val="hu-HU"/>
              </w:rPr>
              <w:t>0,90 (0,77, 1,06)</w:t>
            </w:r>
          </w:p>
        </w:tc>
        <w:tc>
          <w:tcPr>
            <w:tcW w:w="2335" w:type="dxa"/>
            <w:tcBorders>
              <w:top w:val="single" w:sz="4" w:space="0" w:color="000000"/>
              <w:left w:val="single" w:sz="4" w:space="0" w:color="000000"/>
              <w:bottom w:val="single" w:sz="4" w:space="0" w:color="000000"/>
              <w:right w:val="single" w:sz="4" w:space="0" w:color="000000"/>
            </w:tcBorders>
          </w:tcPr>
          <w:p w14:paraId="09313285" w14:textId="77777777" w:rsidR="00736F4A" w:rsidRDefault="00100640">
            <w:pPr>
              <w:spacing w:line="240" w:lineRule="auto"/>
              <w:ind w:right="25"/>
              <w:rPr>
                <w:lang w:val="hu-HU"/>
              </w:rPr>
            </w:pPr>
            <w:r>
              <w:rPr>
                <w:lang w:val="hu-HU"/>
              </w:rPr>
              <w:t>0,85 (0,72, 0,99)</w:t>
            </w:r>
          </w:p>
        </w:tc>
        <w:tc>
          <w:tcPr>
            <w:tcW w:w="1966" w:type="dxa"/>
            <w:tcBorders>
              <w:top w:val="single" w:sz="4" w:space="0" w:color="000000"/>
              <w:left w:val="single" w:sz="4" w:space="0" w:color="000000"/>
              <w:bottom w:val="single" w:sz="4" w:space="0" w:color="000000"/>
              <w:right w:val="single" w:sz="4" w:space="0" w:color="000000"/>
            </w:tcBorders>
          </w:tcPr>
          <w:p w14:paraId="3F6BC9C5" w14:textId="77777777" w:rsidR="00736F4A" w:rsidRDefault="00736F4A">
            <w:pPr>
              <w:spacing w:line="240" w:lineRule="auto"/>
              <w:rPr>
                <w:lang w:val="hu-HU"/>
              </w:rPr>
            </w:pPr>
          </w:p>
        </w:tc>
      </w:tr>
      <w:tr w:rsidR="00736F4A" w14:paraId="1C359AFA"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18F44337" w14:textId="77777777" w:rsidR="00736F4A" w:rsidRDefault="00100640">
            <w:pPr>
              <w:spacing w:line="240" w:lineRule="auto"/>
              <w:ind w:left="566"/>
              <w:rPr>
                <w:lang w:val="hu-HU"/>
              </w:rPr>
            </w:pPr>
            <w:r>
              <w:rPr>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6DC35916" w14:textId="77777777" w:rsidR="00736F4A" w:rsidRDefault="00100640">
            <w:pPr>
              <w:spacing w:line="240" w:lineRule="auto"/>
              <w:ind w:right="27"/>
              <w:rPr>
                <w:lang w:val="hu-HU"/>
              </w:rPr>
            </w:pPr>
            <w:r>
              <w:rPr>
                <w:lang w:val="hu-HU"/>
              </w:rPr>
              <w:t>0,2081</w:t>
            </w:r>
          </w:p>
        </w:tc>
        <w:tc>
          <w:tcPr>
            <w:tcW w:w="2335" w:type="dxa"/>
            <w:tcBorders>
              <w:top w:val="single" w:sz="4" w:space="0" w:color="000000"/>
              <w:left w:val="single" w:sz="4" w:space="0" w:color="000000"/>
              <w:bottom w:val="single" w:sz="4" w:space="0" w:color="000000"/>
              <w:right w:val="single" w:sz="4" w:space="0" w:color="000000"/>
            </w:tcBorders>
          </w:tcPr>
          <w:p w14:paraId="7A3DA576" w14:textId="77777777" w:rsidR="00736F4A" w:rsidRDefault="00100640">
            <w:pPr>
              <w:spacing w:line="240" w:lineRule="auto"/>
              <w:ind w:right="27"/>
              <w:rPr>
                <w:lang w:val="hu-HU"/>
              </w:rPr>
            </w:pPr>
            <w:r>
              <w:rPr>
                <w:lang w:val="hu-HU"/>
              </w:rPr>
              <w:t>0,0430</w:t>
            </w:r>
          </w:p>
        </w:tc>
        <w:tc>
          <w:tcPr>
            <w:tcW w:w="1966" w:type="dxa"/>
            <w:tcBorders>
              <w:top w:val="single" w:sz="4" w:space="0" w:color="000000"/>
              <w:left w:val="single" w:sz="4" w:space="0" w:color="000000"/>
              <w:bottom w:val="single" w:sz="4" w:space="0" w:color="000000"/>
              <w:right w:val="single" w:sz="4" w:space="0" w:color="000000"/>
            </w:tcBorders>
          </w:tcPr>
          <w:p w14:paraId="2A01A577" w14:textId="77777777" w:rsidR="00736F4A" w:rsidRDefault="00736F4A">
            <w:pPr>
              <w:spacing w:line="240" w:lineRule="auto"/>
              <w:rPr>
                <w:lang w:val="hu-HU"/>
              </w:rPr>
            </w:pPr>
          </w:p>
        </w:tc>
      </w:tr>
    </w:tbl>
    <w:p w14:paraId="4F872D01" w14:textId="77777777" w:rsidR="00736F4A" w:rsidRDefault="00100640">
      <w:pPr>
        <w:spacing w:line="240" w:lineRule="auto"/>
        <w:ind w:left="7" w:right="9"/>
      </w:pPr>
      <w:r>
        <w:lastRenderedPageBreak/>
        <w:t>% az éves esemény gyakoriságra vonatkozik.</w:t>
      </w:r>
    </w:p>
    <w:p w14:paraId="0FD66472" w14:textId="77777777" w:rsidR="00736F4A" w:rsidRDefault="00736F4A">
      <w:pPr>
        <w:spacing w:line="240" w:lineRule="auto"/>
        <w:rPr>
          <w:lang w:val="hu-HU"/>
        </w:rPr>
      </w:pPr>
    </w:p>
    <w:p w14:paraId="2ED81E2A" w14:textId="77777777" w:rsidR="00736F4A" w:rsidRDefault="00100640">
      <w:pPr>
        <w:spacing w:line="240" w:lineRule="auto"/>
        <w:ind w:left="7" w:right="9"/>
      </w:pPr>
      <w:r>
        <w:t>A 20-21. táblázatok az elsődleges hatásossági és biztonságossági végpont eredményeit mutatják:</w:t>
      </w:r>
    </w:p>
    <w:p w14:paraId="340A064D" w14:textId="77777777" w:rsidR="00736F4A" w:rsidRDefault="00736F4A">
      <w:pPr>
        <w:spacing w:line="240" w:lineRule="auto"/>
        <w:ind w:left="7" w:right="9"/>
      </w:pPr>
    </w:p>
    <w:p w14:paraId="7FA09807" w14:textId="77777777" w:rsidR="00736F4A" w:rsidRDefault="00100640">
      <w:pPr>
        <w:spacing w:line="240" w:lineRule="auto"/>
        <w:ind w:left="7" w:right="9"/>
      </w:pPr>
      <w:r>
        <w:t>Az elsődleges végpont, a stroke és a szisztémás embolizáció esetén nem találtak alcsoportonként (pl. életkor, testtömeg, nem, vesefunkció, etnikai származás stb.) eltérő relatív hazárdokat a warfarinhoz hasonlítva.</w:t>
      </w:r>
    </w:p>
    <w:p w14:paraId="4EF53F80" w14:textId="77777777" w:rsidR="00736F4A" w:rsidRDefault="00736F4A">
      <w:pPr>
        <w:spacing w:line="240" w:lineRule="auto"/>
        <w:rPr>
          <w:lang w:val="hu-HU"/>
        </w:rPr>
      </w:pPr>
    </w:p>
    <w:p w14:paraId="3191EE30" w14:textId="77777777" w:rsidR="00736F4A" w:rsidRDefault="00100640">
      <w:pPr>
        <w:tabs>
          <w:tab w:val="center" w:pos="5080"/>
        </w:tabs>
        <w:spacing w:line="240" w:lineRule="auto"/>
        <w:ind w:left="-3"/>
        <w:rPr>
          <w:b/>
        </w:rPr>
      </w:pPr>
      <w:r>
        <w:rPr>
          <w:b/>
        </w:rPr>
        <w:t>20. táblázat. A stroke/szisztémás embolizáció relatív hazárd és 95%-os CI alcsoportok szerint</w:t>
      </w:r>
    </w:p>
    <w:p w14:paraId="466B755D" w14:textId="77777777" w:rsidR="00736F4A" w:rsidRDefault="00736F4A">
      <w:pPr>
        <w:spacing w:line="240" w:lineRule="auto"/>
        <w:rPr>
          <w:lang w:val="hu-HU"/>
        </w:rPr>
      </w:pPr>
    </w:p>
    <w:tbl>
      <w:tblPr>
        <w:tblW w:w="9060" w:type="dxa"/>
        <w:tblInd w:w="5" w:type="dxa"/>
        <w:tblCellMar>
          <w:top w:w="14" w:type="dxa"/>
          <w:left w:w="5" w:type="dxa"/>
          <w:right w:w="5" w:type="dxa"/>
        </w:tblCellMar>
        <w:tblLook w:val="04A0" w:firstRow="1" w:lastRow="0" w:firstColumn="1" w:lastColumn="0" w:noHBand="0" w:noVBand="1"/>
      </w:tblPr>
      <w:tblGrid>
        <w:gridCol w:w="2789"/>
        <w:gridCol w:w="3134"/>
        <w:gridCol w:w="3137"/>
      </w:tblGrid>
      <w:tr w:rsidR="00736F4A" w14:paraId="315BFF9F" w14:textId="77777777">
        <w:trPr>
          <w:trHeight w:val="516"/>
        </w:trPr>
        <w:tc>
          <w:tcPr>
            <w:tcW w:w="2789" w:type="dxa"/>
            <w:tcBorders>
              <w:top w:val="single" w:sz="4" w:space="0" w:color="000000"/>
              <w:left w:val="single" w:sz="4" w:space="0" w:color="000000"/>
              <w:bottom w:val="single" w:sz="4" w:space="0" w:color="000000"/>
              <w:right w:val="single" w:sz="4" w:space="0" w:color="000000"/>
            </w:tcBorders>
          </w:tcPr>
          <w:p w14:paraId="23824708" w14:textId="77777777" w:rsidR="00736F4A" w:rsidRDefault="00100640">
            <w:pPr>
              <w:spacing w:line="240" w:lineRule="auto"/>
              <w:ind w:left="103"/>
              <w:rPr>
                <w:lang w:val="hu-HU"/>
              </w:rPr>
            </w:pPr>
            <w:r>
              <w:rPr>
                <w:lang w:val="hu-HU"/>
              </w:rPr>
              <w:t>Végpont</w:t>
            </w:r>
          </w:p>
        </w:tc>
        <w:tc>
          <w:tcPr>
            <w:tcW w:w="3134" w:type="dxa"/>
            <w:tcBorders>
              <w:top w:val="single" w:sz="4" w:space="0" w:color="000000"/>
              <w:left w:val="single" w:sz="4" w:space="0" w:color="000000"/>
              <w:bottom w:val="single" w:sz="4" w:space="0" w:color="000000"/>
              <w:right w:val="single" w:sz="4" w:space="0" w:color="000000"/>
            </w:tcBorders>
          </w:tcPr>
          <w:p w14:paraId="57EBB401" w14:textId="77777777" w:rsidR="00736F4A" w:rsidRDefault="00100640">
            <w:pPr>
              <w:spacing w:line="240" w:lineRule="auto"/>
              <w:ind w:left="101"/>
              <w:rPr>
                <w:lang w:val="hu-HU"/>
              </w:rPr>
            </w:pPr>
            <w:r>
              <w:rPr>
                <w:lang w:val="hu-HU"/>
              </w:rPr>
              <w:t>Dabigatrán-etexilát</w:t>
            </w:r>
          </w:p>
          <w:p w14:paraId="086569C0" w14:textId="77777777" w:rsidR="00736F4A" w:rsidRDefault="00100640">
            <w:pPr>
              <w:spacing w:line="240" w:lineRule="auto"/>
              <w:ind w:left="101"/>
              <w:rPr>
                <w:lang w:val="hu-HU"/>
              </w:rPr>
            </w:pPr>
            <w:r>
              <w:rPr>
                <w:lang w:val="hu-HU"/>
              </w:rPr>
              <w:t>napi kétszer 110 mg vs. warfarin</w:t>
            </w:r>
          </w:p>
        </w:tc>
        <w:tc>
          <w:tcPr>
            <w:tcW w:w="3137" w:type="dxa"/>
            <w:tcBorders>
              <w:top w:val="single" w:sz="4" w:space="0" w:color="000000"/>
              <w:left w:val="single" w:sz="4" w:space="0" w:color="000000"/>
              <w:bottom w:val="single" w:sz="4" w:space="0" w:color="000000"/>
              <w:right w:val="single" w:sz="4" w:space="0" w:color="000000"/>
            </w:tcBorders>
          </w:tcPr>
          <w:p w14:paraId="3596A6FE" w14:textId="77777777" w:rsidR="00736F4A" w:rsidRDefault="00100640">
            <w:pPr>
              <w:spacing w:line="240" w:lineRule="auto"/>
              <w:ind w:left="103"/>
              <w:rPr>
                <w:lang w:val="hu-HU"/>
              </w:rPr>
            </w:pPr>
            <w:r>
              <w:rPr>
                <w:lang w:val="hu-HU"/>
              </w:rPr>
              <w:t>Dabigatrán-etexilát</w:t>
            </w:r>
          </w:p>
          <w:p w14:paraId="6F91399C" w14:textId="77777777" w:rsidR="00736F4A" w:rsidRDefault="00100640">
            <w:pPr>
              <w:spacing w:line="240" w:lineRule="auto"/>
              <w:ind w:left="103"/>
              <w:rPr>
                <w:lang w:val="hu-HU"/>
              </w:rPr>
            </w:pPr>
            <w:r>
              <w:rPr>
                <w:lang w:val="hu-HU"/>
              </w:rPr>
              <w:t>napi kétszer 150 mg vs. warfarin</w:t>
            </w:r>
          </w:p>
        </w:tc>
      </w:tr>
      <w:tr w:rsidR="00736F4A" w14:paraId="7B4E0E62"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316A4A9C" w14:textId="77777777" w:rsidR="00736F4A" w:rsidRDefault="00100640">
            <w:pPr>
              <w:spacing w:line="240" w:lineRule="auto"/>
              <w:ind w:left="103"/>
              <w:rPr>
                <w:lang w:val="hu-HU"/>
              </w:rPr>
            </w:pPr>
            <w:r>
              <w:rPr>
                <w:lang w:val="hu-HU"/>
              </w:rPr>
              <w:t>Életkor (év)</w:t>
            </w:r>
          </w:p>
        </w:tc>
        <w:tc>
          <w:tcPr>
            <w:tcW w:w="3134" w:type="dxa"/>
            <w:tcBorders>
              <w:top w:val="single" w:sz="4" w:space="0" w:color="000000"/>
              <w:left w:val="single" w:sz="4" w:space="0" w:color="000000"/>
              <w:bottom w:val="single" w:sz="4" w:space="0" w:color="000000"/>
              <w:right w:val="single" w:sz="4" w:space="0" w:color="000000"/>
            </w:tcBorders>
          </w:tcPr>
          <w:p w14:paraId="55BCFFF6" w14:textId="77777777" w:rsidR="00736F4A" w:rsidRDefault="00736F4A">
            <w:pPr>
              <w:spacing w:line="240" w:lineRule="auto"/>
              <w:rPr>
                <w:lang w:val="hu-HU"/>
              </w:rPr>
            </w:pPr>
          </w:p>
        </w:tc>
        <w:tc>
          <w:tcPr>
            <w:tcW w:w="3137" w:type="dxa"/>
            <w:tcBorders>
              <w:top w:val="single" w:sz="4" w:space="0" w:color="000000"/>
              <w:left w:val="single" w:sz="4" w:space="0" w:color="000000"/>
              <w:bottom w:val="single" w:sz="4" w:space="0" w:color="000000"/>
              <w:right w:val="single" w:sz="4" w:space="0" w:color="000000"/>
            </w:tcBorders>
          </w:tcPr>
          <w:p w14:paraId="4EB47089" w14:textId="77777777" w:rsidR="00736F4A" w:rsidRDefault="00736F4A">
            <w:pPr>
              <w:spacing w:line="240" w:lineRule="auto"/>
              <w:rPr>
                <w:lang w:val="hu-HU"/>
              </w:rPr>
            </w:pPr>
          </w:p>
        </w:tc>
      </w:tr>
      <w:tr w:rsidR="00736F4A" w14:paraId="26EB9007"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7C8AC4E7" w14:textId="77777777" w:rsidR="00736F4A" w:rsidRDefault="00100640">
            <w:pPr>
              <w:spacing w:line="240" w:lineRule="auto"/>
              <w:rPr>
                <w:lang w:val="hu-HU"/>
              </w:rPr>
            </w:pPr>
            <w:r>
              <w:rPr>
                <w:lang w:val="hu-HU"/>
              </w:rPr>
              <w:t>&lt;65</w:t>
            </w:r>
          </w:p>
        </w:tc>
        <w:tc>
          <w:tcPr>
            <w:tcW w:w="3134" w:type="dxa"/>
            <w:tcBorders>
              <w:top w:val="single" w:sz="4" w:space="0" w:color="000000"/>
              <w:left w:val="single" w:sz="4" w:space="0" w:color="000000"/>
              <w:bottom w:val="single" w:sz="4" w:space="0" w:color="000000"/>
              <w:right w:val="single" w:sz="4" w:space="0" w:color="000000"/>
            </w:tcBorders>
          </w:tcPr>
          <w:p w14:paraId="72B0C322" w14:textId="77777777" w:rsidR="00736F4A" w:rsidRDefault="00100640">
            <w:pPr>
              <w:spacing w:line="240" w:lineRule="auto"/>
              <w:ind w:right="1"/>
              <w:rPr>
                <w:lang w:val="hu-HU"/>
              </w:rPr>
            </w:pPr>
            <w:r>
              <w:rPr>
                <w:lang w:val="hu-HU"/>
              </w:rPr>
              <w:t>1,10 (0,64, 1,87)</w:t>
            </w:r>
          </w:p>
        </w:tc>
        <w:tc>
          <w:tcPr>
            <w:tcW w:w="3137" w:type="dxa"/>
            <w:tcBorders>
              <w:top w:val="single" w:sz="4" w:space="0" w:color="000000"/>
              <w:left w:val="single" w:sz="4" w:space="0" w:color="000000"/>
              <w:bottom w:val="single" w:sz="4" w:space="0" w:color="000000"/>
              <w:right w:val="single" w:sz="4" w:space="0" w:color="000000"/>
            </w:tcBorders>
          </w:tcPr>
          <w:p w14:paraId="023ADAE1" w14:textId="77777777" w:rsidR="00736F4A" w:rsidRDefault="00100640">
            <w:pPr>
              <w:spacing w:line="240" w:lineRule="auto"/>
              <w:ind w:left="2"/>
              <w:rPr>
                <w:lang w:val="hu-HU"/>
              </w:rPr>
            </w:pPr>
            <w:r>
              <w:rPr>
                <w:lang w:val="hu-HU"/>
              </w:rPr>
              <w:t>0,51 (0,26, 0,98)</w:t>
            </w:r>
          </w:p>
        </w:tc>
      </w:tr>
      <w:tr w:rsidR="00736F4A" w14:paraId="4D2DB517"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36012F6B" w14:textId="77777777" w:rsidR="00736F4A" w:rsidRDefault="00100640">
            <w:pPr>
              <w:spacing w:line="240" w:lineRule="auto"/>
              <w:rPr>
                <w:lang w:val="hu-HU"/>
              </w:rPr>
            </w:pPr>
            <w:r>
              <w:rPr>
                <w:lang w:val="hu-HU"/>
              </w:rPr>
              <w:t>65≤ és &lt;75</w:t>
            </w:r>
          </w:p>
        </w:tc>
        <w:tc>
          <w:tcPr>
            <w:tcW w:w="3134" w:type="dxa"/>
            <w:tcBorders>
              <w:top w:val="single" w:sz="4" w:space="0" w:color="000000"/>
              <w:left w:val="single" w:sz="4" w:space="0" w:color="000000"/>
              <w:bottom w:val="single" w:sz="4" w:space="0" w:color="000000"/>
              <w:right w:val="single" w:sz="4" w:space="0" w:color="000000"/>
            </w:tcBorders>
          </w:tcPr>
          <w:p w14:paraId="6684E24D" w14:textId="77777777" w:rsidR="00736F4A" w:rsidRDefault="00100640">
            <w:pPr>
              <w:spacing w:line="240" w:lineRule="auto"/>
              <w:ind w:right="1"/>
              <w:rPr>
                <w:lang w:val="hu-HU"/>
              </w:rPr>
            </w:pPr>
            <w:r>
              <w:rPr>
                <w:lang w:val="hu-HU"/>
              </w:rPr>
              <w:t>0,86 (0,62, 1,19)</w:t>
            </w:r>
          </w:p>
        </w:tc>
        <w:tc>
          <w:tcPr>
            <w:tcW w:w="3137" w:type="dxa"/>
            <w:tcBorders>
              <w:top w:val="single" w:sz="4" w:space="0" w:color="000000"/>
              <w:left w:val="single" w:sz="4" w:space="0" w:color="000000"/>
              <w:bottom w:val="single" w:sz="4" w:space="0" w:color="000000"/>
              <w:right w:val="single" w:sz="4" w:space="0" w:color="000000"/>
            </w:tcBorders>
          </w:tcPr>
          <w:p w14:paraId="12EA9A4A" w14:textId="77777777" w:rsidR="00736F4A" w:rsidRDefault="00100640">
            <w:pPr>
              <w:spacing w:line="240" w:lineRule="auto"/>
              <w:ind w:left="2"/>
              <w:rPr>
                <w:lang w:val="hu-HU"/>
              </w:rPr>
            </w:pPr>
            <w:r>
              <w:rPr>
                <w:lang w:val="hu-HU"/>
              </w:rPr>
              <w:t>0,67 (0,47, 0,95)</w:t>
            </w:r>
          </w:p>
        </w:tc>
      </w:tr>
      <w:tr w:rsidR="00736F4A" w14:paraId="60027F03" w14:textId="77777777">
        <w:trPr>
          <w:trHeight w:val="262"/>
        </w:trPr>
        <w:tc>
          <w:tcPr>
            <w:tcW w:w="0" w:type="auto"/>
            <w:tcBorders>
              <w:top w:val="single" w:sz="4" w:space="0" w:color="auto"/>
              <w:left w:val="single" w:sz="4" w:space="0" w:color="000000"/>
              <w:bottom w:val="single" w:sz="4" w:space="0" w:color="000000"/>
              <w:right w:val="single" w:sz="4" w:space="0" w:color="000000"/>
            </w:tcBorders>
          </w:tcPr>
          <w:p w14:paraId="6D8913A3" w14:textId="77777777" w:rsidR="00736F4A" w:rsidRDefault="00100640">
            <w:pPr>
              <w:spacing w:line="240" w:lineRule="auto"/>
              <w:rPr>
                <w:lang w:val="hu-HU"/>
              </w:rPr>
            </w:pPr>
            <w:r>
              <w:rPr>
                <w:lang w:val="hu-HU"/>
              </w:rPr>
              <w:t>≥75</w:t>
            </w:r>
          </w:p>
        </w:tc>
        <w:tc>
          <w:tcPr>
            <w:tcW w:w="3134" w:type="dxa"/>
            <w:tcBorders>
              <w:top w:val="single" w:sz="4" w:space="0" w:color="000000"/>
              <w:left w:val="single" w:sz="4" w:space="0" w:color="000000"/>
              <w:bottom w:val="single" w:sz="4" w:space="0" w:color="000000"/>
              <w:right w:val="single" w:sz="4" w:space="0" w:color="000000"/>
            </w:tcBorders>
          </w:tcPr>
          <w:p w14:paraId="3EC33DB7" w14:textId="77777777" w:rsidR="00736F4A" w:rsidRDefault="00100640">
            <w:pPr>
              <w:spacing w:line="240" w:lineRule="auto"/>
              <w:ind w:right="1"/>
              <w:rPr>
                <w:lang w:val="hu-HU"/>
              </w:rPr>
            </w:pPr>
            <w:r>
              <w:rPr>
                <w:lang w:val="hu-HU"/>
              </w:rPr>
              <w:t>0,88 (0,66, 1,17)</w:t>
            </w:r>
          </w:p>
        </w:tc>
        <w:tc>
          <w:tcPr>
            <w:tcW w:w="3137" w:type="dxa"/>
            <w:tcBorders>
              <w:top w:val="single" w:sz="4" w:space="0" w:color="000000"/>
              <w:left w:val="single" w:sz="4" w:space="0" w:color="000000"/>
              <w:bottom w:val="single" w:sz="4" w:space="0" w:color="000000"/>
              <w:right w:val="single" w:sz="4" w:space="0" w:color="000000"/>
            </w:tcBorders>
          </w:tcPr>
          <w:p w14:paraId="632365BA" w14:textId="77777777" w:rsidR="00736F4A" w:rsidRDefault="00100640">
            <w:pPr>
              <w:spacing w:line="240" w:lineRule="auto"/>
              <w:ind w:left="2"/>
              <w:rPr>
                <w:lang w:val="hu-HU"/>
              </w:rPr>
            </w:pPr>
            <w:r>
              <w:rPr>
                <w:lang w:val="hu-HU"/>
              </w:rPr>
              <w:t>0,68 (0,50, 0,92)</w:t>
            </w:r>
          </w:p>
        </w:tc>
      </w:tr>
      <w:tr w:rsidR="00736F4A" w14:paraId="7384C7E4"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5ACF8C40" w14:textId="77777777" w:rsidR="00736F4A" w:rsidRDefault="00100640">
            <w:pPr>
              <w:spacing w:line="240" w:lineRule="auto"/>
              <w:rPr>
                <w:lang w:val="hu-HU"/>
              </w:rPr>
            </w:pPr>
            <w:r>
              <w:rPr>
                <w:lang w:val="hu-HU"/>
              </w:rPr>
              <w:t>≥ 80</w:t>
            </w:r>
          </w:p>
        </w:tc>
        <w:tc>
          <w:tcPr>
            <w:tcW w:w="3134" w:type="dxa"/>
            <w:tcBorders>
              <w:top w:val="single" w:sz="4" w:space="0" w:color="000000"/>
              <w:left w:val="single" w:sz="4" w:space="0" w:color="000000"/>
              <w:bottom w:val="single" w:sz="4" w:space="0" w:color="000000"/>
              <w:right w:val="single" w:sz="4" w:space="0" w:color="000000"/>
            </w:tcBorders>
          </w:tcPr>
          <w:p w14:paraId="67445E3F" w14:textId="77777777" w:rsidR="00736F4A" w:rsidRDefault="00100640">
            <w:pPr>
              <w:spacing w:line="240" w:lineRule="auto"/>
              <w:ind w:right="1"/>
              <w:rPr>
                <w:lang w:val="hu-HU"/>
              </w:rPr>
            </w:pPr>
            <w:r>
              <w:rPr>
                <w:lang w:val="hu-HU"/>
              </w:rPr>
              <w:t>0,68 (0,44, 1,05)</w:t>
            </w:r>
          </w:p>
        </w:tc>
        <w:tc>
          <w:tcPr>
            <w:tcW w:w="3137" w:type="dxa"/>
            <w:tcBorders>
              <w:top w:val="single" w:sz="4" w:space="0" w:color="000000"/>
              <w:left w:val="single" w:sz="4" w:space="0" w:color="000000"/>
              <w:bottom w:val="single" w:sz="4" w:space="0" w:color="000000"/>
              <w:right w:val="single" w:sz="4" w:space="0" w:color="000000"/>
            </w:tcBorders>
          </w:tcPr>
          <w:p w14:paraId="44E07F69" w14:textId="77777777" w:rsidR="00736F4A" w:rsidRDefault="00100640">
            <w:pPr>
              <w:spacing w:line="240" w:lineRule="auto"/>
              <w:ind w:left="2"/>
              <w:rPr>
                <w:lang w:val="hu-HU"/>
              </w:rPr>
            </w:pPr>
            <w:r>
              <w:rPr>
                <w:lang w:val="hu-HU"/>
              </w:rPr>
              <w:t>0,67 (0,44, 1,02)</w:t>
            </w:r>
          </w:p>
        </w:tc>
      </w:tr>
      <w:tr w:rsidR="00736F4A" w14:paraId="28EA8CC1"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47F5737C" w14:textId="77777777" w:rsidR="00736F4A" w:rsidRDefault="00100640">
            <w:pPr>
              <w:spacing w:line="240" w:lineRule="auto"/>
              <w:ind w:left="103"/>
              <w:rPr>
                <w:lang w:val="hu-HU"/>
              </w:rPr>
            </w:pPr>
            <w:r>
              <w:rPr>
                <w:lang w:val="hu-HU"/>
              </w:rPr>
              <w:t>CrCl (ml/perc)</w:t>
            </w:r>
          </w:p>
        </w:tc>
        <w:tc>
          <w:tcPr>
            <w:tcW w:w="3134" w:type="dxa"/>
            <w:tcBorders>
              <w:top w:val="single" w:sz="4" w:space="0" w:color="000000"/>
              <w:left w:val="single" w:sz="4" w:space="0" w:color="000000"/>
              <w:bottom w:val="single" w:sz="4" w:space="0" w:color="000000"/>
              <w:right w:val="single" w:sz="4" w:space="0" w:color="000000"/>
            </w:tcBorders>
          </w:tcPr>
          <w:p w14:paraId="2E5C270D" w14:textId="77777777" w:rsidR="00736F4A" w:rsidRDefault="00736F4A">
            <w:pPr>
              <w:spacing w:line="240" w:lineRule="auto"/>
              <w:rPr>
                <w:lang w:val="hu-HU"/>
              </w:rPr>
            </w:pPr>
          </w:p>
        </w:tc>
        <w:tc>
          <w:tcPr>
            <w:tcW w:w="3137" w:type="dxa"/>
            <w:tcBorders>
              <w:top w:val="single" w:sz="4" w:space="0" w:color="000000"/>
              <w:left w:val="single" w:sz="4" w:space="0" w:color="000000"/>
              <w:bottom w:val="single" w:sz="4" w:space="0" w:color="000000"/>
              <w:right w:val="single" w:sz="4" w:space="0" w:color="000000"/>
            </w:tcBorders>
          </w:tcPr>
          <w:p w14:paraId="2052F0BF" w14:textId="77777777" w:rsidR="00736F4A" w:rsidRDefault="00736F4A">
            <w:pPr>
              <w:spacing w:line="240" w:lineRule="auto"/>
              <w:rPr>
                <w:lang w:val="hu-HU"/>
              </w:rPr>
            </w:pPr>
          </w:p>
        </w:tc>
      </w:tr>
      <w:tr w:rsidR="00736F4A" w14:paraId="4F7F1CD5"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492698E3" w14:textId="77777777" w:rsidR="00736F4A" w:rsidRDefault="00100640">
            <w:pPr>
              <w:spacing w:line="240" w:lineRule="auto"/>
              <w:rPr>
                <w:lang w:val="hu-HU"/>
              </w:rPr>
            </w:pPr>
            <w:r>
              <w:rPr>
                <w:lang w:val="hu-HU"/>
              </w:rPr>
              <w:t>30≤ és &lt;50</w:t>
            </w:r>
          </w:p>
        </w:tc>
        <w:tc>
          <w:tcPr>
            <w:tcW w:w="3134" w:type="dxa"/>
            <w:tcBorders>
              <w:top w:val="single" w:sz="4" w:space="0" w:color="000000"/>
              <w:left w:val="single" w:sz="4" w:space="0" w:color="000000"/>
              <w:bottom w:val="single" w:sz="4" w:space="0" w:color="000000"/>
              <w:right w:val="single" w:sz="4" w:space="0" w:color="000000"/>
            </w:tcBorders>
          </w:tcPr>
          <w:p w14:paraId="68C40EF5" w14:textId="77777777" w:rsidR="00736F4A" w:rsidRDefault="00100640">
            <w:pPr>
              <w:spacing w:line="240" w:lineRule="auto"/>
              <w:ind w:right="1"/>
              <w:rPr>
                <w:lang w:val="hu-HU"/>
              </w:rPr>
            </w:pPr>
            <w:r>
              <w:rPr>
                <w:lang w:val="hu-HU"/>
              </w:rPr>
              <w:t>0,89 (0,61, 1,31)</w:t>
            </w:r>
          </w:p>
        </w:tc>
        <w:tc>
          <w:tcPr>
            <w:tcW w:w="3137" w:type="dxa"/>
            <w:tcBorders>
              <w:top w:val="single" w:sz="4" w:space="0" w:color="000000"/>
              <w:left w:val="single" w:sz="4" w:space="0" w:color="000000"/>
              <w:bottom w:val="single" w:sz="4" w:space="0" w:color="000000"/>
              <w:right w:val="single" w:sz="4" w:space="0" w:color="000000"/>
            </w:tcBorders>
          </w:tcPr>
          <w:p w14:paraId="447ECCAF" w14:textId="77777777" w:rsidR="00736F4A" w:rsidRDefault="00100640">
            <w:pPr>
              <w:spacing w:line="240" w:lineRule="auto"/>
              <w:ind w:left="2"/>
              <w:rPr>
                <w:lang w:val="hu-HU"/>
              </w:rPr>
            </w:pPr>
            <w:r>
              <w:rPr>
                <w:lang w:val="hu-HU"/>
              </w:rPr>
              <w:t>0,48 (0,31, 0,76)</w:t>
            </w:r>
          </w:p>
        </w:tc>
      </w:tr>
      <w:tr w:rsidR="00736F4A" w14:paraId="59AD06BA" w14:textId="77777777">
        <w:trPr>
          <w:trHeight w:val="264"/>
        </w:trPr>
        <w:tc>
          <w:tcPr>
            <w:tcW w:w="0" w:type="auto"/>
            <w:tcBorders>
              <w:top w:val="nil"/>
              <w:left w:val="single" w:sz="4" w:space="0" w:color="000000"/>
              <w:bottom w:val="single" w:sz="4" w:space="0" w:color="000000"/>
              <w:right w:val="single" w:sz="4" w:space="0" w:color="000000"/>
            </w:tcBorders>
          </w:tcPr>
          <w:p w14:paraId="5A81E740" w14:textId="77777777" w:rsidR="00736F4A" w:rsidRDefault="00100640">
            <w:pPr>
              <w:spacing w:line="240" w:lineRule="auto"/>
              <w:rPr>
                <w:lang w:val="hu-HU"/>
              </w:rPr>
            </w:pPr>
            <w:r>
              <w:rPr>
                <w:lang w:val="hu-HU"/>
              </w:rPr>
              <w:t>50≤ és &lt;80</w:t>
            </w:r>
          </w:p>
        </w:tc>
        <w:tc>
          <w:tcPr>
            <w:tcW w:w="3134" w:type="dxa"/>
            <w:tcBorders>
              <w:top w:val="single" w:sz="4" w:space="0" w:color="000000"/>
              <w:left w:val="single" w:sz="4" w:space="0" w:color="000000"/>
              <w:bottom w:val="single" w:sz="4" w:space="0" w:color="000000"/>
              <w:right w:val="single" w:sz="4" w:space="0" w:color="000000"/>
            </w:tcBorders>
          </w:tcPr>
          <w:p w14:paraId="44917437" w14:textId="77777777" w:rsidR="00736F4A" w:rsidRDefault="00100640">
            <w:pPr>
              <w:spacing w:line="240" w:lineRule="auto"/>
              <w:ind w:right="1"/>
              <w:rPr>
                <w:lang w:val="hu-HU"/>
              </w:rPr>
            </w:pPr>
            <w:r>
              <w:rPr>
                <w:lang w:val="hu-HU"/>
              </w:rPr>
              <w:t>0,91 (0,68, 1,20)</w:t>
            </w:r>
          </w:p>
        </w:tc>
        <w:tc>
          <w:tcPr>
            <w:tcW w:w="3137" w:type="dxa"/>
            <w:tcBorders>
              <w:top w:val="single" w:sz="4" w:space="0" w:color="000000"/>
              <w:left w:val="single" w:sz="4" w:space="0" w:color="000000"/>
              <w:bottom w:val="single" w:sz="4" w:space="0" w:color="000000"/>
              <w:right w:val="single" w:sz="4" w:space="0" w:color="000000"/>
            </w:tcBorders>
          </w:tcPr>
          <w:p w14:paraId="1B244663" w14:textId="77777777" w:rsidR="00736F4A" w:rsidRDefault="00100640">
            <w:pPr>
              <w:spacing w:line="240" w:lineRule="auto"/>
              <w:ind w:left="2"/>
              <w:rPr>
                <w:lang w:val="hu-HU"/>
              </w:rPr>
            </w:pPr>
            <w:r>
              <w:rPr>
                <w:lang w:val="hu-HU"/>
              </w:rPr>
              <w:t>0,65 (0,47, 0,88)</w:t>
            </w:r>
          </w:p>
        </w:tc>
      </w:tr>
      <w:tr w:rsidR="00736F4A" w14:paraId="74E46839"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5DE7E157" w14:textId="77777777" w:rsidR="00736F4A" w:rsidRDefault="00100640">
            <w:pPr>
              <w:spacing w:line="240" w:lineRule="auto"/>
              <w:rPr>
                <w:lang w:val="hu-HU"/>
              </w:rPr>
            </w:pPr>
            <w:r>
              <w:rPr>
                <w:lang w:val="hu-HU"/>
              </w:rPr>
              <w:t>≥ 80</w:t>
            </w:r>
          </w:p>
        </w:tc>
        <w:tc>
          <w:tcPr>
            <w:tcW w:w="3134" w:type="dxa"/>
            <w:tcBorders>
              <w:top w:val="single" w:sz="4" w:space="0" w:color="000000"/>
              <w:left w:val="single" w:sz="4" w:space="0" w:color="000000"/>
              <w:bottom w:val="single" w:sz="4" w:space="0" w:color="000000"/>
              <w:right w:val="single" w:sz="4" w:space="0" w:color="000000"/>
            </w:tcBorders>
          </w:tcPr>
          <w:p w14:paraId="23BCA34B" w14:textId="77777777" w:rsidR="00736F4A" w:rsidRDefault="00100640">
            <w:pPr>
              <w:spacing w:line="240" w:lineRule="auto"/>
              <w:ind w:right="1"/>
              <w:rPr>
                <w:lang w:val="hu-HU"/>
              </w:rPr>
            </w:pPr>
            <w:r>
              <w:rPr>
                <w:lang w:val="hu-HU"/>
              </w:rPr>
              <w:t>0,81 (0,51, 1,28)</w:t>
            </w:r>
          </w:p>
        </w:tc>
        <w:tc>
          <w:tcPr>
            <w:tcW w:w="3137" w:type="dxa"/>
            <w:tcBorders>
              <w:top w:val="single" w:sz="4" w:space="0" w:color="000000"/>
              <w:left w:val="single" w:sz="4" w:space="0" w:color="000000"/>
              <w:bottom w:val="single" w:sz="4" w:space="0" w:color="000000"/>
              <w:right w:val="single" w:sz="4" w:space="0" w:color="000000"/>
            </w:tcBorders>
          </w:tcPr>
          <w:p w14:paraId="16D1422D" w14:textId="77777777" w:rsidR="00736F4A" w:rsidRDefault="00100640">
            <w:pPr>
              <w:spacing w:line="240" w:lineRule="auto"/>
              <w:ind w:left="2"/>
              <w:rPr>
                <w:lang w:val="hu-HU"/>
              </w:rPr>
            </w:pPr>
            <w:r>
              <w:rPr>
                <w:lang w:val="hu-HU"/>
              </w:rPr>
              <w:t>0,69 (0,43, 1,12)</w:t>
            </w:r>
          </w:p>
        </w:tc>
      </w:tr>
    </w:tbl>
    <w:p w14:paraId="797F5587" w14:textId="77777777" w:rsidR="00736F4A" w:rsidRDefault="00736F4A">
      <w:pPr>
        <w:spacing w:line="240" w:lineRule="auto"/>
        <w:rPr>
          <w:lang w:val="hu-HU"/>
        </w:rPr>
      </w:pPr>
    </w:p>
    <w:p w14:paraId="250121F1" w14:textId="77777777" w:rsidR="00736F4A" w:rsidRDefault="00100640">
      <w:pPr>
        <w:spacing w:line="240" w:lineRule="auto"/>
        <w:ind w:left="7" w:right="9"/>
      </w:pPr>
      <w:r>
        <w:t>A jelentős vérzés primer biztonsági végpontja esetében interakció volt a kezelési hatás és az életkor között. A vérzés relatív kockázata dabigatrán esetében a warfarinhoz viszonyítva nőtt az életkorral. A relatív kockázat a 75 év feletti betegeknél volt a legnagyobb. Mind a dabigatrán-etexilát, mind a warfarin thrombocyta-aggregáció-gátlókkal (ASA vagy klopidogrel) történő egyidejű adása körülbelül megkétszerezte a major vérzések arányát. Nem volt szignifikáns interakció a kezelési hatások és a veseműködés és CHADS</w:t>
      </w:r>
      <w:r>
        <w:rPr>
          <w:vertAlign w:val="subscript"/>
        </w:rPr>
        <w:t>2</w:t>
      </w:r>
      <w:r>
        <w:t xml:space="preserve"> pontszám alapján létrehozott alcsoportok között.</w:t>
      </w:r>
    </w:p>
    <w:p w14:paraId="377FE4CE" w14:textId="77777777" w:rsidR="00736F4A" w:rsidRDefault="00736F4A">
      <w:pPr>
        <w:spacing w:line="240" w:lineRule="auto"/>
        <w:rPr>
          <w:lang w:val="hu-HU"/>
        </w:rPr>
      </w:pPr>
    </w:p>
    <w:p w14:paraId="40798CE6" w14:textId="77777777" w:rsidR="00736F4A" w:rsidRDefault="00100640">
      <w:pPr>
        <w:tabs>
          <w:tab w:val="center" w:pos="4249"/>
        </w:tabs>
        <w:spacing w:line="240" w:lineRule="auto"/>
        <w:ind w:left="-3"/>
        <w:rPr>
          <w:b/>
        </w:rPr>
      </w:pPr>
      <w:r>
        <w:rPr>
          <w:b/>
        </w:rPr>
        <w:t>21. táblázat. Jelentős vérzés relatív hazárd és 95%-os CI alcsoportok szerint</w:t>
      </w:r>
    </w:p>
    <w:p w14:paraId="121F3A22" w14:textId="77777777" w:rsidR="00736F4A" w:rsidRDefault="00736F4A">
      <w:pPr>
        <w:spacing w:line="240" w:lineRule="auto"/>
        <w:rPr>
          <w:lang w:val="hu-HU"/>
        </w:rPr>
      </w:pPr>
    </w:p>
    <w:tbl>
      <w:tblPr>
        <w:tblW w:w="9072" w:type="dxa"/>
        <w:tblInd w:w="-2" w:type="dxa"/>
        <w:tblCellMar>
          <w:top w:w="19" w:type="dxa"/>
          <w:left w:w="5" w:type="dxa"/>
          <w:right w:w="5" w:type="dxa"/>
        </w:tblCellMar>
        <w:tblLook w:val="04A0" w:firstRow="1" w:lastRow="0" w:firstColumn="1" w:lastColumn="0" w:noHBand="0" w:noVBand="1"/>
      </w:tblPr>
      <w:tblGrid>
        <w:gridCol w:w="2801"/>
        <w:gridCol w:w="3134"/>
        <w:gridCol w:w="3137"/>
      </w:tblGrid>
      <w:tr w:rsidR="00736F4A" w14:paraId="1301215F" w14:textId="77777777">
        <w:trPr>
          <w:trHeight w:val="516"/>
        </w:trPr>
        <w:tc>
          <w:tcPr>
            <w:tcW w:w="2801" w:type="dxa"/>
            <w:tcBorders>
              <w:top w:val="single" w:sz="4" w:space="0" w:color="000000"/>
              <w:left w:val="single" w:sz="4" w:space="0" w:color="000000"/>
              <w:bottom w:val="single" w:sz="4" w:space="0" w:color="000000"/>
              <w:right w:val="single" w:sz="4" w:space="0" w:color="000000"/>
            </w:tcBorders>
          </w:tcPr>
          <w:p w14:paraId="5305F761" w14:textId="77777777" w:rsidR="00736F4A" w:rsidRDefault="00100640">
            <w:pPr>
              <w:spacing w:line="240" w:lineRule="auto"/>
              <w:ind w:left="103"/>
              <w:rPr>
                <w:lang w:val="hu-HU"/>
              </w:rPr>
            </w:pPr>
            <w:r>
              <w:rPr>
                <w:lang w:val="hu-HU"/>
              </w:rPr>
              <w:t>Végpont</w:t>
            </w:r>
          </w:p>
        </w:tc>
        <w:tc>
          <w:tcPr>
            <w:tcW w:w="3134" w:type="dxa"/>
            <w:tcBorders>
              <w:top w:val="single" w:sz="4" w:space="0" w:color="000000"/>
              <w:left w:val="single" w:sz="4" w:space="0" w:color="000000"/>
              <w:bottom w:val="single" w:sz="4" w:space="0" w:color="000000"/>
              <w:right w:val="single" w:sz="4" w:space="0" w:color="000000"/>
            </w:tcBorders>
          </w:tcPr>
          <w:p w14:paraId="26F01397" w14:textId="77777777" w:rsidR="00736F4A" w:rsidRDefault="00100640">
            <w:pPr>
              <w:spacing w:line="240" w:lineRule="auto"/>
              <w:ind w:left="103"/>
              <w:rPr>
                <w:lang w:val="hu-HU"/>
              </w:rPr>
            </w:pPr>
            <w:r>
              <w:rPr>
                <w:lang w:val="hu-HU"/>
              </w:rPr>
              <w:t>Dabigatrán-etexilát</w:t>
            </w:r>
          </w:p>
          <w:p w14:paraId="632C490B" w14:textId="77777777" w:rsidR="00736F4A" w:rsidRDefault="00100640">
            <w:pPr>
              <w:spacing w:line="240" w:lineRule="auto"/>
              <w:ind w:left="103"/>
              <w:rPr>
                <w:lang w:val="hu-HU"/>
              </w:rPr>
            </w:pPr>
            <w:r>
              <w:rPr>
                <w:lang w:val="hu-HU"/>
              </w:rPr>
              <w:t>napi kétszer 110 mg vs. warfarin</w:t>
            </w:r>
          </w:p>
        </w:tc>
        <w:tc>
          <w:tcPr>
            <w:tcW w:w="3137" w:type="dxa"/>
            <w:tcBorders>
              <w:top w:val="single" w:sz="4" w:space="0" w:color="000000"/>
              <w:left w:val="single" w:sz="4" w:space="0" w:color="000000"/>
              <w:bottom w:val="single" w:sz="4" w:space="0" w:color="000000"/>
              <w:right w:val="single" w:sz="4" w:space="0" w:color="000000"/>
            </w:tcBorders>
          </w:tcPr>
          <w:p w14:paraId="34FB05E3" w14:textId="77777777" w:rsidR="00736F4A" w:rsidRDefault="00100640">
            <w:pPr>
              <w:spacing w:line="240" w:lineRule="auto"/>
              <w:ind w:left="106"/>
              <w:rPr>
                <w:lang w:val="hu-HU"/>
              </w:rPr>
            </w:pPr>
            <w:r>
              <w:rPr>
                <w:lang w:val="hu-HU"/>
              </w:rPr>
              <w:t>Dabigatrán-etexilát</w:t>
            </w:r>
          </w:p>
          <w:p w14:paraId="1D1D959B" w14:textId="77777777" w:rsidR="00736F4A" w:rsidRDefault="00100640">
            <w:pPr>
              <w:spacing w:line="240" w:lineRule="auto"/>
              <w:ind w:left="106"/>
              <w:rPr>
                <w:lang w:val="hu-HU"/>
              </w:rPr>
            </w:pPr>
            <w:r>
              <w:rPr>
                <w:lang w:val="hu-HU"/>
              </w:rPr>
              <w:t>napi kétszer 150 mg vs. warfarin</w:t>
            </w:r>
          </w:p>
        </w:tc>
      </w:tr>
      <w:tr w:rsidR="00736F4A" w14:paraId="1294E34F"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2D69E69F" w14:textId="77777777" w:rsidR="00736F4A" w:rsidRDefault="00100640">
            <w:pPr>
              <w:spacing w:line="240" w:lineRule="auto"/>
              <w:ind w:left="103"/>
              <w:rPr>
                <w:lang w:val="hu-HU"/>
              </w:rPr>
            </w:pPr>
            <w:r>
              <w:rPr>
                <w:lang w:val="hu-HU"/>
              </w:rPr>
              <w:t>Életkor (év)</w:t>
            </w:r>
          </w:p>
        </w:tc>
        <w:tc>
          <w:tcPr>
            <w:tcW w:w="3134" w:type="dxa"/>
            <w:tcBorders>
              <w:top w:val="single" w:sz="4" w:space="0" w:color="000000"/>
              <w:left w:val="single" w:sz="4" w:space="0" w:color="000000"/>
              <w:bottom w:val="single" w:sz="4" w:space="0" w:color="000000"/>
              <w:right w:val="single" w:sz="4" w:space="0" w:color="000000"/>
            </w:tcBorders>
          </w:tcPr>
          <w:p w14:paraId="52C12293" w14:textId="77777777" w:rsidR="00736F4A" w:rsidRDefault="00736F4A">
            <w:pPr>
              <w:spacing w:line="240" w:lineRule="auto"/>
              <w:rPr>
                <w:lang w:val="hu-HU"/>
              </w:rPr>
            </w:pPr>
          </w:p>
        </w:tc>
        <w:tc>
          <w:tcPr>
            <w:tcW w:w="3137" w:type="dxa"/>
            <w:tcBorders>
              <w:top w:val="single" w:sz="4" w:space="0" w:color="000000"/>
              <w:left w:val="single" w:sz="4" w:space="0" w:color="000000"/>
              <w:bottom w:val="single" w:sz="4" w:space="0" w:color="000000"/>
              <w:right w:val="single" w:sz="4" w:space="0" w:color="000000"/>
            </w:tcBorders>
          </w:tcPr>
          <w:p w14:paraId="56583FD0" w14:textId="77777777" w:rsidR="00736F4A" w:rsidRDefault="00736F4A">
            <w:pPr>
              <w:spacing w:line="240" w:lineRule="auto"/>
              <w:rPr>
                <w:lang w:val="hu-HU"/>
              </w:rPr>
            </w:pPr>
          </w:p>
        </w:tc>
      </w:tr>
      <w:tr w:rsidR="00736F4A" w14:paraId="5B1126A4"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74E111E2" w14:textId="77777777" w:rsidR="00736F4A" w:rsidRDefault="00100640">
            <w:pPr>
              <w:spacing w:line="240" w:lineRule="auto"/>
              <w:rPr>
                <w:lang w:val="hu-HU"/>
              </w:rPr>
            </w:pPr>
            <w:r>
              <w:rPr>
                <w:lang w:val="hu-HU"/>
              </w:rPr>
              <w:t>&lt;65</w:t>
            </w:r>
          </w:p>
        </w:tc>
        <w:tc>
          <w:tcPr>
            <w:tcW w:w="3134" w:type="dxa"/>
            <w:tcBorders>
              <w:top w:val="single" w:sz="4" w:space="0" w:color="000000"/>
              <w:left w:val="single" w:sz="4" w:space="0" w:color="000000"/>
              <w:bottom w:val="single" w:sz="4" w:space="0" w:color="000000"/>
              <w:right w:val="single" w:sz="4" w:space="0" w:color="000000"/>
            </w:tcBorders>
          </w:tcPr>
          <w:p w14:paraId="7977F02D" w14:textId="77777777" w:rsidR="00736F4A" w:rsidRDefault="00100640">
            <w:pPr>
              <w:spacing w:line="240" w:lineRule="auto"/>
              <w:ind w:left="4"/>
              <w:rPr>
                <w:lang w:val="hu-HU"/>
              </w:rPr>
            </w:pPr>
            <w:r>
              <w:rPr>
                <w:lang w:val="hu-HU"/>
              </w:rPr>
              <w:t>0,32 (0,18, 0,57)</w:t>
            </w:r>
          </w:p>
        </w:tc>
        <w:tc>
          <w:tcPr>
            <w:tcW w:w="3137" w:type="dxa"/>
            <w:tcBorders>
              <w:top w:val="single" w:sz="4" w:space="0" w:color="000000"/>
              <w:left w:val="single" w:sz="4" w:space="0" w:color="000000"/>
              <w:bottom w:val="single" w:sz="4" w:space="0" w:color="000000"/>
              <w:right w:val="single" w:sz="4" w:space="0" w:color="000000"/>
            </w:tcBorders>
          </w:tcPr>
          <w:p w14:paraId="0945EFE7" w14:textId="77777777" w:rsidR="00736F4A" w:rsidRDefault="00100640">
            <w:pPr>
              <w:spacing w:line="240" w:lineRule="auto"/>
              <w:ind w:left="6"/>
              <w:rPr>
                <w:lang w:val="hu-HU"/>
              </w:rPr>
            </w:pPr>
            <w:r>
              <w:rPr>
                <w:lang w:val="hu-HU"/>
              </w:rPr>
              <w:t>0,35 (0,20, 0,61)</w:t>
            </w:r>
          </w:p>
        </w:tc>
      </w:tr>
      <w:tr w:rsidR="00736F4A" w14:paraId="5CF0E539"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3C04447C" w14:textId="77777777" w:rsidR="00736F4A" w:rsidRDefault="00100640">
            <w:pPr>
              <w:spacing w:line="240" w:lineRule="auto"/>
              <w:rPr>
                <w:lang w:val="hu-HU"/>
              </w:rPr>
            </w:pPr>
            <w:r>
              <w:rPr>
                <w:lang w:val="hu-HU"/>
              </w:rPr>
              <w:t>65≤ és &lt;75</w:t>
            </w:r>
          </w:p>
        </w:tc>
        <w:tc>
          <w:tcPr>
            <w:tcW w:w="3134" w:type="dxa"/>
            <w:tcBorders>
              <w:top w:val="single" w:sz="4" w:space="0" w:color="000000"/>
              <w:left w:val="single" w:sz="4" w:space="0" w:color="000000"/>
              <w:bottom w:val="single" w:sz="4" w:space="0" w:color="000000"/>
              <w:right w:val="single" w:sz="4" w:space="0" w:color="000000"/>
            </w:tcBorders>
          </w:tcPr>
          <w:p w14:paraId="0AC419E6" w14:textId="77777777" w:rsidR="00736F4A" w:rsidRDefault="00100640">
            <w:pPr>
              <w:spacing w:line="240" w:lineRule="auto"/>
              <w:ind w:left="4"/>
              <w:rPr>
                <w:lang w:val="hu-HU"/>
              </w:rPr>
            </w:pPr>
            <w:r>
              <w:rPr>
                <w:lang w:val="hu-HU"/>
              </w:rPr>
              <w:t>0,71 (0,56, 0,89)</w:t>
            </w:r>
          </w:p>
        </w:tc>
        <w:tc>
          <w:tcPr>
            <w:tcW w:w="3137" w:type="dxa"/>
            <w:tcBorders>
              <w:top w:val="single" w:sz="4" w:space="0" w:color="000000"/>
              <w:left w:val="single" w:sz="4" w:space="0" w:color="000000"/>
              <w:bottom w:val="single" w:sz="4" w:space="0" w:color="000000"/>
              <w:right w:val="single" w:sz="4" w:space="0" w:color="000000"/>
            </w:tcBorders>
          </w:tcPr>
          <w:p w14:paraId="20223FA8" w14:textId="77777777" w:rsidR="00736F4A" w:rsidRDefault="00100640">
            <w:pPr>
              <w:spacing w:line="240" w:lineRule="auto"/>
              <w:ind w:left="6"/>
              <w:rPr>
                <w:lang w:val="hu-HU"/>
              </w:rPr>
            </w:pPr>
            <w:r>
              <w:rPr>
                <w:lang w:val="hu-HU"/>
              </w:rPr>
              <w:t>0,82 (0,66, 1,03)</w:t>
            </w:r>
          </w:p>
        </w:tc>
      </w:tr>
      <w:tr w:rsidR="00736F4A" w14:paraId="6787CDE0" w14:textId="77777777">
        <w:trPr>
          <w:trHeight w:val="264"/>
        </w:trPr>
        <w:tc>
          <w:tcPr>
            <w:tcW w:w="0" w:type="auto"/>
            <w:tcBorders>
              <w:top w:val="single" w:sz="4" w:space="0" w:color="auto"/>
              <w:left w:val="single" w:sz="4" w:space="0" w:color="000000"/>
              <w:bottom w:val="single" w:sz="4" w:space="0" w:color="000000"/>
              <w:right w:val="single" w:sz="4" w:space="0" w:color="000000"/>
            </w:tcBorders>
          </w:tcPr>
          <w:p w14:paraId="2096A9B4" w14:textId="77777777" w:rsidR="00736F4A" w:rsidRDefault="00100640">
            <w:pPr>
              <w:spacing w:line="240" w:lineRule="auto"/>
              <w:rPr>
                <w:lang w:val="hu-HU"/>
              </w:rPr>
            </w:pPr>
            <w:r>
              <w:rPr>
                <w:lang w:val="hu-HU"/>
              </w:rPr>
              <w:t>≥75</w:t>
            </w:r>
          </w:p>
        </w:tc>
        <w:tc>
          <w:tcPr>
            <w:tcW w:w="3134" w:type="dxa"/>
            <w:tcBorders>
              <w:top w:val="single" w:sz="4" w:space="0" w:color="000000"/>
              <w:left w:val="single" w:sz="4" w:space="0" w:color="000000"/>
              <w:bottom w:val="single" w:sz="4" w:space="0" w:color="000000"/>
              <w:right w:val="single" w:sz="4" w:space="0" w:color="000000"/>
            </w:tcBorders>
          </w:tcPr>
          <w:p w14:paraId="4EF92ABE" w14:textId="77777777" w:rsidR="00736F4A" w:rsidRDefault="00100640">
            <w:pPr>
              <w:spacing w:line="240" w:lineRule="auto"/>
              <w:ind w:left="4"/>
              <w:rPr>
                <w:lang w:val="hu-HU"/>
              </w:rPr>
            </w:pPr>
            <w:r>
              <w:rPr>
                <w:lang w:val="hu-HU"/>
              </w:rPr>
              <w:t>1,01 (0,84, 1,23)</w:t>
            </w:r>
          </w:p>
        </w:tc>
        <w:tc>
          <w:tcPr>
            <w:tcW w:w="3137" w:type="dxa"/>
            <w:tcBorders>
              <w:top w:val="single" w:sz="4" w:space="0" w:color="000000"/>
              <w:left w:val="single" w:sz="4" w:space="0" w:color="000000"/>
              <w:bottom w:val="single" w:sz="4" w:space="0" w:color="000000"/>
              <w:right w:val="single" w:sz="4" w:space="0" w:color="000000"/>
            </w:tcBorders>
          </w:tcPr>
          <w:p w14:paraId="47E99862" w14:textId="77777777" w:rsidR="00736F4A" w:rsidRDefault="00100640">
            <w:pPr>
              <w:spacing w:line="240" w:lineRule="auto"/>
              <w:ind w:left="6"/>
              <w:rPr>
                <w:lang w:val="hu-HU"/>
              </w:rPr>
            </w:pPr>
            <w:r>
              <w:rPr>
                <w:lang w:val="hu-HU"/>
              </w:rPr>
              <w:t>1,19 (0,99, 1,43)</w:t>
            </w:r>
          </w:p>
        </w:tc>
      </w:tr>
      <w:tr w:rsidR="00736F4A" w14:paraId="0FE95A35"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5FF20841" w14:textId="77777777" w:rsidR="00736F4A" w:rsidRDefault="00100640">
            <w:pPr>
              <w:spacing w:line="240" w:lineRule="auto"/>
              <w:ind w:left="2"/>
              <w:rPr>
                <w:lang w:val="hu-HU"/>
              </w:rPr>
            </w:pPr>
            <w:r>
              <w:rPr>
                <w:lang w:val="hu-HU"/>
              </w:rPr>
              <w:t>≥ 80</w:t>
            </w:r>
          </w:p>
        </w:tc>
        <w:tc>
          <w:tcPr>
            <w:tcW w:w="3134" w:type="dxa"/>
            <w:tcBorders>
              <w:top w:val="single" w:sz="4" w:space="0" w:color="000000"/>
              <w:left w:val="single" w:sz="4" w:space="0" w:color="000000"/>
              <w:bottom w:val="single" w:sz="4" w:space="0" w:color="000000"/>
              <w:right w:val="single" w:sz="4" w:space="0" w:color="000000"/>
            </w:tcBorders>
          </w:tcPr>
          <w:p w14:paraId="63338572" w14:textId="77777777" w:rsidR="00736F4A" w:rsidRDefault="00100640">
            <w:pPr>
              <w:spacing w:line="240" w:lineRule="auto"/>
              <w:ind w:left="4"/>
              <w:rPr>
                <w:lang w:val="hu-HU"/>
              </w:rPr>
            </w:pPr>
            <w:r>
              <w:rPr>
                <w:lang w:val="hu-HU"/>
              </w:rPr>
              <w:t>1,14 (0,86, 1,51)</w:t>
            </w:r>
          </w:p>
        </w:tc>
        <w:tc>
          <w:tcPr>
            <w:tcW w:w="3137" w:type="dxa"/>
            <w:tcBorders>
              <w:top w:val="single" w:sz="4" w:space="0" w:color="000000"/>
              <w:left w:val="single" w:sz="4" w:space="0" w:color="000000"/>
              <w:bottom w:val="single" w:sz="4" w:space="0" w:color="000000"/>
              <w:right w:val="single" w:sz="4" w:space="0" w:color="000000"/>
            </w:tcBorders>
          </w:tcPr>
          <w:p w14:paraId="4A934C77" w14:textId="77777777" w:rsidR="00736F4A" w:rsidRDefault="00100640">
            <w:pPr>
              <w:spacing w:line="240" w:lineRule="auto"/>
              <w:ind w:left="6"/>
              <w:rPr>
                <w:lang w:val="hu-HU"/>
              </w:rPr>
            </w:pPr>
            <w:r>
              <w:rPr>
                <w:lang w:val="hu-HU"/>
              </w:rPr>
              <w:t>1,35 (1,03, 1,76)</w:t>
            </w:r>
          </w:p>
        </w:tc>
      </w:tr>
      <w:tr w:rsidR="00736F4A" w14:paraId="5128C714"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06366917" w14:textId="77777777" w:rsidR="00736F4A" w:rsidRDefault="00100640">
            <w:pPr>
              <w:spacing w:line="240" w:lineRule="auto"/>
              <w:ind w:left="103"/>
              <w:rPr>
                <w:lang w:val="hu-HU"/>
              </w:rPr>
            </w:pPr>
            <w:r>
              <w:rPr>
                <w:lang w:val="hu-HU"/>
              </w:rPr>
              <w:t>CrCl (ml/perc)</w:t>
            </w:r>
          </w:p>
        </w:tc>
        <w:tc>
          <w:tcPr>
            <w:tcW w:w="3134" w:type="dxa"/>
            <w:tcBorders>
              <w:top w:val="single" w:sz="4" w:space="0" w:color="000000"/>
              <w:left w:val="single" w:sz="4" w:space="0" w:color="000000"/>
              <w:bottom w:val="single" w:sz="4" w:space="0" w:color="000000"/>
              <w:right w:val="single" w:sz="4" w:space="0" w:color="000000"/>
            </w:tcBorders>
          </w:tcPr>
          <w:p w14:paraId="706A55EB" w14:textId="77777777" w:rsidR="00736F4A" w:rsidRDefault="00736F4A">
            <w:pPr>
              <w:spacing w:line="240" w:lineRule="auto"/>
              <w:rPr>
                <w:lang w:val="hu-HU"/>
              </w:rPr>
            </w:pPr>
          </w:p>
        </w:tc>
        <w:tc>
          <w:tcPr>
            <w:tcW w:w="3137" w:type="dxa"/>
            <w:tcBorders>
              <w:top w:val="single" w:sz="4" w:space="0" w:color="000000"/>
              <w:left w:val="single" w:sz="4" w:space="0" w:color="000000"/>
              <w:bottom w:val="single" w:sz="4" w:space="0" w:color="000000"/>
              <w:right w:val="single" w:sz="4" w:space="0" w:color="000000"/>
            </w:tcBorders>
          </w:tcPr>
          <w:p w14:paraId="3A6F0BE9" w14:textId="77777777" w:rsidR="00736F4A" w:rsidRDefault="00736F4A">
            <w:pPr>
              <w:spacing w:line="240" w:lineRule="auto"/>
              <w:rPr>
                <w:lang w:val="hu-HU"/>
              </w:rPr>
            </w:pPr>
          </w:p>
        </w:tc>
      </w:tr>
      <w:tr w:rsidR="00736F4A" w14:paraId="54EB2CA5"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246A3783" w14:textId="77777777" w:rsidR="00736F4A" w:rsidRDefault="00100640">
            <w:pPr>
              <w:spacing w:line="240" w:lineRule="auto"/>
              <w:rPr>
                <w:lang w:val="hu-HU"/>
              </w:rPr>
            </w:pPr>
            <w:r>
              <w:rPr>
                <w:lang w:val="hu-HU"/>
              </w:rPr>
              <w:t>30≤ és &lt;50</w:t>
            </w:r>
          </w:p>
        </w:tc>
        <w:tc>
          <w:tcPr>
            <w:tcW w:w="3134" w:type="dxa"/>
            <w:tcBorders>
              <w:top w:val="single" w:sz="4" w:space="0" w:color="000000"/>
              <w:left w:val="single" w:sz="4" w:space="0" w:color="000000"/>
              <w:bottom w:val="single" w:sz="4" w:space="0" w:color="000000"/>
              <w:right w:val="single" w:sz="4" w:space="0" w:color="000000"/>
            </w:tcBorders>
          </w:tcPr>
          <w:p w14:paraId="19E06FFD" w14:textId="77777777" w:rsidR="00736F4A" w:rsidRDefault="00100640">
            <w:pPr>
              <w:spacing w:line="240" w:lineRule="auto"/>
              <w:ind w:left="4"/>
              <w:rPr>
                <w:lang w:val="hu-HU"/>
              </w:rPr>
            </w:pPr>
            <w:r>
              <w:rPr>
                <w:lang w:val="hu-HU"/>
              </w:rPr>
              <w:t>1,02 (0,79, 1,32)</w:t>
            </w:r>
          </w:p>
        </w:tc>
        <w:tc>
          <w:tcPr>
            <w:tcW w:w="3137" w:type="dxa"/>
            <w:tcBorders>
              <w:top w:val="single" w:sz="4" w:space="0" w:color="000000"/>
              <w:left w:val="single" w:sz="4" w:space="0" w:color="000000"/>
              <w:bottom w:val="single" w:sz="4" w:space="0" w:color="000000"/>
              <w:right w:val="single" w:sz="4" w:space="0" w:color="000000"/>
            </w:tcBorders>
          </w:tcPr>
          <w:p w14:paraId="5234F6C1" w14:textId="77777777" w:rsidR="00736F4A" w:rsidRDefault="00100640">
            <w:pPr>
              <w:spacing w:line="240" w:lineRule="auto"/>
              <w:ind w:left="6"/>
              <w:rPr>
                <w:lang w:val="hu-HU"/>
              </w:rPr>
            </w:pPr>
            <w:r>
              <w:rPr>
                <w:lang w:val="hu-HU"/>
              </w:rPr>
              <w:t>0,94 (0,73, 1,22)</w:t>
            </w:r>
          </w:p>
        </w:tc>
      </w:tr>
      <w:tr w:rsidR="00736F4A" w14:paraId="69256BB4"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5D1C8A4F" w14:textId="77777777" w:rsidR="00736F4A" w:rsidRDefault="00100640">
            <w:pPr>
              <w:spacing w:line="240" w:lineRule="auto"/>
              <w:rPr>
                <w:lang w:val="hu-HU"/>
              </w:rPr>
            </w:pPr>
            <w:r>
              <w:rPr>
                <w:lang w:val="hu-HU"/>
              </w:rPr>
              <w:t>50≤ és &lt;80</w:t>
            </w:r>
          </w:p>
        </w:tc>
        <w:tc>
          <w:tcPr>
            <w:tcW w:w="3134" w:type="dxa"/>
            <w:tcBorders>
              <w:top w:val="single" w:sz="4" w:space="0" w:color="000000"/>
              <w:left w:val="single" w:sz="4" w:space="0" w:color="000000"/>
              <w:bottom w:val="single" w:sz="4" w:space="0" w:color="000000"/>
              <w:right w:val="single" w:sz="4" w:space="0" w:color="000000"/>
            </w:tcBorders>
          </w:tcPr>
          <w:p w14:paraId="2AF2E6C5" w14:textId="77777777" w:rsidR="00736F4A" w:rsidRDefault="00100640">
            <w:pPr>
              <w:spacing w:line="240" w:lineRule="auto"/>
              <w:ind w:left="4"/>
              <w:rPr>
                <w:lang w:val="hu-HU"/>
              </w:rPr>
            </w:pPr>
            <w:r>
              <w:rPr>
                <w:lang w:val="hu-HU"/>
              </w:rPr>
              <w:t>0,75 (0,61, 0,92)</w:t>
            </w:r>
          </w:p>
        </w:tc>
        <w:tc>
          <w:tcPr>
            <w:tcW w:w="3137" w:type="dxa"/>
            <w:tcBorders>
              <w:top w:val="single" w:sz="4" w:space="0" w:color="000000"/>
              <w:left w:val="single" w:sz="4" w:space="0" w:color="000000"/>
              <w:bottom w:val="single" w:sz="4" w:space="0" w:color="000000"/>
              <w:right w:val="single" w:sz="4" w:space="0" w:color="000000"/>
            </w:tcBorders>
          </w:tcPr>
          <w:p w14:paraId="438BE6E3" w14:textId="77777777" w:rsidR="00736F4A" w:rsidRDefault="00100640">
            <w:pPr>
              <w:spacing w:line="240" w:lineRule="auto"/>
              <w:ind w:left="6"/>
              <w:rPr>
                <w:lang w:val="hu-HU"/>
              </w:rPr>
            </w:pPr>
            <w:r>
              <w:rPr>
                <w:lang w:val="hu-HU"/>
              </w:rPr>
              <w:t>0,90 (0,74, 1,09)</w:t>
            </w:r>
          </w:p>
        </w:tc>
      </w:tr>
      <w:tr w:rsidR="00736F4A" w14:paraId="522E616D" w14:textId="77777777">
        <w:trPr>
          <w:trHeight w:val="262"/>
        </w:trPr>
        <w:tc>
          <w:tcPr>
            <w:tcW w:w="0" w:type="auto"/>
            <w:tcBorders>
              <w:top w:val="single" w:sz="4" w:space="0" w:color="auto"/>
              <w:left w:val="single" w:sz="4" w:space="0" w:color="000000"/>
              <w:bottom w:val="single" w:sz="4" w:space="0" w:color="000000"/>
              <w:right w:val="single" w:sz="4" w:space="0" w:color="000000"/>
            </w:tcBorders>
          </w:tcPr>
          <w:p w14:paraId="5BA1BF0B" w14:textId="77777777" w:rsidR="00736F4A" w:rsidRDefault="00100640">
            <w:pPr>
              <w:spacing w:line="240" w:lineRule="auto"/>
              <w:rPr>
                <w:lang w:val="hu-HU"/>
              </w:rPr>
            </w:pPr>
            <w:r>
              <w:rPr>
                <w:lang w:val="hu-HU"/>
              </w:rPr>
              <w:t>≥80</w:t>
            </w:r>
          </w:p>
        </w:tc>
        <w:tc>
          <w:tcPr>
            <w:tcW w:w="3134" w:type="dxa"/>
            <w:tcBorders>
              <w:top w:val="single" w:sz="4" w:space="0" w:color="000000"/>
              <w:left w:val="single" w:sz="4" w:space="0" w:color="000000"/>
              <w:bottom w:val="single" w:sz="4" w:space="0" w:color="000000"/>
              <w:right w:val="single" w:sz="4" w:space="0" w:color="000000"/>
            </w:tcBorders>
          </w:tcPr>
          <w:p w14:paraId="672ADCFD" w14:textId="77777777" w:rsidR="00736F4A" w:rsidRDefault="00100640">
            <w:pPr>
              <w:spacing w:line="240" w:lineRule="auto"/>
              <w:ind w:left="4"/>
              <w:rPr>
                <w:lang w:val="hu-HU"/>
              </w:rPr>
            </w:pPr>
            <w:r>
              <w:rPr>
                <w:lang w:val="hu-HU"/>
              </w:rPr>
              <w:t>0,59 (0,43, 0,82)</w:t>
            </w:r>
          </w:p>
        </w:tc>
        <w:tc>
          <w:tcPr>
            <w:tcW w:w="3137" w:type="dxa"/>
            <w:tcBorders>
              <w:top w:val="single" w:sz="4" w:space="0" w:color="000000"/>
              <w:left w:val="single" w:sz="4" w:space="0" w:color="000000"/>
              <w:bottom w:val="single" w:sz="4" w:space="0" w:color="000000"/>
              <w:right w:val="single" w:sz="4" w:space="0" w:color="000000"/>
            </w:tcBorders>
          </w:tcPr>
          <w:p w14:paraId="726CC780" w14:textId="77777777" w:rsidR="00736F4A" w:rsidRDefault="00100640">
            <w:pPr>
              <w:spacing w:line="240" w:lineRule="auto"/>
              <w:ind w:left="4"/>
              <w:rPr>
                <w:lang w:val="hu-HU"/>
              </w:rPr>
            </w:pPr>
            <w:r>
              <w:rPr>
                <w:lang w:val="hu-HU"/>
              </w:rPr>
              <w:t>0,87(0,65, 1,17)</w:t>
            </w:r>
          </w:p>
        </w:tc>
      </w:tr>
      <w:tr w:rsidR="00736F4A" w14:paraId="7B78D35F"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585C6A0A" w14:textId="77777777" w:rsidR="00736F4A" w:rsidRDefault="00100640">
            <w:pPr>
              <w:spacing w:line="240" w:lineRule="auto"/>
              <w:ind w:left="2"/>
              <w:rPr>
                <w:lang w:val="hu-HU"/>
              </w:rPr>
            </w:pPr>
            <w:r>
              <w:rPr>
                <w:lang w:val="hu-HU"/>
              </w:rPr>
              <w:t>ASA-kezelés</w:t>
            </w:r>
          </w:p>
        </w:tc>
        <w:tc>
          <w:tcPr>
            <w:tcW w:w="3134" w:type="dxa"/>
            <w:tcBorders>
              <w:top w:val="single" w:sz="4" w:space="0" w:color="000000"/>
              <w:left w:val="single" w:sz="4" w:space="0" w:color="000000"/>
              <w:bottom w:val="single" w:sz="4" w:space="0" w:color="000000"/>
              <w:right w:val="single" w:sz="4" w:space="0" w:color="000000"/>
            </w:tcBorders>
          </w:tcPr>
          <w:p w14:paraId="6C5CDA7F" w14:textId="77777777" w:rsidR="00736F4A" w:rsidRDefault="00100640">
            <w:pPr>
              <w:spacing w:line="240" w:lineRule="auto"/>
              <w:ind w:left="4"/>
              <w:rPr>
                <w:lang w:val="hu-HU"/>
              </w:rPr>
            </w:pPr>
            <w:r>
              <w:rPr>
                <w:lang w:val="hu-HU"/>
              </w:rPr>
              <w:t>0,84 (0,69, 1,03)</w:t>
            </w:r>
          </w:p>
        </w:tc>
        <w:tc>
          <w:tcPr>
            <w:tcW w:w="3137" w:type="dxa"/>
            <w:tcBorders>
              <w:top w:val="single" w:sz="4" w:space="0" w:color="000000"/>
              <w:left w:val="single" w:sz="4" w:space="0" w:color="000000"/>
              <w:bottom w:val="single" w:sz="4" w:space="0" w:color="000000"/>
              <w:right w:val="single" w:sz="4" w:space="0" w:color="000000"/>
            </w:tcBorders>
          </w:tcPr>
          <w:p w14:paraId="4137244F" w14:textId="77777777" w:rsidR="00736F4A" w:rsidRDefault="00100640">
            <w:pPr>
              <w:spacing w:line="240" w:lineRule="auto"/>
              <w:ind w:left="6"/>
              <w:rPr>
                <w:lang w:val="hu-HU"/>
              </w:rPr>
            </w:pPr>
            <w:r>
              <w:rPr>
                <w:lang w:val="hu-HU"/>
              </w:rPr>
              <w:t>0,97 (0,79, 1,18)</w:t>
            </w:r>
          </w:p>
        </w:tc>
      </w:tr>
      <w:tr w:rsidR="00736F4A" w14:paraId="6BA6DC6C"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6551DA32" w14:textId="77777777" w:rsidR="00736F4A" w:rsidRDefault="00100640">
            <w:pPr>
              <w:spacing w:line="240" w:lineRule="auto"/>
              <w:ind w:left="2"/>
              <w:rPr>
                <w:lang w:val="hu-HU"/>
              </w:rPr>
            </w:pPr>
            <w:r>
              <w:rPr>
                <w:lang w:val="hu-HU"/>
              </w:rPr>
              <w:t>Klopidogrel-kezelés</w:t>
            </w:r>
          </w:p>
        </w:tc>
        <w:tc>
          <w:tcPr>
            <w:tcW w:w="3134" w:type="dxa"/>
            <w:tcBorders>
              <w:top w:val="single" w:sz="4" w:space="0" w:color="000000"/>
              <w:left w:val="single" w:sz="4" w:space="0" w:color="000000"/>
              <w:bottom w:val="single" w:sz="4" w:space="0" w:color="000000"/>
              <w:right w:val="single" w:sz="4" w:space="0" w:color="000000"/>
            </w:tcBorders>
          </w:tcPr>
          <w:p w14:paraId="102CA594" w14:textId="77777777" w:rsidR="00736F4A" w:rsidRDefault="00100640">
            <w:pPr>
              <w:spacing w:line="240" w:lineRule="auto"/>
              <w:ind w:left="4"/>
              <w:rPr>
                <w:lang w:val="hu-HU"/>
              </w:rPr>
            </w:pPr>
            <w:r>
              <w:rPr>
                <w:lang w:val="hu-HU"/>
              </w:rPr>
              <w:t>0,89 (0,55, 1,45)</w:t>
            </w:r>
          </w:p>
        </w:tc>
        <w:tc>
          <w:tcPr>
            <w:tcW w:w="3137" w:type="dxa"/>
            <w:tcBorders>
              <w:top w:val="single" w:sz="4" w:space="0" w:color="000000"/>
              <w:left w:val="single" w:sz="4" w:space="0" w:color="000000"/>
              <w:bottom w:val="single" w:sz="4" w:space="0" w:color="000000"/>
              <w:right w:val="single" w:sz="4" w:space="0" w:color="000000"/>
            </w:tcBorders>
          </w:tcPr>
          <w:p w14:paraId="1BD8EA72" w14:textId="77777777" w:rsidR="00736F4A" w:rsidRDefault="00100640">
            <w:pPr>
              <w:spacing w:line="240" w:lineRule="auto"/>
              <w:ind w:left="7"/>
              <w:rPr>
                <w:lang w:val="hu-HU"/>
              </w:rPr>
            </w:pPr>
            <w:r>
              <w:rPr>
                <w:lang w:val="hu-HU"/>
              </w:rPr>
              <w:t>0,92 (0,57, 1,48)</w:t>
            </w:r>
          </w:p>
        </w:tc>
      </w:tr>
    </w:tbl>
    <w:p w14:paraId="7B63003C" w14:textId="77777777" w:rsidR="00736F4A" w:rsidRDefault="00736F4A">
      <w:pPr>
        <w:spacing w:line="240" w:lineRule="auto"/>
        <w:rPr>
          <w:lang w:val="hu-HU"/>
        </w:rPr>
      </w:pPr>
    </w:p>
    <w:p w14:paraId="200CF84F" w14:textId="77777777" w:rsidR="00736F4A" w:rsidRDefault="00100640">
      <w:pPr>
        <w:spacing w:line="240" w:lineRule="auto"/>
        <w:ind w:left="7"/>
        <w:rPr>
          <w:i/>
        </w:rPr>
      </w:pPr>
      <w:r>
        <w:rPr>
          <w:i/>
        </w:rPr>
        <w:t>RELY-ABLE (a RE-LY vizsgálatot befejező, dabigatránnal kezelt pitvarfibrilláló betegek hosszú távú multicentrikus kiterjesztett vizsgálata)</w:t>
      </w:r>
    </w:p>
    <w:p w14:paraId="2C9EA194" w14:textId="77777777" w:rsidR="00736F4A" w:rsidRDefault="00736F4A">
      <w:pPr>
        <w:spacing w:line="240" w:lineRule="auto"/>
        <w:ind w:left="7"/>
        <w:rPr>
          <w:iCs/>
        </w:rPr>
      </w:pPr>
    </w:p>
    <w:p w14:paraId="5CA96B0D" w14:textId="77777777" w:rsidR="00736F4A" w:rsidRDefault="00100640">
      <w:pPr>
        <w:spacing w:line="240" w:lineRule="auto"/>
        <w:ind w:left="7" w:right="9"/>
      </w:pPr>
      <w:r>
        <w:t xml:space="preserve">A RE-LY kiterjesztett vizsgálata (a RELY-ABLE) további biztonságossági információt szolgáltatott a betegek egy csoportjáról, akik a RE-LY vizsgálatban alkalmazott dózisban folytatták tovább a dabigatrán-etexilát szedését. A betegek akkor kerülhettek a RELY-ABLE vizsgálatba, ha nem hagyták abba végleg a vizsgálati gyógyszer szedését a RE-LY vizsgálat végső vizitjénél. A bevont betegek folytatták ugyanannak a dabigatrán-etexilát dózisnak a szedését </w:t>
      </w:r>
      <w:r>
        <w:rPr>
          <w:lang w:val="hu-HU"/>
        </w:rPr>
        <w:t>(kettős vak elrendezésben)</w:t>
      </w:r>
      <w:r>
        <w:t xml:space="preserve">, amelyet a RE-LY vizsgálatban randomizációt követően szedtek, a RE-LY vizsgálatot követő 43 hónapos </w:t>
      </w:r>
      <w:r>
        <w:lastRenderedPageBreak/>
        <w:t>követéses időszakban (teljes átlagos követés a RE-LY + RELY-ABLE vizsgálatban 4,5 év). 5897 beteget vontak be, ami a RE-LY vizsgálatban az eredetileg dabigatrán-etexilát-csoportba randomizált betegek 49%-át, és a RELY-ABLE vizsgálatra alkalmas betegek 86%-át jelentette.</w:t>
      </w:r>
    </w:p>
    <w:p w14:paraId="6A7CCC14" w14:textId="77777777" w:rsidR="00736F4A" w:rsidRDefault="00100640">
      <w:pPr>
        <w:spacing w:line="240" w:lineRule="auto"/>
        <w:ind w:left="7" w:right="9"/>
      </w:pPr>
      <w:r>
        <w:t>A RELY-ABLE vizsgálat alatti további 2,5 éves kezelés, ami maximálisan 6 éves expozíciót jelentett (összes expozíció a RE-LY és RELY-ABLE vizsgálatokban) a dabigatrán-etexilát hosszú távú biztonsági profilját megerősítette a napi kétszeri 110 mg-os és napi kétszeri 150 mg-os vizsgált dózisok esetében is. Új biztonságossági vonatkozást nem találtak.</w:t>
      </w:r>
    </w:p>
    <w:p w14:paraId="50AE0CDB" w14:textId="77777777" w:rsidR="00736F4A" w:rsidRDefault="00100640">
      <w:pPr>
        <w:spacing w:line="240" w:lineRule="auto"/>
        <w:ind w:left="7" w:right="9"/>
      </w:pPr>
      <w:r>
        <w:t>A kimeneteli események, köztük a major vérzés vagy egyéb vérzéses események gyakorisága megfelelt a RE-LY vizsgálatban észleltnek.</w:t>
      </w:r>
    </w:p>
    <w:p w14:paraId="4030157C" w14:textId="77777777" w:rsidR="00736F4A" w:rsidRDefault="00736F4A">
      <w:pPr>
        <w:spacing w:line="240" w:lineRule="auto"/>
        <w:ind w:left="7" w:right="9"/>
      </w:pPr>
    </w:p>
    <w:p w14:paraId="0FB50D6B" w14:textId="77777777" w:rsidR="00736F4A" w:rsidRDefault="00100640">
      <w:pPr>
        <w:spacing w:line="240" w:lineRule="auto"/>
        <w:ind w:left="7"/>
      </w:pPr>
      <w:r>
        <w:rPr>
          <w:i/>
        </w:rPr>
        <w:t>A beavatkozással nem járó vizsgálatokból származó adatok</w:t>
      </w:r>
    </w:p>
    <w:p w14:paraId="2FD06D68" w14:textId="77777777" w:rsidR="00736F4A" w:rsidRDefault="00736F4A">
      <w:pPr>
        <w:spacing w:line="240" w:lineRule="auto"/>
        <w:ind w:left="7" w:right="9"/>
      </w:pPr>
    </w:p>
    <w:p w14:paraId="6A01F6B6" w14:textId="77777777" w:rsidR="00736F4A" w:rsidRDefault="00100640">
      <w:pPr>
        <w:spacing w:line="240" w:lineRule="auto"/>
        <w:ind w:left="7" w:right="266"/>
      </w:pPr>
      <w:r>
        <w:t>Egy beavatkozással nem járó vizsgálatban (GLORIA-AF), prospektíven (a második fázisában) adatokat gyűjtöttek a dabigatrán-etexilát valós körülmények közötti biztonságosságáról és hatásosságáról, újonnan diagnosztizált nem valvularis pitvarfibrillációban szenvedő betegeknél. A vizsgálat 4859 dabigatrán-etexilátot szedő beteget foglalt magába (55%-uk 150 mg-ot kapott napi kétszer, 43%-uk 110 mg-ot napi kétszer, 2%-uk pedig 75 mg-ot napi kétszer). A betegek állapotát 2 évig követték nyomon. A CHADS</w:t>
      </w:r>
      <w:r>
        <w:rPr>
          <w:vertAlign w:val="subscript"/>
        </w:rPr>
        <w:t>2</w:t>
      </w:r>
      <w:r>
        <w:t xml:space="preserve"> pontszám átlagértéke 1,9, a HAS-BLED pontszám átlagértéke 1,2 volt. A követési idő alatt a kezelés ideje átlagosan 18,3 hónap volt. Major vérzéses 0,97 esemény/100 betegév gyakorisággal fordult elő. Életveszélyes vérzés előfordulása 0,46 esemény/100 betegév, intracranialis vérzésé 0,17 esemény/100 betegév, míg gastrointestinalis vérzésé 0,60 esemény/100 betegév volt. Stroke 0,65 esemény/100 betegév gyakorisággal fordult elő.</w:t>
      </w:r>
    </w:p>
    <w:p w14:paraId="68628C57" w14:textId="77777777" w:rsidR="00736F4A" w:rsidRDefault="00736F4A">
      <w:pPr>
        <w:spacing w:line="240" w:lineRule="auto"/>
        <w:ind w:left="7" w:right="9"/>
      </w:pPr>
    </w:p>
    <w:p w14:paraId="27AED8D9" w14:textId="77777777" w:rsidR="00736F4A" w:rsidRDefault="00100640">
      <w:pPr>
        <w:spacing w:line="240" w:lineRule="auto"/>
        <w:ind w:left="7" w:right="9"/>
      </w:pPr>
      <w:r>
        <w:t>Továbbá, egy beavatkozással nem járó vizsgálatban [Graham DJ és mtsai., Circulation 2015;131:157-164] az Egyesült Államokban, több mint 134 000 idős, nem billentyű eredetű pitvarfibrillációban szenvedő betegnél (több mint 37 500 betegévnyi terápiás utánkövetési időt szolgáltatva) a warfarinnal összehasonlítva, a dabigatrán-etexilátot (a betegek 84%-a napi kétszer 150 mg-ot, 16%-a napi kétszer 75 mg-ot kapott) összefüggésbe hozták az ischaemiás stroke (relatív hazárd: 0,80, 95%-os konfidencia intervallum, [CI] 0,67, 0,96), intracranialis vérzés (relatív hazárd: 0,34, CI 0,26, 0,46) és a mortalitás (relatív hazárd: 0,86, CI 0,77, 0,96) csökkent kockázatával, valamint a gastrointestinalis vérzések kockázatának megnövekedésével (relatív hazárd: 1,28, CI 1,14, 1,44). A major vérzéses események számában nem volt különbség (relatív hazárd: 0,97, CI 0,88, 1,07).</w:t>
      </w:r>
    </w:p>
    <w:p w14:paraId="79C1BE3E" w14:textId="77777777" w:rsidR="00736F4A" w:rsidRDefault="00736F4A">
      <w:pPr>
        <w:spacing w:line="240" w:lineRule="auto"/>
        <w:ind w:left="7" w:right="9"/>
      </w:pPr>
    </w:p>
    <w:p w14:paraId="18AC4052" w14:textId="77777777" w:rsidR="00736F4A" w:rsidRDefault="00100640">
      <w:pPr>
        <w:spacing w:line="240" w:lineRule="auto"/>
        <w:ind w:left="7" w:right="9"/>
      </w:pPr>
      <w:r>
        <w:t>Ezek a valós körülmények közül származó megfigyelések összhangban állnak a dabigatrán-etexilát RE-LY vizsgálatban meghatározott hatásossági és biztonságossági profiljával ezen indikáció esetében.</w:t>
      </w:r>
    </w:p>
    <w:p w14:paraId="232C3D91" w14:textId="77777777" w:rsidR="00736F4A" w:rsidRDefault="00736F4A">
      <w:pPr>
        <w:spacing w:line="240" w:lineRule="auto"/>
        <w:ind w:left="7" w:right="9"/>
      </w:pPr>
    </w:p>
    <w:p w14:paraId="7342AADB" w14:textId="77777777" w:rsidR="00736F4A" w:rsidRDefault="00100640">
      <w:pPr>
        <w:spacing w:line="240" w:lineRule="auto"/>
        <w:rPr>
          <w:color w:val="000000"/>
          <w:lang w:val="hu-HU" w:eastAsia="hu-HU"/>
        </w:rPr>
      </w:pPr>
      <w:r>
        <w:rPr>
          <w:i/>
          <w:color w:val="000000"/>
          <w:lang w:val="hu-HU" w:eastAsia="hu-HU"/>
        </w:rPr>
        <w:t>Pitvarfibrilláció miatt katéteres ablatióban részesülő betegek</w:t>
      </w:r>
    </w:p>
    <w:p w14:paraId="5FA182D3" w14:textId="77777777" w:rsidR="00736F4A" w:rsidRDefault="00736F4A">
      <w:pPr>
        <w:spacing w:line="240" w:lineRule="auto"/>
        <w:ind w:right="76"/>
        <w:rPr>
          <w:color w:val="000000"/>
          <w:lang w:val="hu-HU" w:eastAsia="hu-HU"/>
        </w:rPr>
      </w:pPr>
    </w:p>
    <w:p w14:paraId="5224CED0" w14:textId="77777777" w:rsidR="00736F4A" w:rsidRDefault="00100640">
      <w:pPr>
        <w:spacing w:line="240" w:lineRule="auto"/>
        <w:ind w:right="76"/>
        <w:rPr>
          <w:color w:val="000000"/>
          <w:lang w:val="hu-HU" w:eastAsia="hu-HU"/>
        </w:rPr>
      </w:pPr>
      <w:r>
        <w:rPr>
          <w:color w:val="000000"/>
          <w:lang w:val="hu-HU" w:eastAsia="hu-HU"/>
        </w:rPr>
        <w:t>Egy prospektív, randomizált, nyílt elrendezésű, multicentrikus, feltáró vizsgálatot végeztek központilag megállapított vak végpontelemzéssel (RE-CIRCUIT), 704 beteg részvételével, akik stabil antikoaguláns-kezelésben részesültek. A vizsgálat a megszakítás nélkül, napi kétszer alkalmazott 150 mg dabigatrán-etexilát-kezelést és a megszakítás nélkül alkalmazott, INR alapján beállított warfarin-kezelést hasonlította össze paroxysmalis vagy tartós pitvarfibrilláció miatti katéteres ablatio esetén. A 704 bevont beteg közül 317 részesült pitvarfibrilláció miatti ablatióban megszakítás nélküli dabigatrán-kezelés mellett, illetve 318 részesült pitvarfibrilláció miatti ablatióban megszakítás nélküli warfarin-kezelés mellett. Minden betegnél végeztek transoesophagealis echocardiographia (TEE) vizsgálatot a katéteres ablatio előtt. Az elsődleges kimenet (megállapított major vérzés az ISTH kritériumok szerint) 5 betegnél (1,6%) jelentkezett a dabigatrán-etexilát-csoportban, és 22 betegnél (6,9%) a warfarin-csoportban (kockázatkülönbség: –5,3%; 95%-os CI: –8,4, –2,2; p=0,0009). Nem jelentkezett stroke/szisztémás embolizáció/TIA (összetett végpont) esemény a dabigatrán-etexilát-karon, és egy esemény (TIA) jelentkezett a warfarin-karon az ablatiótól kezdve a postablatiós 8. hétig. Ez a feltáró vizsgálat megmutatta, hogy a dabigatrán-etexilát ablatiós elrendezésben szignifikáns csökkenést eredményezett a major vérzések arányában az INR alapján beállított warfarinhoz képest.</w:t>
      </w:r>
    </w:p>
    <w:p w14:paraId="691EEC8F" w14:textId="77777777" w:rsidR="00736F4A" w:rsidRDefault="00736F4A">
      <w:pPr>
        <w:spacing w:line="240" w:lineRule="auto"/>
        <w:ind w:left="7" w:right="9"/>
      </w:pPr>
    </w:p>
    <w:p w14:paraId="62661279" w14:textId="77777777" w:rsidR="00736F4A" w:rsidRDefault="00100640">
      <w:pPr>
        <w:spacing w:line="240" w:lineRule="auto"/>
        <w:ind w:left="7"/>
      </w:pPr>
      <w:r>
        <w:rPr>
          <w:i/>
        </w:rPr>
        <w:t>Betegek, akiknél stent alkalmazásával percutan coronariaintervenciót (PCI) végeztek</w:t>
      </w:r>
    </w:p>
    <w:p w14:paraId="00DF94B6" w14:textId="77777777" w:rsidR="00736F4A" w:rsidRDefault="00736F4A">
      <w:pPr>
        <w:spacing w:line="240" w:lineRule="auto"/>
        <w:ind w:left="7" w:right="9"/>
      </w:pPr>
    </w:p>
    <w:p w14:paraId="1C58BB0C" w14:textId="77777777" w:rsidR="00736F4A" w:rsidRDefault="00100640">
      <w:pPr>
        <w:spacing w:line="240" w:lineRule="auto"/>
        <w:ind w:left="7" w:right="9"/>
      </w:pPr>
      <w:r>
        <w:t>Egy prospektív, randomizált, nyílt elrendezésű, vak végpontú (PROBE) vizsgálatot (IIIb. fázisú) 2725 olyan beteg bevonásával végeztek, akiknek nem billentyű eredetű pitvarfibrillációjuk volt és akiknél stent alkalmazásával percutan coronariaintervenciót (RE-DUAL PCI) végeztek. A vizsgálat célja a kettős terápia és a hármas terápia összehasonlító értékelése volt: kettős terápia dabigatrán-etexilát (napi kétszeri 110 mg vagy 150 mg) klopidogrellel vagy tikagrelorral (P2Y12 antagonista) és a hármas terápia warfarinnal (2,0–3,0-s INR-értékhez igazított dózissal) és klopidogrellel vagy tikagrelorral és ASA-val összehasonlítva. A betegeket az alábbi csoportok egyikébe randomizálták: kettős terápia napi kétszeri 110 mg dabigatrán-etexiláttal, kettős terápia napi kétszeri 150 mg dabigatrán-etexiláttal és hármas terápia warfarinnal. Az Amerikai Egyesült Államokon kívüli idős betegeket (Japán esetén 70 év felett, más országok esetén 80 év felett) randomizált módon osztották be vagy a napi kétszeri 110 mg dabigatrán-etexilát kettős terápiás csoportba vagy a warfarinos hármas terápiás csoportba. Az elsődleges végpont egy kombinált végpont volt: az ISTH (International Society on Thrombosis and Haemostasis) definíciója szerinti major vérzések vagy klinikailag releváns, nem major vérzéses események.</w:t>
      </w:r>
    </w:p>
    <w:p w14:paraId="130C864B" w14:textId="77777777" w:rsidR="00736F4A" w:rsidRDefault="00736F4A">
      <w:pPr>
        <w:spacing w:line="240" w:lineRule="auto"/>
        <w:ind w:left="7" w:right="9"/>
      </w:pPr>
    </w:p>
    <w:p w14:paraId="62889C6F" w14:textId="77777777" w:rsidR="00736F4A" w:rsidRDefault="00100640">
      <w:pPr>
        <w:spacing w:line="240" w:lineRule="auto"/>
        <w:ind w:left="7" w:right="9"/>
      </w:pPr>
      <w:r>
        <w:t>Az elsődleges végpont incidenciája 15,4% volt (151 beteg) a napi kétszeri 110 mg-os dabigatrán-etexilát kettős terápiás csoportban, ezzel szemben 26,9% (264 beteg) a warfarinos hármas terápiás csoportban (HR 0,52; 95%-os CI 0,42, 0,63; non-inferior p&lt;0,0001 és szuperior p&lt;0,0001) és 20,2% (154 beteg) a napi 150 mg dabigatrán-etexilát kettős terápiás csoportban, ezzel szemben 25,7% (196 beteg) a megfelelő warfarin hármas terápiás csoportban (HR 0,72; 95%-os CI 0,58, 0,88; noninferior p&lt;0,0001 és szuperior p=0,002). A leíró elemzés részeként, a TIMI (Thrombolysis In Myocardial Infarction, Thrombolysis Myocardiális Infarctus esetén) szerinti major vérzéses események száma alacsonyabb volt mindkét dabigatrán-etexiláttal kezelt kettős terápiás csoportban, mint a warfarin hármas terápiás csoportban: 14 esemény (1,4%) a napi kétszeri 110 mg dabigatrán-etexilát kettős terápiás csoportban, ezzel szemben 37 esemény (3,8%) a warfarin hármas terápiás csoportban (HR 0,37; 95%-os CI 0,20, 0,68; p=0,002) és 16 esemény (2,1%) a napi kétszeri 150 mg dabigatrán-etexilát kettős terápiás csoportban, ezzel szemben 30 esemény (3,9%) a megfelelő warfarin hármas terápiás csoportban (HR 0,51; 95%-os CI 0,28, 0,93; p=0,03). Mindkét dabigatrán-etexilát kettős terápiás csoportban alacsonyabb volt az intracraniális vérzések előfordulása, mint a megfelelő warfarin hármas terápiás csoportokban: 3 esemény (0,3%) a napi kétszeri 110 mg dabigatrán-etexilát kettős terápiás csoportban ezzel szemben 10 esemény (1,0%) a warfarin hármas terápiás csoportban (HR 0,30; 95%-os CI 0,08, 1,07; p=0,06) és 1 esemény (0,1%) a napi kétszeri 150 mg dabigatrán-etexilát kettős terápiás csoportban, ezzel szemben 8 esemény (1,0%) a megfelelő warfarin hármas terápiás csoportban (HR 0,12; 95%-os CI 0,02 0,98; p=0,047). Az összetett végpontként megjelölt halálozás, thromboemboliás események (myocardialis infarctus, stroke vagy szisztémás embolizáció) vagy nem tervezett revascularisatio a két dabigatrán-etexilát kettős terápiás csoportban együtt nem rosszabb (non-inferior) a warfarin hármas terápiás csoportnál (13,7% és 13,4% egyenként, HR 1,04; 95%-os CI 0,84, 1,29; non-interferior p=0,0047). Nincs statisztikai különbség a hatásossági végpontok komponensei között sem a dabigatrán-etexilát kettős terápiás csoportban, sem a warfarin hármas terápiás csoportban.</w:t>
      </w:r>
    </w:p>
    <w:p w14:paraId="2DE644D3" w14:textId="77777777" w:rsidR="00736F4A" w:rsidRDefault="00736F4A">
      <w:pPr>
        <w:spacing w:line="240" w:lineRule="auto"/>
        <w:ind w:left="7" w:right="9"/>
      </w:pPr>
    </w:p>
    <w:p w14:paraId="75EB236C" w14:textId="77777777" w:rsidR="00736F4A" w:rsidRDefault="00100640">
      <w:pPr>
        <w:spacing w:line="240" w:lineRule="auto"/>
        <w:ind w:left="7" w:right="9"/>
      </w:pPr>
      <w:r>
        <w:t>A vizsgálat megmutatta, hogy a kettős terápia, melyben dabigatrán-etexilátot és a P2Y12-antagonistát alkalmaztak, szignifikánsan csökkenti a vérzések kockázatát (szuperior) a warfarin hármas terápiás csoporttal szemben, és a thromboemboliás események komponensei esetén nem rosszabb (non-inferior) olyan betegek esetén, akiknek pitvarfibrillációjuk volt és akiknél stent alkalmazásával percutan coronariaintervenciót végeztek.</w:t>
      </w:r>
    </w:p>
    <w:p w14:paraId="58BADF18" w14:textId="77777777" w:rsidR="00736F4A" w:rsidRDefault="00736F4A">
      <w:pPr>
        <w:spacing w:line="240" w:lineRule="auto"/>
        <w:ind w:left="7" w:right="9"/>
      </w:pPr>
    </w:p>
    <w:p w14:paraId="140D751C" w14:textId="77777777" w:rsidR="00736F4A" w:rsidRDefault="00100640">
      <w:pPr>
        <w:spacing w:line="240" w:lineRule="auto"/>
        <w:ind w:left="7"/>
      </w:pPr>
      <w:r>
        <w:rPr>
          <w:i/>
          <w:u w:val="single" w:color="000000"/>
        </w:rPr>
        <w:t>MVT és PE kezelése felnőtt betegeknél (MVT/PE kezelés)</w:t>
      </w:r>
    </w:p>
    <w:p w14:paraId="63528165" w14:textId="77777777" w:rsidR="00736F4A" w:rsidRDefault="00736F4A">
      <w:pPr>
        <w:spacing w:line="240" w:lineRule="auto"/>
        <w:ind w:left="7" w:right="9"/>
      </w:pPr>
    </w:p>
    <w:p w14:paraId="6F3AF1CE" w14:textId="77777777" w:rsidR="00736F4A" w:rsidRDefault="00100640">
      <w:pPr>
        <w:spacing w:line="240" w:lineRule="auto"/>
        <w:ind w:left="-3" w:right="9"/>
      </w:pPr>
      <w:r>
        <w:t>A hatásosságot két multicentrikus, randomizált, kettős vak, parallel csoportos ismételt vizsgálatban, a RE-COVER és RE-COVER II vizsgálatokban elemezték. Ezek a vizsgálatok a dabigatrán-etexilátot (naponta kétszer 150 mg) a warfarinnal hasonlították össze (cél INR 2,0-3,0) akut MVT-ben és/vagy PE-ben szenvedő betegeknél. Ezeknek a vizsgálatoknak az volt az elsődleges célja, hogy igazolják, hogy a dabigatrán-etexilát nem rosszabb (non-inferior) a warfarinnál az elsődleges összetett végpont előfordulásának csökkentésében; ami a tünetekkel járó MVT és/vagy PE ismételt jelentkezése és az ebből eredő halálozás volt a 6 hónapos kezelési periódusban.</w:t>
      </w:r>
    </w:p>
    <w:p w14:paraId="435B5E2D" w14:textId="77777777" w:rsidR="00736F4A" w:rsidRDefault="00736F4A">
      <w:pPr>
        <w:spacing w:line="240" w:lineRule="auto"/>
        <w:ind w:left="7" w:right="9"/>
      </w:pPr>
    </w:p>
    <w:p w14:paraId="2338C562" w14:textId="77777777" w:rsidR="00736F4A" w:rsidRDefault="00100640">
      <w:pPr>
        <w:spacing w:line="240" w:lineRule="auto"/>
        <w:ind w:left="7" w:right="9"/>
      </w:pPr>
      <w:r>
        <w:t>A RE-COVER és RE-COVER II vizsgálatokban összesen 5153 beteget randomizáltak és 5107 beteget kezeltek.</w:t>
      </w:r>
    </w:p>
    <w:p w14:paraId="53F8FCB1" w14:textId="77777777" w:rsidR="00736F4A" w:rsidRDefault="00736F4A">
      <w:pPr>
        <w:spacing w:line="240" w:lineRule="auto"/>
        <w:ind w:left="7" w:right="9"/>
      </w:pPr>
    </w:p>
    <w:p w14:paraId="12030611" w14:textId="77777777" w:rsidR="00736F4A" w:rsidRDefault="00100640">
      <w:pPr>
        <w:spacing w:line="240" w:lineRule="auto"/>
        <w:ind w:left="7" w:right="9"/>
      </w:pPr>
      <w:r>
        <w:t>A fix dózisú dabigatrán-kezelés időtartama 174 nap volt, az alvadási státuszt nem monitorozták. A warfarint kapó betegeknél a terápiás tartományban (INR 2,0-3,0) töltött medián időtartam 60,6% volt.</w:t>
      </w:r>
    </w:p>
    <w:p w14:paraId="190C8602" w14:textId="77777777" w:rsidR="00736F4A" w:rsidRDefault="00736F4A">
      <w:pPr>
        <w:spacing w:line="240" w:lineRule="auto"/>
        <w:ind w:left="7" w:right="9"/>
      </w:pPr>
    </w:p>
    <w:p w14:paraId="107DA750" w14:textId="77777777" w:rsidR="00736F4A" w:rsidRDefault="00100640">
      <w:pPr>
        <w:spacing w:line="240" w:lineRule="auto"/>
        <w:ind w:left="7" w:right="9"/>
      </w:pPr>
      <w:r>
        <w:t>Ezek a vizsgálatok kimutatták, hogy a napi kétszer 150 mg dabigatrán-etexilát-kezelés nem volt rosszabb (non-inferior) a warfarin-kezelésnél (a non-inferioritásra vonatkozó határ a RE-COVER és RE-COVER II esetén: 2,75 a relatív hazárd és 3,6 a kockázat különbsége esetén).</w:t>
      </w:r>
    </w:p>
    <w:p w14:paraId="3F885E76" w14:textId="77777777" w:rsidR="00736F4A" w:rsidRDefault="00736F4A">
      <w:pPr>
        <w:spacing w:line="240" w:lineRule="auto"/>
        <w:ind w:left="7" w:right="9"/>
      </w:pPr>
    </w:p>
    <w:p w14:paraId="6D9CA9C2" w14:textId="77777777" w:rsidR="00736F4A" w:rsidRDefault="00100640">
      <w:pPr>
        <w:spacing w:line="240" w:lineRule="auto"/>
        <w:rPr>
          <w:b/>
        </w:rPr>
      </w:pPr>
      <w:r>
        <w:rPr>
          <w:b/>
        </w:rPr>
        <w:t>22. táblázat. Az elsődleges és másodlagos hatásossági végpontok (a VTE az MVT és/vagy PE együtt) a kezelés utáni időszak végéig a RE-COVER és RE-COVER II vizsgálat összesítésében</w:t>
      </w:r>
    </w:p>
    <w:p w14:paraId="2E296FF6" w14:textId="77777777" w:rsidR="00736F4A" w:rsidRDefault="00736F4A">
      <w:pPr>
        <w:spacing w:line="240" w:lineRule="auto"/>
        <w:ind w:left="7" w:right="9"/>
      </w:pPr>
    </w:p>
    <w:tbl>
      <w:tblPr>
        <w:tblW w:w="7906" w:type="dxa"/>
        <w:tblInd w:w="-34" w:type="dxa"/>
        <w:tblCellMar>
          <w:top w:w="51" w:type="dxa"/>
          <w:left w:w="70" w:type="dxa"/>
          <w:right w:w="115" w:type="dxa"/>
        </w:tblCellMar>
        <w:tblLook w:val="04A0" w:firstRow="1" w:lastRow="0" w:firstColumn="1" w:lastColumn="0" w:noHBand="0" w:noVBand="1"/>
      </w:tblPr>
      <w:tblGrid>
        <w:gridCol w:w="2304"/>
        <w:gridCol w:w="2909"/>
        <w:gridCol w:w="2693"/>
      </w:tblGrid>
      <w:tr w:rsidR="00736F4A" w14:paraId="715F5EBE"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06B90D35" w14:textId="77777777" w:rsidR="00736F4A" w:rsidRDefault="00736F4A">
            <w:pPr>
              <w:spacing w:line="240" w:lineRule="auto"/>
              <w:rPr>
                <w:lang w:val="hu-HU"/>
              </w:rPr>
            </w:pPr>
          </w:p>
        </w:tc>
        <w:tc>
          <w:tcPr>
            <w:tcW w:w="2909" w:type="dxa"/>
            <w:tcBorders>
              <w:top w:val="single" w:sz="4" w:space="0" w:color="000000"/>
              <w:left w:val="single" w:sz="4" w:space="0" w:color="000000"/>
              <w:bottom w:val="single" w:sz="4" w:space="0" w:color="000000"/>
              <w:right w:val="single" w:sz="4" w:space="0" w:color="000000"/>
            </w:tcBorders>
          </w:tcPr>
          <w:p w14:paraId="043C5FC2" w14:textId="77777777" w:rsidR="00736F4A" w:rsidRDefault="00100640">
            <w:pPr>
              <w:spacing w:line="240" w:lineRule="auto"/>
              <w:ind w:left="377" w:right="334"/>
              <w:rPr>
                <w:lang w:val="hu-HU"/>
              </w:rPr>
            </w:pPr>
            <w:r>
              <w:rPr>
                <w:lang w:val="hu-HU"/>
              </w:rPr>
              <w:t xml:space="preserve">Dabigatrán-etexilát napi kétszer 150 mg </w:t>
            </w:r>
          </w:p>
        </w:tc>
        <w:tc>
          <w:tcPr>
            <w:tcW w:w="2693" w:type="dxa"/>
            <w:tcBorders>
              <w:top w:val="single" w:sz="4" w:space="0" w:color="000000"/>
              <w:left w:val="single" w:sz="4" w:space="0" w:color="000000"/>
              <w:bottom w:val="single" w:sz="4" w:space="0" w:color="000000"/>
              <w:right w:val="single" w:sz="4" w:space="0" w:color="000000"/>
            </w:tcBorders>
            <w:vAlign w:val="center"/>
          </w:tcPr>
          <w:p w14:paraId="1B323D1E" w14:textId="77777777" w:rsidR="00736F4A" w:rsidRDefault="00100640">
            <w:pPr>
              <w:spacing w:line="240" w:lineRule="auto"/>
              <w:ind w:left="41"/>
              <w:rPr>
                <w:lang w:val="hu-HU"/>
              </w:rPr>
            </w:pPr>
            <w:r>
              <w:rPr>
                <w:lang w:val="hu-HU"/>
              </w:rPr>
              <w:t>Warfarin</w:t>
            </w:r>
          </w:p>
        </w:tc>
      </w:tr>
      <w:tr w:rsidR="00736F4A" w14:paraId="4180AD70" w14:textId="77777777">
        <w:trPr>
          <w:trHeight w:val="286"/>
        </w:trPr>
        <w:tc>
          <w:tcPr>
            <w:tcW w:w="2304" w:type="dxa"/>
            <w:tcBorders>
              <w:top w:val="single" w:sz="4" w:space="0" w:color="000000"/>
              <w:left w:val="single" w:sz="4" w:space="0" w:color="000000"/>
              <w:bottom w:val="single" w:sz="4" w:space="0" w:color="000000"/>
              <w:right w:val="single" w:sz="4" w:space="0" w:color="000000"/>
            </w:tcBorders>
          </w:tcPr>
          <w:p w14:paraId="72C29DB9" w14:textId="77777777" w:rsidR="00736F4A" w:rsidRDefault="00100640">
            <w:pPr>
              <w:spacing w:line="240" w:lineRule="auto"/>
              <w:rPr>
                <w:lang w:val="hu-HU"/>
              </w:rPr>
            </w:pPr>
            <w:r>
              <w:rPr>
                <w:lang w:val="hu-HU"/>
              </w:rPr>
              <w:t>Kezelt betegek</w:t>
            </w:r>
          </w:p>
        </w:tc>
        <w:tc>
          <w:tcPr>
            <w:tcW w:w="2909" w:type="dxa"/>
            <w:tcBorders>
              <w:top w:val="single" w:sz="4" w:space="0" w:color="000000"/>
              <w:left w:val="single" w:sz="4" w:space="0" w:color="000000"/>
              <w:bottom w:val="single" w:sz="4" w:space="0" w:color="000000"/>
              <w:right w:val="single" w:sz="4" w:space="0" w:color="000000"/>
            </w:tcBorders>
          </w:tcPr>
          <w:p w14:paraId="2F29C868" w14:textId="77777777" w:rsidR="00736F4A" w:rsidRDefault="00100640">
            <w:pPr>
              <w:spacing w:line="240" w:lineRule="auto"/>
              <w:ind w:left="41"/>
              <w:rPr>
                <w:lang w:val="hu-HU"/>
              </w:rPr>
            </w:pPr>
            <w:r>
              <w:rPr>
                <w:lang w:val="hu-HU"/>
              </w:rPr>
              <w:t xml:space="preserve">2553 </w:t>
            </w:r>
          </w:p>
        </w:tc>
        <w:tc>
          <w:tcPr>
            <w:tcW w:w="2693" w:type="dxa"/>
            <w:tcBorders>
              <w:top w:val="single" w:sz="4" w:space="0" w:color="000000"/>
              <w:left w:val="single" w:sz="4" w:space="0" w:color="000000"/>
              <w:bottom w:val="single" w:sz="4" w:space="0" w:color="000000"/>
              <w:right w:val="single" w:sz="4" w:space="0" w:color="000000"/>
            </w:tcBorders>
          </w:tcPr>
          <w:p w14:paraId="70F9FD8B" w14:textId="77777777" w:rsidR="00736F4A" w:rsidRDefault="00100640">
            <w:pPr>
              <w:spacing w:line="240" w:lineRule="auto"/>
              <w:ind w:left="41"/>
              <w:rPr>
                <w:lang w:val="hu-HU"/>
              </w:rPr>
            </w:pPr>
            <w:r>
              <w:rPr>
                <w:lang w:val="hu-HU"/>
              </w:rPr>
              <w:t xml:space="preserve">2554 </w:t>
            </w:r>
          </w:p>
        </w:tc>
      </w:tr>
      <w:tr w:rsidR="00736F4A" w14:paraId="26E44FA2" w14:textId="77777777">
        <w:trPr>
          <w:trHeight w:val="770"/>
        </w:trPr>
        <w:tc>
          <w:tcPr>
            <w:tcW w:w="2304" w:type="dxa"/>
            <w:tcBorders>
              <w:top w:val="single" w:sz="4" w:space="0" w:color="000000"/>
              <w:left w:val="single" w:sz="4" w:space="0" w:color="000000"/>
              <w:bottom w:val="single" w:sz="4" w:space="0" w:color="000000"/>
              <w:right w:val="single" w:sz="4" w:space="0" w:color="000000"/>
            </w:tcBorders>
          </w:tcPr>
          <w:p w14:paraId="008A89EB" w14:textId="77777777" w:rsidR="00736F4A" w:rsidRDefault="00100640">
            <w:pPr>
              <w:spacing w:line="240" w:lineRule="auto"/>
              <w:rPr>
                <w:lang w:val="hu-HU"/>
              </w:rPr>
            </w:pPr>
            <w:r>
              <w:rPr>
                <w:lang w:val="hu-HU"/>
              </w:rPr>
              <w:t>Visszatérő szimptómás VTE és VTE-vel összefüggő halál</w:t>
            </w:r>
          </w:p>
        </w:tc>
        <w:tc>
          <w:tcPr>
            <w:tcW w:w="2909" w:type="dxa"/>
            <w:tcBorders>
              <w:top w:val="single" w:sz="4" w:space="0" w:color="000000"/>
              <w:left w:val="single" w:sz="4" w:space="0" w:color="000000"/>
              <w:bottom w:val="single" w:sz="4" w:space="0" w:color="000000"/>
              <w:right w:val="single" w:sz="4" w:space="0" w:color="000000"/>
            </w:tcBorders>
            <w:vAlign w:val="center"/>
          </w:tcPr>
          <w:p w14:paraId="5DD9A2E2" w14:textId="77777777" w:rsidR="00736F4A" w:rsidRDefault="00100640">
            <w:pPr>
              <w:spacing w:line="240" w:lineRule="auto"/>
              <w:ind w:left="45"/>
              <w:rPr>
                <w:lang w:val="hu-HU"/>
              </w:rPr>
            </w:pPr>
            <w:r>
              <w:rPr>
                <w:lang w:val="hu-HU"/>
              </w:rPr>
              <w:t>68 (2,7%)</w:t>
            </w:r>
          </w:p>
        </w:tc>
        <w:tc>
          <w:tcPr>
            <w:tcW w:w="2693" w:type="dxa"/>
            <w:tcBorders>
              <w:top w:val="single" w:sz="4" w:space="0" w:color="000000"/>
              <w:left w:val="single" w:sz="4" w:space="0" w:color="000000"/>
              <w:bottom w:val="single" w:sz="4" w:space="0" w:color="000000"/>
              <w:right w:val="single" w:sz="4" w:space="0" w:color="000000"/>
            </w:tcBorders>
            <w:vAlign w:val="center"/>
          </w:tcPr>
          <w:p w14:paraId="014A9FE2" w14:textId="77777777" w:rsidR="00736F4A" w:rsidRDefault="00100640">
            <w:pPr>
              <w:spacing w:line="240" w:lineRule="auto"/>
              <w:ind w:left="42"/>
              <w:rPr>
                <w:lang w:val="hu-HU"/>
              </w:rPr>
            </w:pPr>
            <w:r>
              <w:rPr>
                <w:lang w:val="hu-HU"/>
              </w:rPr>
              <w:t>62 (2,4%)</w:t>
            </w:r>
          </w:p>
        </w:tc>
      </w:tr>
      <w:tr w:rsidR="00736F4A" w14:paraId="2D57E049" w14:textId="77777777">
        <w:trPr>
          <w:trHeight w:val="1022"/>
        </w:trPr>
        <w:tc>
          <w:tcPr>
            <w:tcW w:w="2304" w:type="dxa"/>
            <w:tcBorders>
              <w:top w:val="single" w:sz="4" w:space="0" w:color="000000"/>
              <w:left w:val="single" w:sz="4" w:space="0" w:color="000000"/>
              <w:bottom w:val="single" w:sz="4" w:space="0" w:color="000000"/>
              <w:right w:val="single" w:sz="4" w:space="0" w:color="000000"/>
            </w:tcBorders>
          </w:tcPr>
          <w:p w14:paraId="1FCFCBFA" w14:textId="77777777" w:rsidR="00736F4A" w:rsidRDefault="00100640">
            <w:pPr>
              <w:spacing w:line="240" w:lineRule="auto"/>
              <w:rPr>
                <w:lang w:val="hu-HU"/>
              </w:rPr>
            </w:pPr>
            <w:r>
              <w:rPr>
                <w:lang w:val="hu-HU"/>
              </w:rPr>
              <w:t>Relatív hazárd a warfarinhoz képest (95%-os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01D0F7CC" w14:textId="77777777" w:rsidR="00736F4A" w:rsidRDefault="00100640">
            <w:pPr>
              <w:spacing w:line="240" w:lineRule="auto"/>
              <w:ind w:left="869" w:right="826"/>
              <w:rPr>
                <w:lang w:val="hu-HU"/>
              </w:rPr>
            </w:pPr>
            <w:r>
              <w:rPr>
                <w:lang w:val="hu-HU"/>
              </w:rPr>
              <w:t>1,09</w:t>
            </w:r>
          </w:p>
          <w:p w14:paraId="48BF1142" w14:textId="77777777" w:rsidR="00736F4A" w:rsidRDefault="00100640">
            <w:pPr>
              <w:spacing w:line="240" w:lineRule="auto"/>
              <w:ind w:left="869" w:right="826"/>
              <w:rPr>
                <w:lang w:val="hu-HU"/>
              </w:rPr>
            </w:pPr>
            <w:r>
              <w:rPr>
                <w:lang w:val="hu-HU"/>
              </w:rPr>
              <w:t>(0,77, 1,54)</w:t>
            </w:r>
          </w:p>
        </w:tc>
        <w:tc>
          <w:tcPr>
            <w:tcW w:w="2693" w:type="dxa"/>
            <w:tcBorders>
              <w:top w:val="single" w:sz="4" w:space="0" w:color="000000"/>
              <w:left w:val="single" w:sz="4" w:space="0" w:color="000000"/>
              <w:bottom w:val="single" w:sz="4" w:space="0" w:color="000000"/>
              <w:right w:val="single" w:sz="4" w:space="0" w:color="000000"/>
            </w:tcBorders>
          </w:tcPr>
          <w:p w14:paraId="6505DF64" w14:textId="77777777" w:rsidR="00736F4A" w:rsidRDefault="00736F4A">
            <w:pPr>
              <w:spacing w:line="240" w:lineRule="auto"/>
              <w:rPr>
                <w:lang w:val="hu-HU"/>
              </w:rPr>
            </w:pPr>
          </w:p>
        </w:tc>
      </w:tr>
      <w:tr w:rsidR="00736F4A" w14:paraId="35FCD3DC"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1F442C02" w14:textId="77777777" w:rsidR="00736F4A" w:rsidRDefault="00100640">
            <w:pPr>
              <w:spacing w:line="240" w:lineRule="auto"/>
              <w:rPr>
                <w:lang w:val="hu-HU"/>
              </w:rPr>
            </w:pPr>
            <w:r>
              <w:rPr>
                <w:lang w:val="hu-HU"/>
              </w:rPr>
              <w:t>Másodlagos hatásossági végpontok</w:t>
            </w:r>
          </w:p>
        </w:tc>
        <w:tc>
          <w:tcPr>
            <w:tcW w:w="2909" w:type="dxa"/>
            <w:tcBorders>
              <w:top w:val="single" w:sz="4" w:space="0" w:color="000000"/>
              <w:left w:val="single" w:sz="4" w:space="0" w:color="000000"/>
              <w:bottom w:val="single" w:sz="4" w:space="0" w:color="000000"/>
              <w:right w:val="single" w:sz="4" w:space="0" w:color="000000"/>
            </w:tcBorders>
          </w:tcPr>
          <w:p w14:paraId="15591A40" w14:textId="77777777" w:rsidR="00736F4A" w:rsidRDefault="00736F4A">
            <w:pPr>
              <w:spacing w:line="240" w:lineRule="auto"/>
              <w:rPr>
                <w:lang w:val="hu-HU"/>
              </w:rPr>
            </w:pPr>
          </w:p>
        </w:tc>
        <w:tc>
          <w:tcPr>
            <w:tcW w:w="2693" w:type="dxa"/>
            <w:tcBorders>
              <w:top w:val="single" w:sz="4" w:space="0" w:color="000000"/>
              <w:left w:val="single" w:sz="4" w:space="0" w:color="000000"/>
              <w:bottom w:val="single" w:sz="4" w:space="0" w:color="000000"/>
              <w:right w:val="single" w:sz="4" w:space="0" w:color="000000"/>
            </w:tcBorders>
          </w:tcPr>
          <w:p w14:paraId="1650D4B5" w14:textId="77777777" w:rsidR="00736F4A" w:rsidRDefault="00736F4A">
            <w:pPr>
              <w:spacing w:line="240" w:lineRule="auto"/>
              <w:rPr>
                <w:lang w:val="hu-HU"/>
              </w:rPr>
            </w:pPr>
          </w:p>
        </w:tc>
      </w:tr>
      <w:tr w:rsidR="00736F4A" w14:paraId="50F2E743" w14:textId="77777777">
        <w:trPr>
          <w:trHeight w:val="768"/>
        </w:trPr>
        <w:tc>
          <w:tcPr>
            <w:tcW w:w="2304" w:type="dxa"/>
            <w:tcBorders>
              <w:top w:val="single" w:sz="4" w:space="0" w:color="000000"/>
              <w:left w:val="single" w:sz="4" w:space="0" w:color="000000"/>
              <w:bottom w:val="single" w:sz="4" w:space="0" w:color="000000"/>
              <w:right w:val="single" w:sz="4" w:space="0" w:color="000000"/>
            </w:tcBorders>
          </w:tcPr>
          <w:p w14:paraId="3F5869ED" w14:textId="77777777" w:rsidR="00736F4A" w:rsidRDefault="00100640">
            <w:pPr>
              <w:spacing w:line="240" w:lineRule="auto"/>
              <w:rPr>
                <w:lang w:val="hu-HU"/>
              </w:rPr>
            </w:pPr>
            <w:r>
              <w:rPr>
                <w:lang w:val="hu-HU"/>
              </w:rPr>
              <w:t>Szimptómás VTE kiújulása és összhalálozás</w:t>
            </w:r>
          </w:p>
        </w:tc>
        <w:tc>
          <w:tcPr>
            <w:tcW w:w="2909" w:type="dxa"/>
            <w:tcBorders>
              <w:top w:val="single" w:sz="4" w:space="0" w:color="000000"/>
              <w:left w:val="single" w:sz="4" w:space="0" w:color="000000"/>
              <w:bottom w:val="single" w:sz="4" w:space="0" w:color="000000"/>
              <w:right w:val="single" w:sz="4" w:space="0" w:color="000000"/>
            </w:tcBorders>
            <w:vAlign w:val="center"/>
          </w:tcPr>
          <w:p w14:paraId="3DE47C1E" w14:textId="77777777" w:rsidR="00736F4A" w:rsidRDefault="00100640">
            <w:pPr>
              <w:spacing w:line="240" w:lineRule="auto"/>
              <w:ind w:left="42"/>
              <w:rPr>
                <w:lang w:val="hu-HU"/>
              </w:rPr>
            </w:pPr>
            <w:r>
              <w:rPr>
                <w:lang w:val="hu-HU"/>
              </w:rPr>
              <w:t>109 (4,3%)</w:t>
            </w:r>
          </w:p>
        </w:tc>
        <w:tc>
          <w:tcPr>
            <w:tcW w:w="2693" w:type="dxa"/>
            <w:tcBorders>
              <w:top w:val="single" w:sz="4" w:space="0" w:color="000000"/>
              <w:left w:val="single" w:sz="4" w:space="0" w:color="000000"/>
              <w:bottom w:val="single" w:sz="4" w:space="0" w:color="000000"/>
              <w:right w:val="single" w:sz="4" w:space="0" w:color="000000"/>
            </w:tcBorders>
            <w:vAlign w:val="center"/>
          </w:tcPr>
          <w:p w14:paraId="017A6EA2" w14:textId="77777777" w:rsidR="00736F4A" w:rsidRDefault="00100640">
            <w:pPr>
              <w:spacing w:line="240" w:lineRule="auto"/>
              <w:ind w:left="42"/>
              <w:rPr>
                <w:lang w:val="hu-HU"/>
              </w:rPr>
            </w:pPr>
            <w:r>
              <w:rPr>
                <w:lang w:val="hu-HU"/>
              </w:rPr>
              <w:t>104 (4,1%)</w:t>
            </w:r>
          </w:p>
        </w:tc>
      </w:tr>
      <w:tr w:rsidR="00736F4A" w14:paraId="4FEBCCE6"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119EC7D7" w14:textId="77777777" w:rsidR="00736F4A" w:rsidRDefault="00100640">
            <w:pPr>
              <w:spacing w:line="240" w:lineRule="auto"/>
              <w:rPr>
                <w:lang w:val="hu-HU"/>
              </w:rPr>
            </w:pPr>
            <w:r>
              <w:rPr>
                <w:lang w:val="hu-HU"/>
              </w:rPr>
              <w:t xml:space="preserve">95%-os konfidencia intervallum </w:t>
            </w:r>
          </w:p>
        </w:tc>
        <w:tc>
          <w:tcPr>
            <w:tcW w:w="2909" w:type="dxa"/>
            <w:tcBorders>
              <w:top w:val="single" w:sz="4" w:space="0" w:color="000000"/>
              <w:left w:val="single" w:sz="4" w:space="0" w:color="000000"/>
              <w:bottom w:val="single" w:sz="4" w:space="0" w:color="000000"/>
              <w:right w:val="single" w:sz="4" w:space="0" w:color="000000"/>
            </w:tcBorders>
            <w:vAlign w:val="center"/>
          </w:tcPr>
          <w:p w14:paraId="13654186" w14:textId="77777777" w:rsidR="00736F4A" w:rsidRDefault="00100640">
            <w:pPr>
              <w:spacing w:line="240" w:lineRule="auto"/>
              <w:ind w:left="46"/>
              <w:rPr>
                <w:lang w:val="hu-HU"/>
              </w:rPr>
            </w:pPr>
            <w:r>
              <w:rPr>
                <w:lang w:val="hu-HU"/>
              </w:rPr>
              <w:t>3,52, 5,13</w:t>
            </w:r>
          </w:p>
        </w:tc>
        <w:tc>
          <w:tcPr>
            <w:tcW w:w="2693" w:type="dxa"/>
            <w:tcBorders>
              <w:top w:val="single" w:sz="4" w:space="0" w:color="000000"/>
              <w:left w:val="single" w:sz="4" w:space="0" w:color="000000"/>
              <w:bottom w:val="single" w:sz="4" w:space="0" w:color="000000"/>
              <w:right w:val="single" w:sz="4" w:space="0" w:color="000000"/>
            </w:tcBorders>
            <w:vAlign w:val="center"/>
          </w:tcPr>
          <w:p w14:paraId="2E8F70EC" w14:textId="77777777" w:rsidR="00736F4A" w:rsidRDefault="00100640">
            <w:pPr>
              <w:spacing w:line="240" w:lineRule="auto"/>
              <w:ind w:left="41"/>
              <w:rPr>
                <w:lang w:val="hu-HU"/>
              </w:rPr>
            </w:pPr>
            <w:r>
              <w:rPr>
                <w:lang w:val="hu-HU"/>
              </w:rPr>
              <w:t>3,34, 4,91</w:t>
            </w:r>
          </w:p>
        </w:tc>
      </w:tr>
      <w:tr w:rsidR="00736F4A" w14:paraId="164D035A" w14:textId="77777777">
        <w:trPr>
          <w:trHeight w:val="264"/>
        </w:trPr>
        <w:tc>
          <w:tcPr>
            <w:tcW w:w="2304" w:type="dxa"/>
            <w:tcBorders>
              <w:top w:val="single" w:sz="4" w:space="0" w:color="000000"/>
              <w:left w:val="single" w:sz="4" w:space="0" w:color="000000"/>
              <w:bottom w:val="single" w:sz="4" w:space="0" w:color="000000"/>
              <w:right w:val="single" w:sz="4" w:space="0" w:color="000000"/>
            </w:tcBorders>
          </w:tcPr>
          <w:p w14:paraId="2420721E" w14:textId="77777777" w:rsidR="00736F4A" w:rsidRDefault="00100640">
            <w:pPr>
              <w:spacing w:line="240" w:lineRule="auto"/>
              <w:rPr>
                <w:lang w:val="hu-HU"/>
              </w:rPr>
            </w:pPr>
            <w:r>
              <w:rPr>
                <w:lang w:val="hu-HU"/>
              </w:rPr>
              <w:t>Szimptómás MVT</w:t>
            </w:r>
          </w:p>
        </w:tc>
        <w:tc>
          <w:tcPr>
            <w:tcW w:w="2909" w:type="dxa"/>
            <w:tcBorders>
              <w:top w:val="single" w:sz="4" w:space="0" w:color="000000"/>
              <w:left w:val="single" w:sz="4" w:space="0" w:color="000000"/>
              <w:bottom w:val="single" w:sz="4" w:space="0" w:color="000000"/>
              <w:right w:val="single" w:sz="4" w:space="0" w:color="000000"/>
            </w:tcBorders>
          </w:tcPr>
          <w:p w14:paraId="0BC6A538" w14:textId="77777777" w:rsidR="00736F4A" w:rsidRDefault="00100640">
            <w:pPr>
              <w:spacing w:line="240" w:lineRule="auto"/>
              <w:ind w:left="45"/>
              <w:rPr>
                <w:lang w:val="hu-HU"/>
              </w:rPr>
            </w:pPr>
            <w:r>
              <w:rPr>
                <w:lang w:val="hu-HU"/>
              </w:rPr>
              <w:t>45 (1,8%)</w:t>
            </w:r>
          </w:p>
        </w:tc>
        <w:tc>
          <w:tcPr>
            <w:tcW w:w="2693" w:type="dxa"/>
            <w:tcBorders>
              <w:top w:val="single" w:sz="4" w:space="0" w:color="000000"/>
              <w:left w:val="single" w:sz="4" w:space="0" w:color="000000"/>
              <w:bottom w:val="single" w:sz="4" w:space="0" w:color="000000"/>
              <w:right w:val="single" w:sz="4" w:space="0" w:color="000000"/>
            </w:tcBorders>
          </w:tcPr>
          <w:p w14:paraId="5EBD1149" w14:textId="77777777" w:rsidR="00736F4A" w:rsidRDefault="00100640">
            <w:pPr>
              <w:spacing w:line="240" w:lineRule="auto"/>
              <w:ind w:left="40"/>
              <w:rPr>
                <w:lang w:val="hu-HU"/>
              </w:rPr>
            </w:pPr>
            <w:r>
              <w:rPr>
                <w:lang w:val="hu-HU"/>
              </w:rPr>
              <w:t>39 (1,5%)</w:t>
            </w:r>
          </w:p>
        </w:tc>
      </w:tr>
      <w:tr w:rsidR="00736F4A" w14:paraId="2AB6DFD9"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23864167" w14:textId="77777777" w:rsidR="00736F4A" w:rsidRDefault="00100640">
            <w:pPr>
              <w:spacing w:line="240" w:lineRule="auto"/>
              <w:rPr>
                <w:lang w:val="hu-HU"/>
              </w:rPr>
            </w:pPr>
            <w:r>
              <w:rPr>
                <w:lang w:val="hu-HU"/>
              </w:rP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7087DE9D" w14:textId="77777777" w:rsidR="00736F4A" w:rsidRDefault="00100640">
            <w:pPr>
              <w:spacing w:line="240" w:lineRule="auto"/>
              <w:ind w:left="46"/>
              <w:rPr>
                <w:lang w:val="hu-HU"/>
              </w:rPr>
            </w:pPr>
            <w:r>
              <w:rPr>
                <w:lang w:val="hu-HU"/>
              </w:rPr>
              <w:t>1,29, 2,35</w:t>
            </w:r>
          </w:p>
        </w:tc>
        <w:tc>
          <w:tcPr>
            <w:tcW w:w="2693" w:type="dxa"/>
            <w:tcBorders>
              <w:top w:val="single" w:sz="4" w:space="0" w:color="000000"/>
              <w:left w:val="single" w:sz="4" w:space="0" w:color="000000"/>
              <w:bottom w:val="single" w:sz="4" w:space="0" w:color="000000"/>
              <w:right w:val="single" w:sz="4" w:space="0" w:color="000000"/>
            </w:tcBorders>
            <w:vAlign w:val="center"/>
          </w:tcPr>
          <w:p w14:paraId="277410D7" w14:textId="77777777" w:rsidR="00736F4A" w:rsidRDefault="00100640">
            <w:pPr>
              <w:spacing w:line="240" w:lineRule="auto"/>
              <w:ind w:left="41"/>
              <w:rPr>
                <w:lang w:val="hu-HU"/>
              </w:rPr>
            </w:pPr>
            <w:r>
              <w:rPr>
                <w:lang w:val="hu-HU"/>
              </w:rPr>
              <w:t>1,09, 2,08</w:t>
            </w:r>
          </w:p>
        </w:tc>
      </w:tr>
      <w:tr w:rsidR="00736F4A" w14:paraId="423394F0" w14:textId="77777777">
        <w:trPr>
          <w:trHeight w:val="288"/>
        </w:trPr>
        <w:tc>
          <w:tcPr>
            <w:tcW w:w="2304" w:type="dxa"/>
            <w:tcBorders>
              <w:top w:val="single" w:sz="4" w:space="0" w:color="000000"/>
              <w:left w:val="single" w:sz="4" w:space="0" w:color="000000"/>
              <w:bottom w:val="single" w:sz="4" w:space="0" w:color="000000"/>
              <w:right w:val="single" w:sz="4" w:space="0" w:color="000000"/>
            </w:tcBorders>
          </w:tcPr>
          <w:p w14:paraId="44B65635" w14:textId="77777777" w:rsidR="00736F4A" w:rsidRDefault="00100640">
            <w:pPr>
              <w:spacing w:line="240" w:lineRule="auto"/>
              <w:rPr>
                <w:lang w:val="hu-HU"/>
              </w:rPr>
            </w:pPr>
            <w:r>
              <w:rPr>
                <w:lang w:val="hu-HU"/>
              </w:rPr>
              <w:t>Szimptómás PE</w:t>
            </w:r>
          </w:p>
        </w:tc>
        <w:tc>
          <w:tcPr>
            <w:tcW w:w="2909" w:type="dxa"/>
            <w:tcBorders>
              <w:top w:val="single" w:sz="4" w:space="0" w:color="000000"/>
              <w:left w:val="single" w:sz="4" w:space="0" w:color="000000"/>
              <w:bottom w:val="single" w:sz="4" w:space="0" w:color="000000"/>
              <w:right w:val="single" w:sz="4" w:space="0" w:color="000000"/>
            </w:tcBorders>
          </w:tcPr>
          <w:p w14:paraId="221608F2" w14:textId="77777777" w:rsidR="00736F4A" w:rsidRDefault="00100640">
            <w:pPr>
              <w:spacing w:line="240" w:lineRule="auto"/>
              <w:ind w:left="45"/>
              <w:rPr>
                <w:lang w:val="hu-HU"/>
              </w:rPr>
            </w:pPr>
            <w:r>
              <w:rPr>
                <w:lang w:val="hu-HU"/>
              </w:rPr>
              <w:t>27 (1,1%)</w:t>
            </w:r>
          </w:p>
        </w:tc>
        <w:tc>
          <w:tcPr>
            <w:tcW w:w="2693" w:type="dxa"/>
            <w:tcBorders>
              <w:top w:val="single" w:sz="4" w:space="0" w:color="000000"/>
              <w:left w:val="single" w:sz="4" w:space="0" w:color="000000"/>
              <w:bottom w:val="single" w:sz="4" w:space="0" w:color="000000"/>
              <w:right w:val="single" w:sz="4" w:space="0" w:color="000000"/>
            </w:tcBorders>
          </w:tcPr>
          <w:p w14:paraId="4261EFA6" w14:textId="77777777" w:rsidR="00736F4A" w:rsidRDefault="00100640">
            <w:pPr>
              <w:spacing w:line="240" w:lineRule="auto"/>
              <w:ind w:left="40"/>
              <w:rPr>
                <w:lang w:val="hu-HU"/>
              </w:rPr>
            </w:pPr>
            <w:r>
              <w:rPr>
                <w:lang w:val="hu-HU"/>
              </w:rPr>
              <w:t>26 (1,0%)</w:t>
            </w:r>
          </w:p>
        </w:tc>
      </w:tr>
      <w:tr w:rsidR="00736F4A" w14:paraId="4AABEB48"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4FE588AA" w14:textId="77777777" w:rsidR="00736F4A" w:rsidRDefault="00100640">
            <w:pPr>
              <w:spacing w:line="240" w:lineRule="auto"/>
              <w:rPr>
                <w:lang w:val="hu-HU"/>
              </w:rPr>
            </w:pPr>
            <w:r>
              <w:rPr>
                <w:lang w:val="hu-HU"/>
              </w:rP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33B8B48E" w14:textId="77777777" w:rsidR="00736F4A" w:rsidRDefault="00100640">
            <w:pPr>
              <w:spacing w:line="240" w:lineRule="auto"/>
              <w:ind w:left="46"/>
              <w:rPr>
                <w:lang w:val="hu-HU"/>
              </w:rPr>
            </w:pPr>
            <w:r>
              <w:rPr>
                <w:lang w:val="hu-HU"/>
              </w:rPr>
              <w:t>0,70, 1,54</w:t>
            </w:r>
          </w:p>
        </w:tc>
        <w:tc>
          <w:tcPr>
            <w:tcW w:w="2693" w:type="dxa"/>
            <w:tcBorders>
              <w:top w:val="single" w:sz="4" w:space="0" w:color="000000"/>
              <w:left w:val="single" w:sz="4" w:space="0" w:color="000000"/>
              <w:bottom w:val="single" w:sz="4" w:space="0" w:color="000000"/>
              <w:right w:val="single" w:sz="4" w:space="0" w:color="000000"/>
            </w:tcBorders>
            <w:vAlign w:val="center"/>
          </w:tcPr>
          <w:p w14:paraId="4FF37A69" w14:textId="77777777" w:rsidR="00736F4A" w:rsidRDefault="00100640">
            <w:pPr>
              <w:spacing w:line="240" w:lineRule="auto"/>
              <w:ind w:left="41"/>
              <w:rPr>
                <w:lang w:val="hu-HU"/>
              </w:rPr>
            </w:pPr>
            <w:r>
              <w:rPr>
                <w:lang w:val="hu-HU"/>
              </w:rPr>
              <w:t>0,67, 1,49</w:t>
            </w:r>
          </w:p>
        </w:tc>
      </w:tr>
      <w:tr w:rsidR="00736F4A" w14:paraId="02281BAC"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406DFA87" w14:textId="77777777" w:rsidR="00736F4A" w:rsidRDefault="00100640">
            <w:pPr>
              <w:spacing w:line="240" w:lineRule="auto"/>
              <w:rPr>
                <w:lang w:val="hu-HU"/>
              </w:rPr>
            </w:pPr>
            <w:r>
              <w:rPr>
                <w:lang w:val="hu-HU"/>
              </w:rPr>
              <w:t>VTE-vel összefüggő halál</w:t>
            </w:r>
          </w:p>
        </w:tc>
        <w:tc>
          <w:tcPr>
            <w:tcW w:w="2909" w:type="dxa"/>
            <w:tcBorders>
              <w:top w:val="single" w:sz="4" w:space="0" w:color="000000"/>
              <w:left w:val="single" w:sz="4" w:space="0" w:color="000000"/>
              <w:bottom w:val="single" w:sz="4" w:space="0" w:color="000000"/>
              <w:right w:val="single" w:sz="4" w:space="0" w:color="000000"/>
            </w:tcBorders>
            <w:vAlign w:val="center"/>
          </w:tcPr>
          <w:p w14:paraId="5630F0EC" w14:textId="77777777" w:rsidR="00736F4A" w:rsidRDefault="00100640">
            <w:pPr>
              <w:spacing w:line="240" w:lineRule="auto"/>
              <w:ind w:left="45"/>
              <w:rPr>
                <w:lang w:val="hu-HU"/>
              </w:rPr>
            </w:pPr>
            <w:r>
              <w:rPr>
                <w:lang w:val="hu-HU"/>
              </w:rPr>
              <w:t>4 (0,2%)</w:t>
            </w:r>
          </w:p>
        </w:tc>
        <w:tc>
          <w:tcPr>
            <w:tcW w:w="2693" w:type="dxa"/>
            <w:tcBorders>
              <w:top w:val="single" w:sz="4" w:space="0" w:color="000000"/>
              <w:left w:val="single" w:sz="4" w:space="0" w:color="000000"/>
              <w:bottom w:val="single" w:sz="4" w:space="0" w:color="000000"/>
              <w:right w:val="single" w:sz="4" w:space="0" w:color="000000"/>
            </w:tcBorders>
            <w:vAlign w:val="center"/>
          </w:tcPr>
          <w:p w14:paraId="2E976C72" w14:textId="77777777" w:rsidR="00736F4A" w:rsidRDefault="00100640">
            <w:pPr>
              <w:spacing w:line="240" w:lineRule="auto"/>
              <w:ind w:left="40"/>
              <w:rPr>
                <w:lang w:val="hu-HU"/>
              </w:rPr>
            </w:pPr>
            <w:r>
              <w:rPr>
                <w:lang w:val="hu-HU"/>
              </w:rPr>
              <w:t>3 (0,1%)</w:t>
            </w:r>
          </w:p>
        </w:tc>
      </w:tr>
      <w:tr w:rsidR="00736F4A" w14:paraId="4DEA414F"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57BA492F" w14:textId="77777777" w:rsidR="00736F4A" w:rsidRDefault="00100640">
            <w:pPr>
              <w:spacing w:line="240" w:lineRule="auto"/>
              <w:rPr>
                <w:lang w:val="hu-HU"/>
              </w:rPr>
            </w:pPr>
            <w:r>
              <w:rPr>
                <w:lang w:val="hu-HU"/>
              </w:rP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209676A8" w14:textId="77777777" w:rsidR="00736F4A" w:rsidRDefault="00100640">
            <w:pPr>
              <w:spacing w:line="240" w:lineRule="auto"/>
              <w:ind w:left="46"/>
              <w:rPr>
                <w:lang w:val="hu-HU"/>
              </w:rPr>
            </w:pPr>
            <w:r>
              <w:rPr>
                <w:lang w:val="hu-HU"/>
              </w:rPr>
              <w:t>0,04, 0,40</w:t>
            </w:r>
          </w:p>
        </w:tc>
        <w:tc>
          <w:tcPr>
            <w:tcW w:w="2693" w:type="dxa"/>
            <w:tcBorders>
              <w:top w:val="single" w:sz="4" w:space="0" w:color="000000"/>
              <w:left w:val="single" w:sz="4" w:space="0" w:color="000000"/>
              <w:bottom w:val="single" w:sz="4" w:space="0" w:color="000000"/>
              <w:right w:val="single" w:sz="4" w:space="0" w:color="000000"/>
            </w:tcBorders>
            <w:vAlign w:val="center"/>
          </w:tcPr>
          <w:p w14:paraId="4752C8B2" w14:textId="77777777" w:rsidR="00736F4A" w:rsidRDefault="00100640">
            <w:pPr>
              <w:spacing w:line="240" w:lineRule="auto"/>
              <w:ind w:left="41"/>
              <w:rPr>
                <w:lang w:val="hu-HU"/>
              </w:rPr>
            </w:pPr>
            <w:r>
              <w:rPr>
                <w:lang w:val="hu-HU"/>
              </w:rPr>
              <w:t>0,02, 0,34</w:t>
            </w:r>
          </w:p>
        </w:tc>
      </w:tr>
      <w:tr w:rsidR="00736F4A" w14:paraId="1D8D56A2" w14:textId="77777777">
        <w:trPr>
          <w:trHeight w:val="288"/>
        </w:trPr>
        <w:tc>
          <w:tcPr>
            <w:tcW w:w="2304" w:type="dxa"/>
            <w:tcBorders>
              <w:top w:val="single" w:sz="4" w:space="0" w:color="000000"/>
              <w:left w:val="single" w:sz="4" w:space="0" w:color="000000"/>
              <w:bottom w:val="single" w:sz="4" w:space="0" w:color="000000"/>
              <w:right w:val="single" w:sz="4" w:space="0" w:color="000000"/>
            </w:tcBorders>
          </w:tcPr>
          <w:p w14:paraId="2ED85C13" w14:textId="77777777" w:rsidR="00736F4A" w:rsidRDefault="00100640">
            <w:pPr>
              <w:spacing w:line="240" w:lineRule="auto"/>
              <w:rPr>
                <w:lang w:val="hu-HU"/>
              </w:rPr>
            </w:pPr>
            <w:r>
              <w:rPr>
                <w:lang w:val="hu-HU"/>
              </w:rPr>
              <w:t>Összhalálozás</w:t>
            </w:r>
          </w:p>
        </w:tc>
        <w:tc>
          <w:tcPr>
            <w:tcW w:w="2909" w:type="dxa"/>
            <w:tcBorders>
              <w:top w:val="single" w:sz="4" w:space="0" w:color="000000"/>
              <w:left w:val="single" w:sz="4" w:space="0" w:color="000000"/>
              <w:bottom w:val="single" w:sz="4" w:space="0" w:color="000000"/>
              <w:right w:val="single" w:sz="4" w:space="0" w:color="000000"/>
            </w:tcBorders>
          </w:tcPr>
          <w:p w14:paraId="3D511FB7" w14:textId="77777777" w:rsidR="00736F4A" w:rsidRDefault="00100640">
            <w:pPr>
              <w:spacing w:line="240" w:lineRule="auto"/>
              <w:ind w:left="45"/>
              <w:rPr>
                <w:lang w:val="hu-HU"/>
              </w:rPr>
            </w:pPr>
            <w:r>
              <w:rPr>
                <w:lang w:val="hu-HU"/>
              </w:rPr>
              <w:t>51 (2,0%)</w:t>
            </w:r>
          </w:p>
        </w:tc>
        <w:tc>
          <w:tcPr>
            <w:tcW w:w="2693" w:type="dxa"/>
            <w:tcBorders>
              <w:top w:val="single" w:sz="4" w:space="0" w:color="000000"/>
              <w:left w:val="single" w:sz="4" w:space="0" w:color="000000"/>
              <w:bottom w:val="single" w:sz="4" w:space="0" w:color="000000"/>
              <w:right w:val="single" w:sz="4" w:space="0" w:color="000000"/>
            </w:tcBorders>
          </w:tcPr>
          <w:p w14:paraId="6C3A8F03" w14:textId="77777777" w:rsidR="00736F4A" w:rsidRDefault="00100640">
            <w:pPr>
              <w:spacing w:line="240" w:lineRule="auto"/>
              <w:ind w:left="40"/>
              <w:rPr>
                <w:lang w:val="hu-HU"/>
              </w:rPr>
            </w:pPr>
            <w:r>
              <w:rPr>
                <w:lang w:val="hu-HU"/>
              </w:rPr>
              <w:t>52 (2,0%)</w:t>
            </w:r>
          </w:p>
        </w:tc>
      </w:tr>
      <w:tr w:rsidR="00736F4A" w14:paraId="3915CB37"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52415819" w14:textId="77777777" w:rsidR="00736F4A" w:rsidRDefault="00100640">
            <w:pPr>
              <w:spacing w:line="240" w:lineRule="auto"/>
              <w:rPr>
                <w:lang w:val="hu-HU"/>
              </w:rPr>
            </w:pPr>
            <w:r>
              <w:rPr>
                <w:lang w:val="hu-HU"/>
              </w:rP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2FDD895B" w14:textId="77777777" w:rsidR="00736F4A" w:rsidRDefault="00100640">
            <w:pPr>
              <w:spacing w:line="240" w:lineRule="auto"/>
              <w:ind w:left="46"/>
              <w:rPr>
                <w:lang w:val="hu-HU"/>
              </w:rPr>
            </w:pPr>
            <w:r>
              <w:rPr>
                <w:lang w:val="hu-HU"/>
              </w:rPr>
              <w:t>1,49, 2,62</w:t>
            </w:r>
          </w:p>
        </w:tc>
        <w:tc>
          <w:tcPr>
            <w:tcW w:w="2693" w:type="dxa"/>
            <w:tcBorders>
              <w:top w:val="single" w:sz="4" w:space="0" w:color="000000"/>
              <w:left w:val="single" w:sz="4" w:space="0" w:color="000000"/>
              <w:bottom w:val="single" w:sz="4" w:space="0" w:color="000000"/>
              <w:right w:val="single" w:sz="4" w:space="0" w:color="000000"/>
            </w:tcBorders>
            <w:vAlign w:val="center"/>
          </w:tcPr>
          <w:p w14:paraId="60EB2C77" w14:textId="77777777" w:rsidR="00736F4A" w:rsidRDefault="00100640">
            <w:pPr>
              <w:spacing w:line="240" w:lineRule="auto"/>
              <w:ind w:left="41"/>
              <w:rPr>
                <w:lang w:val="hu-HU"/>
              </w:rPr>
            </w:pPr>
            <w:r>
              <w:rPr>
                <w:lang w:val="hu-HU"/>
              </w:rPr>
              <w:t>1,52, 2,66</w:t>
            </w:r>
          </w:p>
        </w:tc>
      </w:tr>
    </w:tbl>
    <w:p w14:paraId="1421CBBC" w14:textId="77777777" w:rsidR="00736F4A" w:rsidRDefault="00736F4A">
      <w:pPr>
        <w:spacing w:line="240" w:lineRule="auto"/>
        <w:rPr>
          <w:lang w:val="hu-HU"/>
        </w:rPr>
      </w:pPr>
    </w:p>
    <w:p w14:paraId="6F919B19" w14:textId="77777777" w:rsidR="00736F4A" w:rsidRDefault="00100640">
      <w:pPr>
        <w:spacing w:line="240" w:lineRule="auto"/>
        <w:rPr>
          <w:u w:val="single"/>
          <w:lang w:val="hu-HU"/>
        </w:rPr>
      </w:pPr>
      <w:r>
        <w:rPr>
          <w:u w:val="single"/>
          <w:lang w:val="hu-HU"/>
        </w:rPr>
        <w:t>Az MVT és PE kiújulásának megelőzése felnőtt betegeknél (MVT/PE prevenció)</w:t>
      </w:r>
    </w:p>
    <w:p w14:paraId="3FF809F0" w14:textId="77777777" w:rsidR="00736F4A" w:rsidRDefault="00736F4A">
      <w:pPr>
        <w:spacing w:line="240" w:lineRule="auto"/>
        <w:rPr>
          <w:lang w:val="hu-HU"/>
        </w:rPr>
      </w:pPr>
    </w:p>
    <w:p w14:paraId="29A21FC5" w14:textId="77777777" w:rsidR="00736F4A" w:rsidRDefault="00100640">
      <w:pPr>
        <w:spacing w:line="240" w:lineRule="auto"/>
        <w:ind w:left="7" w:right="9"/>
      </w:pPr>
      <w:r>
        <w:t>Két randomizált, parallel csoportos, kettős vak vizsgálatot végeztek a korábban antikoaguláns-kezelésben részesülő betegeknél. A RE-MEDY warfarin-kontrollos vizsgálatba olyan betegeket vontak be, akiket már 3-12 hónapja kezeltek, és további antikoaguláns kezelésre volt szükségük, a RE-SONATE placebokontrollos vizsgálatba pedig olyan betegeket vontak be, akik 6-18 hónapja már K-vitamin-antagonista-kezelést kaptak.</w:t>
      </w:r>
    </w:p>
    <w:p w14:paraId="4BA98B67" w14:textId="77777777" w:rsidR="00736F4A" w:rsidRDefault="00736F4A">
      <w:pPr>
        <w:spacing w:line="240" w:lineRule="auto"/>
        <w:ind w:left="7" w:right="9"/>
      </w:pPr>
    </w:p>
    <w:p w14:paraId="4255C928" w14:textId="77777777" w:rsidR="00736F4A" w:rsidRDefault="00100640">
      <w:pPr>
        <w:spacing w:line="240" w:lineRule="auto"/>
        <w:ind w:left="7" w:right="9"/>
      </w:pPr>
      <w:r>
        <w:lastRenderedPageBreak/>
        <w:t xml:space="preserve">A RE-MEDY vizsgálat célja az volt, hogy összehasonlítsa a </w:t>
      </w:r>
      <w:r>
        <w:rPr>
          <w:i/>
          <w:iCs/>
        </w:rPr>
        <w:t>per os</w:t>
      </w:r>
      <w:r>
        <w:t xml:space="preserve"> dabigatrán-etexilátnak (naponta kétszer 150 mg) a warfarinhoz képest (INR célérték: 2,0-3,0) a hosszú távú kezelésben és a szimptómás MVT és/vagy PE kiújulásának megelőzésében mutatott biztonságosságát és hatásosságát. Összesen 2866 beteget randomizáltak és 2856 beteget kezeltek. A dabigatrán-etexilát-kezelés időtartama 6 és 36 hónap között volt (átlagosan 534 nap). A warfarin-csoportba randomizált betegeknél a terápiás tartományban (INR érték 2,0-3,0) töltött medián időtartam 64,9% volt.</w:t>
      </w:r>
    </w:p>
    <w:p w14:paraId="7012DC18" w14:textId="77777777" w:rsidR="00736F4A" w:rsidRDefault="00736F4A">
      <w:pPr>
        <w:spacing w:line="240" w:lineRule="auto"/>
        <w:ind w:left="7" w:right="9"/>
      </w:pPr>
    </w:p>
    <w:p w14:paraId="1E927962" w14:textId="77777777" w:rsidR="00736F4A" w:rsidRDefault="00100640">
      <w:pPr>
        <w:spacing w:line="240" w:lineRule="auto"/>
        <w:ind w:left="7" w:right="9"/>
      </w:pPr>
      <w:r>
        <w:t>A RE-MEDY vizsgálat kimutatta, hogy a naponta kétszer adott 150 mg dabigatrán-etexilát-kezelés nem volt rosszabb (non-inferior) a warfarinnál (a non-interferitásra vonatkozó határ: 2,85 a relatív hazárd és 2,8 a kockázat különbsége esetén).</w:t>
      </w:r>
    </w:p>
    <w:p w14:paraId="74477765" w14:textId="77777777" w:rsidR="00736F4A" w:rsidRDefault="00736F4A">
      <w:pPr>
        <w:spacing w:line="240" w:lineRule="auto"/>
        <w:rPr>
          <w:lang w:val="hu-HU"/>
        </w:rPr>
      </w:pPr>
    </w:p>
    <w:p w14:paraId="74BC52E0" w14:textId="77777777" w:rsidR="00736F4A" w:rsidRDefault="00100640">
      <w:pPr>
        <w:spacing w:line="240" w:lineRule="auto"/>
        <w:rPr>
          <w:b/>
        </w:rPr>
      </w:pPr>
      <w:r>
        <w:rPr>
          <w:b/>
        </w:rPr>
        <w:t>23. táblázat. Az elsődleges és másodlagos hatásossági végpontok elemzése (a VTE az MVT és/vagy PE együtt) a kezelés utáni időszak végéig a RE-MEDY vizsgálatban</w:t>
      </w:r>
    </w:p>
    <w:p w14:paraId="77C45EDF" w14:textId="77777777" w:rsidR="00736F4A" w:rsidRDefault="00736F4A">
      <w:pPr>
        <w:spacing w:line="240" w:lineRule="auto"/>
        <w:rPr>
          <w:lang w:val="hu-HU"/>
        </w:rPr>
      </w:pPr>
    </w:p>
    <w:tbl>
      <w:tblPr>
        <w:tblW w:w="8047" w:type="dxa"/>
        <w:tblInd w:w="-34" w:type="dxa"/>
        <w:tblCellMar>
          <w:top w:w="51" w:type="dxa"/>
          <w:left w:w="70" w:type="dxa"/>
          <w:right w:w="115" w:type="dxa"/>
        </w:tblCellMar>
        <w:tblLook w:val="04A0" w:firstRow="1" w:lastRow="0" w:firstColumn="1" w:lastColumn="0" w:noHBand="0" w:noVBand="1"/>
      </w:tblPr>
      <w:tblGrid>
        <w:gridCol w:w="3652"/>
        <w:gridCol w:w="1985"/>
        <w:gridCol w:w="2410"/>
      </w:tblGrid>
      <w:tr w:rsidR="00736F4A" w14:paraId="1A335CDC" w14:textId="77777777">
        <w:trPr>
          <w:trHeight w:val="1022"/>
        </w:trPr>
        <w:tc>
          <w:tcPr>
            <w:tcW w:w="3653" w:type="dxa"/>
            <w:tcBorders>
              <w:top w:val="single" w:sz="4" w:space="0" w:color="000000"/>
              <w:left w:val="single" w:sz="4" w:space="0" w:color="000000"/>
              <w:bottom w:val="single" w:sz="4" w:space="0" w:color="000000"/>
              <w:right w:val="single" w:sz="4" w:space="0" w:color="000000"/>
            </w:tcBorders>
          </w:tcPr>
          <w:p w14:paraId="437888D2" w14:textId="77777777" w:rsidR="00736F4A" w:rsidRDefault="00736F4A">
            <w:pPr>
              <w:spacing w:line="240" w:lineRule="auto"/>
              <w:rPr>
                <w:lang w:val="hu-HU"/>
              </w:rPr>
            </w:pPr>
          </w:p>
        </w:tc>
        <w:tc>
          <w:tcPr>
            <w:tcW w:w="1985" w:type="dxa"/>
            <w:tcBorders>
              <w:top w:val="single" w:sz="4" w:space="0" w:color="000000"/>
              <w:left w:val="single" w:sz="4" w:space="0" w:color="000000"/>
              <w:bottom w:val="single" w:sz="4" w:space="0" w:color="000000"/>
              <w:right w:val="single" w:sz="4" w:space="0" w:color="000000"/>
            </w:tcBorders>
          </w:tcPr>
          <w:p w14:paraId="0225CB37" w14:textId="77777777" w:rsidR="00736F4A" w:rsidRDefault="00100640">
            <w:pPr>
              <w:spacing w:line="240" w:lineRule="auto"/>
              <w:rPr>
                <w:lang w:val="hu-HU"/>
              </w:rPr>
            </w:pPr>
            <w:r>
              <w:rPr>
                <w:lang w:val="hu-HU"/>
              </w:rPr>
              <w:t>Dabigatrán-etexilát naponta kétszer 150 mg</w:t>
            </w:r>
          </w:p>
        </w:tc>
        <w:tc>
          <w:tcPr>
            <w:tcW w:w="2410" w:type="dxa"/>
            <w:tcBorders>
              <w:top w:val="single" w:sz="4" w:space="0" w:color="000000"/>
              <w:left w:val="single" w:sz="4" w:space="0" w:color="000000"/>
              <w:bottom w:val="single" w:sz="4" w:space="0" w:color="000000"/>
              <w:right w:val="single" w:sz="4" w:space="0" w:color="000000"/>
            </w:tcBorders>
          </w:tcPr>
          <w:p w14:paraId="7EF1B82C" w14:textId="77777777" w:rsidR="00736F4A" w:rsidRDefault="00100640">
            <w:pPr>
              <w:spacing w:line="240" w:lineRule="auto"/>
              <w:ind w:left="46"/>
              <w:rPr>
                <w:lang w:val="hu-HU"/>
              </w:rPr>
            </w:pPr>
            <w:r>
              <w:rPr>
                <w:lang w:val="hu-HU"/>
              </w:rPr>
              <w:t>Warfarin</w:t>
            </w:r>
          </w:p>
        </w:tc>
      </w:tr>
      <w:tr w:rsidR="00736F4A" w14:paraId="1AE156F0"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3F7E2B7B" w14:textId="77777777" w:rsidR="00736F4A" w:rsidRDefault="00100640">
            <w:pPr>
              <w:spacing w:line="240" w:lineRule="auto"/>
              <w:rPr>
                <w:lang w:val="hu-HU"/>
              </w:rPr>
            </w:pPr>
            <w:r>
              <w:rPr>
                <w:lang w:val="hu-HU"/>
              </w:rPr>
              <w:t>Kezelt betegek</w:t>
            </w:r>
          </w:p>
        </w:tc>
        <w:tc>
          <w:tcPr>
            <w:tcW w:w="1985" w:type="dxa"/>
            <w:tcBorders>
              <w:top w:val="single" w:sz="4" w:space="0" w:color="000000"/>
              <w:left w:val="single" w:sz="4" w:space="0" w:color="000000"/>
              <w:bottom w:val="single" w:sz="4" w:space="0" w:color="000000"/>
              <w:right w:val="single" w:sz="4" w:space="0" w:color="000000"/>
            </w:tcBorders>
          </w:tcPr>
          <w:p w14:paraId="6656D311" w14:textId="77777777" w:rsidR="00736F4A" w:rsidRDefault="00100640">
            <w:pPr>
              <w:spacing w:line="240" w:lineRule="auto"/>
              <w:ind w:left="43"/>
              <w:rPr>
                <w:lang w:val="hu-HU"/>
              </w:rPr>
            </w:pPr>
            <w:r>
              <w:rPr>
                <w:lang w:val="hu-HU"/>
              </w:rPr>
              <w:t xml:space="preserve">1430 </w:t>
            </w:r>
          </w:p>
        </w:tc>
        <w:tc>
          <w:tcPr>
            <w:tcW w:w="2410" w:type="dxa"/>
            <w:tcBorders>
              <w:top w:val="single" w:sz="4" w:space="0" w:color="000000"/>
              <w:left w:val="single" w:sz="4" w:space="0" w:color="000000"/>
              <w:bottom w:val="single" w:sz="4" w:space="0" w:color="000000"/>
              <w:right w:val="single" w:sz="4" w:space="0" w:color="000000"/>
            </w:tcBorders>
          </w:tcPr>
          <w:p w14:paraId="2BEC14A9" w14:textId="77777777" w:rsidR="00736F4A" w:rsidRDefault="00100640">
            <w:pPr>
              <w:spacing w:line="240" w:lineRule="auto"/>
              <w:ind w:left="41"/>
              <w:rPr>
                <w:lang w:val="hu-HU"/>
              </w:rPr>
            </w:pPr>
            <w:r>
              <w:rPr>
                <w:lang w:val="hu-HU"/>
              </w:rPr>
              <w:t xml:space="preserve">1426 </w:t>
            </w:r>
          </w:p>
        </w:tc>
      </w:tr>
      <w:tr w:rsidR="00736F4A" w14:paraId="15E99A2B"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51D0E9DD" w14:textId="77777777" w:rsidR="00736F4A" w:rsidRDefault="00100640">
            <w:pPr>
              <w:spacing w:line="240" w:lineRule="auto"/>
              <w:rPr>
                <w:lang w:val="hu-HU"/>
              </w:rPr>
            </w:pPr>
            <w:r>
              <w:rPr>
                <w:lang w:val="hu-HU"/>
              </w:rPr>
              <w:t>Szimptómás VTE és VTE kiújulásával összefüggő halál</w:t>
            </w:r>
          </w:p>
        </w:tc>
        <w:tc>
          <w:tcPr>
            <w:tcW w:w="1985" w:type="dxa"/>
            <w:tcBorders>
              <w:top w:val="single" w:sz="4" w:space="0" w:color="000000"/>
              <w:left w:val="single" w:sz="4" w:space="0" w:color="000000"/>
              <w:bottom w:val="single" w:sz="4" w:space="0" w:color="000000"/>
              <w:right w:val="single" w:sz="4" w:space="0" w:color="000000"/>
            </w:tcBorders>
            <w:vAlign w:val="center"/>
          </w:tcPr>
          <w:p w14:paraId="56A8915C" w14:textId="77777777" w:rsidR="00736F4A" w:rsidRDefault="00100640">
            <w:pPr>
              <w:spacing w:line="240" w:lineRule="auto"/>
              <w:ind w:left="47"/>
              <w:rPr>
                <w:lang w:val="hu-HU"/>
              </w:rPr>
            </w:pPr>
            <w:r>
              <w:rPr>
                <w:lang w:val="hu-HU"/>
              </w:rPr>
              <w:t>26 (1,8%)</w:t>
            </w:r>
          </w:p>
        </w:tc>
        <w:tc>
          <w:tcPr>
            <w:tcW w:w="2410" w:type="dxa"/>
            <w:tcBorders>
              <w:top w:val="single" w:sz="4" w:space="0" w:color="000000"/>
              <w:left w:val="single" w:sz="4" w:space="0" w:color="000000"/>
              <w:bottom w:val="single" w:sz="4" w:space="0" w:color="000000"/>
              <w:right w:val="single" w:sz="4" w:space="0" w:color="000000"/>
            </w:tcBorders>
            <w:vAlign w:val="center"/>
          </w:tcPr>
          <w:p w14:paraId="1BDD5A9B" w14:textId="77777777" w:rsidR="00736F4A" w:rsidRDefault="00100640">
            <w:pPr>
              <w:spacing w:line="240" w:lineRule="auto"/>
              <w:ind w:left="45"/>
              <w:rPr>
                <w:lang w:val="hu-HU"/>
              </w:rPr>
            </w:pPr>
            <w:r>
              <w:rPr>
                <w:lang w:val="hu-HU"/>
              </w:rPr>
              <w:t>18 (1,3%)</w:t>
            </w:r>
          </w:p>
        </w:tc>
      </w:tr>
      <w:tr w:rsidR="00736F4A" w14:paraId="25A4E41B" w14:textId="77777777">
        <w:trPr>
          <w:trHeight w:val="770"/>
        </w:trPr>
        <w:tc>
          <w:tcPr>
            <w:tcW w:w="3653" w:type="dxa"/>
            <w:tcBorders>
              <w:top w:val="single" w:sz="4" w:space="0" w:color="000000"/>
              <w:left w:val="single" w:sz="4" w:space="0" w:color="000000"/>
              <w:bottom w:val="single" w:sz="4" w:space="0" w:color="000000"/>
              <w:right w:val="single" w:sz="4" w:space="0" w:color="000000"/>
            </w:tcBorders>
          </w:tcPr>
          <w:p w14:paraId="3DCC1D64" w14:textId="77777777" w:rsidR="00736F4A" w:rsidRDefault="00100640">
            <w:pPr>
              <w:spacing w:line="240" w:lineRule="auto"/>
              <w:rPr>
                <w:lang w:val="hu-HU"/>
              </w:rPr>
            </w:pPr>
            <w:r>
              <w:rPr>
                <w:lang w:val="hu-HU"/>
              </w:rPr>
              <w:t>Relatív hazárd (hazard ratio) a warfarinhoz képest (95%-os konfidenciaintervallum)</w:t>
            </w:r>
          </w:p>
        </w:tc>
        <w:tc>
          <w:tcPr>
            <w:tcW w:w="1985" w:type="dxa"/>
            <w:tcBorders>
              <w:top w:val="single" w:sz="4" w:space="0" w:color="000000"/>
              <w:left w:val="single" w:sz="4" w:space="0" w:color="000000"/>
              <w:bottom w:val="single" w:sz="4" w:space="0" w:color="000000"/>
              <w:right w:val="single" w:sz="4" w:space="0" w:color="000000"/>
            </w:tcBorders>
            <w:vAlign w:val="center"/>
          </w:tcPr>
          <w:p w14:paraId="5A9060E4" w14:textId="77777777" w:rsidR="00736F4A" w:rsidRDefault="00100640">
            <w:pPr>
              <w:spacing w:line="240" w:lineRule="auto"/>
              <w:ind w:left="408" w:right="363"/>
              <w:rPr>
                <w:lang w:val="hu-HU"/>
              </w:rPr>
            </w:pPr>
            <w:r>
              <w:rPr>
                <w:lang w:val="hu-HU"/>
              </w:rPr>
              <w:t>1,44</w:t>
            </w:r>
          </w:p>
          <w:p w14:paraId="6FE1E351" w14:textId="77777777" w:rsidR="00736F4A" w:rsidRDefault="00100640">
            <w:pPr>
              <w:spacing w:line="240" w:lineRule="auto"/>
              <w:ind w:left="408" w:right="363"/>
              <w:rPr>
                <w:lang w:val="hu-HU"/>
              </w:rPr>
            </w:pPr>
            <w:r>
              <w:rPr>
                <w:lang w:val="hu-HU"/>
              </w:rPr>
              <w:t>(0,78, 2,64)</w:t>
            </w:r>
          </w:p>
        </w:tc>
        <w:tc>
          <w:tcPr>
            <w:tcW w:w="2410" w:type="dxa"/>
            <w:tcBorders>
              <w:top w:val="single" w:sz="4" w:space="0" w:color="000000"/>
              <w:left w:val="single" w:sz="4" w:space="0" w:color="000000"/>
              <w:bottom w:val="single" w:sz="4" w:space="0" w:color="000000"/>
              <w:right w:val="single" w:sz="4" w:space="0" w:color="000000"/>
            </w:tcBorders>
          </w:tcPr>
          <w:p w14:paraId="47DA881F" w14:textId="77777777" w:rsidR="00736F4A" w:rsidRDefault="00736F4A">
            <w:pPr>
              <w:spacing w:line="240" w:lineRule="auto"/>
              <w:rPr>
                <w:lang w:val="hu-HU"/>
              </w:rPr>
            </w:pPr>
          </w:p>
        </w:tc>
      </w:tr>
      <w:tr w:rsidR="00736F4A" w14:paraId="0C0ECA2B"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41CFA74A" w14:textId="77777777" w:rsidR="00736F4A" w:rsidRDefault="00100640">
            <w:pPr>
              <w:spacing w:line="240" w:lineRule="auto"/>
              <w:rPr>
                <w:lang w:val="hu-HU"/>
              </w:rPr>
            </w:pPr>
            <w:r>
              <w:rPr>
                <w:lang w:val="hu-HU"/>
              </w:rPr>
              <w:t>a non-inferioritási határérték</w:t>
            </w:r>
          </w:p>
        </w:tc>
        <w:tc>
          <w:tcPr>
            <w:tcW w:w="1985" w:type="dxa"/>
            <w:tcBorders>
              <w:top w:val="single" w:sz="4" w:space="0" w:color="000000"/>
              <w:left w:val="single" w:sz="4" w:space="0" w:color="000000"/>
              <w:bottom w:val="single" w:sz="4" w:space="0" w:color="000000"/>
              <w:right w:val="single" w:sz="4" w:space="0" w:color="000000"/>
            </w:tcBorders>
          </w:tcPr>
          <w:p w14:paraId="5651A6A9" w14:textId="77777777" w:rsidR="00736F4A" w:rsidRDefault="00100640">
            <w:pPr>
              <w:spacing w:line="240" w:lineRule="auto"/>
              <w:ind w:left="46"/>
              <w:rPr>
                <w:lang w:val="hu-HU"/>
              </w:rPr>
            </w:pPr>
            <w:r>
              <w:rPr>
                <w:lang w:val="hu-HU"/>
              </w:rPr>
              <w:t xml:space="preserve">2,85 </w:t>
            </w:r>
          </w:p>
        </w:tc>
        <w:tc>
          <w:tcPr>
            <w:tcW w:w="2410" w:type="dxa"/>
            <w:tcBorders>
              <w:top w:val="single" w:sz="4" w:space="0" w:color="000000"/>
              <w:left w:val="single" w:sz="4" w:space="0" w:color="000000"/>
              <w:bottom w:val="single" w:sz="4" w:space="0" w:color="000000"/>
              <w:right w:val="single" w:sz="4" w:space="0" w:color="000000"/>
            </w:tcBorders>
          </w:tcPr>
          <w:p w14:paraId="15738700" w14:textId="77777777" w:rsidR="00736F4A" w:rsidRDefault="00736F4A">
            <w:pPr>
              <w:spacing w:line="240" w:lineRule="auto"/>
              <w:rPr>
                <w:lang w:val="hu-HU"/>
              </w:rPr>
            </w:pPr>
          </w:p>
        </w:tc>
      </w:tr>
      <w:tr w:rsidR="00736F4A" w14:paraId="6D4423DC"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2E6E8BD2" w14:textId="77777777" w:rsidR="00736F4A" w:rsidRDefault="00100640">
            <w:pPr>
              <w:spacing w:line="240" w:lineRule="auto"/>
              <w:rPr>
                <w:lang w:val="hu-HU"/>
              </w:rPr>
            </w:pPr>
            <w:r>
              <w:rPr>
                <w:lang w:val="hu-HU"/>
              </w:rPr>
              <w:t>18 hónapnál valamilyen eseményt mutató betegek</w:t>
            </w:r>
          </w:p>
        </w:tc>
        <w:tc>
          <w:tcPr>
            <w:tcW w:w="1985" w:type="dxa"/>
            <w:tcBorders>
              <w:top w:val="single" w:sz="4" w:space="0" w:color="000000"/>
              <w:left w:val="single" w:sz="4" w:space="0" w:color="000000"/>
              <w:bottom w:val="single" w:sz="4" w:space="0" w:color="000000"/>
              <w:right w:val="single" w:sz="4" w:space="0" w:color="000000"/>
            </w:tcBorders>
            <w:vAlign w:val="center"/>
          </w:tcPr>
          <w:p w14:paraId="61F6B39B" w14:textId="77777777" w:rsidR="00736F4A" w:rsidRDefault="00100640">
            <w:pPr>
              <w:spacing w:line="240" w:lineRule="auto"/>
              <w:ind w:left="43"/>
              <w:rPr>
                <w:lang w:val="hu-HU"/>
              </w:rPr>
            </w:pPr>
            <w:r>
              <w:rPr>
                <w:lang w:val="hu-HU"/>
              </w:rPr>
              <w:t>22</w:t>
            </w:r>
          </w:p>
        </w:tc>
        <w:tc>
          <w:tcPr>
            <w:tcW w:w="2410" w:type="dxa"/>
            <w:tcBorders>
              <w:top w:val="single" w:sz="4" w:space="0" w:color="000000"/>
              <w:left w:val="single" w:sz="4" w:space="0" w:color="000000"/>
              <w:bottom w:val="single" w:sz="4" w:space="0" w:color="000000"/>
              <w:right w:val="single" w:sz="4" w:space="0" w:color="000000"/>
            </w:tcBorders>
            <w:vAlign w:val="center"/>
          </w:tcPr>
          <w:p w14:paraId="5055239D" w14:textId="77777777" w:rsidR="00736F4A" w:rsidRDefault="00100640">
            <w:pPr>
              <w:spacing w:line="240" w:lineRule="auto"/>
              <w:ind w:left="41"/>
              <w:rPr>
                <w:lang w:val="hu-HU"/>
              </w:rPr>
            </w:pPr>
            <w:r>
              <w:rPr>
                <w:lang w:val="hu-HU"/>
              </w:rPr>
              <w:t>17</w:t>
            </w:r>
          </w:p>
        </w:tc>
      </w:tr>
      <w:tr w:rsidR="00736F4A" w14:paraId="279A5B66"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6A20A95A" w14:textId="77777777" w:rsidR="00736F4A" w:rsidRDefault="00100640">
            <w:pPr>
              <w:spacing w:line="240" w:lineRule="auto"/>
              <w:ind w:right="1413"/>
              <w:rPr>
                <w:lang w:val="hu-HU"/>
              </w:rPr>
            </w:pPr>
            <w:r>
              <w:rPr>
                <w:lang w:val="hu-HU"/>
              </w:rPr>
              <w:t>Kumulatív kockázat 18 hónapnál (%)</w:t>
            </w:r>
          </w:p>
        </w:tc>
        <w:tc>
          <w:tcPr>
            <w:tcW w:w="1985" w:type="dxa"/>
            <w:tcBorders>
              <w:top w:val="single" w:sz="4" w:space="0" w:color="000000"/>
              <w:left w:val="single" w:sz="4" w:space="0" w:color="000000"/>
              <w:bottom w:val="single" w:sz="4" w:space="0" w:color="000000"/>
              <w:right w:val="single" w:sz="4" w:space="0" w:color="000000"/>
            </w:tcBorders>
            <w:vAlign w:val="center"/>
          </w:tcPr>
          <w:p w14:paraId="020DDA69" w14:textId="77777777" w:rsidR="00736F4A" w:rsidRDefault="00100640">
            <w:pPr>
              <w:spacing w:line="240" w:lineRule="auto"/>
              <w:ind w:left="46"/>
              <w:rPr>
                <w:lang w:val="hu-HU"/>
              </w:rPr>
            </w:pPr>
            <w:r>
              <w:rPr>
                <w:lang w:val="hu-HU"/>
              </w:rPr>
              <w:t>1,7</w:t>
            </w:r>
          </w:p>
        </w:tc>
        <w:tc>
          <w:tcPr>
            <w:tcW w:w="2410" w:type="dxa"/>
            <w:tcBorders>
              <w:top w:val="single" w:sz="4" w:space="0" w:color="000000"/>
              <w:left w:val="single" w:sz="4" w:space="0" w:color="000000"/>
              <w:bottom w:val="single" w:sz="4" w:space="0" w:color="000000"/>
              <w:right w:val="single" w:sz="4" w:space="0" w:color="000000"/>
            </w:tcBorders>
            <w:vAlign w:val="center"/>
          </w:tcPr>
          <w:p w14:paraId="68809328" w14:textId="77777777" w:rsidR="00736F4A" w:rsidRDefault="00100640">
            <w:pPr>
              <w:spacing w:line="240" w:lineRule="auto"/>
              <w:ind w:left="43"/>
              <w:rPr>
                <w:lang w:val="hu-HU"/>
              </w:rPr>
            </w:pPr>
            <w:r>
              <w:rPr>
                <w:lang w:val="hu-HU"/>
              </w:rPr>
              <w:t>1,4</w:t>
            </w:r>
          </w:p>
        </w:tc>
      </w:tr>
      <w:tr w:rsidR="00736F4A" w14:paraId="2BA01683"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67B117D1" w14:textId="77777777" w:rsidR="00736F4A" w:rsidRDefault="00100640">
            <w:pPr>
              <w:spacing w:line="240" w:lineRule="auto"/>
              <w:rPr>
                <w:lang w:val="hu-HU"/>
              </w:rPr>
            </w:pPr>
            <w:r>
              <w:rPr>
                <w:lang w:val="hu-HU"/>
              </w:rPr>
              <w:t>Kockázat különbség a warfarinhoz képest (%)</w:t>
            </w:r>
          </w:p>
        </w:tc>
        <w:tc>
          <w:tcPr>
            <w:tcW w:w="1985" w:type="dxa"/>
            <w:tcBorders>
              <w:top w:val="single" w:sz="4" w:space="0" w:color="000000"/>
              <w:left w:val="single" w:sz="4" w:space="0" w:color="000000"/>
              <w:bottom w:val="single" w:sz="4" w:space="0" w:color="000000"/>
              <w:right w:val="single" w:sz="4" w:space="0" w:color="000000"/>
            </w:tcBorders>
            <w:vAlign w:val="center"/>
          </w:tcPr>
          <w:p w14:paraId="0FEB9CDF" w14:textId="77777777" w:rsidR="00736F4A" w:rsidRDefault="00100640">
            <w:pPr>
              <w:spacing w:line="240" w:lineRule="auto"/>
              <w:ind w:left="46"/>
              <w:rPr>
                <w:lang w:val="hu-HU"/>
              </w:rPr>
            </w:pPr>
            <w:r>
              <w:rPr>
                <w:lang w:val="hu-HU"/>
              </w:rPr>
              <w:t>0,4</w:t>
            </w:r>
          </w:p>
        </w:tc>
        <w:tc>
          <w:tcPr>
            <w:tcW w:w="2410" w:type="dxa"/>
            <w:tcBorders>
              <w:top w:val="single" w:sz="4" w:space="0" w:color="000000"/>
              <w:left w:val="single" w:sz="4" w:space="0" w:color="000000"/>
              <w:bottom w:val="single" w:sz="4" w:space="0" w:color="000000"/>
              <w:right w:val="single" w:sz="4" w:space="0" w:color="000000"/>
            </w:tcBorders>
          </w:tcPr>
          <w:p w14:paraId="5CEDD8B9" w14:textId="77777777" w:rsidR="00736F4A" w:rsidRDefault="00736F4A">
            <w:pPr>
              <w:spacing w:line="240" w:lineRule="auto"/>
              <w:rPr>
                <w:lang w:val="hu-HU"/>
              </w:rPr>
            </w:pPr>
          </w:p>
        </w:tc>
      </w:tr>
      <w:tr w:rsidR="00736F4A" w14:paraId="200FDEF4"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378C693F" w14:textId="77777777" w:rsidR="00736F4A" w:rsidRDefault="00100640">
            <w:pPr>
              <w:spacing w:line="240" w:lineRule="auto"/>
              <w:rPr>
                <w:lang w:val="hu-HU"/>
              </w:rPr>
            </w:pPr>
            <w:r>
              <w:rPr>
                <w:lang w:val="hu-HU"/>
              </w:rP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20AE5E92" w14:textId="77777777" w:rsidR="00736F4A" w:rsidRDefault="00736F4A">
            <w:pPr>
              <w:spacing w:line="240" w:lineRule="auto"/>
              <w:rPr>
                <w:lang w:val="hu-HU"/>
              </w:rPr>
            </w:pPr>
          </w:p>
        </w:tc>
        <w:tc>
          <w:tcPr>
            <w:tcW w:w="2410" w:type="dxa"/>
            <w:tcBorders>
              <w:top w:val="single" w:sz="4" w:space="0" w:color="000000"/>
              <w:left w:val="single" w:sz="4" w:space="0" w:color="000000"/>
              <w:bottom w:val="single" w:sz="4" w:space="0" w:color="000000"/>
              <w:right w:val="single" w:sz="4" w:space="0" w:color="000000"/>
            </w:tcBorders>
          </w:tcPr>
          <w:p w14:paraId="5C6EC1DB" w14:textId="77777777" w:rsidR="00736F4A" w:rsidRDefault="00736F4A">
            <w:pPr>
              <w:spacing w:line="240" w:lineRule="auto"/>
              <w:rPr>
                <w:lang w:val="hu-HU"/>
              </w:rPr>
            </w:pPr>
          </w:p>
        </w:tc>
      </w:tr>
      <w:tr w:rsidR="00736F4A" w14:paraId="41B52E0A"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1BE8FBCD" w14:textId="77777777" w:rsidR="00736F4A" w:rsidRDefault="00100640">
            <w:pPr>
              <w:spacing w:line="240" w:lineRule="auto"/>
              <w:rPr>
                <w:lang w:val="hu-HU"/>
              </w:rPr>
            </w:pPr>
            <w:r>
              <w:rPr>
                <w:lang w:val="hu-HU"/>
              </w:rPr>
              <w:t>a non-inferioritási határérték</w:t>
            </w:r>
          </w:p>
        </w:tc>
        <w:tc>
          <w:tcPr>
            <w:tcW w:w="1985" w:type="dxa"/>
            <w:tcBorders>
              <w:top w:val="single" w:sz="4" w:space="0" w:color="000000"/>
              <w:left w:val="single" w:sz="4" w:space="0" w:color="000000"/>
              <w:bottom w:val="single" w:sz="4" w:space="0" w:color="000000"/>
              <w:right w:val="single" w:sz="4" w:space="0" w:color="000000"/>
            </w:tcBorders>
          </w:tcPr>
          <w:p w14:paraId="5410B40C" w14:textId="77777777" w:rsidR="00736F4A" w:rsidRDefault="00100640">
            <w:pPr>
              <w:spacing w:line="240" w:lineRule="auto"/>
              <w:ind w:left="46"/>
              <w:rPr>
                <w:lang w:val="hu-HU"/>
              </w:rPr>
            </w:pPr>
            <w:r>
              <w:rPr>
                <w:lang w:val="hu-HU"/>
              </w:rPr>
              <w:t>2,8</w:t>
            </w:r>
          </w:p>
        </w:tc>
        <w:tc>
          <w:tcPr>
            <w:tcW w:w="2410" w:type="dxa"/>
            <w:tcBorders>
              <w:top w:val="single" w:sz="4" w:space="0" w:color="000000"/>
              <w:left w:val="single" w:sz="4" w:space="0" w:color="000000"/>
              <w:bottom w:val="single" w:sz="4" w:space="0" w:color="000000"/>
              <w:right w:val="single" w:sz="4" w:space="0" w:color="000000"/>
            </w:tcBorders>
          </w:tcPr>
          <w:p w14:paraId="1FD822A1" w14:textId="77777777" w:rsidR="00736F4A" w:rsidRDefault="00736F4A">
            <w:pPr>
              <w:spacing w:line="240" w:lineRule="auto"/>
              <w:rPr>
                <w:lang w:val="hu-HU"/>
              </w:rPr>
            </w:pPr>
          </w:p>
        </w:tc>
      </w:tr>
      <w:tr w:rsidR="00736F4A" w14:paraId="13BE0DB9"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5EB40E45" w14:textId="77777777" w:rsidR="00736F4A" w:rsidRDefault="00100640">
            <w:pPr>
              <w:spacing w:line="240" w:lineRule="auto"/>
              <w:rPr>
                <w:lang w:val="hu-HU"/>
              </w:rPr>
            </w:pPr>
            <w:r>
              <w:rPr>
                <w:lang w:val="hu-HU"/>
              </w:rPr>
              <w:t>Másodlagos hatásossági végpontok</w:t>
            </w:r>
          </w:p>
        </w:tc>
        <w:tc>
          <w:tcPr>
            <w:tcW w:w="1985" w:type="dxa"/>
            <w:tcBorders>
              <w:top w:val="single" w:sz="4" w:space="0" w:color="000000"/>
              <w:left w:val="single" w:sz="4" w:space="0" w:color="000000"/>
              <w:bottom w:val="single" w:sz="4" w:space="0" w:color="000000"/>
              <w:right w:val="single" w:sz="4" w:space="0" w:color="000000"/>
            </w:tcBorders>
          </w:tcPr>
          <w:p w14:paraId="3C9468B3" w14:textId="77777777" w:rsidR="00736F4A" w:rsidRDefault="00736F4A">
            <w:pPr>
              <w:spacing w:line="240" w:lineRule="auto"/>
              <w:rPr>
                <w:lang w:val="hu-HU"/>
              </w:rPr>
            </w:pPr>
          </w:p>
        </w:tc>
        <w:tc>
          <w:tcPr>
            <w:tcW w:w="2410" w:type="dxa"/>
            <w:tcBorders>
              <w:top w:val="single" w:sz="4" w:space="0" w:color="000000"/>
              <w:left w:val="single" w:sz="4" w:space="0" w:color="000000"/>
              <w:bottom w:val="single" w:sz="4" w:space="0" w:color="000000"/>
              <w:right w:val="single" w:sz="4" w:space="0" w:color="000000"/>
            </w:tcBorders>
          </w:tcPr>
          <w:p w14:paraId="248169A1" w14:textId="77777777" w:rsidR="00736F4A" w:rsidRDefault="00736F4A">
            <w:pPr>
              <w:spacing w:line="240" w:lineRule="auto"/>
              <w:rPr>
                <w:lang w:val="hu-HU"/>
              </w:rPr>
            </w:pPr>
          </w:p>
        </w:tc>
      </w:tr>
      <w:tr w:rsidR="00736F4A" w14:paraId="1C06BA61"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7D212993" w14:textId="77777777" w:rsidR="00736F4A" w:rsidRDefault="00100640">
            <w:pPr>
              <w:spacing w:line="240" w:lineRule="auto"/>
              <w:rPr>
                <w:lang w:val="hu-HU"/>
              </w:rPr>
            </w:pPr>
            <w:r>
              <w:rPr>
                <w:lang w:val="hu-HU"/>
              </w:rPr>
              <w:t>Szimptómás VTE kiújulása és összhalálozás</w:t>
            </w:r>
          </w:p>
        </w:tc>
        <w:tc>
          <w:tcPr>
            <w:tcW w:w="1985" w:type="dxa"/>
            <w:tcBorders>
              <w:top w:val="single" w:sz="4" w:space="0" w:color="000000"/>
              <w:left w:val="single" w:sz="4" w:space="0" w:color="000000"/>
              <w:bottom w:val="single" w:sz="4" w:space="0" w:color="000000"/>
              <w:right w:val="single" w:sz="4" w:space="0" w:color="000000"/>
            </w:tcBorders>
            <w:vAlign w:val="center"/>
          </w:tcPr>
          <w:p w14:paraId="7C44F585" w14:textId="77777777" w:rsidR="00736F4A" w:rsidRDefault="00100640">
            <w:pPr>
              <w:spacing w:line="240" w:lineRule="auto"/>
              <w:ind w:left="47"/>
              <w:rPr>
                <w:lang w:val="hu-HU"/>
              </w:rPr>
            </w:pPr>
            <w:r>
              <w:rPr>
                <w:lang w:val="hu-HU"/>
              </w:rPr>
              <w:t>42 (2,9%)</w:t>
            </w:r>
          </w:p>
        </w:tc>
        <w:tc>
          <w:tcPr>
            <w:tcW w:w="2410" w:type="dxa"/>
            <w:tcBorders>
              <w:top w:val="single" w:sz="4" w:space="0" w:color="000000"/>
              <w:left w:val="single" w:sz="4" w:space="0" w:color="000000"/>
              <w:bottom w:val="single" w:sz="4" w:space="0" w:color="000000"/>
              <w:right w:val="single" w:sz="4" w:space="0" w:color="000000"/>
            </w:tcBorders>
            <w:vAlign w:val="center"/>
          </w:tcPr>
          <w:p w14:paraId="7C8BD8BD" w14:textId="77777777" w:rsidR="00736F4A" w:rsidRDefault="00100640">
            <w:pPr>
              <w:spacing w:line="240" w:lineRule="auto"/>
              <w:ind w:left="45"/>
              <w:rPr>
                <w:lang w:val="hu-HU"/>
              </w:rPr>
            </w:pPr>
            <w:r>
              <w:rPr>
                <w:lang w:val="hu-HU"/>
              </w:rPr>
              <w:t>36 (2,5%)</w:t>
            </w:r>
          </w:p>
        </w:tc>
      </w:tr>
      <w:tr w:rsidR="00736F4A" w14:paraId="10B21327"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4928EE7C" w14:textId="77777777" w:rsidR="00736F4A" w:rsidRDefault="00100640">
            <w:pPr>
              <w:spacing w:line="240" w:lineRule="auto"/>
              <w:rPr>
                <w:lang w:val="hu-HU"/>
              </w:rPr>
            </w:pPr>
            <w:r>
              <w:rPr>
                <w:lang w:val="hu-HU"/>
              </w:rPr>
              <w:t xml:space="preserve">95%-os konfidenciaintervallum </w:t>
            </w:r>
          </w:p>
        </w:tc>
        <w:tc>
          <w:tcPr>
            <w:tcW w:w="1985" w:type="dxa"/>
            <w:tcBorders>
              <w:top w:val="single" w:sz="4" w:space="0" w:color="000000"/>
              <w:left w:val="single" w:sz="4" w:space="0" w:color="000000"/>
              <w:bottom w:val="single" w:sz="4" w:space="0" w:color="000000"/>
              <w:right w:val="single" w:sz="4" w:space="0" w:color="000000"/>
            </w:tcBorders>
          </w:tcPr>
          <w:p w14:paraId="4251DD51" w14:textId="77777777" w:rsidR="00736F4A" w:rsidRDefault="00100640">
            <w:pPr>
              <w:spacing w:line="240" w:lineRule="auto"/>
              <w:ind w:left="48"/>
              <w:rPr>
                <w:lang w:val="hu-HU"/>
              </w:rPr>
            </w:pPr>
            <w:r>
              <w:rPr>
                <w:lang w:val="hu-HU"/>
              </w:rPr>
              <w:t>2,12, 3,95</w:t>
            </w:r>
          </w:p>
        </w:tc>
        <w:tc>
          <w:tcPr>
            <w:tcW w:w="2410" w:type="dxa"/>
            <w:tcBorders>
              <w:top w:val="single" w:sz="4" w:space="0" w:color="000000"/>
              <w:left w:val="single" w:sz="4" w:space="0" w:color="000000"/>
              <w:bottom w:val="single" w:sz="4" w:space="0" w:color="000000"/>
              <w:right w:val="single" w:sz="4" w:space="0" w:color="000000"/>
            </w:tcBorders>
          </w:tcPr>
          <w:p w14:paraId="59A45733" w14:textId="77777777" w:rsidR="00736F4A" w:rsidRDefault="00100640">
            <w:pPr>
              <w:spacing w:line="240" w:lineRule="auto"/>
              <w:ind w:left="46"/>
              <w:rPr>
                <w:lang w:val="hu-HU"/>
              </w:rPr>
            </w:pPr>
            <w:r>
              <w:rPr>
                <w:lang w:val="hu-HU"/>
              </w:rPr>
              <w:t>1,77, 3,48</w:t>
            </w:r>
          </w:p>
        </w:tc>
      </w:tr>
      <w:tr w:rsidR="00736F4A" w14:paraId="6E8A02E3"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1A95678F" w14:textId="77777777" w:rsidR="00736F4A" w:rsidRDefault="00100640">
            <w:pPr>
              <w:spacing w:line="240" w:lineRule="auto"/>
              <w:rPr>
                <w:lang w:val="hu-HU"/>
              </w:rPr>
            </w:pPr>
            <w:r>
              <w:rPr>
                <w:lang w:val="hu-HU"/>
              </w:rPr>
              <w:t>Szimptómás MVT</w:t>
            </w:r>
          </w:p>
        </w:tc>
        <w:tc>
          <w:tcPr>
            <w:tcW w:w="1985" w:type="dxa"/>
            <w:tcBorders>
              <w:top w:val="single" w:sz="4" w:space="0" w:color="000000"/>
              <w:left w:val="single" w:sz="4" w:space="0" w:color="000000"/>
              <w:bottom w:val="single" w:sz="4" w:space="0" w:color="000000"/>
              <w:right w:val="single" w:sz="4" w:space="0" w:color="000000"/>
            </w:tcBorders>
          </w:tcPr>
          <w:p w14:paraId="70B288C0" w14:textId="77777777" w:rsidR="00736F4A" w:rsidRDefault="00100640">
            <w:pPr>
              <w:spacing w:line="240" w:lineRule="auto"/>
              <w:ind w:left="47"/>
              <w:rPr>
                <w:lang w:val="hu-HU"/>
              </w:rPr>
            </w:pPr>
            <w:r>
              <w:rPr>
                <w:lang w:val="hu-HU"/>
              </w:rPr>
              <w:t>17 (1,2%)</w:t>
            </w:r>
          </w:p>
        </w:tc>
        <w:tc>
          <w:tcPr>
            <w:tcW w:w="2410" w:type="dxa"/>
            <w:tcBorders>
              <w:top w:val="single" w:sz="4" w:space="0" w:color="000000"/>
              <w:left w:val="single" w:sz="4" w:space="0" w:color="000000"/>
              <w:bottom w:val="single" w:sz="4" w:space="0" w:color="000000"/>
              <w:right w:val="single" w:sz="4" w:space="0" w:color="000000"/>
            </w:tcBorders>
          </w:tcPr>
          <w:p w14:paraId="0C35299C" w14:textId="77777777" w:rsidR="00736F4A" w:rsidRDefault="00100640">
            <w:pPr>
              <w:spacing w:line="240" w:lineRule="auto"/>
              <w:ind w:left="45"/>
              <w:rPr>
                <w:lang w:val="hu-HU"/>
              </w:rPr>
            </w:pPr>
            <w:r>
              <w:rPr>
                <w:lang w:val="hu-HU"/>
              </w:rPr>
              <w:t>13 (0,9%)</w:t>
            </w:r>
          </w:p>
        </w:tc>
      </w:tr>
      <w:tr w:rsidR="00736F4A" w14:paraId="07A45EB2"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3F9DA7AA" w14:textId="77777777" w:rsidR="00736F4A" w:rsidRDefault="00100640">
            <w:pPr>
              <w:spacing w:line="240" w:lineRule="auto"/>
              <w:rPr>
                <w:lang w:val="hu-HU"/>
              </w:rPr>
            </w:pPr>
            <w:r>
              <w:rPr>
                <w:lang w:val="hu-HU"/>
              </w:rP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1E35FF80" w14:textId="77777777" w:rsidR="00736F4A" w:rsidRDefault="00100640">
            <w:pPr>
              <w:spacing w:line="240" w:lineRule="auto"/>
              <w:ind w:left="48"/>
              <w:rPr>
                <w:lang w:val="hu-HU"/>
              </w:rPr>
            </w:pPr>
            <w:r>
              <w:rPr>
                <w:lang w:val="hu-HU"/>
              </w:rPr>
              <w:t>0,69, 1,90</w:t>
            </w:r>
          </w:p>
        </w:tc>
        <w:tc>
          <w:tcPr>
            <w:tcW w:w="2410" w:type="dxa"/>
            <w:tcBorders>
              <w:top w:val="single" w:sz="4" w:space="0" w:color="000000"/>
              <w:left w:val="single" w:sz="4" w:space="0" w:color="000000"/>
              <w:bottom w:val="single" w:sz="4" w:space="0" w:color="000000"/>
              <w:right w:val="single" w:sz="4" w:space="0" w:color="000000"/>
            </w:tcBorders>
          </w:tcPr>
          <w:p w14:paraId="189783B4" w14:textId="77777777" w:rsidR="00736F4A" w:rsidRDefault="00100640">
            <w:pPr>
              <w:spacing w:line="240" w:lineRule="auto"/>
              <w:ind w:left="46"/>
              <w:rPr>
                <w:lang w:val="hu-HU"/>
              </w:rPr>
            </w:pPr>
            <w:r>
              <w:rPr>
                <w:lang w:val="hu-HU"/>
              </w:rPr>
              <w:t>0,49, 1,55</w:t>
            </w:r>
          </w:p>
        </w:tc>
      </w:tr>
      <w:tr w:rsidR="00736F4A" w14:paraId="746B370A"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47D17F05" w14:textId="77777777" w:rsidR="00736F4A" w:rsidRDefault="00100640">
            <w:pPr>
              <w:spacing w:line="240" w:lineRule="auto"/>
              <w:rPr>
                <w:lang w:val="hu-HU"/>
              </w:rPr>
            </w:pPr>
            <w:r>
              <w:rPr>
                <w:lang w:val="hu-HU"/>
              </w:rPr>
              <w:t>Szimptómás PE</w:t>
            </w:r>
          </w:p>
        </w:tc>
        <w:tc>
          <w:tcPr>
            <w:tcW w:w="1985" w:type="dxa"/>
            <w:tcBorders>
              <w:top w:val="single" w:sz="4" w:space="0" w:color="000000"/>
              <w:left w:val="single" w:sz="4" w:space="0" w:color="000000"/>
              <w:bottom w:val="single" w:sz="4" w:space="0" w:color="000000"/>
              <w:right w:val="single" w:sz="4" w:space="0" w:color="000000"/>
            </w:tcBorders>
          </w:tcPr>
          <w:p w14:paraId="4B02D109" w14:textId="77777777" w:rsidR="00736F4A" w:rsidRDefault="00100640">
            <w:pPr>
              <w:spacing w:line="240" w:lineRule="auto"/>
              <w:ind w:left="47"/>
              <w:rPr>
                <w:lang w:val="hu-HU"/>
              </w:rPr>
            </w:pPr>
            <w:r>
              <w:rPr>
                <w:lang w:val="hu-HU"/>
              </w:rPr>
              <w:t>10 (0,7%)</w:t>
            </w:r>
          </w:p>
        </w:tc>
        <w:tc>
          <w:tcPr>
            <w:tcW w:w="2410" w:type="dxa"/>
            <w:tcBorders>
              <w:top w:val="single" w:sz="4" w:space="0" w:color="000000"/>
              <w:left w:val="single" w:sz="4" w:space="0" w:color="000000"/>
              <w:bottom w:val="single" w:sz="4" w:space="0" w:color="000000"/>
              <w:right w:val="single" w:sz="4" w:space="0" w:color="000000"/>
            </w:tcBorders>
          </w:tcPr>
          <w:p w14:paraId="461A2787" w14:textId="77777777" w:rsidR="00736F4A" w:rsidRDefault="00100640">
            <w:pPr>
              <w:spacing w:line="240" w:lineRule="auto"/>
              <w:ind w:left="45"/>
              <w:rPr>
                <w:lang w:val="hu-HU"/>
              </w:rPr>
            </w:pPr>
            <w:r>
              <w:rPr>
                <w:lang w:val="hu-HU"/>
              </w:rPr>
              <w:t>5 (0,4%)</w:t>
            </w:r>
          </w:p>
        </w:tc>
      </w:tr>
      <w:tr w:rsidR="00736F4A" w14:paraId="61B41EAA"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502B6208" w14:textId="77777777" w:rsidR="00736F4A" w:rsidRDefault="00100640">
            <w:pPr>
              <w:spacing w:line="240" w:lineRule="auto"/>
              <w:rPr>
                <w:lang w:val="hu-HU"/>
              </w:rPr>
            </w:pPr>
            <w:r>
              <w:rPr>
                <w:lang w:val="hu-HU"/>
              </w:rP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2B5CC039" w14:textId="77777777" w:rsidR="00736F4A" w:rsidRDefault="00100640">
            <w:pPr>
              <w:spacing w:line="240" w:lineRule="auto"/>
              <w:ind w:left="48"/>
              <w:rPr>
                <w:lang w:val="hu-HU"/>
              </w:rPr>
            </w:pPr>
            <w:r>
              <w:rPr>
                <w:lang w:val="hu-HU"/>
              </w:rPr>
              <w:t>0,34, 1,28</w:t>
            </w:r>
          </w:p>
        </w:tc>
        <w:tc>
          <w:tcPr>
            <w:tcW w:w="2410" w:type="dxa"/>
            <w:tcBorders>
              <w:top w:val="single" w:sz="4" w:space="0" w:color="000000"/>
              <w:left w:val="single" w:sz="4" w:space="0" w:color="000000"/>
              <w:bottom w:val="single" w:sz="4" w:space="0" w:color="000000"/>
              <w:right w:val="single" w:sz="4" w:space="0" w:color="000000"/>
            </w:tcBorders>
          </w:tcPr>
          <w:p w14:paraId="20471317" w14:textId="77777777" w:rsidR="00736F4A" w:rsidRDefault="00100640">
            <w:pPr>
              <w:spacing w:line="240" w:lineRule="auto"/>
              <w:ind w:left="46"/>
              <w:rPr>
                <w:lang w:val="hu-HU"/>
              </w:rPr>
            </w:pPr>
            <w:r>
              <w:rPr>
                <w:lang w:val="hu-HU"/>
              </w:rPr>
              <w:t>0,11, 0,82</w:t>
            </w:r>
          </w:p>
        </w:tc>
      </w:tr>
      <w:tr w:rsidR="00736F4A" w14:paraId="7C24B569"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56093A45" w14:textId="77777777" w:rsidR="00736F4A" w:rsidRDefault="00100640">
            <w:pPr>
              <w:spacing w:line="240" w:lineRule="auto"/>
              <w:rPr>
                <w:lang w:val="hu-HU"/>
              </w:rPr>
            </w:pPr>
            <w:r>
              <w:rPr>
                <w:lang w:val="hu-HU"/>
              </w:rPr>
              <w:t>VTE-vel összefüggő halál</w:t>
            </w:r>
          </w:p>
        </w:tc>
        <w:tc>
          <w:tcPr>
            <w:tcW w:w="1985" w:type="dxa"/>
            <w:tcBorders>
              <w:top w:val="single" w:sz="4" w:space="0" w:color="000000"/>
              <w:left w:val="single" w:sz="4" w:space="0" w:color="000000"/>
              <w:bottom w:val="single" w:sz="4" w:space="0" w:color="000000"/>
              <w:right w:val="single" w:sz="4" w:space="0" w:color="000000"/>
            </w:tcBorders>
          </w:tcPr>
          <w:p w14:paraId="3B0D5317" w14:textId="77777777" w:rsidR="00736F4A" w:rsidRDefault="00100640">
            <w:pPr>
              <w:spacing w:line="240" w:lineRule="auto"/>
              <w:ind w:left="47"/>
              <w:rPr>
                <w:lang w:val="hu-HU"/>
              </w:rPr>
            </w:pPr>
            <w:r>
              <w:rPr>
                <w:lang w:val="hu-HU"/>
              </w:rPr>
              <w:t>1 (0,1%)</w:t>
            </w:r>
          </w:p>
        </w:tc>
        <w:tc>
          <w:tcPr>
            <w:tcW w:w="2410" w:type="dxa"/>
            <w:tcBorders>
              <w:top w:val="single" w:sz="4" w:space="0" w:color="000000"/>
              <w:left w:val="single" w:sz="4" w:space="0" w:color="000000"/>
              <w:bottom w:val="single" w:sz="4" w:space="0" w:color="000000"/>
              <w:right w:val="single" w:sz="4" w:space="0" w:color="000000"/>
            </w:tcBorders>
          </w:tcPr>
          <w:p w14:paraId="09397406" w14:textId="77777777" w:rsidR="00736F4A" w:rsidRDefault="00100640">
            <w:pPr>
              <w:spacing w:line="240" w:lineRule="auto"/>
              <w:ind w:left="45"/>
              <w:rPr>
                <w:lang w:val="hu-HU"/>
              </w:rPr>
            </w:pPr>
            <w:r>
              <w:rPr>
                <w:lang w:val="hu-HU"/>
              </w:rPr>
              <w:t>1 (0,1%)</w:t>
            </w:r>
          </w:p>
        </w:tc>
      </w:tr>
      <w:tr w:rsidR="00736F4A" w14:paraId="32853244"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275075EE" w14:textId="77777777" w:rsidR="00736F4A" w:rsidRDefault="00100640">
            <w:pPr>
              <w:spacing w:line="240" w:lineRule="auto"/>
              <w:rPr>
                <w:lang w:val="hu-HU"/>
              </w:rPr>
            </w:pPr>
            <w:r>
              <w:rPr>
                <w:lang w:val="hu-HU"/>
              </w:rP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54C8FDCE" w14:textId="77777777" w:rsidR="00736F4A" w:rsidRDefault="00100640">
            <w:pPr>
              <w:spacing w:line="240" w:lineRule="auto"/>
              <w:ind w:left="48"/>
              <w:rPr>
                <w:lang w:val="hu-HU"/>
              </w:rPr>
            </w:pPr>
            <w:r>
              <w:rPr>
                <w:lang w:val="hu-HU"/>
              </w:rPr>
              <w:t>0,00, 0,39</w:t>
            </w:r>
          </w:p>
        </w:tc>
        <w:tc>
          <w:tcPr>
            <w:tcW w:w="2410" w:type="dxa"/>
            <w:tcBorders>
              <w:top w:val="single" w:sz="4" w:space="0" w:color="000000"/>
              <w:left w:val="single" w:sz="4" w:space="0" w:color="000000"/>
              <w:bottom w:val="single" w:sz="4" w:space="0" w:color="000000"/>
              <w:right w:val="single" w:sz="4" w:space="0" w:color="000000"/>
            </w:tcBorders>
          </w:tcPr>
          <w:p w14:paraId="3DBDB994" w14:textId="77777777" w:rsidR="00736F4A" w:rsidRDefault="00100640">
            <w:pPr>
              <w:spacing w:line="240" w:lineRule="auto"/>
              <w:ind w:left="46"/>
              <w:rPr>
                <w:lang w:val="hu-HU"/>
              </w:rPr>
            </w:pPr>
            <w:r>
              <w:rPr>
                <w:lang w:val="hu-HU"/>
              </w:rPr>
              <w:t>0,00, 0,39</w:t>
            </w:r>
          </w:p>
        </w:tc>
      </w:tr>
      <w:tr w:rsidR="00736F4A" w14:paraId="50A90D52"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3AE629D4" w14:textId="77777777" w:rsidR="00736F4A" w:rsidRDefault="00100640">
            <w:pPr>
              <w:spacing w:line="240" w:lineRule="auto"/>
              <w:rPr>
                <w:lang w:val="hu-HU"/>
              </w:rPr>
            </w:pPr>
            <w:r>
              <w:rPr>
                <w:lang w:val="hu-HU"/>
              </w:rPr>
              <w:t>Összhalálozás</w:t>
            </w:r>
          </w:p>
        </w:tc>
        <w:tc>
          <w:tcPr>
            <w:tcW w:w="1985" w:type="dxa"/>
            <w:tcBorders>
              <w:top w:val="single" w:sz="4" w:space="0" w:color="000000"/>
              <w:left w:val="single" w:sz="4" w:space="0" w:color="000000"/>
              <w:bottom w:val="single" w:sz="4" w:space="0" w:color="000000"/>
              <w:right w:val="single" w:sz="4" w:space="0" w:color="000000"/>
            </w:tcBorders>
          </w:tcPr>
          <w:p w14:paraId="2ADF7CAA" w14:textId="77777777" w:rsidR="00736F4A" w:rsidRDefault="00100640">
            <w:pPr>
              <w:spacing w:line="240" w:lineRule="auto"/>
              <w:ind w:left="47"/>
              <w:rPr>
                <w:lang w:val="hu-HU"/>
              </w:rPr>
            </w:pPr>
            <w:r>
              <w:rPr>
                <w:lang w:val="hu-HU"/>
              </w:rPr>
              <w:t>17 (1,2%)</w:t>
            </w:r>
          </w:p>
        </w:tc>
        <w:tc>
          <w:tcPr>
            <w:tcW w:w="2410" w:type="dxa"/>
            <w:tcBorders>
              <w:top w:val="single" w:sz="4" w:space="0" w:color="000000"/>
              <w:left w:val="single" w:sz="4" w:space="0" w:color="000000"/>
              <w:bottom w:val="single" w:sz="4" w:space="0" w:color="000000"/>
              <w:right w:val="single" w:sz="4" w:space="0" w:color="000000"/>
            </w:tcBorders>
          </w:tcPr>
          <w:p w14:paraId="5ABE46A5" w14:textId="77777777" w:rsidR="00736F4A" w:rsidRDefault="00100640">
            <w:pPr>
              <w:spacing w:line="240" w:lineRule="auto"/>
              <w:ind w:left="45"/>
              <w:rPr>
                <w:lang w:val="hu-HU"/>
              </w:rPr>
            </w:pPr>
            <w:r>
              <w:rPr>
                <w:lang w:val="hu-HU"/>
              </w:rPr>
              <w:t>19 (1,3%)</w:t>
            </w:r>
          </w:p>
        </w:tc>
      </w:tr>
      <w:tr w:rsidR="00736F4A" w14:paraId="53C7D54D"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0070D36B" w14:textId="77777777" w:rsidR="00736F4A" w:rsidRDefault="00100640">
            <w:pPr>
              <w:spacing w:line="240" w:lineRule="auto"/>
              <w:rPr>
                <w:lang w:val="hu-HU"/>
              </w:rPr>
            </w:pPr>
            <w:r>
              <w:rPr>
                <w:lang w:val="hu-HU"/>
              </w:rP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036B4E12" w14:textId="77777777" w:rsidR="00736F4A" w:rsidRDefault="00100640">
            <w:pPr>
              <w:spacing w:line="240" w:lineRule="auto"/>
              <w:ind w:left="48"/>
              <w:rPr>
                <w:lang w:val="hu-HU"/>
              </w:rPr>
            </w:pPr>
            <w:r>
              <w:rPr>
                <w:lang w:val="hu-HU"/>
              </w:rPr>
              <w:t>0,69, 1,90</w:t>
            </w:r>
          </w:p>
        </w:tc>
        <w:tc>
          <w:tcPr>
            <w:tcW w:w="2410" w:type="dxa"/>
            <w:tcBorders>
              <w:top w:val="single" w:sz="4" w:space="0" w:color="000000"/>
              <w:left w:val="single" w:sz="4" w:space="0" w:color="000000"/>
              <w:bottom w:val="single" w:sz="4" w:space="0" w:color="000000"/>
              <w:right w:val="single" w:sz="4" w:space="0" w:color="000000"/>
            </w:tcBorders>
          </w:tcPr>
          <w:p w14:paraId="469EC3BC" w14:textId="77777777" w:rsidR="00736F4A" w:rsidRDefault="00100640">
            <w:pPr>
              <w:spacing w:line="240" w:lineRule="auto"/>
              <w:ind w:left="46"/>
              <w:rPr>
                <w:lang w:val="hu-HU"/>
              </w:rPr>
            </w:pPr>
            <w:r>
              <w:rPr>
                <w:lang w:val="hu-HU"/>
              </w:rPr>
              <w:t>0,80, 2,07</w:t>
            </w:r>
          </w:p>
        </w:tc>
      </w:tr>
    </w:tbl>
    <w:p w14:paraId="344EC8EF" w14:textId="77777777" w:rsidR="00736F4A" w:rsidRDefault="00736F4A">
      <w:pPr>
        <w:spacing w:line="240" w:lineRule="auto"/>
        <w:rPr>
          <w:lang w:val="hu-HU"/>
        </w:rPr>
      </w:pPr>
    </w:p>
    <w:p w14:paraId="4D7F4A1F" w14:textId="77777777" w:rsidR="00736F4A" w:rsidRDefault="00100640">
      <w:pPr>
        <w:spacing w:line="240" w:lineRule="auto"/>
        <w:ind w:left="7" w:right="142"/>
      </w:pPr>
      <w:r>
        <w:t>A RE-SONATE vizsgálat célja a dabigatrán-etexilátnak a szimptómás MVT és/PE kiújulásának prevenciójában mutatott szuperioritásának értékelése a placebóhoz képest olyan betegeknél, akik már legalább 6-18 hónapja K-vitamin-antagonista-kezelésben részesülnek. A tervezett kezelés napi kétszer 150 mg dabigatrán-etexilát volt 6 hónapon át, monitorozás szükségessége nélkül.</w:t>
      </w:r>
    </w:p>
    <w:p w14:paraId="274B642D" w14:textId="77777777" w:rsidR="00736F4A" w:rsidRDefault="00736F4A">
      <w:pPr>
        <w:spacing w:line="240" w:lineRule="auto"/>
        <w:ind w:left="7" w:right="142"/>
      </w:pPr>
    </w:p>
    <w:p w14:paraId="124ECED1" w14:textId="77777777" w:rsidR="00736F4A" w:rsidRDefault="00100640">
      <w:pPr>
        <w:spacing w:line="240" w:lineRule="auto"/>
        <w:ind w:left="7" w:right="9"/>
      </w:pPr>
      <w:r>
        <w:lastRenderedPageBreak/>
        <w:t>A RE-SONATE vizsgálat igazolta a dabigatrán-etexilát placebóhoz viszonyított, a szimptómás MVT/PE kiújulásának prevenciójában mutatott szuperioritását, beleértve az ismeretlen okú haláleseteket is, a kezelési időszak alatt a kockázat 5,6%-ról 0,4%-ra csökkent (a relatív hazárdon alapuló relatív kockázatcsökkenés 92% (p&lt;0,0001). Az elsődleges végpontok másodlagos és szenzitivitási elemzése és minden másodlagos végpont a dabigatrán-etexilát placebóhoz viszonyított szuperioritását igazolta.</w:t>
      </w:r>
    </w:p>
    <w:p w14:paraId="7460F1CD" w14:textId="77777777" w:rsidR="00736F4A" w:rsidRDefault="00736F4A">
      <w:pPr>
        <w:spacing w:line="240" w:lineRule="auto"/>
        <w:ind w:left="7" w:right="9"/>
      </w:pPr>
    </w:p>
    <w:p w14:paraId="4629496C" w14:textId="77777777" w:rsidR="00736F4A" w:rsidRDefault="00100640">
      <w:pPr>
        <w:spacing w:line="240" w:lineRule="auto"/>
        <w:rPr>
          <w:lang w:val="hu-HU"/>
        </w:rPr>
      </w:pPr>
      <w:r>
        <w:t xml:space="preserve">A vizsgálat magában foglalt egy 12 hónapos megfigyeléses utánkövetést a kezelés befejezését követően. A </w:t>
      </w:r>
      <w:r>
        <w:rPr>
          <w:lang w:val="hu-HU"/>
        </w:rPr>
        <w:t xml:space="preserve">vizsgálati gyógyszer szedésének </w:t>
      </w:r>
      <w:r>
        <w:t>leállítását követően a hatás a megfigyelési időszak végéig fennmaradt, ami arra utal, hogy a kezdeti dabigatrán-etexilát-kezelés hatása tartós volt. Rebound hatást nem figyeltek meg. A követés végére a VTE események a dabigatrán-etexiláttal kezelt betegek 6,9%-ánál, míg a placebót kapók 10,7%-ánál voltak észlelhetők (relatív hazárd 0,61 [95%-os CI 0,42, 0,88], [p=0,0082]).</w:t>
      </w:r>
    </w:p>
    <w:p w14:paraId="38F28921" w14:textId="77777777" w:rsidR="00736F4A" w:rsidRDefault="00736F4A">
      <w:pPr>
        <w:spacing w:line="240" w:lineRule="auto"/>
        <w:rPr>
          <w:lang w:val="hu-HU"/>
        </w:rPr>
      </w:pPr>
    </w:p>
    <w:p w14:paraId="4B83891C" w14:textId="77777777" w:rsidR="00736F4A" w:rsidRDefault="00100640">
      <w:pPr>
        <w:spacing w:line="240" w:lineRule="auto"/>
        <w:rPr>
          <w:b/>
        </w:rPr>
      </w:pPr>
      <w:r>
        <w:rPr>
          <w:b/>
        </w:rPr>
        <w:t>24. táblázat. Az elsődleges és másodlagos hatásossági végpontok (a VTE az MVT és/vagy PE együtt) a kezelés utáni időszak végéig a RE-SONATE vizsgálatban</w:t>
      </w:r>
    </w:p>
    <w:p w14:paraId="102FD403" w14:textId="77777777" w:rsidR="00736F4A" w:rsidRDefault="00736F4A">
      <w:pPr>
        <w:spacing w:line="240" w:lineRule="auto"/>
        <w:rPr>
          <w:lang w:val="hu-HU"/>
        </w:rPr>
      </w:pPr>
    </w:p>
    <w:tbl>
      <w:tblPr>
        <w:tblW w:w="8960" w:type="dxa"/>
        <w:tblInd w:w="-34" w:type="dxa"/>
        <w:tblCellMar>
          <w:top w:w="51" w:type="dxa"/>
          <w:left w:w="70" w:type="dxa"/>
          <w:right w:w="25" w:type="dxa"/>
        </w:tblCellMar>
        <w:tblLook w:val="04A0" w:firstRow="1" w:lastRow="0" w:firstColumn="1" w:lastColumn="0" w:noHBand="0" w:noVBand="1"/>
      </w:tblPr>
      <w:tblGrid>
        <w:gridCol w:w="3006"/>
        <w:gridCol w:w="3119"/>
        <w:gridCol w:w="2835"/>
      </w:tblGrid>
      <w:tr w:rsidR="00736F4A" w14:paraId="1A231D1E" w14:textId="77777777">
        <w:trPr>
          <w:trHeight w:val="770"/>
        </w:trPr>
        <w:tc>
          <w:tcPr>
            <w:tcW w:w="3006" w:type="dxa"/>
            <w:tcBorders>
              <w:top w:val="single" w:sz="4" w:space="0" w:color="000000"/>
              <w:left w:val="single" w:sz="4" w:space="0" w:color="000000"/>
              <w:bottom w:val="single" w:sz="4" w:space="0" w:color="000000"/>
              <w:right w:val="single" w:sz="4" w:space="0" w:color="000000"/>
            </w:tcBorders>
          </w:tcPr>
          <w:p w14:paraId="15E52C97" w14:textId="77777777" w:rsidR="00736F4A" w:rsidRDefault="00736F4A">
            <w:pPr>
              <w:spacing w:line="240" w:lineRule="auto"/>
              <w:rPr>
                <w:lang w:val="hu-HU"/>
              </w:rPr>
            </w:pPr>
          </w:p>
        </w:tc>
        <w:tc>
          <w:tcPr>
            <w:tcW w:w="3119" w:type="dxa"/>
            <w:tcBorders>
              <w:top w:val="single" w:sz="4" w:space="0" w:color="000000"/>
              <w:left w:val="single" w:sz="4" w:space="0" w:color="000000"/>
              <w:bottom w:val="single" w:sz="4" w:space="0" w:color="000000"/>
              <w:right w:val="single" w:sz="6" w:space="0" w:color="000000"/>
            </w:tcBorders>
          </w:tcPr>
          <w:p w14:paraId="13EC6ADC" w14:textId="77777777" w:rsidR="00736F4A" w:rsidRDefault="00100640">
            <w:pPr>
              <w:spacing w:line="240" w:lineRule="auto"/>
              <w:ind w:left="75" w:right="116"/>
              <w:rPr>
                <w:lang w:val="hu-HU"/>
              </w:rPr>
            </w:pPr>
            <w:r>
              <w:rPr>
                <w:lang w:val="hu-HU"/>
              </w:rPr>
              <w:t>Dabigatrán-etexilát</w:t>
            </w:r>
          </w:p>
          <w:p w14:paraId="6FCC30C4" w14:textId="77777777" w:rsidR="00736F4A" w:rsidRDefault="00100640">
            <w:pPr>
              <w:spacing w:line="240" w:lineRule="auto"/>
              <w:ind w:left="75" w:right="116"/>
              <w:rPr>
                <w:lang w:val="hu-HU"/>
              </w:rPr>
            </w:pPr>
            <w:r>
              <w:rPr>
                <w:lang w:val="hu-HU"/>
              </w:rPr>
              <w:t>naponta kétszer 150 mg</w:t>
            </w:r>
          </w:p>
        </w:tc>
        <w:tc>
          <w:tcPr>
            <w:tcW w:w="2835" w:type="dxa"/>
            <w:tcBorders>
              <w:top w:val="single" w:sz="4" w:space="0" w:color="000000"/>
              <w:left w:val="single" w:sz="6" w:space="0" w:color="000000"/>
              <w:bottom w:val="single" w:sz="4" w:space="0" w:color="000000"/>
              <w:right w:val="single" w:sz="4" w:space="0" w:color="000000"/>
            </w:tcBorders>
          </w:tcPr>
          <w:p w14:paraId="0777CDE9" w14:textId="77777777" w:rsidR="00736F4A" w:rsidRDefault="00100640">
            <w:pPr>
              <w:spacing w:line="240" w:lineRule="auto"/>
              <w:ind w:right="44"/>
              <w:rPr>
                <w:lang w:val="hu-HU"/>
              </w:rPr>
            </w:pPr>
            <w:r>
              <w:rPr>
                <w:lang w:val="hu-HU"/>
              </w:rPr>
              <w:t>Placebo</w:t>
            </w:r>
          </w:p>
        </w:tc>
      </w:tr>
      <w:tr w:rsidR="00736F4A" w14:paraId="02EAF588"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5020C796" w14:textId="77777777" w:rsidR="00736F4A" w:rsidRDefault="00100640">
            <w:pPr>
              <w:spacing w:line="240" w:lineRule="auto"/>
              <w:rPr>
                <w:lang w:val="hu-HU"/>
              </w:rPr>
            </w:pPr>
            <w:r>
              <w:rPr>
                <w:lang w:val="hu-HU"/>
              </w:rPr>
              <w:t xml:space="preserve">Kezelt betegek </w:t>
            </w:r>
          </w:p>
        </w:tc>
        <w:tc>
          <w:tcPr>
            <w:tcW w:w="3119" w:type="dxa"/>
            <w:tcBorders>
              <w:top w:val="single" w:sz="4" w:space="0" w:color="000000"/>
              <w:left w:val="single" w:sz="4" w:space="0" w:color="000000"/>
              <w:bottom w:val="single" w:sz="4" w:space="0" w:color="000000"/>
              <w:right w:val="single" w:sz="6" w:space="0" w:color="000000"/>
            </w:tcBorders>
          </w:tcPr>
          <w:p w14:paraId="1495AE78" w14:textId="77777777" w:rsidR="00736F4A" w:rsidRDefault="00100640">
            <w:pPr>
              <w:spacing w:line="240" w:lineRule="auto"/>
              <w:ind w:right="53"/>
              <w:rPr>
                <w:lang w:val="hu-HU"/>
              </w:rPr>
            </w:pPr>
            <w:r>
              <w:rPr>
                <w:lang w:val="hu-HU"/>
              </w:rPr>
              <w:t xml:space="preserve">681 </w:t>
            </w:r>
          </w:p>
        </w:tc>
        <w:tc>
          <w:tcPr>
            <w:tcW w:w="2835" w:type="dxa"/>
            <w:tcBorders>
              <w:top w:val="single" w:sz="4" w:space="0" w:color="000000"/>
              <w:left w:val="single" w:sz="6" w:space="0" w:color="000000"/>
              <w:bottom w:val="single" w:sz="4" w:space="0" w:color="000000"/>
              <w:right w:val="single" w:sz="4" w:space="0" w:color="000000"/>
            </w:tcBorders>
          </w:tcPr>
          <w:p w14:paraId="4D52F76D" w14:textId="77777777" w:rsidR="00736F4A" w:rsidRDefault="00100640">
            <w:pPr>
              <w:spacing w:line="240" w:lineRule="auto"/>
              <w:ind w:right="42"/>
              <w:rPr>
                <w:lang w:val="hu-HU"/>
              </w:rPr>
            </w:pPr>
            <w:r>
              <w:rPr>
                <w:lang w:val="hu-HU"/>
              </w:rPr>
              <w:t xml:space="preserve">662 </w:t>
            </w:r>
          </w:p>
        </w:tc>
      </w:tr>
      <w:tr w:rsidR="00736F4A" w14:paraId="64DF6308" w14:textId="77777777">
        <w:trPr>
          <w:trHeight w:val="770"/>
        </w:trPr>
        <w:tc>
          <w:tcPr>
            <w:tcW w:w="3006" w:type="dxa"/>
            <w:tcBorders>
              <w:top w:val="single" w:sz="4" w:space="0" w:color="000000"/>
              <w:left w:val="single" w:sz="4" w:space="0" w:color="000000"/>
              <w:bottom w:val="single" w:sz="4" w:space="0" w:color="000000"/>
              <w:right w:val="single" w:sz="4" w:space="0" w:color="000000"/>
            </w:tcBorders>
          </w:tcPr>
          <w:p w14:paraId="0ADA0939" w14:textId="77777777" w:rsidR="00736F4A" w:rsidRDefault="00100640">
            <w:pPr>
              <w:spacing w:line="240" w:lineRule="auto"/>
              <w:rPr>
                <w:lang w:val="hu-HU"/>
              </w:rPr>
            </w:pPr>
            <w:r>
              <w:rPr>
                <w:lang w:val="hu-HU"/>
              </w:rPr>
              <w:t>Szimptómás VTE kiújulása és azzal összefüggő halál</w:t>
            </w:r>
          </w:p>
        </w:tc>
        <w:tc>
          <w:tcPr>
            <w:tcW w:w="3119" w:type="dxa"/>
            <w:tcBorders>
              <w:top w:val="single" w:sz="4" w:space="0" w:color="000000"/>
              <w:left w:val="single" w:sz="4" w:space="0" w:color="000000"/>
              <w:bottom w:val="single" w:sz="4" w:space="0" w:color="000000"/>
              <w:right w:val="single" w:sz="6" w:space="0" w:color="000000"/>
            </w:tcBorders>
            <w:vAlign w:val="center"/>
          </w:tcPr>
          <w:p w14:paraId="69A086A1" w14:textId="77777777" w:rsidR="00736F4A" w:rsidRDefault="00100640">
            <w:pPr>
              <w:spacing w:line="240" w:lineRule="auto"/>
              <w:ind w:right="49"/>
              <w:rPr>
                <w:lang w:val="hu-HU"/>
              </w:rPr>
            </w:pPr>
            <w:r>
              <w:rPr>
                <w:lang w:val="hu-HU"/>
              </w:rPr>
              <w:t>3 (0,4%)</w:t>
            </w:r>
          </w:p>
        </w:tc>
        <w:tc>
          <w:tcPr>
            <w:tcW w:w="2835" w:type="dxa"/>
            <w:tcBorders>
              <w:top w:val="single" w:sz="4" w:space="0" w:color="000000"/>
              <w:left w:val="single" w:sz="6" w:space="0" w:color="000000"/>
              <w:bottom w:val="single" w:sz="4" w:space="0" w:color="000000"/>
              <w:right w:val="single" w:sz="4" w:space="0" w:color="000000"/>
            </w:tcBorders>
            <w:vAlign w:val="center"/>
          </w:tcPr>
          <w:p w14:paraId="4E59C4CA" w14:textId="77777777" w:rsidR="00736F4A" w:rsidRDefault="00100640">
            <w:pPr>
              <w:spacing w:line="240" w:lineRule="auto"/>
              <w:ind w:right="43"/>
              <w:rPr>
                <w:lang w:val="hu-HU"/>
              </w:rPr>
            </w:pPr>
            <w:r>
              <w:rPr>
                <w:lang w:val="hu-HU"/>
              </w:rPr>
              <w:t>37 (5,6%)</w:t>
            </w:r>
          </w:p>
        </w:tc>
      </w:tr>
      <w:tr w:rsidR="00736F4A" w14:paraId="77411908" w14:textId="77777777">
        <w:trPr>
          <w:trHeight w:val="1020"/>
        </w:trPr>
        <w:tc>
          <w:tcPr>
            <w:tcW w:w="3006" w:type="dxa"/>
            <w:tcBorders>
              <w:top w:val="single" w:sz="4" w:space="0" w:color="000000"/>
              <w:left w:val="single" w:sz="4" w:space="0" w:color="000000"/>
              <w:bottom w:val="single" w:sz="4" w:space="0" w:color="000000"/>
              <w:right w:val="single" w:sz="4" w:space="0" w:color="000000"/>
            </w:tcBorders>
          </w:tcPr>
          <w:p w14:paraId="68E70817" w14:textId="77777777" w:rsidR="00736F4A" w:rsidRDefault="00100640">
            <w:pPr>
              <w:spacing w:line="240" w:lineRule="auto"/>
              <w:rPr>
                <w:lang w:val="hu-HU"/>
              </w:rPr>
            </w:pPr>
            <w:r>
              <w:rPr>
                <w:lang w:val="hu-HU"/>
              </w:rPr>
              <w:t>Relatív hazárd vs placebo (95%-os konfidencia 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022E4090" w14:textId="77777777" w:rsidR="00736F4A" w:rsidRDefault="00100640">
            <w:pPr>
              <w:spacing w:line="240" w:lineRule="auto"/>
              <w:ind w:left="745" w:right="797"/>
              <w:rPr>
                <w:lang w:val="hu-HU"/>
              </w:rPr>
            </w:pPr>
            <w:r>
              <w:rPr>
                <w:lang w:val="hu-HU"/>
              </w:rPr>
              <w:t>0,08</w:t>
            </w:r>
          </w:p>
          <w:p w14:paraId="436F7E7F" w14:textId="77777777" w:rsidR="00736F4A" w:rsidRDefault="00100640">
            <w:pPr>
              <w:spacing w:line="240" w:lineRule="auto"/>
              <w:ind w:left="745" w:right="797"/>
              <w:rPr>
                <w:lang w:val="hu-HU"/>
              </w:rPr>
            </w:pPr>
            <w:r>
              <w:rPr>
                <w:lang w:val="hu-HU"/>
              </w:rPr>
              <w:t>(0,02, 0,25)</w:t>
            </w:r>
          </w:p>
        </w:tc>
        <w:tc>
          <w:tcPr>
            <w:tcW w:w="2835" w:type="dxa"/>
            <w:tcBorders>
              <w:top w:val="single" w:sz="4" w:space="0" w:color="000000"/>
              <w:left w:val="single" w:sz="6" w:space="0" w:color="000000"/>
              <w:bottom w:val="single" w:sz="4" w:space="0" w:color="000000"/>
              <w:right w:val="single" w:sz="4" w:space="0" w:color="000000"/>
            </w:tcBorders>
          </w:tcPr>
          <w:p w14:paraId="2754B218" w14:textId="77777777" w:rsidR="00736F4A" w:rsidRDefault="00736F4A">
            <w:pPr>
              <w:spacing w:line="240" w:lineRule="auto"/>
              <w:rPr>
                <w:lang w:val="hu-HU"/>
              </w:rPr>
            </w:pPr>
          </w:p>
        </w:tc>
      </w:tr>
      <w:tr w:rsidR="00736F4A" w14:paraId="271907FE"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176A51B4" w14:textId="77777777" w:rsidR="00736F4A" w:rsidRDefault="00100640">
            <w:pPr>
              <w:tabs>
                <w:tab w:val="right" w:pos="2218"/>
              </w:tabs>
              <w:spacing w:line="240" w:lineRule="auto"/>
              <w:rPr>
                <w:lang w:val="hu-HU"/>
              </w:rPr>
            </w:pPr>
            <w:r>
              <w:rPr>
                <w:lang w:val="hu-HU"/>
              </w:rPr>
              <w:t xml:space="preserve">A szuperioritásra vonatkozó p-érték </w:t>
            </w:r>
          </w:p>
        </w:tc>
        <w:tc>
          <w:tcPr>
            <w:tcW w:w="3119" w:type="dxa"/>
            <w:tcBorders>
              <w:top w:val="single" w:sz="4" w:space="0" w:color="000000"/>
              <w:left w:val="single" w:sz="4" w:space="0" w:color="000000"/>
              <w:bottom w:val="single" w:sz="4" w:space="0" w:color="000000"/>
              <w:right w:val="single" w:sz="6" w:space="0" w:color="000000"/>
            </w:tcBorders>
            <w:vAlign w:val="center"/>
          </w:tcPr>
          <w:p w14:paraId="64CD1B5D" w14:textId="77777777" w:rsidR="00736F4A" w:rsidRDefault="00100640">
            <w:pPr>
              <w:spacing w:line="240" w:lineRule="auto"/>
              <w:ind w:right="48"/>
              <w:rPr>
                <w:lang w:val="hu-HU"/>
              </w:rPr>
            </w:pPr>
            <w:r>
              <w:rPr>
                <w:lang w:val="hu-HU"/>
              </w:rPr>
              <w:t>&lt; 0,0001</w:t>
            </w:r>
          </w:p>
        </w:tc>
        <w:tc>
          <w:tcPr>
            <w:tcW w:w="2835" w:type="dxa"/>
            <w:tcBorders>
              <w:top w:val="single" w:sz="4" w:space="0" w:color="000000"/>
              <w:left w:val="single" w:sz="6" w:space="0" w:color="000000"/>
              <w:bottom w:val="single" w:sz="4" w:space="0" w:color="000000"/>
              <w:right w:val="single" w:sz="4" w:space="0" w:color="000000"/>
            </w:tcBorders>
          </w:tcPr>
          <w:p w14:paraId="2B9FA8BC" w14:textId="77777777" w:rsidR="00736F4A" w:rsidRDefault="00736F4A">
            <w:pPr>
              <w:spacing w:line="240" w:lineRule="auto"/>
              <w:rPr>
                <w:lang w:val="hu-HU"/>
              </w:rPr>
            </w:pPr>
          </w:p>
        </w:tc>
      </w:tr>
      <w:tr w:rsidR="00736F4A" w14:paraId="1ED3F22B"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065470FF" w14:textId="77777777" w:rsidR="00736F4A" w:rsidRDefault="00100640">
            <w:pPr>
              <w:spacing w:line="240" w:lineRule="auto"/>
              <w:rPr>
                <w:lang w:val="hu-HU"/>
              </w:rPr>
            </w:pPr>
            <w:r>
              <w:rPr>
                <w:lang w:val="hu-HU"/>
              </w:rPr>
              <w:t>Másodlagos hatásossági végpontok</w:t>
            </w:r>
          </w:p>
        </w:tc>
        <w:tc>
          <w:tcPr>
            <w:tcW w:w="3119" w:type="dxa"/>
            <w:tcBorders>
              <w:top w:val="single" w:sz="4" w:space="0" w:color="000000"/>
              <w:left w:val="single" w:sz="4" w:space="0" w:color="000000"/>
              <w:bottom w:val="single" w:sz="4" w:space="0" w:color="000000"/>
              <w:right w:val="single" w:sz="6" w:space="0" w:color="000000"/>
            </w:tcBorders>
          </w:tcPr>
          <w:p w14:paraId="707F9251" w14:textId="77777777" w:rsidR="00736F4A" w:rsidRDefault="00736F4A">
            <w:pPr>
              <w:spacing w:line="240" w:lineRule="auto"/>
              <w:rPr>
                <w:lang w:val="hu-HU"/>
              </w:rPr>
            </w:pPr>
          </w:p>
        </w:tc>
        <w:tc>
          <w:tcPr>
            <w:tcW w:w="2835" w:type="dxa"/>
            <w:tcBorders>
              <w:top w:val="single" w:sz="4" w:space="0" w:color="000000"/>
              <w:left w:val="single" w:sz="6" w:space="0" w:color="000000"/>
              <w:bottom w:val="single" w:sz="4" w:space="0" w:color="000000"/>
              <w:right w:val="single" w:sz="4" w:space="0" w:color="000000"/>
            </w:tcBorders>
          </w:tcPr>
          <w:p w14:paraId="691D29A8" w14:textId="77777777" w:rsidR="00736F4A" w:rsidRDefault="00736F4A">
            <w:pPr>
              <w:spacing w:line="240" w:lineRule="auto"/>
              <w:rPr>
                <w:lang w:val="hu-HU"/>
              </w:rPr>
            </w:pPr>
          </w:p>
        </w:tc>
      </w:tr>
      <w:tr w:rsidR="00736F4A" w14:paraId="0F6543C1"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43FE10D2" w14:textId="77777777" w:rsidR="00736F4A" w:rsidRDefault="00100640">
            <w:pPr>
              <w:spacing w:line="240" w:lineRule="auto"/>
              <w:rPr>
                <w:lang w:val="hu-HU"/>
              </w:rPr>
            </w:pPr>
            <w:r>
              <w:rPr>
                <w:lang w:val="hu-HU"/>
              </w:rPr>
              <w:t>Szimptómás VTE kiújulása és összhalálozás</w:t>
            </w:r>
          </w:p>
        </w:tc>
        <w:tc>
          <w:tcPr>
            <w:tcW w:w="3119" w:type="dxa"/>
            <w:tcBorders>
              <w:top w:val="single" w:sz="4" w:space="0" w:color="000000"/>
              <w:left w:val="single" w:sz="4" w:space="0" w:color="000000"/>
              <w:bottom w:val="single" w:sz="4" w:space="0" w:color="000000"/>
              <w:right w:val="single" w:sz="6" w:space="0" w:color="000000"/>
            </w:tcBorders>
            <w:vAlign w:val="center"/>
          </w:tcPr>
          <w:p w14:paraId="04D820C9" w14:textId="77777777" w:rsidR="00736F4A" w:rsidRDefault="00100640">
            <w:pPr>
              <w:spacing w:line="240" w:lineRule="auto"/>
              <w:ind w:right="49"/>
              <w:rPr>
                <w:lang w:val="hu-HU"/>
              </w:rPr>
            </w:pPr>
            <w:r>
              <w:rPr>
                <w:lang w:val="hu-HU"/>
              </w:rPr>
              <w:t>3 (0,4%)</w:t>
            </w:r>
          </w:p>
        </w:tc>
        <w:tc>
          <w:tcPr>
            <w:tcW w:w="2835" w:type="dxa"/>
            <w:tcBorders>
              <w:top w:val="single" w:sz="4" w:space="0" w:color="000000"/>
              <w:left w:val="single" w:sz="6" w:space="0" w:color="000000"/>
              <w:bottom w:val="single" w:sz="4" w:space="0" w:color="000000"/>
              <w:right w:val="single" w:sz="4" w:space="0" w:color="000000"/>
            </w:tcBorders>
            <w:vAlign w:val="center"/>
          </w:tcPr>
          <w:p w14:paraId="726E5FFC" w14:textId="77777777" w:rsidR="00736F4A" w:rsidRDefault="00100640">
            <w:pPr>
              <w:spacing w:line="240" w:lineRule="auto"/>
              <w:ind w:right="43"/>
              <w:rPr>
                <w:lang w:val="hu-HU"/>
              </w:rPr>
            </w:pPr>
            <w:r>
              <w:rPr>
                <w:lang w:val="hu-HU"/>
              </w:rPr>
              <w:t>37 (5,6%)</w:t>
            </w:r>
          </w:p>
        </w:tc>
      </w:tr>
      <w:tr w:rsidR="00736F4A" w14:paraId="23A4FAF8"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3AE50AAC" w14:textId="77777777" w:rsidR="00736F4A" w:rsidRDefault="00100640">
            <w:pPr>
              <w:spacing w:line="240" w:lineRule="auto"/>
              <w:rPr>
                <w:lang w:val="hu-HU"/>
              </w:rPr>
            </w:pPr>
            <w:r>
              <w:rPr>
                <w:lang w:val="hu-HU"/>
              </w:rPr>
              <w:t xml:space="preserve">95%-os konfidenciaintervallum </w:t>
            </w:r>
          </w:p>
        </w:tc>
        <w:tc>
          <w:tcPr>
            <w:tcW w:w="3119" w:type="dxa"/>
            <w:tcBorders>
              <w:top w:val="single" w:sz="4" w:space="0" w:color="000000"/>
              <w:left w:val="single" w:sz="4" w:space="0" w:color="000000"/>
              <w:bottom w:val="single" w:sz="4" w:space="0" w:color="000000"/>
              <w:right w:val="single" w:sz="6" w:space="0" w:color="000000"/>
            </w:tcBorders>
            <w:vAlign w:val="center"/>
          </w:tcPr>
          <w:p w14:paraId="7FD72DDD" w14:textId="77777777" w:rsidR="00736F4A" w:rsidRDefault="00100640">
            <w:pPr>
              <w:spacing w:line="240" w:lineRule="auto"/>
              <w:ind w:right="48"/>
              <w:rPr>
                <w:lang w:val="hu-HU"/>
              </w:rPr>
            </w:pPr>
            <w:r>
              <w:rPr>
                <w:lang w:val="hu-HU"/>
              </w:rPr>
              <w:t>0,09, 1,28</w:t>
            </w:r>
          </w:p>
        </w:tc>
        <w:tc>
          <w:tcPr>
            <w:tcW w:w="2835" w:type="dxa"/>
            <w:tcBorders>
              <w:top w:val="single" w:sz="4" w:space="0" w:color="000000"/>
              <w:left w:val="single" w:sz="6" w:space="0" w:color="000000"/>
              <w:bottom w:val="single" w:sz="4" w:space="0" w:color="000000"/>
              <w:right w:val="single" w:sz="4" w:space="0" w:color="000000"/>
            </w:tcBorders>
            <w:vAlign w:val="center"/>
          </w:tcPr>
          <w:p w14:paraId="7D077F20" w14:textId="77777777" w:rsidR="00736F4A" w:rsidRDefault="00100640">
            <w:pPr>
              <w:spacing w:line="240" w:lineRule="auto"/>
              <w:ind w:right="42"/>
              <w:rPr>
                <w:lang w:val="hu-HU"/>
              </w:rPr>
            </w:pPr>
            <w:r>
              <w:rPr>
                <w:lang w:val="hu-HU"/>
              </w:rPr>
              <w:t>3,97, 7,62</w:t>
            </w:r>
          </w:p>
        </w:tc>
      </w:tr>
      <w:tr w:rsidR="00736F4A" w14:paraId="6FA72FC1" w14:textId="77777777">
        <w:trPr>
          <w:trHeight w:val="264"/>
        </w:trPr>
        <w:tc>
          <w:tcPr>
            <w:tcW w:w="3006" w:type="dxa"/>
            <w:tcBorders>
              <w:top w:val="single" w:sz="4" w:space="0" w:color="000000"/>
              <w:left w:val="single" w:sz="4" w:space="0" w:color="000000"/>
              <w:bottom w:val="single" w:sz="4" w:space="0" w:color="000000"/>
              <w:right w:val="single" w:sz="4" w:space="0" w:color="000000"/>
            </w:tcBorders>
          </w:tcPr>
          <w:p w14:paraId="0B3CB7D1" w14:textId="77777777" w:rsidR="00736F4A" w:rsidRDefault="00100640">
            <w:pPr>
              <w:spacing w:line="240" w:lineRule="auto"/>
              <w:rPr>
                <w:lang w:val="hu-HU"/>
              </w:rPr>
            </w:pPr>
            <w:r>
              <w:rPr>
                <w:lang w:val="hu-HU"/>
              </w:rPr>
              <w:t>Szimptómás MVT</w:t>
            </w:r>
          </w:p>
        </w:tc>
        <w:tc>
          <w:tcPr>
            <w:tcW w:w="3119" w:type="dxa"/>
            <w:tcBorders>
              <w:top w:val="single" w:sz="4" w:space="0" w:color="000000"/>
              <w:left w:val="single" w:sz="4" w:space="0" w:color="000000"/>
              <w:bottom w:val="single" w:sz="4" w:space="0" w:color="000000"/>
              <w:right w:val="single" w:sz="6" w:space="0" w:color="000000"/>
            </w:tcBorders>
          </w:tcPr>
          <w:p w14:paraId="3364777C" w14:textId="77777777" w:rsidR="00736F4A" w:rsidRDefault="00100640">
            <w:pPr>
              <w:spacing w:line="240" w:lineRule="auto"/>
              <w:ind w:right="49"/>
              <w:rPr>
                <w:lang w:val="hu-HU"/>
              </w:rPr>
            </w:pPr>
            <w:r>
              <w:rPr>
                <w:lang w:val="hu-HU"/>
              </w:rPr>
              <w:t>2 (0,3%)</w:t>
            </w:r>
          </w:p>
        </w:tc>
        <w:tc>
          <w:tcPr>
            <w:tcW w:w="2835" w:type="dxa"/>
            <w:tcBorders>
              <w:top w:val="single" w:sz="4" w:space="0" w:color="000000"/>
              <w:left w:val="single" w:sz="6" w:space="0" w:color="000000"/>
              <w:bottom w:val="single" w:sz="4" w:space="0" w:color="000000"/>
              <w:right w:val="single" w:sz="4" w:space="0" w:color="000000"/>
            </w:tcBorders>
          </w:tcPr>
          <w:p w14:paraId="3048B07B" w14:textId="77777777" w:rsidR="00736F4A" w:rsidRDefault="00100640">
            <w:pPr>
              <w:spacing w:line="240" w:lineRule="auto"/>
              <w:ind w:right="43"/>
              <w:rPr>
                <w:lang w:val="hu-HU"/>
              </w:rPr>
            </w:pPr>
            <w:r>
              <w:rPr>
                <w:lang w:val="hu-HU"/>
              </w:rPr>
              <w:t>23 (3,5%)</w:t>
            </w:r>
          </w:p>
        </w:tc>
      </w:tr>
      <w:tr w:rsidR="00736F4A" w14:paraId="5A1E39AF"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7BDFED7B" w14:textId="77777777" w:rsidR="00736F4A" w:rsidRDefault="00100640">
            <w:pPr>
              <w:spacing w:line="240" w:lineRule="auto"/>
              <w:rPr>
                <w:lang w:val="hu-HU"/>
              </w:rPr>
            </w:pPr>
            <w:r>
              <w:rPr>
                <w:lang w:val="hu-HU"/>
              </w:rP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58A676F3" w14:textId="77777777" w:rsidR="00736F4A" w:rsidRDefault="00100640">
            <w:pPr>
              <w:spacing w:line="240" w:lineRule="auto"/>
              <w:ind w:right="48"/>
              <w:rPr>
                <w:lang w:val="hu-HU"/>
              </w:rPr>
            </w:pPr>
            <w:r>
              <w:rPr>
                <w:lang w:val="hu-HU"/>
              </w:rPr>
              <w:t>0,04, 1,06</w:t>
            </w:r>
          </w:p>
        </w:tc>
        <w:tc>
          <w:tcPr>
            <w:tcW w:w="2835" w:type="dxa"/>
            <w:tcBorders>
              <w:top w:val="single" w:sz="4" w:space="0" w:color="000000"/>
              <w:left w:val="single" w:sz="6" w:space="0" w:color="000000"/>
              <w:bottom w:val="single" w:sz="4" w:space="0" w:color="000000"/>
              <w:right w:val="single" w:sz="4" w:space="0" w:color="000000"/>
            </w:tcBorders>
            <w:vAlign w:val="center"/>
          </w:tcPr>
          <w:p w14:paraId="052E3E71" w14:textId="77777777" w:rsidR="00736F4A" w:rsidRDefault="00100640">
            <w:pPr>
              <w:spacing w:line="240" w:lineRule="auto"/>
              <w:ind w:right="42"/>
              <w:rPr>
                <w:lang w:val="hu-HU"/>
              </w:rPr>
            </w:pPr>
            <w:r>
              <w:rPr>
                <w:lang w:val="hu-HU"/>
              </w:rPr>
              <w:t>2,21, 5,17</w:t>
            </w:r>
          </w:p>
        </w:tc>
      </w:tr>
      <w:tr w:rsidR="00736F4A" w14:paraId="3F825D6A"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5497D719" w14:textId="77777777" w:rsidR="00736F4A" w:rsidRDefault="00100640">
            <w:pPr>
              <w:spacing w:line="240" w:lineRule="auto"/>
              <w:rPr>
                <w:lang w:val="hu-HU"/>
              </w:rPr>
            </w:pPr>
            <w:r>
              <w:rPr>
                <w:lang w:val="hu-HU"/>
              </w:rPr>
              <w:t>Szimptómás PE</w:t>
            </w:r>
          </w:p>
        </w:tc>
        <w:tc>
          <w:tcPr>
            <w:tcW w:w="3119" w:type="dxa"/>
            <w:tcBorders>
              <w:top w:val="single" w:sz="4" w:space="0" w:color="000000"/>
              <w:left w:val="single" w:sz="4" w:space="0" w:color="000000"/>
              <w:bottom w:val="single" w:sz="4" w:space="0" w:color="000000"/>
              <w:right w:val="single" w:sz="6" w:space="0" w:color="000000"/>
            </w:tcBorders>
          </w:tcPr>
          <w:p w14:paraId="6023C2D5" w14:textId="77777777" w:rsidR="00736F4A" w:rsidRDefault="00100640">
            <w:pPr>
              <w:spacing w:line="240" w:lineRule="auto"/>
              <w:ind w:right="49"/>
              <w:rPr>
                <w:lang w:val="hu-HU"/>
              </w:rPr>
            </w:pPr>
            <w:r>
              <w:rPr>
                <w:lang w:val="hu-HU"/>
              </w:rPr>
              <w:t>1 (0,1%)</w:t>
            </w:r>
          </w:p>
        </w:tc>
        <w:tc>
          <w:tcPr>
            <w:tcW w:w="2835" w:type="dxa"/>
            <w:tcBorders>
              <w:top w:val="single" w:sz="4" w:space="0" w:color="000000"/>
              <w:left w:val="single" w:sz="6" w:space="0" w:color="000000"/>
              <w:bottom w:val="single" w:sz="4" w:space="0" w:color="000000"/>
              <w:right w:val="single" w:sz="4" w:space="0" w:color="000000"/>
            </w:tcBorders>
          </w:tcPr>
          <w:p w14:paraId="56F63CAB" w14:textId="77777777" w:rsidR="00736F4A" w:rsidRDefault="00100640">
            <w:pPr>
              <w:spacing w:line="240" w:lineRule="auto"/>
              <w:ind w:right="43"/>
              <w:rPr>
                <w:lang w:val="hu-HU"/>
              </w:rPr>
            </w:pPr>
            <w:r>
              <w:rPr>
                <w:lang w:val="hu-HU"/>
              </w:rPr>
              <w:t>14 (2,1%)</w:t>
            </w:r>
          </w:p>
        </w:tc>
      </w:tr>
      <w:tr w:rsidR="00736F4A" w14:paraId="483CB907"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07467790" w14:textId="77777777" w:rsidR="00736F4A" w:rsidRDefault="00100640">
            <w:pPr>
              <w:spacing w:line="240" w:lineRule="auto"/>
              <w:rPr>
                <w:lang w:val="hu-HU"/>
              </w:rPr>
            </w:pPr>
            <w:r>
              <w:rPr>
                <w:lang w:val="hu-HU"/>
              </w:rP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356590CD" w14:textId="77777777" w:rsidR="00736F4A" w:rsidRDefault="00100640">
            <w:pPr>
              <w:spacing w:line="240" w:lineRule="auto"/>
              <w:ind w:right="48"/>
              <w:rPr>
                <w:lang w:val="hu-HU"/>
              </w:rPr>
            </w:pPr>
            <w:r>
              <w:rPr>
                <w:lang w:val="hu-HU"/>
              </w:rPr>
              <w:t>0,00, 0,82</w:t>
            </w:r>
          </w:p>
        </w:tc>
        <w:tc>
          <w:tcPr>
            <w:tcW w:w="2835" w:type="dxa"/>
            <w:tcBorders>
              <w:top w:val="single" w:sz="4" w:space="0" w:color="000000"/>
              <w:left w:val="single" w:sz="6" w:space="0" w:color="000000"/>
              <w:bottom w:val="single" w:sz="4" w:space="0" w:color="000000"/>
              <w:right w:val="single" w:sz="4" w:space="0" w:color="000000"/>
            </w:tcBorders>
            <w:vAlign w:val="center"/>
          </w:tcPr>
          <w:p w14:paraId="1470D8E0" w14:textId="77777777" w:rsidR="00736F4A" w:rsidRDefault="00100640">
            <w:pPr>
              <w:spacing w:line="240" w:lineRule="auto"/>
              <w:ind w:right="42"/>
              <w:rPr>
                <w:lang w:val="hu-HU"/>
              </w:rPr>
            </w:pPr>
            <w:r>
              <w:rPr>
                <w:lang w:val="hu-HU"/>
              </w:rPr>
              <w:t>1,16, 3,52</w:t>
            </w:r>
          </w:p>
        </w:tc>
      </w:tr>
      <w:tr w:rsidR="00736F4A" w14:paraId="301B4ADB"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5C932F76" w14:textId="77777777" w:rsidR="00736F4A" w:rsidRDefault="00100640">
            <w:pPr>
              <w:spacing w:line="240" w:lineRule="auto"/>
              <w:rPr>
                <w:lang w:val="hu-HU"/>
              </w:rPr>
            </w:pPr>
            <w:r>
              <w:rPr>
                <w:lang w:val="hu-HU"/>
              </w:rPr>
              <w:t>VTE-vel összefüggő halál</w:t>
            </w:r>
          </w:p>
        </w:tc>
        <w:tc>
          <w:tcPr>
            <w:tcW w:w="3119" w:type="dxa"/>
            <w:tcBorders>
              <w:top w:val="single" w:sz="4" w:space="0" w:color="000000"/>
              <w:left w:val="single" w:sz="4" w:space="0" w:color="000000"/>
              <w:bottom w:val="single" w:sz="4" w:space="0" w:color="000000"/>
              <w:right w:val="single" w:sz="6" w:space="0" w:color="000000"/>
            </w:tcBorders>
            <w:vAlign w:val="center"/>
          </w:tcPr>
          <w:p w14:paraId="1590AD9E" w14:textId="77777777" w:rsidR="00736F4A" w:rsidRDefault="00100640">
            <w:pPr>
              <w:spacing w:line="240" w:lineRule="auto"/>
              <w:ind w:right="52"/>
              <w:rPr>
                <w:lang w:val="hu-HU"/>
              </w:rPr>
            </w:pPr>
            <w:r>
              <w:rPr>
                <w:lang w:val="hu-HU"/>
              </w:rPr>
              <w:t>0 (0)</w:t>
            </w:r>
          </w:p>
        </w:tc>
        <w:tc>
          <w:tcPr>
            <w:tcW w:w="2835" w:type="dxa"/>
            <w:tcBorders>
              <w:top w:val="single" w:sz="4" w:space="0" w:color="000000"/>
              <w:left w:val="single" w:sz="6" w:space="0" w:color="000000"/>
              <w:bottom w:val="single" w:sz="4" w:space="0" w:color="000000"/>
              <w:right w:val="single" w:sz="4" w:space="0" w:color="000000"/>
            </w:tcBorders>
            <w:vAlign w:val="center"/>
          </w:tcPr>
          <w:p w14:paraId="6A614184" w14:textId="77777777" w:rsidR="00736F4A" w:rsidRDefault="00100640">
            <w:pPr>
              <w:spacing w:line="240" w:lineRule="auto"/>
              <w:ind w:right="41"/>
              <w:rPr>
                <w:lang w:val="hu-HU"/>
              </w:rPr>
            </w:pPr>
            <w:r>
              <w:rPr>
                <w:lang w:val="hu-HU"/>
              </w:rPr>
              <w:t>0 (0)</w:t>
            </w:r>
          </w:p>
        </w:tc>
      </w:tr>
      <w:tr w:rsidR="00736F4A" w14:paraId="4EDDB1D6"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22138E99" w14:textId="77777777" w:rsidR="00736F4A" w:rsidRDefault="00100640">
            <w:pPr>
              <w:spacing w:line="240" w:lineRule="auto"/>
              <w:rPr>
                <w:lang w:val="hu-HU"/>
              </w:rPr>
            </w:pPr>
            <w:r>
              <w:rPr>
                <w:lang w:val="hu-HU"/>
              </w:rP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635251A8" w14:textId="77777777" w:rsidR="00736F4A" w:rsidRDefault="00100640">
            <w:pPr>
              <w:spacing w:line="240" w:lineRule="auto"/>
              <w:ind w:right="48"/>
              <w:rPr>
                <w:lang w:val="hu-HU"/>
              </w:rPr>
            </w:pPr>
            <w:r>
              <w:rPr>
                <w:lang w:val="hu-HU"/>
              </w:rP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68137E35" w14:textId="77777777" w:rsidR="00736F4A" w:rsidRDefault="00100640">
            <w:pPr>
              <w:spacing w:line="240" w:lineRule="auto"/>
              <w:ind w:right="42"/>
              <w:rPr>
                <w:lang w:val="hu-HU"/>
              </w:rPr>
            </w:pPr>
            <w:r>
              <w:rPr>
                <w:lang w:val="hu-HU"/>
              </w:rPr>
              <w:t>0,00, 0,56</w:t>
            </w:r>
          </w:p>
        </w:tc>
      </w:tr>
      <w:tr w:rsidR="00736F4A" w14:paraId="68280F8A" w14:textId="77777777">
        <w:trPr>
          <w:trHeight w:val="264"/>
        </w:trPr>
        <w:tc>
          <w:tcPr>
            <w:tcW w:w="3006" w:type="dxa"/>
            <w:tcBorders>
              <w:top w:val="single" w:sz="4" w:space="0" w:color="000000"/>
              <w:left w:val="single" w:sz="4" w:space="0" w:color="000000"/>
              <w:bottom w:val="single" w:sz="4" w:space="0" w:color="000000"/>
              <w:right w:val="single" w:sz="4" w:space="0" w:color="000000"/>
            </w:tcBorders>
          </w:tcPr>
          <w:p w14:paraId="29FC3EE0" w14:textId="77777777" w:rsidR="00736F4A" w:rsidRDefault="00100640">
            <w:pPr>
              <w:spacing w:line="240" w:lineRule="auto"/>
              <w:rPr>
                <w:lang w:val="hu-HU"/>
              </w:rPr>
            </w:pPr>
            <w:r>
              <w:rPr>
                <w:lang w:val="hu-HU"/>
              </w:rPr>
              <w:t>Ismeretlen okú halál</w:t>
            </w:r>
          </w:p>
        </w:tc>
        <w:tc>
          <w:tcPr>
            <w:tcW w:w="3119" w:type="dxa"/>
            <w:tcBorders>
              <w:top w:val="single" w:sz="4" w:space="0" w:color="000000"/>
              <w:left w:val="single" w:sz="4" w:space="0" w:color="000000"/>
              <w:bottom w:val="single" w:sz="4" w:space="0" w:color="000000"/>
              <w:right w:val="single" w:sz="6" w:space="0" w:color="000000"/>
            </w:tcBorders>
          </w:tcPr>
          <w:p w14:paraId="4D04F2F0" w14:textId="77777777" w:rsidR="00736F4A" w:rsidRDefault="00100640">
            <w:pPr>
              <w:spacing w:line="240" w:lineRule="auto"/>
              <w:ind w:right="52"/>
              <w:rPr>
                <w:lang w:val="hu-HU"/>
              </w:rPr>
            </w:pPr>
            <w:r>
              <w:rPr>
                <w:lang w:val="hu-HU"/>
              </w:rPr>
              <w:t>0 (0)</w:t>
            </w:r>
          </w:p>
        </w:tc>
        <w:tc>
          <w:tcPr>
            <w:tcW w:w="2835" w:type="dxa"/>
            <w:tcBorders>
              <w:top w:val="single" w:sz="4" w:space="0" w:color="000000"/>
              <w:left w:val="single" w:sz="6" w:space="0" w:color="000000"/>
              <w:bottom w:val="single" w:sz="4" w:space="0" w:color="000000"/>
              <w:right w:val="single" w:sz="4" w:space="0" w:color="000000"/>
            </w:tcBorders>
          </w:tcPr>
          <w:p w14:paraId="51E8B9AD" w14:textId="77777777" w:rsidR="00736F4A" w:rsidRDefault="00100640">
            <w:pPr>
              <w:spacing w:line="240" w:lineRule="auto"/>
              <w:ind w:right="43"/>
              <w:rPr>
                <w:lang w:val="hu-HU"/>
              </w:rPr>
            </w:pPr>
            <w:r>
              <w:rPr>
                <w:lang w:val="hu-HU"/>
              </w:rPr>
              <w:t>2 (0,3%)</w:t>
            </w:r>
          </w:p>
        </w:tc>
      </w:tr>
      <w:tr w:rsidR="00736F4A" w14:paraId="69BB8A2B"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63E91E56" w14:textId="77777777" w:rsidR="00736F4A" w:rsidRDefault="00100640">
            <w:pPr>
              <w:spacing w:line="240" w:lineRule="auto"/>
              <w:rPr>
                <w:lang w:val="hu-HU"/>
              </w:rPr>
            </w:pPr>
            <w:r>
              <w:rPr>
                <w:lang w:val="hu-HU"/>
              </w:rP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013DB717" w14:textId="77777777" w:rsidR="00736F4A" w:rsidRDefault="00100640">
            <w:pPr>
              <w:spacing w:line="240" w:lineRule="auto"/>
              <w:ind w:right="48"/>
              <w:rPr>
                <w:lang w:val="hu-HU"/>
              </w:rPr>
            </w:pPr>
            <w:r>
              <w:rPr>
                <w:lang w:val="hu-HU"/>
              </w:rP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37A5ABC6" w14:textId="77777777" w:rsidR="00736F4A" w:rsidRDefault="00100640">
            <w:pPr>
              <w:spacing w:line="240" w:lineRule="auto"/>
              <w:ind w:right="42"/>
              <w:rPr>
                <w:lang w:val="hu-HU"/>
              </w:rPr>
            </w:pPr>
            <w:r>
              <w:rPr>
                <w:lang w:val="hu-HU"/>
              </w:rPr>
              <w:t>0,04, 1,09</w:t>
            </w:r>
          </w:p>
        </w:tc>
      </w:tr>
      <w:tr w:rsidR="00736F4A" w14:paraId="2C825D90"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5AB0849D" w14:textId="77777777" w:rsidR="00736F4A" w:rsidRDefault="00100640">
            <w:pPr>
              <w:spacing w:line="240" w:lineRule="auto"/>
              <w:rPr>
                <w:lang w:val="hu-HU"/>
              </w:rPr>
            </w:pPr>
            <w:r>
              <w:rPr>
                <w:lang w:val="hu-HU"/>
              </w:rPr>
              <w:t>Összhalálozás</w:t>
            </w:r>
          </w:p>
        </w:tc>
        <w:tc>
          <w:tcPr>
            <w:tcW w:w="3119" w:type="dxa"/>
            <w:tcBorders>
              <w:top w:val="single" w:sz="4" w:space="0" w:color="000000"/>
              <w:left w:val="single" w:sz="4" w:space="0" w:color="000000"/>
              <w:bottom w:val="single" w:sz="4" w:space="0" w:color="000000"/>
              <w:right w:val="single" w:sz="6" w:space="0" w:color="000000"/>
            </w:tcBorders>
          </w:tcPr>
          <w:p w14:paraId="40DC5194" w14:textId="77777777" w:rsidR="00736F4A" w:rsidRDefault="00100640">
            <w:pPr>
              <w:spacing w:line="240" w:lineRule="auto"/>
              <w:ind w:right="52"/>
              <w:rPr>
                <w:lang w:val="hu-HU"/>
              </w:rPr>
            </w:pPr>
            <w:r>
              <w:rPr>
                <w:lang w:val="hu-HU"/>
              </w:rPr>
              <w:t>0 (0)</w:t>
            </w:r>
          </w:p>
        </w:tc>
        <w:tc>
          <w:tcPr>
            <w:tcW w:w="2835" w:type="dxa"/>
            <w:tcBorders>
              <w:top w:val="single" w:sz="4" w:space="0" w:color="000000"/>
              <w:left w:val="single" w:sz="6" w:space="0" w:color="000000"/>
              <w:bottom w:val="single" w:sz="4" w:space="0" w:color="000000"/>
              <w:right w:val="single" w:sz="4" w:space="0" w:color="000000"/>
            </w:tcBorders>
          </w:tcPr>
          <w:p w14:paraId="5F326CBC" w14:textId="77777777" w:rsidR="00736F4A" w:rsidRDefault="00100640">
            <w:pPr>
              <w:spacing w:line="240" w:lineRule="auto"/>
              <w:ind w:right="43"/>
              <w:rPr>
                <w:lang w:val="hu-HU"/>
              </w:rPr>
            </w:pPr>
            <w:r>
              <w:rPr>
                <w:lang w:val="hu-HU"/>
              </w:rPr>
              <w:t>2 (0,3%)</w:t>
            </w:r>
          </w:p>
        </w:tc>
      </w:tr>
      <w:tr w:rsidR="00736F4A" w14:paraId="771C4B52" w14:textId="77777777">
        <w:trPr>
          <w:trHeight w:val="518"/>
        </w:trPr>
        <w:tc>
          <w:tcPr>
            <w:tcW w:w="3006" w:type="dxa"/>
            <w:tcBorders>
              <w:top w:val="single" w:sz="4" w:space="0" w:color="000000"/>
              <w:left w:val="single" w:sz="4" w:space="0" w:color="000000"/>
              <w:bottom w:val="single" w:sz="4" w:space="0" w:color="000000"/>
              <w:right w:val="single" w:sz="4" w:space="0" w:color="000000"/>
            </w:tcBorders>
          </w:tcPr>
          <w:p w14:paraId="204C1B0E" w14:textId="77777777" w:rsidR="00736F4A" w:rsidRDefault="00100640">
            <w:pPr>
              <w:spacing w:line="240" w:lineRule="auto"/>
              <w:rPr>
                <w:lang w:val="hu-HU"/>
              </w:rPr>
            </w:pPr>
            <w:r>
              <w:rPr>
                <w:lang w:val="hu-HU"/>
              </w:rP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22B6B557" w14:textId="77777777" w:rsidR="00736F4A" w:rsidRDefault="00100640">
            <w:pPr>
              <w:spacing w:line="240" w:lineRule="auto"/>
              <w:ind w:right="48"/>
              <w:rPr>
                <w:lang w:val="hu-HU"/>
              </w:rPr>
            </w:pPr>
            <w:r>
              <w:rPr>
                <w:lang w:val="hu-HU"/>
              </w:rP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5657887F" w14:textId="77777777" w:rsidR="00736F4A" w:rsidRDefault="00100640">
            <w:pPr>
              <w:spacing w:line="240" w:lineRule="auto"/>
              <w:ind w:right="42"/>
              <w:rPr>
                <w:lang w:val="hu-HU"/>
              </w:rPr>
            </w:pPr>
            <w:r>
              <w:rPr>
                <w:lang w:val="hu-HU"/>
              </w:rPr>
              <w:t>0,04, 1,09</w:t>
            </w:r>
          </w:p>
        </w:tc>
      </w:tr>
    </w:tbl>
    <w:p w14:paraId="13828B2B" w14:textId="77777777" w:rsidR="00736F4A" w:rsidRDefault="00736F4A">
      <w:pPr>
        <w:spacing w:line="240" w:lineRule="auto"/>
        <w:rPr>
          <w:lang w:val="hu-HU"/>
        </w:rPr>
      </w:pPr>
    </w:p>
    <w:p w14:paraId="1221A633" w14:textId="77777777" w:rsidR="00736F4A" w:rsidRDefault="00100640">
      <w:pPr>
        <w:spacing w:line="240" w:lineRule="auto"/>
        <w:rPr>
          <w:u w:val="single"/>
          <w:lang w:val="hu-HU"/>
        </w:rPr>
      </w:pPr>
      <w:r>
        <w:rPr>
          <w:u w:val="single"/>
          <w:lang w:val="hu-HU"/>
        </w:rPr>
        <w:t>A thromboembolia megelőzésére irányuló klinikai vizsgálatok műbillentyű beültetett betegeknél</w:t>
      </w:r>
    </w:p>
    <w:p w14:paraId="2FF1A122" w14:textId="77777777" w:rsidR="00736F4A" w:rsidRDefault="00736F4A">
      <w:pPr>
        <w:spacing w:line="240" w:lineRule="auto"/>
        <w:rPr>
          <w:lang w:val="hu-HU"/>
        </w:rPr>
      </w:pPr>
    </w:p>
    <w:p w14:paraId="63BF6E70" w14:textId="77777777" w:rsidR="00736F4A" w:rsidRDefault="00100640">
      <w:pPr>
        <w:spacing w:line="240" w:lineRule="auto"/>
        <w:ind w:left="7" w:right="9"/>
      </w:pPr>
      <w:r>
        <w:t>Egy II. fázisú vizsgálat a dabigatrán-etexilátot és a warfarint vizsgálta összesen 252, a közelmúltban (pl. az aktuális kórházi kezelés során) mechanikus műbillentyű beültetésen átesett, valamint mechanikus műbillentyű beültetésen több mint három hónapja átesett betegeknél. Több thromboemboliás eseményt (főként stroke-ot és szimptomatikus/aszimptomatikus műbillentyű-thrombosist) és több vérzéses eseményt figyeltek meg a dabigatrán-etexilát esetében, mint a warfarin esetében. A korai posztoperatív szakaszban lévő betegeknél a jelentős vérzéses események döntően véres pericardialis folyadékgyülem formájában jelentkeztek, különösen azoknál a betegeknél, akik a billentyűbeültetés után korán (a 3. napon) megkezdték a dabigatrán-etexilát szedését (lásd 4.3 pont).</w:t>
      </w:r>
    </w:p>
    <w:p w14:paraId="41FCBDC4" w14:textId="77777777" w:rsidR="00736F4A" w:rsidRDefault="00736F4A">
      <w:pPr>
        <w:spacing w:line="240" w:lineRule="auto"/>
        <w:rPr>
          <w:lang w:val="hu-HU"/>
        </w:rPr>
      </w:pPr>
    </w:p>
    <w:p w14:paraId="1808E471" w14:textId="77777777" w:rsidR="00736F4A" w:rsidRDefault="00100640">
      <w:pPr>
        <w:spacing w:line="240" w:lineRule="auto"/>
        <w:rPr>
          <w:u w:val="single"/>
          <w:lang w:val="hu-HU"/>
        </w:rPr>
      </w:pPr>
      <w:r>
        <w:rPr>
          <w:u w:val="single"/>
          <w:lang w:val="hu-HU"/>
        </w:rPr>
        <w:t>Gyermekek és serdülők</w:t>
      </w:r>
    </w:p>
    <w:p w14:paraId="28308D88" w14:textId="77777777" w:rsidR="00736F4A" w:rsidRDefault="00736F4A">
      <w:pPr>
        <w:spacing w:line="240" w:lineRule="auto"/>
        <w:rPr>
          <w:lang w:val="hu-HU"/>
        </w:rPr>
      </w:pPr>
    </w:p>
    <w:p w14:paraId="69B26302" w14:textId="77777777" w:rsidR="00736F4A" w:rsidRDefault="00100640">
      <w:pPr>
        <w:spacing w:line="240" w:lineRule="auto"/>
        <w:rPr>
          <w:color w:val="000000"/>
          <w:lang w:val="hu-HU" w:eastAsia="hu-HU"/>
        </w:rPr>
      </w:pPr>
      <w:r>
        <w:rPr>
          <w:i/>
          <w:color w:val="000000"/>
          <w:u w:val="single" w:color="000000"/>
          <w:lang w:val="hu-HU" w:eastAsia="hu-HU"/>
        </w:rPr>
        <w:t>A stroke és a szisztémás embolizáció prevenciója nem billentyű eredetű pitvarfibrillációban szenvedő,</w:t>
      </w:r>
      <w:r>
        <w:rPr>
          <w:i/>
          <w:color w:val="000000"/>
          <w:lang w:val="hu-HU" w:eastAsia="hu-HU"/>
        </w:rPr>
        <w:t xml:space="preserve"> </w:t>
      </w:r>
      <w:r>
        <w:rPr>
          <w:i/>
          <w:color w:val="000000"/>
          <w:u w:val="single" w:color="000000"/>
          <w:lang w:val="hu-HU" w:eastAsia="hu-HU"/>
        </w:rPr>
        <w:t>egy vagy több rizikótényezővel rendelkező felnőtt betegeknél</w:t>
      </w:r>
    </w:p>
    <w:p w14:paraId="7B8D444D" w14:textId="77777777" w:rsidR="00736F4A" w:rsidRDefault="00736F4A">
      <w:pPr>
        <w:spacing w:line="240" w:lineRule="auto"/>
        <w:rPr>
          <w:lang w:val="hu-HU"/>
        </w:rPr>
      </w:pPr>
    </w:p>
    <w:p w14:paraId="7582327C" w14:textId="77777777" w:rsidR="00736F4A" w:rsidRDefault="00100640">
      <w:pPr>
        <w:spacing w:line="240" w:lineRule="auto"/>
        <w:ind w:right="291"/>
        <w:rPr>
          <w:color w:val="000000"/>
          <w:lang w:val="hu-HU" w:eastAsia="hu-HU"/>
        </w:rPr>
      </w:pPr>
      <w:r>
        <w:rPr>
          <w:color w:val="000000"/>
          <w:lang w:val="hu-HU" w:eastAsia="hu-HU"/>
        </w:rPr>
        <w:t xml:space="preserve">Az Európai Gyógyszerügynökség a gyermekek esetén minden korosztálynál eltekint a </w:t>
      </w:r>
      <w:r>
        <w:t xml:space="preserve">dabigatrán-etexilát </w:t>
      </w:r>
      <w:r>
        <w:rPr>
          <w:color w:val="000000"/>
          <w:lang w:val="hu-HU" w:eastAsia="hu-HU"/>
        </w:rPr>
        <w:t>vizsgálati eredményeinek benyújtási kötelezettségétől a stroke és a szisztémás embolizáció prevenciója nem billentyű eredetű pitvarfibrillációban szenvedő betegeknél javallat esetén (lásd 4.2 pont, gyermekgyógyászati alkalmazásra vonatkozó információk).</w:t>
      </w:r>
    </w:p>
    <w:p w14:paraId="1ED7AA46" w14:textId="77777777" w:rsidR="00736F4A" w:rsidRDefault="00736F4A">
      <w:pPr>
        <w:spacing w:line="240" w:lineRule="auto"/>
        <w:rPr>
          <w:lang w:val="hu-HU"/>
        </w:rPr>
      </w:pPr>
    </w:p>
    <w:p w14:paraId="52ABF035" w14:textId="77777777" w:rsidR="00736F4A" w:rsidRDefault="00100640">
      <w:pPr>
        <w:spacing w:line="240" w:lineRule="auto"/>
        <w:rPr>
          <w:i/>
          <w:iCs/>
          <w:u w:val="single"/>
          <w:lang w:val="hu-HU"/>
        </w:rPr>
      </w:pPr>
      <w:r>
        <w:rPr>
          <w:i/>
          <w:iCs/>
          <w:u w:val="single"/>
          <w:lang w:val="hu-HU"/>
        </w:rPr>
        <w:t>VTE kezelése és VTE kiújulásának megelőzése gyermekeknél és serdülőknél</w:t>
      </w:r>
    </w:p>
    <w:p w14:paraId="292B049C" w14:textId="77777777" w:rsidR="00736F4A" w:rsidRDefault="00736F4A">
      <w:pPr>
        <w:spacing w:line="240" w:lineRule="auto"/>
        <w:rPr>
          <w:lang w:val="hu-HU"/>
        </w:rPr>
      </w:pPr>
    </w:p>
    <w:p w14:paraId="725CA8F7" w14:textId="77777777" w:rsidR="00736F4A" w:rsidRDefault="00100640">
      <w:r>
        <w:t xml:space="preserve">A DIVERSITY vizsgálatot azért végezték, hogy bizonyítsák a </w:t>
      </w:r>
      <w:bookmarkStart w:id="1" w:name="_Hlk108041320"/>
      <w:r>
        <w:t xml:space="preserve">dabigatrán-etexilát </w:t>
      </w:r>
      <w:bookmarkEnd w:id="1"/>
      <w:r>
        <w:t>hatásosságát és biztonságosságát a standard ellátással összehasonlítva VTE kezelésében gyermekeknél és serdülőknél a születéstől a 18. életév betöltéséig. A vizsgálat nyílt elrendezésű, randomizált, parallel csoportos, non-inferioritási vizsgálat volt. A bevont betegeket 2:1 arányban randomizálták a dabigatrán-etexilát életkornak megfelelő gyógyszerformájára (kapszula, bevont granulátum vagy belsőleges oldat) (a dózist az életkorhoz és a testtömeghez igazították) vagy a standard ellátásra, amely alacsony molekulatömegű heparin (LMWH) vagy K-vitamin-antagonista (KVA) vagy fondaparinux volt (egy 12 éves betegnél). Az elsődleges végpont egy összetett végpont volt, ami a thrombus teljes megszűnését, a VTE kiújulásának hiányát és a VTE miatti mortalitás hiányát foglalta magában. Az aktív meningitis, encephalitis és intracranialis abscessus kizáró tényezők voltak.</w:t>
      </w:r>
    </w:p>
    <w:p w14:paraId="67CAF2D4" w14:textId="77777777" w:rsidR="00736F4A" w:rsidRDefault="00100640">
      <w:pPr>
        <w:spacing w:line="240" w:lineRule="auto"/>
        <w:ind w:left="7" w:right="9"/>
      </w:pPr>
      <w:r>
        <w:t>Összesen 267 beteget randomizáltak. Közülük 176 beteget kezeltek dabigatrán-etexiláttal és 90 beteget a standard ellátás szerint (1 randomizált beteget nem kezeltek). 168 beteg volt 12 – &lt; 18 éves, 64 beteg volt 2 – &lt; 12 éves és 35 beteg volt 2 évesnél fiatalabb.</w:t>
      </w:r>
    </w:p>
    <w:p w14:paraId="6FD2ACD1" w14:textId="77777777" w:rsidR="00736F4A" w:rsidRDefault="00100640">
      <w:pPr>
        <w:spacing w:line="240" w:lineRule="auto"/>
        <w:ind w:left="7" w:right="9"/>
      </w:pPr>
      <w:r>
        <w:t>A 267 randomizált beteg közül a dabigatrán-etexilát-csoportból 81 beteg (45,8%) és a standard ellátási csoportból 38 beteg (42,2%) felelt meg az összetett elsődleges végpontnak (thrombus teljes megszűnése, VTE kiújulásának hiánya és VTE miatti mortalitás hiánya). A megfelelő arányok különbsége bizonyította a dabigatrán-etexilát non-inferioritását a standard ellátással szemben. Általánosságban konzisztens eredményeket figyeltek meg az alcsoportokban: nem volt szignifikáns különbség a kezelési hatásosságban az életkor, nem, régió és bizonyos kockázati tényezők megléte szerinti alcsoportokban. A három, különböző életkor szerinti rétegnél az elsődleges hatásossági végpontot elért betegek aránya a dabigatrán-etexilát- és a standard ellátás szerinti kezelés csoportjában sorrendben a következő volt: születéstől &lt; 2 éves korig 13/22 (59,1%) és 7/13 (53,8%) volt, 2 évtől &lt; 12 éves korig 21/43 (48,8%) és 12/21 (57,1%) volt, illetve 12 évtől &lt; 18 éves korig 47/112 (42,0%) és 19/56 (33,9%) volt.</w:t>
      </w:r>
    </w:p>
    <w:p w14:paraId="003CCD29" w14:textId="77777777" w:rsidR="00736F4A" w:rsidRDefault="00100640">
      <w:pPr>
        <w:spacing w:line="240" w:lineRule="auto"/>
        <w:ind w:left="7" w:right="9"/>
      </w:pPr>
      <w:r>
        <w:t>Major vérzésnek minősített eseteket 4 betegnél (2,3%) jelentettek a dabigatrán-etexilát-csoportban és 2 betegnél (2,2%) a standard ellátás szerinti kezelést kapó csoportban. Nem volt statisztikailag szignifikáns különbség az első major vérzéses eseményig eltelt időben. A dabigatrán-etexilát-karon 38 beteg (21,6%) és a standard ellátás szerinti kezelést kapó karon 22 beteg (24,4%) tapasztalt minősített vérzéses eseményt, ezek többségét minornak sorolták be. A minősített major vérzéses események (MVE) vagy a klinikailag releváns nem major (CRNM) vérzések (a kezelés alatt) összetett végpontját a dabigatrán-etexilát-csoportban 6 betegnél (3,4%) és a standard ellátás szerinti kezelést kapó csoportban 3 betegnél (3,3%) jelentették.</w:t>
      </w:r>
    </w:p>
    <w:p w14:paraId="37973B7E" w14:textId="77777777" w:rsidR="00736F4A" w:rsidRDefault="00736F4A">
      <w:pPr>
        <w:spacing w:line="240" w:lineRule="auto"/>
        <w:ind w:left="7" w:right="9"/>
      </w:pPr>
    </w:p>
    <w:p w14:paraId="3FD220F3" w14:textId="77777777" w:rsidR="00736F4A" w:rsidRDefault="00100640">
      <w:pPr>
        <w:spacing w:line="240" w:lineRule="auto"/>
        <w:ind w:left="7" w:right="9"/>
      </w:pPr>
      <w:r>
        <w:lastRenderedPageBreak/>
        <w:t xml:space="preserve">Egy nyílt elrendezésű, egykaros, biztonságossági, prospektív kohorszos, multicentrikus, III. fázisú vizsgálatot (1160.108) végeztek a dabigatrán-etexilát biztonságosságának felmérésére a VTE kiújulásának prevenciójában gyermekeknél és serdülőknél a születéstől a 18. életév betöltéséig. Az igazolt VTE elsődleges kezelésének befejezése után klinikai kockázati tényezők megléte miatt további antikoagulálást (legalább 3 hónapig) igénylő betegek, valamint a DIVERSITY vizsgálatot teljesítő betegek voltak bevonhatók a vizsgálatba. Az alkalmas betegek az életkoruk és testtömegük alapján korrigált dózisban dabigatrán-etexilátot kaptak az életkornak megfelelő gyógyszerformában (kapszula, bevont granulátum vagy belsőleges oldat), amíg a klinikai kockázati tényező meg nem szűnt, vagy legfeljebb 12 hónapig. A vizsgálat elsődleges végpontjai közé tartoztak a VTE kiújulása, a major és a minor vérzéses események, valamint a mortalitás (teljes és a thromboticus vagy thromboemboliás eseményekkel összefüggő) a 6. és a 12. hónapra. A kimenet eseményeit egy független, </w:t>
      </w:r>
      <w:r>
        <w:rPr>
          <w:lang w:val="hu-HU"/>
        </w:rPr>
        <w:t>az alkalmazott kezelést nem ismerő</w:t>
      </w:r>
      <w:r>
        <w:t xml:space="preserve"> értékelőbizottság minősítette.</w:t>
      </w:r>
    </w:p>
    <w:p w14:paraId="7B46D9C6" w14:textId="77777777" w:rsidR="00736F4A" w:rsidRDefault="00100640">
      <w:pPr>
        <w:spacing w:line="240" w:lineRule="auto"/>
        <w:ind w:left="7" w:right="93"/>
      </w:pPr>
      <w:r>
        <w:t>Összesen 214 beteg lépett be a vizsgálatba, köztük 162 beteg az életkor szerinti 1. rétegbe (12 – &lt; 18 éves kor), 43 beteg az életkor szerinti 2. rétegbe (2 – &lt; 12 éves kor) és 9 beteg az életkor szerinti 3. rétegbe (születés – &lt; 2 éves kor) tartozott. A kezelési időszakban, a kezelés kezdete utáni első 12 hónapban 3 betegnél (1,4%) alakult ki újra a VTE, amit a bizottság is megerősített. A kezelési időszakban 48 betegnél (22,5%) jelentettek megerősített vérzéses eseményt az első 12 hónapban. A vérzéses események többsége minor volt. 3 betegnél (1,4%) egy megerősített major vérzéses esemény jelentkezett az első 12 hónapban. 3 betegnél (1,4%) jelentkezett megerősített CRNM vérzés az első 12 hónapban. A kezelés alatt nem következett be haláleset. A kezelési időszakban 3 betegnél (1,4%) alakult ki post-thromboticus szindróma (PTS) vagy rosszabbodott a PTS-e az első 12 hónapban.</w:t>
      </w:r>
    </w:p>
    <w:p w14:paraId="681D766A" w14:textId="77777777" w:rsidR="00736F4A" w:rsidRDefault="00736F4A">
      <w:pPr>
        <w:spacing w:line="240" w:lineRule="auto"/>
        <w:rPr>
          <w:lang w:val="hu-HU"/>
        </w:rPr>
      </w:pPr>
    </w:p>
    <w:p w14:paraId="4D54B984" w14:textId="77777777" w:rsidR="00736F4A" w:rsidRDefault="00100640">
      <w:pPr>
        <w:spacing w:line="240" w:lineRule="auto"/>
        <w:ind w:left="567" w:hanging="567"/>
        <w:outlineLvl w:val="0"/>
        <w:rPr>
          <w:b/>
          <w:bCs/>
          <w:lang w:val="hu-HU"/>
        </w:rPr>
      </w:pPr>
      <w:r>
        <w:rPr>
          <w:b/>
          <w:bCs/>
          <w:lang w:val="hu-HU"/>
        </w:rPr>
        <w:t>5.2</w:t>
      </w:r>
      <w:r>
        <w:rPr>
          <w:b/>
          <w:bCs/>
          <w:lang w:val="hu-HU"/>
        </w:rPr>
        <w:tab/>
        <w:t>Farmakokinetikai tulajdonságok</w:t>
      </w:r>
    </w:p>
    <w:p w14:paraId="465DE434" w14:textId="77777777" w:rsidR="00736F4A" w:rsidRDefault="00736F4A">
      <w:pPr>
        <w:numPr>
          <w:ilvl w:val="12"/>
          <w:numId w:val="0"/>
        </w:numPr>
        <w:spacing w:line="240" w:lineRule="auto"/>
        <w:ind w:right="-2"/>
        <w:rPr>
          <w:lang w:val="hu-HU"/>
        </w:rPr>
      </w:pPr>
    </w:p>
    <w:p w14:paraId="1B088445" w14:textId="77777777" w:rsidR="00736F4A" w:rsidRDefault="00100640">
      <w:pPr>
        <w:spacing w:line="240" w:lineRule="auto"/>
        <w:ind w:left="7" w:right="9"/>
      </w:pPr>
      <w:r>
        <w:rPr>
          <w:i/>
        </w:rPr>
        <w:t>Per os</w:t>
      </w:r>
      <w:r>
        <w:t xml:space="preserve"> adást követően a dabigatrán-etexilát gyorsan és teljes mértékben átalakul dabigatránná, ami a plazmában az aktív forma. Az elsődleges metabolikus út a dabigatrán-etexilát prodrug észteráz által katalizált hidrolízisen keresztüli hasítása aktív dabigatránná. A dabigatrán-etexilát </w:t>
      </w:r>
      <w:r>
        <w:rPr>
          <w:i/>
          <w:iCs/>
        </w:rPr>
        <w:t>per os</w:t>
      </w:r>
      <w:r>
        <w:t xml:space="preserve"> alkalmazását követően a dabigatrán abszolút biohasznosulása körülbelül 6,5%.</w:t>
      </w:r>
    </w:p>
    <w:p w14:paraId="30C71BB1" w14:textId="77777777" w:rsidR="00736F4A" w:rsidRDefault="00100640">
      <w:pPr>
        <w:numPr>
          <w:ilvl w:val="12"/>
          <w:numId w:val="0"/>
        </w:numPr>
        <w:spacing w:line="240" w:lineRule="auto"/>
        <w:ind w:right="-2"/>
        <w:rPr>
          <w:lang w:val="hu-HU"/>
        </w:rPr>
      </w:pPr>
      <w:r>
        <w:t xml:space="preserve">A dabigatrán-etexilát egészséges önkénteseknek történő </w:t>
      </w:r>
      <w:r>
        <w:rPr>
          <w:i/>
        </w:rPr>
        <w:t>per os</w:t>
      </w:r>
      <w:r>
        <w:t xml:space="preserve"> adása után a dabigatrán farmakokinetikai profilját a plazmában a plazmakoncentrációk gyors emelkedése jellemzi, a C</w:t>
      </w:r>
      <w:r>
        <w:rPr>
          <w:vertAlign w:val="subscript"/>
        </w:rPr>
        <w:t>max</w:t>
      </w:r>
      <w:r>
        <w:t xml:space="preserve"> 0,5</w:t>
      </w:r>
      <w:r>
        <w:noBreakHyphen/>
        <w:t>2 órán belül kialakul a bevételt követően.</w:t>
      </w:r>
    </w:p>
    <w:p w14:paraId="617E19DC" w14:textId="77777777" w:rsidR="00736F4A" w:rsidRDefault="00736F4A">
      <w:pPr>
        <w:numPr>
          <w:ilvl w:val="12"/>
          <w:numId w:val="0"/>
        </w:numPr>
        <w:spacing w:line="240" w:lineRule="auto"/>
        <w:ind w:right="-2"/>
        <w:rPr>
          <w:lang w:val="hu-HU"/>
        </w:rPr>
      </w:pPr>
    </w:p>
    <w:p w14:paraId="3DB2EE7B" w14:textId="77777777" w:rsidR="00736F4A" w:rsidRDefault="00100640">
      <w:pPr>
        <w:numPr>
          <w:ilvl w:val="12"/>
          <w:numId w:val="0"/>
        </w:numPr>
        <w:spacing w:line="240" w:lineRule="auto"/>
        <w:ind w:right="-2"/>
        <w:rPr>
          <w:u w:val="single"/>
          <w:lang w:val="hu-HU"/>
        </w:rPr>
      </w:pPr>
      <w:r>
        <w:rPr>
          <w:u w:val="single"/>
          <w:lang w:val="hu-HU"/>
        </w:rPr>
        <w:t>Felszívódás</w:t>
      </w:r>
    </w:p>
    <w:p w14:paraId="1473AB32" w14:textId="77777777" w:rsidR="00736F4A" w:rsidRDefault="00736F4A">
      <w:pPr>
        <w:numPr>
          <w:ilvl w:val="12"/>
          <w:numId w:val="0"/>
        </w:numPr>
        <w:spacing w:line="240" w:lineRule="auto"/>
        <w:ind w:right="-2"/>
        <w:rPr>
          <w:lang w:val="hu-HU"/>
        </w:rPr>
      </w:pPr>
    </w:p>
    <w:p w14:paraId="347B4DB8" w14:textId="77777777" w:rsidR="00736F4A" w:rsidRDefault="00100640">
      <w:pPr>
        <w:spacing w:line="240" w:lineRule="auto"/>
        <w:ind w:left="7" w:right="112"/>
      </w:pPr>
      <w:r>
        <w:t xml:space="preserve">Egy, a dabigatrán-etexilát posztoperatív, a műtét után 1-3 órával észlelhető felszívódását értékelő vizsgálat viszonylag lassú felszívódást mutatott egészséges önkéntesekkel összehasonlítva, a plazmakoncentráció-idő profil egyenletes volt, magas plazma csúcskoncentrációk nélkül. A plazma csúcskoncentrációk – függetlenül a </w:t>
      </w:r>
      <w:r>
        <w:rPr>
          <w:i/>
        </w:rPr>
        <w:t>per os</w:t>
      </w:r>
      <w:r>
        <w:t xml:space="preserve"> gyógyszerformától – a következő tényezők miatt 6 órával a beadást követően alakultak ki a posztoperatív időszakban: anesztézia, GI paresis és a műtét hatásai. Egy másik vizsgálatban kimutatták, hogy lassú és elhúzódó felszívódás általában csak a műtét napján észlelhető. A további napokon a dabigatrán felszívódása gyors, és a plazma csúcskoncentrációk 2 órával a gyógyszer beadását követően kialakulnak.</w:t>
      </w:r>
    </w:p>
    <w:p w14:paraId="79615A4A" w14:textId="77777777" w:rsidR="00736F4A" w:rsidRDefault="00736F4A">
      <w:pPr>
        <w:spacing w:line="240" w:lineRule="auto"/>
        <w:ind w:left="7" w:right="112"/>
      </w:pPr>
    </w:p>
    <w:p w14:paraId="26D1CFE8" w14:textId="77777777" w:rsidR="00736F4A" w:rsidRDefault="00100640">
      <w:pPr>
        <w:spacing w:line="240" w:lineRule="auto"/>
        <w:ind w:left="7" w:right="9"/>
      </w:pPr>
      <w:r>
        <w:t>Az étkezés nem befolyásolja a dabigatrán-etexilát biohasznosulását, de 2 órával megnyújtja a plazma csúcskoncentráció kialakulásához szükséges időt.</w:t>
      </w:r>
    </w:p>
    <w:p w14:paraId="5A21B70B" w14:textId="77777777" w:rsidR="00736F4A" w:rsidRDefault="00736F4A">
      <w:pPr>
        <w:spacing w:line="240" w:lineRule="auto"/>
        <w:ind w:left="7" w:right="9"/>
      </w:pPr>
    </w:p>
    <w:p w14:paraId="5A7810F0" w14:textId="77777777" w:rsidR="00736F4A" w:rsidRDefault="00100640">
      <w:pPr>
        <w:spacing w:line="240" w:lineRule="auto"/>
        <w:ind w:left="7" w:right="9"/>
      </w:pPr>
      <w:r>
        <w:t>A C</w:t>
      </w:r>
      <w:r>
        <w:rPr>
          <w:vertAlign w:val="subscript"/>
        </w:rPr>
        <w:t>max</w:t>
      </w:r>
      <w:r>
        <w:t xml:space="preserve"> és az AUC arányos volt a beadott dózissal.</w:t>
      </w:r>
    </w:p>
    <w:p w14:paraId="4B2EAF43" w14:textId="77777777" w:rsidR="00736F4A" w:rsidRDefault="00736F4A">
      <w:pPr>
        <w:spacing w:line="240" w:lineRule="auto"/>
        <w:ind w:left="7" w:right="9"/>
      </w:pPr>
    </w:p>
    <w:p w14:paraId="590682A4" w14:textId="77777777" w:rsidR="00736F4A" w:rsidRDefault="00100640">
      <w:pPr>
        <w:spacing w:line="240" w:lineRule="auto"/>
        <w:ind w:left="7" w:right="9"/>
      </w:pPr>
      <w:r>
        <w:t>A referencia kapszulához viszonyítva az orális biohasznosulás egyszeri dózis után 75%-kal, dinamikus egyensúlyi állapotban 37%-kal nőhet, ha a pelleteket a hidroxi-propilmetil-cellulóz (HPMC) kapszulahéj nélkül veszik be. Ezért a klinikai alkalmazás során a HPMC kapszulák épségét mindig meg kell őrizni annak érdekében, hogy elkerüljék a dabigatrán-etexilát biohasznosulásának nem tervezett fokozódását (lásd 4.2 pont).</w:t>
      </w:r>
    </w:p>
    <w:p w14:paraId="69CEBD98" w14:textId="77777777" w:rsidR="00736F4A" w:rsidRDefault="00736F4A">
      <w:pPr>
        <w:numPr>
          <w:ilvl w:val="12"/>
          <w:numId w:val="0"/>
        </w:numPr>
        <w:spacing w:line="240" w:lineRule="auto"/>
        <w:ind w:right="-2"/>
        <w:rPr>
          <w:lang w:val="hu-HU"/>
        </w:rPr>
      </w:pPr>
    </w:p>
    <w:p w14:paraId="3B4C5F43" w14:textId="77777777" w:rsidR="00736F4A" w:rsidRDefault="00100640">
      <w:pPr>
        <w:numPr>
          <w:ilvl w:val="12"/>
          <w:numId w:val="0"/>
        </w:numPr>
        <w:spacing w:line="240" w:lineRule="auto"/>
        <w:ind w:right="-2"/>
        <w:rPr>
          <w:u w:val="single"/>
          <w:lang w:val="hu-HU"/>
        </w:rPr>
      </w:pPr>
      <w:r>
        <w:rPr>
          <w:u w:val="single"/>
          <w:lang w:val="hu-HU"/>
        </w:rPr>
        <w:t>Eloszlás</w:t>
      </w:r>
    </w:p>
    <w:p w14:paraId="7BEF6E85" w14:textId="77777777" w:rsidR="00736F4A" w:rsidRDefault="00736F4A">
      <w:pPr>
        <w:numPr>
          <w:ilvl w:val="12"/>
          <w:numId w:val="0"/>
        </w:numPr>
        <w:spacing w:line="240" w:lineRule="auto"/>
        <w:ind w:right="-2"/>
        <w:rPr>
          <w:lang w:val="hu-HU"/>
        </w:rPr>
      </w:pPr>
    </w:p>
    <w:p w14:paraId="2B6FD4B6" w14:textId="77777777" w:rsidR="00736F4A" w:rsidRDefault="00100640">
      <w:pPr>
        <w:spacing w:line="240" w:lineRule="auto"/>
        <w:ind w:left="7" w:right="9"/>
      </w:pPr>
      <w:r>
        <w:lastRenderedPageBreak/>
        <w:t>A dabigatrán emberi plazmafehérjékhez való alacsony (34-35%) koncentrációjú kötődését figyelték meg. A dabigatrán 60-70 l-es megoszlási térfogata meghaladja a test teljes víztartalmát, ami a dabigatrán közepes mértékű szöveti megoszlására utal.</w:t>
      </w:r>
    </w:p>
    <w:p w14:paraId="7C400F46" w14:textId="77777777" w:rsidR="00736F4A" w:rsidRDefault="00736F4A">
      <w:pPr>
        <w:numPr>
          <w:ilvl w:val="12"/>
          <w:numId w:val="0"/>
        </w:numPr>
        <w:spacing w:line="240" w:lineRule="auto"/>
        <w:ind w:right="-2"/>
        <w:rPr>
          <w:lang w:val="hu-HU"/>
        </w:rPr>
      </w:pPr>
    </w:p>
    <w:p w14:paraId="4096E35F" w14:textId="77777777" w:rsidR="00736F4A" w:rsidRDefault="00100640">
      <w:pPr>
        <w:numPr>
          <w:ilvl w:val="12"/>
          <w:numId w:val="0"/>
        </w:numPr>
        <w:spacing w:line="240" w:lineRule="auto"/>
        <w:ind w:right="-2"/>
        <w:rPr>
          <w:u w:val="single"/>
          <w:lang w:val="hu-HU"/>
        </w:rPr>
      </w:pPr>
      <w:r>
        <w:rPr>
          <w:u w:val="single"/>
          <w:lang w:val="hu-HU"/>
        </w:rPr>
        <w:t>Biotranszformáció</w:t>
      </w:r>
    </w:p>
    <w:p w14:paraId="779D7F90" w14:textId="77777777" w:rsidR="00736F4A" w:rsidRDefault="00736F4A">
      <w:pPr>
        <w:numPr>
          <w:ilvl w:val="12"/>
          <w:numId w:val="0"/>
        </w:numPr>
        <w:spacing w:line="240" w:lineRule="auto"/>
        <w:ind w:right="-2"/>
        <w:rPr>
          <w:lang w:val="hu-HU"/>
        </w:rPr>
      </w:pPr>
    </w:p>
    <w:p w14:paraId="70339F29" w14:textId="77777777" w:rsidR="00736F4A" w:rsidRDefault="00100640">
      <w:pPr>
        <w:spacing w:line="240" w:lineRule="auto"/>
        <w:ind w:left="7" w:right="9"/>
      </w:pPr>
      <w:r>
        <w:t>A dabigatrán metabolizmusát és kiválasztódását egy intravénásan beadott, radioizotóppal jelölt dabigatrán-dózis beadását követően vizsgálták egészséges férfiaknál. Egyetlen intravénás dózis után a dabigatránból származó radioaktivitás elsősorban a vizelettel ürült (85%). A beadott dózis 6%-a ürült a széklettel. A beadott dózis 88-94%-ának megfelelő teljes radioaktivitás volt kinyerhető a beadást követően 168 órával.</w:t>
      </w:r>
    </w:p>
    <w:p w14:paraId="076DDECF" w14:textId="77777777" w:rsidR="00736F4A" w:rsidRDefault="00100640">
      <w:pPr>
        <w:spacing w:line="240" w:lineRule="auto"/>
        <w:ind w:left="7" w:right="9"/>
      </w:pPr>
      <w:r>
        <w:t>A dabigatrán farmakológiailag aktív acil-glükuronidekké konjugálódik. Négy pozicionális izomer, 1-O, 2-O, 3-O, 4-O-acilglükuronid létezik, amelyek az összes dabigatrán kevesebb mint 10%-át teszik ki a plazmában. Egyéb metabolitok nyomai csak nagyon érzékeny analitikai módszerekkel voltak kimutathatók. A dabigatrán elsősorban változatlan formában ürül a vizelettel, körülbelül 100 ml/perces sebességgel, ami megfelel a glomeruláris filtrációs rátának.</w:t>
      </w:r>
    </w:p>
    <w:p w14:paraId="1D0968DE" w14:textId="77777777" w:rsidR="00736F4A" w:rsidRDefault="00736F4A">
      <w:pPr>
        <w:numPr>
          <w:ilvl w:val="12"/>
          <w:numId w:val="0"/>
        </w:numPr>
        <w:spacing w:line="240" w:lineRule="auto"/>
        <w:ind w:right="-2"/>
        <w:rPr>
          <w:lang w:val="hu-HU"/>
        </w:rPr>
      </w:pPr>
    </w:p>
    <w:p w14:paraId="0D08D2EF" w14:textId="77777777" w:rsidR="00736F4A" w:rsidRDefault="00100640">
      <w:pPr>
        <w:numPr>
          <w:ilvl w:val="12"/>
          <w:numId w:val="0"/>
        </w:numPr>
        <w:spacing w:line="240" w:lineRule="auto"/>
        <w:ind w:right="-2"/>
        <w:rPr>
          <w:u w:val="single"/>
          <w:lang w:val="hu-HU"/>
        </w:rPr>
      </w:pPr>
      <w:r>
        <w:rPr>
          <w:u w:val="single"/>
          <w:lang w:val="hu-HU"/>
        </w:rPr>
        <w:t>Elimináció</w:t>
      </w:r>
    </w:p>
    <w:p w14:paraId="2690DCD7" w14:textId="77777777" w:rsidR="00736F4A" w:rsidRDefault="00736F4A">
      <w:pPr>
        <w:numPr>
          <w:ilvl w:val="12"/>
          <w:numId w:val="0"/>
        </w:numPr>
        <w:spacing w:line="240" w:lineRule="auto"/>
        <w:ind w:right="-2"/>
        <w:rPr>
          <w:lang w:val="hu-HU"/>
        </w:rPr>
      </w:pPr>
    </w:p>
    <w:p w14:paraId="1E74D88F" w14:textId="77777777" w:rsidR="00736F4A" w:rsidRDefault="00100640">
      <w:pPr>
        <w:spacing w:line="240" w:lineRule="auto"/>
        <w:ind w:left="7" w:right="9"/>
      </w:pPr>
      <w:r>
        <w:t>A dabigatrán plazmakoncentrációi biexponenciális csökkenést mutattak, az átlagos terminális felezési idő 11 óra volt egészséges, idős személyeknél. Több dózist követően 12-14 órás terminális felezési időt figyeltek meg. A felezési idő a dózistól független volt. A felezési idő megnyúlt, ha vesekárosodás állt fenn, amint azt a 25. táblázat mutatja.</w:t>
      </w:r>
    </w:p>
    <w:p w14:paraId="03A49F20" w14:textId="77777777" w:rsidR="00736F4A" w:rsidRDefault="00736F4A">
      <w:pPr>
        <w:spacing w:line="240" w:lineRule="auto"/>
        <w:ind w:left="7" w:right="9"/>
      </w:pPr>
    </w:p>
    <w:p w14:paraId="5D793270" w14:textId="77777777" w:rsidR="00736F4A" w:rsidRDefault="00100640">
      <w:pPr>
        <w:spacing w:line="240" w:lineRule="auto"/>
        <w:ind w:left="7" w:right="9"/>
        <w:rPr>
          <w:u w:val="single"/>
        </w:rPr>
      </w:pPr>
      <w:r>
        <w:rPr>
          <w:u w:val="single"/>
        </w:rPr>
        <w:t>Különleges betegcsoportok</w:t>
      </w:r>
    </w:p>
    <w:p w14:paraId="0D90EC26" w14:textId="77777777" w:rsidR="00736F4A" w:rsidRDefault="00736F4A">
      <w:pPr>
        <w:numPr>
          <w:ilvl w:val="12"/>
          <w:numId w:val="0"/>
        </w:numPr>
        <w:spacing w:line="240" w:lineRule="auto"/>
        <w:ind w:right="-2"/>
        <w:rPr>
          <w:lang w:val="hu-HU"/>
        </w:rPr>
      </w:pPr>
    </w:p>
    <w:p w14:paraId="0BC03225" w14:textId="77777777" w:rsidR="00736F4A" w:rsidRDefault="00100640">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Vesekárosodás</w:t>
      </w:r>
    </w:p>
    <w:p w14:paraId="67505BBA" w14:textId="77777777" w:rsidR="00736F4A" w:rsidRDefault="00100640">
      <w:pPr>
        <w:spacing w:line="240" w:lineRule="auto"/>
        <w:ind w:left="7" w:right="276"/>
      </w:pPr>
      <w:r>
        <w:t xml:space="preserve">Az I. fázisú vizsgálatokban a dabigatrán-expozíció (AUC) a dabigatrán-etexilát </w:t>
      </w:r>
      <w:r>
        <w:rPr>
          <w:i/>
        </w:rPr>
        <w:t>per os</w:t>
      </w:r>
      <w:r>
        <w:t xml:space="preserve"> adását követően körülbelül 2,7-szer nagyobb közepesen súlyos fokú vesekárosodásban (kreatinin-clearance 30</w:t>
      </w:r>
      <w:r>
        <w:noBreakHyphen/>
        <w:t>50 ml/perc) szenvedő felnőtt önkénteseknél, mint azoknál, akik nem szenvednek vesekárosodásban.</w:t>
      </w:r>
    </w:p>
    <w:p w14:paraId="10DBE7CF" w14:textId="77777777" w:rsidR="00736F4A" w:rsidRDefault="00736F4A">
      <w:pPr>
        <w:spacing w:line="240" w:lineRule="auto"/>
        <w:ind w:left="7" w:right="276"/>
      </w:pPr>
    </w:p>
    <w:p w14:paraId="5F589FA1" w14:textId="77777777" w:rsidR="00736F4A" w:rsidRDefault="00100640">
      <w:pPr>
        <w:numPr>
          <w:ilvl w:val="12"/>
          <w:numId w:val="0"/>
        </w:numPr>
        <w:spacing w:line="240" w:lineRule="auto"/>
        <w:ind w:right="-2"/>
        <w:rPr>
          <w:lang w:val="hu-HU"/>
        </w:rPr>
      </w:pPr>
      <w:r>
        <w:t>A súlyos fokú vesekárosodásban (kreatinin-clearance 10</w:t>
      </w:r>
      <w:r>
        <w:noBreakHyphen/>
        <w:t>30 ml/perc) szenvedő felnőtt önkéntesek kis részénél a dabigatrán-expozíció (AUC) körülbelül 6-szor nagyobb, a felezési idő pedig 2-szer hosszabb volt, mint a vesekárosodásban nem szenvedő populációnál megfigyelt értékek (lásd 4.2, 4.3 és 4.4 pont).</w:t>
      </w:r>
    </w:p>
    <w:p w14:paraId="65F0BC80" w14:textId="77777777" w:rsidR="00736F4A" w:rsidRDefault="00736F4A">
      <w:pPr>
        <w:numPr>
          <w:ilvl w:val="12"/>
          <w:numId w:val="0"/>
        </w:numPr>
        <w:spacing w:line="240" w:lineRule="auto"/>
        <w:ind w:right="-2"/>
        <w:rPr>
          <w:lang w:val="hu-HU"/>
        </w:rPr>
      </w:pPr>
    </w:p>
    <w:p w14:paraId="5F7C729C" w14:textId="77777777" w:rsidR="00736F4A" w:rsidRDefault="00100640">
      <w:pPr>
        <w:numPr>
          <w:ilvl w:val="12"/>
          <w:numId w:val="0"/>
        </w:numPr>
        <w:spacing w:line="240" w:lineRule="auto"/>
        <w:ind w:right="-2"/>
        <w:rPr>
          <w:b/>
          <w:bCs/>
          <w:lang w:val="hu-HU"/>
        </w:rPr>
      </w:pPr>
      <w:r>
        <w:rPr>
          <w:b/>
          <w:bCs/>
          <w:lang w:val="hu-HU"/>
        </w:rPr>
        <w:t>25. táblázat: Az összdabigatrán felezési ideje egészséges és károsodott veseműködésű vizsgálati</w:t>
      </w:r>
    </w:p>
    <w:p w14:paraId="4445AB08" w14:textId="77777777" w:rsidR="00736F4A" w:rsidRDefault="00100640">
      <w:pPr>
        <w:numPr>
          <w:ilvl w:val="12"/>
          <w:numId w:val="0"/>
        </w:numPr>
        <w:spacing w:line="240" w:lineRule="auto"/>
        <w:ind w:right="-2"/>
        <w:rPr>
          <w:b/>
          <w:bCs/>
          <w:lang w:val="hu-HU"/>
        </w:rPr>
      </w:pPr>
      <w:r>
        <w:rPr>
          <w:b/>
          <w:bCs/>
          <w:lang w:val="hu-HU"/>
        </w:rPr>
        <w:t>személyeknél.</w:t>
      </w:r>
    </w:p>
    <w:p w14:paraId="3FBF1C03" w14:textId="77777777" w:rsidR="00736F4A" w:rsidRDefault="00736F4A">
      <w:pPr>
        <w:numPr>
          <w:ilvl w:val="12"/>
          <w:numId w:val="0"/>
        </w:numPr>
        <w:spacing w:line="240" w:lineRule="auto"/>
        <w:ind w:right="-2"/>
        <w:rPr>
          <w:lang w:val="hu-HU"/>
        </w:rPr>
      </w:pPr>
    </w:p>
    <w:tbl>
      <w:tblPr>
        <w:tblW w:w="9072" w:type="dxa"/>
        <w:tblInd w:w="-2" w:type="dxa"/>
        <w:tblCellMar>
          <w:top w:w="5" w:type="dxa"/>
          <w:left w:w="7" w:type="dxa"/>
          <w:right w:w="7" w:type="dxa"/>
        </w:tblCellMar>
        <w:tblLook w:val="04A0" w:firstRow="1" w:lastRow="0" w:firstColumn="1" w:lastColumn="0" w:noHBand="0" w:noVBand="1"/>
      </w:tblPr>
      <w:tblGrid>
        <w:gridCol w:w="2736"/>
        <w:gridCol w:w="6336"/>
      </w:tblGrid>
      <w:tr w:rsidR="00736F4A" w14:paraId="7D5B7BA0" w14:textId="77777777">
        <w:trPr>
          <w:trHeight w:val="775"/>
        </w:trPr>
        <w:tc>
          <w:tcPr>
            <w:tcW w:w="2736" w:type="dxa"/>
            <w:tcBorders>
              <w:top w:val="single" w:sz="6" w:space="0" w:color="000000"/>
              <w:left w:val="single" w:sz="6" w:space="0" w:color="000000"/>
              <w:bottom w:val="single" w:sz="4" w:space="0" w:color="auto"/>
              <w:right w:val="single" w:sz="6" w:space="0" w:color="000000"/>
            </w:tcBorders>
          </w:tcPr>
          <w:p w14:paraId="21A26B38" w14:textId="77777777" w:rsidR="00736F4A" w:rsidRDefault="00100640">
            <w:pPr>
              <w:spacing w:line="240" w:lineRule="auto"/>
              <w:ind w:left="1"/>
              <w:rPr>
                <w:lang w:val="hu-HU"/>
              </w:rPr>
            </w:pPr>
            <w:r>
              <w:rPr>
                <w:lang w:val="hu-HU"/>
              </w:rPr>
              <w:t xml:space="preserve">glomerulus filtrációs ráta </w:t>
            </w:r>
          </w:p>
          <w:p w14:paraId="6EF80BCC" w14:textId="77777777" w:rsidR="00736F4A" w:rsidRDefault="00100640">
            <w:pPr>
              <w:spacing w:line="240" w:lineRule="auto"/>
              <w:ind w:left="2"/>
              <w:rPr>
                <w:lang w:val="hu-HU"/>
              </w:rPr>
            </w:pPr>
            <w:r>
              <w:rPr>
                <w:lang w:val="hu-HU"/>
              </w:rPr>
              <w:t>(CrCl,)</w:t>
            </w:r>
          </w:p>
          <w:p w14:paraId="3CE983C0" w14:textId="77777777" w:rsidR="00736F4A" w:rsidRDefault="00100640">
            <w:pPr>
              <w:spacing w:line="240" w:lineRule="auto"/>
              <w:ind w:left="4"/>
              <w:rPr>
                <w:lang w:val="hu-HU"/>
              </w:rPr>
            </w:pPr>
            <w:r>
              <w:rPr>
                <w:lang w:val="hu-HU"/>
              </w:rPr>
              <w:t>[ml/perc]</w:t>
            </w:r>
          </w:p>
        </w:tc>
        <w:tc>
          <w:tcPr>
            <w:tcW w:w="6336" w:type="dxa"/>
            <w:tcBorders>
              <w:top w:val="single" w:sz="6" w:space="0" w:color="000000"/>
              <w:left w:val="single" w:sz="6" w:space="0" w:color="000000"/>
              <w:bottom w:val="single" w:sz="6" w:space="0" w:color="000000"/>
              <w:right w:val="single" w:sz="6" w:space="0" w:color="000000"/>
            </w:tcBorders>
          </w:tcPr>
          <w:p w14:paraId="6570334A" w14:textId="77777777" w:rsidR="00736F4A" w:rsidRDefault="00100640">
            <w:pPr>
              <w:spacing w:line="240" w:lineRule="auto"/>
              <w:ind w:left="1619" w:right="1566"/>
              <w:rPr>
                <w:lang w:val="hu-HU"/>
              </w:rPr>
            </w:pPr>
            <w:r>
              <w:rPr>
                <w:lang w:val="hu-HU"/>
              </w:rPr>
              <w:t xml:space="preserve">felezési idő </w:t>
            </w:r>
          </w:p>
          <w:p w14:paraId="1C6C9638" w14:textId="77777777" w:rsidR="00736F4A" w:rsidRDefault="00100640">
            <w:pPr>
              <w:spacing w:line="240" w:lineRule="auto"/>
              <w:ind w:left="1619" w:right="1566"/>
              <w:rPr>
                <w:lang w:val="hu-HU"/>
              </w:rPr>
            </w:pPr>
            <w:r>
              <w:rPr>
                <w:lang w:val="hu-HU"/>
              </w:rPr>
              <w:t>mértani átlag (gCV%; tartomány)</w:t>
            </w:r>
          </w:p>
          <w:p w14:paraId="0CCBB13F" w14:textId="77777777" w:rsidR="00736F4A" w:rsidRDefault="00100640">
            <w:pPr>
              <w:spacing w:line="240" w:lineRule="auto"/>
              <w:ind w:right="3"/>
              <w:rPr>
                <w:lang w:val="hu-HU"/>
              </w:rPr>
            </w:pPr>
            <w:r>
              <w:rPr>
                <w:lang w:val="hu-HU"/>
              </w:rPr>
              <w:t xml:space="preserve">[óra] </w:t>
            </w:r>
          </w:p>
        </w:tc>
      </w:tr>
      <w:tr w:rsidR="00736F4A" w14:paraId="4907E611" w14:textId="77777777">
        <w:trPr>
          <w:trHeight w:val="266"/>
        </w:trPr>
        <w:tc>
          <w:tcPr>
            <w:tcW w:w="2736" w:type="dxa"/>
            <w:tcBorders>
              <w:top w:val="single" w:sz="4" w:space="0" w:color="auto"/>
              <w:left w:val="single" w:sz="4" w:space="0" w:color="auto"/>
              <w:bottom w:val="single" w:sz="4" w:space="0" w:color="auto"/>
              <w:right w:val="single" w:sz="4" w:space="0" w:color="auto"/>
            </w:tcBorders>
          </w:tcPr>
          <w:p w14:paraId="39A29CBD" w14:textId="325D5277" w:rsidR="00736F4A" w:rsidRDefault="00100640">
            <w:pPr>
              <w:spacing w:line="240" w:lineRule="auto"/>
              <w:rPr>
                <w:lang w:val="hu-HU"/>
              </w:rPr>
            </w:pPr>
            <w:r w:rsidRPr="00044EE1">
              <w:rPr>
                <w:color w:val="000000"/>
                <w:lang w:val="hu-HU"/>
              </w:rPr>
              <w:t>&gt;</w:t>
            </w:r>
            <w:r>
              <w:rPr>
                <w:lang w:val="hu-HU"/>
              </w:rPr>
              <w:t xml:space="preserve"> 80</w:t>
            </w:r>
          </w:p>
        </w:tc>
        <w:tc>
          <w:tcPr>
            <w:tcW w:w="6336" w:type="dxa"/>
            <w:tcBorders>
              <w:top w:val="single" w:sz="6" w:space="0" w:color="000000"/>
              <w:left w:val="single" w:sz="4" w:space="0" w:color="auto"/>
              <w:bottom w:val="single" w:sz="6" w:space="0" w:color="000000"/>
              <w:right w:val="single" w:sz="6" w:space="0" w:color="000000"/>
            </w:tcBorders>
          </w:tcPr>
          <w:p w14:paraId="2E63E2FE" w14:textId="77777777" w:rsidR="00736F4A" w:rsidRDefault="00100640">
            <w:pPr>
              <w:spacing w:line="240" w:lineRule="auto"/>
              <w:ind w:right="3"/>
              <w:rPr>
                <w:lang w:val="hu-HU"/>
              </w:rPr>
            </w:pPr>
            <w:r>
              <w:rPr>
                <w:lang w:val="hu-HU"/>
              </w:rPr>
              <w:t>13,4 (25,7%; 11,0-21,6)</w:t>
            </w:r>
          </w:p>
        </w:tc>
      </w:tr>
      <w:tr w:rsidR="00736F4A" w14:paraId="1BE956DC" w14:textId="77777777">
        <w:trPr>
          <w:trHeight w:val="307"/>
        </w:trPr>
        <w:tc>
          <w:tcPr>
            <w:tcW w:w="0" w:type="auto"/>
            <w:tcBorders>
              <w:top w:val="single" w:sz="4" w:space="0" w:color="auto"/>
              <w:left w:val="single" w:sz="4" w:space="0" w:color="auto"/>
              <w:bottom w:val="single" w:sz="4" w:space="0" w:color="auto"/>
              <w:right w:val="single" w:sz="4" w:space="0" w:color="auto"/>
            </w:tcBorders>
          </w:tcPr>
          <w:p w14:paraId="4F11F211" w14:textId="21354244" w:rsidR="00736F4A" w:rsidRDefault="00100640">
            <w:pPr>
              <w:spacing w:line="240" w:lineRule="auto"/>
              <w:rPr>
                <w:lang w:val="hu-HU"/>
              </w:rPr>
            </w:pPr>
            <w:r w:rsidRPr="00044EE1">
              <w:rPr>
                <w:color w:val="000000"/>
                <w:lang w:val="hu-HU"/>
              </w:rPr>
              <w:t>&gt;</w:t>
            </w:r>
            <w:r>
              <w:rPr>
                <w:lang w:val="hu-HU"/>
              </w:rPr>
              <w:t xml:space="preserve"> 50-</w:t>
            </w:r>
            <w:r>
              <w:rPr>
                <w:color w:val="000000"/>
              </w:rPr>
              <w:t xml:space="preserve">≤ </w:t>
            </w:r>
            <w:r>
              <w:rPr>
                <w:lang w:val="hu-HU"/>
              </w:rPr>
              <w:t>80</w:t>
            </w:r>
          </w:p>
        </w:tc>
        <w:tc>
          <w:tcPr>
            <w:tcW w:w="6336" w:type="dxa"/>
            <w:tcBorders>
              <w:top w:val="single" w:sz="6" w:space="0" w:color="000000"/>
              <w:left w:val="single" w:sz="4" w:space="0" w:color="auto"/>
              <w:bottom w:val="single" w:sz="6" w:space="0" w:color="000000"/>
              <w:right w:val="single" w:sz="6" w:space="0" w:color="000000"/>
            </w:tcBorders>
          </w:tcPr>
          <w:p w14:paraId="7E80527C" w14:textId="77777777" w:rsidR="00736F4A" w:rsidRDefault="00100640">
            <w:pPr>
              <w:spacing w:line="240" w:lineRule="auto"/>
              <w:ind w:right="3"/>
              <w:rPr>
                <w:lang w:val="hu-HU"/>
              </w:rPr>
            </w:pPr>
            <w:r>
              <w:rPr>
                <w:lang w:val="hu-HU"/>
              </w:rPr>
              <w:t xml:space="preserve">15,3 (42,7%;11,7-34,1) </w:t>
            </w:r>
          </w:p>
        </w:tc>
      </w:tr>
      <w:tr w:rsidR="00736F4A" w14:paraId="32C96B08" w14:textId="77777777">
        <w:trPr>
          <w:trHeight w:val="269"/>
        </w:trPr>
        <w:tc>
          <w:tcPr>
            <w:tcW w:w="0" w:type="auto"/>
            <w:tcBorders>
              <w:top w:val="single" w:sz="4" w:space="0" w:color="auto"/>
              <w:left w:val="single" w:sz="4" w:space="0" w:color="auto"/>
              <w:bottom w:val="single" w:sz="4" w:space="0" w:color="auto"/>
              <w:right w:val="single" w:sz="4" w:space="0" w:color="auto"/>
            </w:tcBorders>
          </w:tcPr>
          <w:p w14:paraId="61B5FA7B" w14:textId="7DB2BAC1" w:rsidR="00736F4A" w:rsidRDefault="00100640">
            <w:pPr>
              <w:spacing w:line="240" w:lineRule="auto"/>
              <w:rPr>
                <w:lang w:val="hu-HU"/>
              </w:rPr>
            </w:pPr>
            <w:r w:rsidRPr="00044EE1">
              <w:rPr>
                <w:color w:val="000000"/>
                <w:lang w:val="hu-HU"/>
              </w:rPr>
              <w:t>&gt;</w:t>
            </w:r>
            <w:r>
              <w:rPr>
                <w:lang w:val="hu-HU"/>
              </w:rPr>
              <w:t xml:space="preserve"> 30-</w:t>
            </w:r>
            <w:r>
              <w:rPr>
                <w:color w:val="000000"/>
              </w:rPr>
              <w:t xml:space="preserve">≤ </w:t>
            </w:r>
            <w:r>
              <w:rPr>
                <w:lang w:val="hu-HU"/>
              </w:rPr>
              <w:t>50</w:t>
            </w:r>
          </w:p>
        </w:tc>
        <w:tc>
          <w:tcPr>
            <w:tcW w:w="6336" w:type="dxa"/>
            <w:tcBorders>
              <w:top w:val="single" w:sz="6" w:space="0" w:color="000000"/>
              <w:left w:val="single" w:sz="4" w:space="0" w:color="auto"/>
              <w:bottom w:val="single" w:sz="6" w:space="0" w:color="000000"/>
              <w:right w:val="single" w:sz="6" w:space="0" w:color="000000"/>
            </w:tcBorders>
          </w:tcPr>
          <w:p w14:paraId="1D57223E" w14:textId="77777777" w:rsidR="00736F4A" w:rsidRDefault="00100640">
            <w:pPr>
              <w:spacing w:line="240" w:lineRule="auto"/>
              <w:ind w:right="3"/>
              <w:rPr>
                <w:lang w:val="hu-HU"/>
              </w:rPr>
            </w:pPr>
            <w:r>
              <w:rPr>
                <w:lang w:val="hu-HU"/>
              </w:rPr>
              <w:t xml:space="preserve">18,4 (18,5 %;13,3-23,0) </w:t>
            </w:r>
          </w:p>
        </w:tc>
      </w:tr>
      <w:tr w:rsidR="00736F4A" w14:paraId="6E93872D" w14:textId="77777777">
        <w:trPr>
          <w:trHeight w:val="269"/>
        </w:trPr>
        <w:tc>
          <w:tcPr>
            <w:tcW w:w="0" w:type="auto"/>
            <w:tcBorders>
              <w:top w:val="single" w:sz="4" w:space="0" w:color="auto"/>
              <w:left w:val="single" w:sz="4" w:space="0" w:color="auto"/>
              <w:bottom w:val="single" w:sz="4" w:space="0" w:color="auto"/>
              <w:right w:val="single" w:sz="4" w:space="0" w:color="auto"/>
            </w:tcBorders>
          </w:tcPr>
          <w:p w14:paraId="741BE8D2" w14:textId="4CB38090" w:rsidR="00736F4A" w:rsidRDefault="00100640">
            <w:pPr>
              <w:spacing w:line="240" w:lineRule="auto"/>
              <w:rPr>
                <w:lang w:val="hu-HU"/>
              </w:rPr>
            </w:pPr>
            <w:r>
              <w:rPr>
                <w:color w:val="000000"/>
              </w:rPr>
              <w:t xml:space="preserve">≤ </w:t>
            </w:r>
            <w:r>
              <w:rPr>
                <w:lang w:val="hu-HU"/>
              </w:rPr>
              <w:t>30</w:t>
            </w:r>
          </w:p>
        </w:tc>
        <w:tc>
          <w:tcPr>
            <w:tcW w:w="6336" w:type="dxa"/>
            <w:tcBorders>
              <w:top w:val="single" w:sz="6" w:space="0" w:color="000000"/>
              <w:left w:val="single" w:sz="4" w:space="0" w:color="auto"/>
              <w:bottom w:val="single" w:sz="6" w:space="0" w:color="000000"/>
              <w:right w:val="single" w:sz="6" w:space="0" w:color="000000"/>
            </w:tcBorders>
          </w:tcPr>
          <w:p w14:paraId="6DBFB51A" w14:textId="77777777" w:rsidR="00736F4A" w:rsidRDefault="00100640">
            <w:pPr>
              <w:spacing w:line="240" w:lineRule="auto"/>
              <w:ind w:right="3"/>
              <w:rPr>
                <w:lang w:val="hu-HU"/>
              </w:rPr>
            </w:pPr>
            <w:r>
              <w:rPr>
                <w:lang w:val="hu-HU"/>
              </w:rPr>
              <w:t>27,2 (15,3%; 21,6-35,0)</w:t>
            </w:r>
          </w:p>
        </w:tc>
      </w:tr>
    </w:tbl>
    <w:p w14:paraId="2CB5B65F" w14:textId="77777777" w:rsidR="00736F4A" w:rsidRDefault="00736F4A">
      <w:pPr>
        <w:numPr>
          <w:ilvl w:val="12"/>
          <w:numId w:val="0"/>
        </w:numPr>
        <w:spacing w:line="240" w:lineRule="auto"/>
        <w:ind w:right="-2"/>
        <w:rPr>
          <w:lang w:val="hu-HU"/>
        </w:rPr>
      </w:pPr>
    </w:p>
    <w:p w14:paraId="52221913" w14:textId="77777777" w:rsidR="00736F4A" w:rsidRDefault="00100640">
      <w:pPr>
        <w:spacing w:line="240" w:lineRule="auto"/>
        <w:ind w:left="7" w:right="9"/>
      </w:pPr>
      <w:r>
        <w:t>Ezen kívül egy prospektív, nyílt elrendezésű, randomizált farmakokinetikai vizsgálatban értékelték a dabigatrán-expozíciót (mélyponti érték és csúcsérték) nem billentyű eredetű pitvarfibrillációban szenvedő, súlyos vesekárosodásban szenvedő (meghatározás szerint 15</w:t>
      </w:r>
      <w:r>
        <w:noBreakHyphen/>
        <w:t>30 ml/perc közötti kreatinin-clearance [CrCl]) betegek bevonásával, akik 75 mg dabigatrán-etexilátot kaptak naponta kétszer.</w:t>
      </w:r>
    </w:p>
    <w:p w14:paraId="0128E172" w14:textId="77777777" w:rsidR="00736F4A" w:rsidRDefault="00100640">
      <w:pPr>
        <w:spacing w:line="240" w:lineRule="auto"/>
        <w:ind w:left="7" w:right="9"/>
      </w:pPr>
      <w:r>
        <w:t>Ez a kezelés 155 ng/ml-es (gCV: 76,9%) mértani átlagú mélyponti koncentrációt eredményezett, amelyet közvetlenül a következő dózis beadása előtt mértek, valamint 202 ng/ml-es (gCV: 70,6%) mértani átlagú csúcskoncentrációt, amelyet az utolsó dózis beadása után két órával mértek.</w:t>
      </w:r>
    </w:p>
    <w:p w14:paraId="185D8957" w14:textId="77777777" w:rsidR="00736F4A" w:rsidRDefault="00736F4A">
      <w:pPr>
        <w:spacing w:line="240" w:lineRule="auto"/>
        <w:ind w:left="7" w:right="9"/>
      </w:pPr>
    </w:p>
    <w:p w14:paraId="576A878D" w14:textId="77777777" w:rsidR="00736F4A" w:rsidRDefault="00100640">
      <w:pPr>
        <w:spacing w:line="240" w:lineRule="auto"/>
        <w:ind w:left="7" w:right="9"/>
      </w:pPr>
      <w:r>
        <w:lastRenderedPageBreak/>
        <w:t>A dabigatrán haemodialízissel történő ürülését 7 végstádiumú vesebetegségben (ESRD) szenvedő, nem pitvarfibrilláló felnőtt betegnél vizsgálták. A dialízist 700 ml/perc dializáló oldat áramlási sebességgel végezték 4 órán át és a véráramlás sebessége 200 ml/perc vagy 350</w:t>
      </w:r>
      <w:r>
        <w:noBreakHyphen/>
        <w:t xml:space="preserve">390 ml/perc volt. </w:t>
      </w:r>
    </w:p>
    <w:p w14:paraId="2CDF135D" w14:textId="77777777" w:rsidR="00736F4A" w:rsidRDefault="00100640">
      <w:pPr>
        <w:spacing w:line="240" w:lineRule="auto"/>
        <w:ind w:left="7" w:right="9"/>
      </w:pPr>
      <w:r>
        <w:t>Ez a dabigatrán-koncentrációt 200 ml/perc esetén 50%-kal, 350-390 ml/perc esetén pedig 60%-kal csökkentette. A dialízissel eltávolított gyógyszer mennyisége 300 ml/perces véráramlási sebességig arányos a véráramlás sebességével. A dabigatrán antikoaguláns aktivitása a plazmakoncentráció csökkenésével csökkent és a PK/PD összefüggést az eljárás nem befolyásolta.</w:t>
      </w:r>
    </w:p>
    <w:p w14:paraId="04F69E92" w14:textId="77777777" w:rsidR="00736F4A" w:rsidRDefault="00736F4A">
      <w:pPr>
        <w:spacing w:line="240" w:lineRule="auto"/>
        <w:ind w:left="7" w:right="9"/>
      </w:pPr>
    </w:p>
    <w:p w14:paraId="042DFAF8" w14:textId="77777777" w:rsidR="00736F4A" w:rsidRDefault="00100640">
      <w:pPr>
        <w:spacing w:line="240" w:lineRule="auto"/>
        <w:ind w:left="7" w:right="9"/>
      </w:pPr>
      <w:r>
        <w:t>A kreatinin-clearance median értéke a RE-LY vizsgálatban 68,4 ml/perc volt. A RE-LY betegeinek csaknem felének (45,8%) volt a kreatinin-clearance-e &gt; 50 – &lt; 80 ml/perc. A közepesen súlyos fokú vesekárosodásban szenvedő betegeknél (CrCl 30</w:t>
      </w:r>
      <w:r>
        <w:noBreakHyphen/>
        <w:t>50 ml/perc között) a dabigatrán plazmakoncentrációja az adagolás előtt 2,29-szer, adagolás után pedig 1,81-szer volt magasabb a normális veseműködésű betegekkel összehasonlítva (CrCl ≥ 80 ml/perc).</w:t>
      </w:r>
    </w:p>
    <w:p w14:paraId="7301AAD9" w14:textId="77777777" w:rsidR="00736F4A" w:rsidRDefault="00736F4A">
      <w:pPr>
        <w:spacing w:line="240" w:lineRule="auto"/>
        <w:ind w:left="7" w:right="9"/>
      </w:pPr>
    </w:p>
    <w:p w14:paraId="22042DDC" w14:textId="77777777" w:rsidR="00736F4A" w:rsidRDefault="00100640">
      <w:pPr>
        <w:spacing w:line="240" w:lineRule="auto"/>
        <w:ind w:left="7" w:right="9"/>
      </w:pPr>
      <w:r>
        <w:t>A RE-COVER vizsgálatban a kreatinin-clearance medián értéke 100,4 ml/perc volt. A betegek 21,7%-ának volt enyhe (CrCl &gt; 50 - &lt; 80 ml/perc), és 4,5%-ának közepesen súlyos (CrCl 30</w:t>
      </w:r>
      <w:r>
        <w:noBreakHyphen/>
        <w:t>50 ml/perc közötti) vesekárosodása. Az enyhe vesekárosodásban 1,8-szer, a közepesen súlyos fokú vesekárosodásban szenvedő betegeknél pedig 3,6-szer magasabbak voltak a dabigatrán dinamikus egyensúlyi állapotú plazmakoncentrációi, mint azoknál a betegeknél, akiknél 80 ml/percnél magasabb volt a kreatinin-clearance. Hasonló értékeket kaptak a RE-COVER II vizsgálatban is.</w:t>
      </w:r>
    </w:p>
    <w:p w14:paraId="15602179" w14:textId="77777777" w:rsidR="00736F4A" w:rsidRDefault="00736F4A">
      <w:pPr>
        <w:spacing w:line="240" w:lineRule="auto"/>
        <w:ind w:left="7" w:right="9"/>
      </w:pPr>
    </w:p>
    <w:p w14:paraId="23F0DC8D" w14:textId="77777777" w:rsidR="00736F4A" w:rsidRDefault="00100640">
      <w:pPr>
        <w:spacing w:line="240" w:lineRule="auto"/>
        <w:ind w:left="7" w:right="113"/>
      </w:pPr>
      <w:r>
        <w:t>A RE-MEDY és RE-SONATE vizsgálatokban az átlagos kreatinin-clearance érték 99,0 ml/perc, illetve 99,7 ml/perc volt. A kreatinin-clearance a betegek 22,9%-ánál illetve 22,5%-ánál volt 50</w:t>
      </w:r>
      <w:r>
        <w:noBreakHyphen/>
        <w:t>80 ml/perc között, és 4,1%-ánál illetve 4,8%-ánál volt 30</w:t>
      </w:r>
      <w:r>
        <w:noBreakHyphen/>
        <w:t>50 ml/perc között a RE-MEDY és a RE-SONATE vizsgálatoknál.</w:t>
      </w:r>
    </w:p>
    <w:p w14:paraId="6A49CC89" w14:textId="77777777" w:rsidR="00736F4A" w:rsidRDefault="00736F4A">
      <w:pPr>
        <w:numPr>
          <w:ilvl w:val="12"/>
          <w:numId w:val="0"/>
        </w:numPr>
        <w:spacing w:line="240" w:lineRule="auto"/>
        <w:ind w:right="-2"/>
        <w:rPr>
          <w:lang w:val="hu-HU"/>
        </w:rPr>
      </w:pPr>
    </w:p>
    <w:p w14:paraId="2C389044" w14:textId="77777777" w:rsidR="00736F4A" w:rsidRDefault="00100640">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Idősek</w:t>
      </w:r>
    </w:p>
    <w:p w14:paraId="11035B25" w14:textId="77777777" w:rsidR="00736F4A" w:rsidRDefault="00100640">
      <w:pPr>
        <w:spacing w:line="240" w:lineRule="auto"/>
        <w:ind w:left="7" w:right="9"/>
      </w:pPr>
      <w:r>
        <w:t>Az idős személyeknél végzett I. fázisú, specifikus farmakokinetikai vizsgálatok azt mutatták, hogy az AUC 40-60%-kal, és a C</w:t>
      </w:r>
      <w:r>
        <w:rPr>
          <w:vertAlign w:val="subscript"/>
        </w:rPr>
        <w:t xml:space="preserve">max </w:t>
      </w:r>
      <w:r>
        <w:t>több mint 25%-kal növekedett a fiatal személyekhez képest.</w:t>
      </w:r>
    </w:p>
    <w:p w14:paraId="48CC5722" w14:textId="77777777" w:rsidR="00736F4A" w:rsidRDefault="00100640">
      <w:pPr>
        <w:spacing w:line="240" w:lineRule="auto"/>
        <w:ind w:left="7" w:right="9"/>
      </w:pPr>
      <w:r>
        <w:t>Az életkor hatását a dabigatrán-expozícióra a RE-LY vizsgálatban erősítették meg, körülbelül 31%-kal magasabb mélyponti koncentrációkat találtak a 75 éves vagy annál idősebb vizsgálati személyeknél, és körülbelül 22%-kal alacsonyabb mélyponti koncentrációkat mértek 65 év alatti vizsgálati személyeknél a 65 és 75 év közötti személyeknél mérthez képest (lásd 4.2 és 4.4 pont).</w:t>
      </w:r>
    </w:p>
    <w:p w14:paraId="62379222" w14:textId="77777777" w:rsidR="00736F4A" w:rsidRDefault="00736F4A">
      <w:pPr>
        <w:numPr>
          <w:ilvl w:val="12"/>
          <w:numId w:val="0"/>
        </w:numPr>
        <w:spacing w:line="240" w:lineRule="auto"/>
        <w:ind w:right="-2"/>
        <w:rPr>
          <w:lang w:val="hu-HU"/>
        </w:rPr>
      </w:pPr>
    </w:p>
    <w:p w14:paraId="08EE19F1" w14:textId="77777777" w:rsidR="00736F4A" w:rsidRDefault="00100640">
      <w:pPr>
        <w:spacing w:line="240" w:lineRule="auto"/>
        <w:ind w:left="7"/>
      </w:pPr>
      <w:r>
        <w:rPr>
          <w:i/>
          <w:u w:val="single" w:color="000000"/>
        </w:rPr>
        <w:t>Májkárosodás</w:t>
      </w:r>
    </w:p>
    <w:p w14:paraId="3165E222" w14:textId="77777777" w:rsidR="00736F4A" w:rsidRDefault="00100640">
      <w:pPr>
        <w:spacing w:line="240" w:lineRule="auto"/>
        <w:ind w:left="7" w:right="9"/>
      </w:pPr>
      <w:r>
        <w:t>Nem észleltek változást a dabigatrán expozíciójában 12, közepesen súlyos fokú májkárosodásban (Child-Pugh B) szenvedő felnőtt betegnél a 12 kontrollal összehasonlítva (lásd 4.2 és 4.4 pont).</w:t>
      </w:r>
    </w:p>
    <w:p w14:paraId="2CA0F2F1" w14:textId="77777777" w:rsidR="00736F4A" w:rsidRDefault="00736F4A">
      <w:pPr>
        <w:numPr>
          <w:ilvl w:val="12"/>
          <w:numId w:val="0"/>
        </w:numPr>
        <w:spacing w:line="240" w:lineRule="auto"/>
        <w:ind w:right="-2"/>
        <w:rPr>
          <w:lang w:val="hu-HU"/>
        </w:rPr>
      </w:pPr>
    </w:p>
    <w:p w14:paraId="3594D10E" w14:textId="77777777" w:rsidR="00736F4A" w:rsidRDefault="00100640">
      <w:pPr>
        <w:spacing w:line="240" w:lineRule="auto"/>
        <w:ind w:left="7"/>
      </w:pPr>
      <w:r>
        <w:rPr>
          <w:i/>
          <w:u w:val="single" w:color="000000"/>
        </w:rPr>
        <w:t>Testtömeg</w:t>
      </w:r>
    </w:p>
    <w:p w14:paraId="2924E732" w14:textId="77777777" w:rsidR="00736F4A" w:rsidRDefault="00100640">
      <w:pPr>
        <w:spacing w:line="240" w:lineRule="auto"/>
        <w:ind w:left="7" w:right="9"/>
      </w:pPr>
      <w:r>
        <w:t>A dabigatrán mélyponti koncentrációi körülbelül 20%-kal alacsonyabbak voltak a 100 kg-nál nagyobb testtömegű felnőtt betegeknél, mint az 50-100kg közöttieknél. A vizsgálati személyek többsége (80,8%) az ≥ 50 kg és &lt; 100 kg kategóriába esett, és egyértelmű különbséget nem mutattak ki (lásd 4.2 és 4.4 pont). Az 50 kg-nál kisebb testtömegű felnőtt betegekre vonatkozó klinikai adatok korlátozottak.</w:t>
      </w:r>
    </w:p>
    <w:p w14:paraId="07C62C3B" w14:textId="77777777" w:rsidR="00736F4A" w:rsidRDefault="00736F4A">
      <w:pPr>
        <w:numPr>
          <w:ilvl w:val="12"/>
          <w:numId w:val="0"/>
        </w:numPr>
        <w:spacing w:line="240" w:lineRule="auto"/>
        <w:ind w:right="-2"/>
        <w:rPr>
          <w:lang w:val="hu-HU"/>
        </w:rPr>
      </w:pPr>
    </w:p>
    <w:p w14:paraId="589B7659" w14:textId="77777777" w:rsidR="00736F4A" w:rsidRDefault="00100640">
      <w:pPr>
        <w:numPr>
          <w:ilvl w:val="12"/>
          <w:numId w:val="0"/>
        </w:numPr>
        <w:spacing w:line="240" w:lineRule="auto"/>
        <w:ind w:right="-2"/>
        <w:rPr>
          <w:i/>
          <w:iCs/>
          <w:u w:val="single"/>
          <w:lang w:val="hu-HU"/>
        </w:rPr>
      </w:pPr>
      <w:r>
        <w:rPr>
          <w:i/>
          <w:iCs/>
          <w:u w:val="single"/>
          <w:lang w:val="hu-HU"/>
        </w:rPr>
        <w:t>Nem</w:t>
      </w:r>
    </w:p>
    <w:p w14:paraId="5F1826E5" w14:textId="77777777" w:rsidR="00736F4A" w:rsidRDefault="00100640">
      <w:pPr>
        <w:spacing w:line="240" w:lineRule="auto"/>
        <w:ind w:right="9"/>
        <w:rPr>
          <w:color w:val="000000"/>
          <w:lang w:val="hu-HU" w:eastAsia="hu-HU"/>
        </w:rPr>
      </w:pPr>
      <w:r>
        <w:rPr>
          <w:color w:val="000000"/>
          <w:lang w:val="hu-HU" w:eastAsia="hu-HU"/>
        </w:rPr>
        <w:t>Pitvarfibrilláló betegeknél a nőknél átlagosan 30%-kal voltak magasabbak a mélyponti és a dózis bevétele utáni koncentrációk. A dózis módosítása nem szükséges (lásd 4.2 pont).</w:t>
      </w:r>
    </w:p>
    <w:p w14:paraId="3C9914FB" w14:textId="77777777" w:rsidR="00736F4A" w:rsidRDefault="00736F4A">
      <w:pPr>
        <w:numPr>
          <w:ilvl w:val="12"/>
          <w:numId w:val="0"/>
        </w:numPr>
        <w:spacing w:line="240" w:lineRule="auto"/>
        <w:ind w:right="-2"/>
        <w:rPr>
          <w:lang w:val="hu-HU"/>
        </w:rPr>
      </w:pPr>
    </w:p>
    <w:p w14:paraId="57C6A957" w14:textId="77777777" w:rsidR="00736F4A" w:rsidRDefault="00100640">
      <w:pPr>
        <w:spacing w:line="240" w:lineRule="auto"/>
        <w:ind w:left="7"/>
      </w:pPr>
      <w:r>
        <w:rPr>
          <w:i/>
          <w:u w:val="single" w:color="000000"/>
        </w:rPr>
        <w:t>Etnikai származás:</w:t>
      </w:r>
    </w:p>
    <w:p w14:paraId="7B5B455E" w14:textId="77777777" w:rsidR="00736F4A" w:rsidRDefault="00100640">
      <w:pPr>
        <w:spacing w:line="240" w:lineRule="auto"/>
        <w:ind w:left="7" w:right="9"/>
      </w:pPr>
      <w:r>
        <w:t>Nem figyeltek meg klinikailag releváns különbséget a dabigatrán farmakokinetikáját és farmakodinámiáját illetően a kaukázusi, afroamerikai, hispán, japán vagy kínai betegek között.</w:t>
      </w:r>
    </w:p>
    <w:p w14:paraId="77813463" w14:textId="77777777" w:rsidR="00736F4A" w:rsidRDefault="00736F4A">
      <w:pPr>
        <w:numPr>
          <w:ilvl w:val="12"/>
          <w:numId w:val="0"/>
        </w:numPr>
        <w:spacing w:line="240" w:lineRule="auto"/>
        <w:ind w:right="-2"/>
        <w:rPr>
          <w:lang w:val="hu-HU"/>
        </w:rPr>
      </w:pPr>
    </w:p>
    <w:p w14:paraId="32C3A2F1" w14:textId="77777777" w:rsidR="00736F4A" w:rsidRDefault="00100640">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Gyermekek és serdülők</w:t>
      </w:r>
    </w:p>
    <w:p w14:paraId="164EBD76" w14:textId="77777777" w:rsidR="00736F4A" w:rsidRDefault="00100640">
      <w:pPr>
        <w:spacing w:line="240" w:lineRule="auto"/>
        <w:ind w:left="7" w:right="9"/>
      </w:pPr>
      <w:r>
        <w:t xml:space="preserve">A dabigatrán-etexilát protokollban meghatározott adagolási szabályok szerinti, </w:t>
      </w:r>
      <w:r>
        <w:rPr>
          <w:i/>
        </w:rPr>
        <w:t>per os</w:t>
      </w:r>
      <w:r>
        <w:t xml:space="preserve"> alkalmazása az MVT/PE miatt kezelt felnőtteknél tapasztalt tartománynak megfelelő expozíciót eredményezett. A DIVERSITY és az 1160.108 vizsgálat összesített farmakokinetikai adatainak elemzése alapján a </w:t>
      </w:r>
      <w:r>
        <w:lastRenderedPageBreak/>
        <w:t>megfigyelt mélyponti expozíció mértani átlagértéke a 0 – &lt; 2 éveseknél 53,9 ng/ml, a 2 – &lt; 12 éveseknél 63,0 ng/ml és a 12 – &lt; 18 éveseknél 99,1 ng/ml volt a gyermek- és serdülőkorú VTE-betegek körében.</w:t>
      </w:r>
    </w:p>
    <w:p w14:paraId="65C71D66" w14:textId="77777777" w:rsidR="00736F4A" w:rsidRDefault="00736F4A">
      <w:pPr>
        <w:numPr>
          <w:ilvl w:val="12"/>
          <w:numId w:val="0"/>
        </w:numPr>
        <w:spacing w:line="240" w:lineRule="auto"/>
        <w:ind w:right="-2"/>
        <w:rPr>
          <w:lang w:val="hu-HU"/>
        </w:rPr>
      </w:pPr>
    </w:p>
    <w:p w14:paraId="22BFC17A" w14:textId="77777777" w:rsidR="00736F4A" w:rsidRDefault="00100640">
      <w:pPr>
        <w:numPr>
          <w:ilvl w:val="12"/>
          <w:numId w:val="0"/>
        </w:numPr>
        <w:spacing w:line="240" w:lineRule="auto"/>
        <w:ind w:right="-2"/>
        <w:rPr>
          <w:u w:val="single"/>
          <w:lang w:val="hu-HU"/>
        </w:rPr>
      </w:pPr>
      <w:r>
        <w:rPr>
          <w:u w:val="single"/>
          <w:lang w:val="hu-HU"/>
        </w:rPr>
        <w:t>Farmakokinetikai összefüggések</w:t>
      </w:r>
    </w:p>
    <w:p w14:paraId="316E1C9E" w14:textId="77777777" w:rsidR="00736F4A" w:rsidRDefault="00736F4A">
      <w:pPr>
        <w:numPr>
          <w:ilvl w:val="12"/>
          <w:numId w:val="0"/>
        </w:numPr>
        <w:spacing w:line="240" w:lineRule="auto"/>
        <w:ind w:right="-2"/>
        <w:rPr>
          <w:lang w:val="hu-HU"/>
        </w:rPr>
      </w:pPr>
    </w:p>
    <w:p w14:paraId="684CB52F" w14:textId="77777777" w:rsidR="00736F4A" w:rsidRDefault="00100640">
      <w:pPr>
        <w:spacing w:line="240" w:lineRule="auto"/>
        <w:ind w:left="7" w:right="9"/>
      </w:pPr>
      <w:r>
        <w:t xml:space="preserve">Az </w:t>
      </w:r>
      <w:r>
        <w:rPr>
          <w:i/>
        </w:rPr>
        <w:t xml:space="preserve">in vitro </w:t>
      </w:r>
      <w:r>
        <w:t xml:space="preserve">interakciós vizsgálatok nem igazolták a citokróm P450 fő izoenzimeinek gátlását vagy indukcióját. Ezt megerősítették egészséges önkénteseknél végzett </w:t>
      </w:r>
      <w:r>
        <w:rPr>
          <w:i/>
        </w:rPr>
        <w:t xml:space="preserve">in vivo </w:t>
      </w:r>
      <w:r>
        <w:t>vizsgálatok, amelyekben nem észleltek interakciót a kezelés és a következő hatóanyagok adását követően: atorvasztatin (CYP3A4), digoxin (P-gp-transzporter interakció) és diklofenák (CYP2C9).</w:t>
      </w:r>
    </w:p>
    <w:p w14:paraId="61CFB978" w14:textId="77777777" w:rsidR="00736F4A" w:rsidRDefault="00736F4A">
      <w:pPr>
        <w:numPr>
          <w:ilvl w:val="12"/>
          <w:numId w:val="0"/>
        </w:numPr>
        <w:spacing w:line="240" w:lineRule="auto"/>
        <w:ind w:right="-2"/>
        <w:rPr>
          <w:i/>
          <w:iCs/>
          <w:lang w:val="hu-HU"/>
        </w:rPr>
      </w:pPr>
    </w:p>
    <w:p w14:paraId="790B11EC" w14:textId="77777777" w:rsidR="00736F4A" w:rsidRDefault="00100640">
      <w:pPr>
        <w:spacing w:line="240" w:lineRule="auto"/>
        <w:ind w:left="567" w:hanging="567"/>
        <w:outlineLvl w:val="0"/>
        <w:rPr>
          <w:b/>
          <w:bCs/>
          <w:lang w:val="hu-HU"/>
        </w:rPr>
      </w:pPr>
      <w:r>
        <w:rPr>
          <w:b/>
          <w:bCs/>
          <w:lang w:val="hu-HU"/>
        </w:rPr>
        <w:t>5.3</w:t>
      </w:r>
      <w:r>
        <w:rPr>
          <w:b/>
          <w:bCs/>
          <w:lang w:val="hu-HU"/>
        </w:rPr>
        <w:tab/>
        <w:t>A preklinikai biztonságossági vizsgálatok eredményei</w:t>
      </w:r>
    </w:p>
    <w:p w14:paraId="38BB8910" w14:textId="77777777" w:rsidR="00736F4A" w:rsidRDefault="00736F4A">
      <w:pPr>
        <w:spacing w:line="240" w:lineRule="auto"/>
        <w:ind w:left="567" w:hanging="567"/>
        <w:outlineLvl w:val="0"/>
        <w:rPr>
          <w:b/>
          <w:bCs/>
          <w:lang w:val="hu-HU"/>
        </w:rPr>
      </w:pPr>
    </w:p>
    <w:p w14:paraId="0D860E3F" w14:textId="77777777" w:rsidR="00736F4A" w:rsidRDefault="00100640">
      <w:pPr>
        <w:spacing w:line="240" w:lineRule="auto"/>
        <w:rPr>
          <w:lang w:val="hu-HU"/>
        </w:rPr>
      </w:pPr>
      <w:r>
        <w:rPr>
          <w:lang w:val="hu-HU"/>
        </w:rPr>
        <w:t xml:space="preserve">A hagyományos – farmakológiai biztonságossági, ismételt adagolású dózistoxicitási, genotoxicitási, – vizsgálatokból származó nem klinikai jellegű adatok azt igazolták, hogy </w:t>
      </w:r>
      <w:r>
        <w:rPr>
          <w:noProof/>
          <w:lang w:val="hu-HU"/>
        </w:rPr>
        <w:t>a készítmény alkalmazásakor humán vonatkozásban különleges kockázat nem várható.</w:t>
      </w:r>
    </w:p>
    <w:p w14:paraId="6ADD3BC9" w14:textId="77777777" w:rsidR="00736F4A" w:rsidRDefault="00736F4A">
      <w:pPr>
        <w:spacing w:line="240" w:lineRule="auto"/>
        <w:rPr>
          <w:lang w:val="hu-HU"/>
        </w:rPr>
      </w:pPr>
    </w:p>
    <w:p w14:paraId="444B7100" w14:textId="77777777" w:rsidR="00736F4A" w:rsidRDefault="00100640">
      <w:pPr>
        <w:spacing w:line="240" w:lineRule="auto"/>
        <w:ind w:left="7" w:right="9"/>
      </w:pPr>
      <w:r>
        <w:t>Az ismételt dózistoxicitási vizsgálatokban megfigyelt hatások a dabigatrán felerősödött farmakodinámiás hatásának következtében alakultak ki.</w:t>
      </w:r>
    </w:p>
    <w:p w14:paraId="1D3AE4E5" w14:textId="77777777" w:rsidR="00736F4A" w:rsidRDefault="00736F4A">
      <w:pPr>
        <w:spacing w:line="240" w:lineRule="auto"/>
        <w:rPr>
          <w:lang w:val="hu-HU"/>
        </w:rPr>
      </w:pPr>
    </w:p>
    <w:p w14:paraId="776BDB23" w14:textId="77777777" w:rsidR="00736F4A" w:rsidRDefault="00100640">
      <w:pPr>
        <w:spacing w:line="240" w:lineRule="auto"/>
        <w:ind w:left="7" w:right="9"/>
      </w:pPr>
      <w:r>
        <w:t>Nőstények termékenységére kifejtett hatást figyeltek meg csökkent implantációs arány és a preimplantációs veszteség növekedésének formájában 70 mg/ttkg-os dózisoknál (a betegeknél észlelhető plazma expozíciós szintnél 5-ször nagyobb értékek). Anyai toxikus dózisok (a betegeknél észlelhető plazma expozíció 5-10-szerese) esetén patkányoknál és nyulaknál a magzati testtömeg és életképesség csökkenését és a foetalis elváltozások számának növekedését figyelték meg. A pre- és postnatalis vizsgálatban fokozott magzati mortalitást észleltek toxikus anyai dózisok esetén (ez a dózis a betegeknél megfigyelt dózisoknál 4-szer nagyobb plazma expozíciónak felel meg).</w:t>
      </w:r>
    </w:p>
    <w:p w14:paraId="7FC2C586" w14:textId="77777777" w:rsidR="00736F4A" w:rsidRDefault="00736F4A">
      <w:pPr>
        <w:spacing w:line="240" w:lineRule="auto"/>
        <w:ind w:left="7" w:right="9"/>
      </w:pPr>
    </w:p>
    <w:p w14:paraId="6E20909A" w14:textId="77777777" w:rsidR="00736F4A" w:rsidRDefault="00100640">
      <w:pPr>
        <w:spacing w:line="240" w:lineRule="auto"/>
        <w:ind w:left="7" w:right="9"/>
      </w:pPr>
      <w:r>
        <w:t>Egy juvenilis toxicitási vizsgálatban, amelyet Han Wistar patkányokon végeztek, a mortalitást összefüggésbe hozták azon vérzéses eseményekkel, amelyek ahhoz hasonló expozíciós szinteken történtek, amelyek esetén a felnőtt állatoknál vérzést tapasztaltak. Felnőtt és juvenilis patkányoknál is a mortalitást a dabigatrán felerősödött farmakológiai hatásának tulajdonították, ami a beadással és kezeléssel összefüggő mechanikai erőhatásokkal állt összefüggésben. A juvenilis toxicitási vizsgálatok adatai nem utaltak a toxicitásra való fokozott érzékenységre, sem pedig juvenilis állatokra specifikusan jellemző toxicitásra.</w:t>
      </w:r>
    </w:p>
    <w:p w14:paraId="72584593" w14:textId="77777777" w:rsidR="00736F4A" w:rsidRDefault="00736F4A">
      <w:pPr>
        <w:spacing w:line="240" w:lineRule="auto"/>
        <w:rPr>
          <w:lang w:val="hu-HU"/>
        </w:rPr>
      </w:pPr>
    </w:p>
    <w:p w14:paraId="3F720C51" w14:textId="77777777" w:rsidR="00736F4A" w:rsidRDefault="00100640">
      <w:pPr>
        <w:spacing w:line="240" w:lineRule="auto"/>
        <w:ind w:left="7" w:right="665"/>
      </w:pPr>
      <w:r>
        <w:t>Patkányokkal és egerekkel végzett élethosszig tartó toxikológiai vizsgálatokban, maximum 200 mg/ttkg-os dózisig nem találtak bizonyítékot a dabigatrán karcinogén potenciáljára.</w:t>
      </w:r>
    </w:p>
    <w:p w14:paraId="154F5945" w14:textId="77777777" w:rsidR="00736F4A" w:rsidRDefault="00736F4A">
      <w:pPr>
        <w:spacing w:line="240" w:lineRule="auto"/>
        <w:ind w:left="7" w:right="665"/>
      </w:pPr>
    </w:p>
    <w:p w14:paraId="20205761" w14:textId="77777777" w:rsidR="00736F4A" w:rsidRDefault="00100640">
      <w:pPr>
        <w:spacing w:line="240" w:lineRule="auto"/>
        <w:ind w:left="7" w:right="9"/>
      </w:pPr>
      <w:r>
        <w:t>A dabigatrán, a dabigatrán-etexilát-mezilát aktív része a környezetben nem bomlik le.</w:t>
      </w:r>
    </w:p>
    <w:p w14:paraId="13C4D744" w14:textId="77777777" w:rsidR="00736F4A" w:rsidRDefault="00736F4A">
      <w:pPr>
        <w:spacing w:line="240" w:lineRule="auto"/>
        <w:rPr>
          <w:lang w:val="hu-HU"/>
        </w:rPr>
      </w:pPr>
    </w:p>
    <w:p w14:paraId="018319EF" w14:textId="77777777" w:rsidR="00736F4A" w:rsidRDefault="00736F4A">
      <w:pPr>
        <w:spacing w:line="240" w:lineRule="auto"/>
        <w:rPr>
          <w:lang w:val="hu-HU"/>
        </w:rPr>
      </w:pPr>
    </w:p>
    <w:p w14:paraId="1D868B37" w14:textId="77777777" w:rsidR="00736F4A" w:rsidRDefault="00100640">
      <w:pPr>
        <w:spacing w:line="240" w:lineRule="auto"/>
        <w:ind w:left="567" w:hanging="567"/>
        <w:outlineLvl w:val="0"/>
        <w:rPr>
          <w:b/>
          <w:bCs/>
          <w:lang w:val="hu-HU"/>
        </w:rPr>
      </w:pPr>
      <w:r>
        <w:rPr>
          <w:b/>
          <w:bCs/>
          <w:lang w:val="hu-HU"/>
        </w:rPr>
        <w:t>6.</w:t>
      </w:r>
      <w:r>
        <w:rPr>
          <w:b/>
          <w:bCs/>
          <w:lang w:val="hu-HU"/>
        </w:rPr>
        <w:tab/>
        <w:t>GYÓGYSZERÉSZETI JELLEMZŐK</w:t>
      </w:r>
    </w:p>
    <w:p w14:paraId="4D9788F5" w14:textId="77777777" w:rsidR="00736F4A" w:rsidRDefault="00736F4A">
      <w:pPr>
        <w:spacing w:line="240" w:lineRule="auto"/>
        <w:ind w:left="567" w:hanging="567"/>
        <w:outlineLvl w:val="0"/>
        <w:rPr>
          <w:b/>
          <w:bCs/>
          <w:lang w:val="hu-HU"/>
        </w:rPr>
      </w:pPr>
    </w:p>
    <w:p w14:paraId="496E0B63" w14:textId="77777777" w:rsidR="00736F4A" w:rsidRDefault="00100640">
      <w:pPr>
        <w:spacing w:line="240" w:lineRule="auto"/>
        <w:ind w:left="567" w:hanging="567"/>
        <w:outlineLvl w:val="0"/>
        <w:rPr>
          <w:b/>
          <w:bCs/>
          <w:lang w:val="hu-HU"/>
        </w:rPr>
      </w:pPr>
      <w:r>
        <w:rPr>
          <w:b/>
          <w:bCs/>
          <w:lang w:val="hu-HU"/>
        </w:rPr>
        <w:t>6.1</w:t>
      </w:r>
      <w:r>
        <w:rPr>
          <w:b/>
          <w:bCs/>
          <w:lang w:val="hu-HU"/>
        </w:rPr>
        <w:tab/>
        <w:t>Segédanyagok felsorolása</w:t>
      </w:r>
    </w:p>
    <w:p w14:paraId="1DB7B82C" w14:textId="77777777" w:rsidR="00736F4A" w:rsidRDefault="00736F4A">
      <w:pPr>
        <w:spacing w:line="240" w:lineRule="auto"/>
        <w:rPr>
          <w:lang w:val="hu-HU"/>
        </w:rPr>
      </w:pPr>
    </w:p>
    <w:p w14:paraId="2C213658" w14:textId="77777777" w:rsidR="00736F4A" w:rsidRDefault="00100640">
      <w:pPr>
        <w:spacing w:line="240" w:lineRule="auto"/>
        <w:rPr>
          <w:u w:val="single"/>
          <w:lang w:val="hu-HU"/>
        </w:rPr>
      </w:pPr>
      <w:r>
        <w:rPr>
          <w:u w:val="single"/>
          <w:lang w:val="hu-HU"/>
        </w:rPr>
        <w:t>Kapszulatöltet:</w:t>
      </w:r>
    </w:p>
    <w:p w14:paraId="112E96F4" w14:textId="77777777" w:rsidR="00736F4A" w:rsidRDefault="00100640">
      <w:pPr>
        <w:spacing w:line="240" w:lineRule="auto"/>
        <w:ind w:left="7" w:right="9"/>
      </w:pPr>
      <w:r>
        <w:t>borkősav pelletek</w:t>
      </w:r>
    </w:p>
    <w:p w14:paraId="4361BEF8" w14:textId="77777777" w:rsidR="00736F4A" w:rsidRDefault="00100640">
      <w:pPr>
        <w:spacing w:line="240" w:lineRule="auto"/>
        <w:ind w:left="7" w:right="9"/>
      </w:pPr>
      <w:r>
        <w:t>hipromellóz</w:t>
      </w:r>
    </w:p>
    <w:p w14:paraId="17E81001" w14:textId="77777777" w:rsidR="00736F4A" w:rsidRDefault="00100640">
      <w:pPr>
        <w:spacing w:line="240" w:lineRule="auto"/>
        <w:ind w:left="7" w:right="9"/>
      </w:pPr>
      <w:r>
        <w:t>hidroxipropilcellulóz</w:t>
      </w:r>
    </w:p>
    <w:p w14:paraId="3CBABD05" w14:textId="77777777" w:rsidR="00736F4A" w:rsidRDefault="00100640">
      <w:pPr>
        <w:spacing w:line="240" w:lineRule="auto"/>
        <w:ind w:left="7" w:right="9"/>
      </w:pPr>
      <w:r>
        <w:t>talkum</w:t>
      </w:r>
    </w:p>
    <w:p w14:paraId="62F24DAB" w14:textId="77777777" w:rsidR="00736F4A" w:rsidRDefault="00736F4A">
      <w:pPr>
        <w:spacing w:line="240" w:lineRule="auto"/>
        <w:rPr>
          <w:lang w:val="hu-HU"/>
        </w:rPr>
      </w:pPr>
    </w:p>
    <w:p w14:paraId="049A85B2" w14:textId="77777777" w:rsidR="00736F4A" w:rsidRDefault="00100640">
      <w:pPr>
        <w:spacing w:line="240" w:lineRule="auto"/>
        <w:rPr>
          <w:u w:val="single"/>
          <w:lang w:val="hu-HU"/>
        </w:rPr>
      </w:pPr>
      <w:r>
        <w:rPr>
          <w:u w:val="single"/>
          <w:lang w:val="hu-HU"/>
        </w:rPr>
        <w:t>Kapszulahéj:</w:t>
      </w:r>
    </w:p>
    <w:p w14:paraId="3707B8B5" w14:textId="77777777" w:rsidR="00736F4A" w:rsidRDefault="00100640">
      <w:pPr>
        <w:spacing w:line="240" w:lineRule="auto"/>
        <w:ind w:left="7" w:right="9"/>
        <w:rPr>
          <w:lang w:bidi="en-US"/>
        </w:rPr>
      </w:pPr>
      <w:r>
        <w:t xml:space="preserve">titán-dioxid </w:t>
      </w:r>
      <w:r>
        <w:rPr>
          <w:lang w:bidi="en-US"/>
        </w:rPr>
        <w:t>(E171)</w:t>
      </w:r>
    </w:p>
    <w:p w14:paraId="3E45D6B0" w14:textId="77777777" w:rsidR="00736F4A" w:rsidRDefault="00100640">
      <w:pPr>
        <w:spacing w:line="240" w:lineRule="auto"/>
        <w:ind w:left="7" w:right="9"/>
      </w:pPr>
      <w:r>
        <w:t>indigókármin (E132)</w:t>
      </w:r>
    </w:p>
    <w:p w14:paraId="1849FD19" w14:textId="77777777" w:rsidR="00736F4A" w:rsidRDefault="00100640">
      <w:pPr>
        <w:spacing w:line="240" w:lineRule="auto"/>
        <w:ind w:left="7" w:right="9"/>
      </w:pPr>
      <w:r>
        <w:t>karragenán</w:t>
      </w:r>
    </w:p>
    <w:p w14:paraId="697F75C8" w14:textId="77777777" w:rsidR="00736F4A" w:rsidRDefault="00100640">
      <w:pPr>
        <w:spacing w:line="240" w:lineRule="auto"/>
        <w:ind w:left="7" w:right="9"/>
      </w:pPr>
      <w:r>
        <w:t>kálium-klorid</w:t>
      </w:r>
    </w:p>
    <w:p w14:paraId="59D6615B" w14:textId="77777777" w:rsidR="00736F4A" w:rsidRDefault="00100640">
      <w:pPr>
        <w:spacing w:line="240" w:lineRule="auto"/>
        <w:ind w:left="7" w:right="6758"/>
      </w:pPr>
      <w:r>
        <w:lastRenderedPageBreak/>
        <w:t>hipromellóz.</w:t>
      </w:r>
    </w:p>
    <w:p w14:paraId="1061C8E3" w14:textId="77777777" w:rsidR="00736F4A" w:rsidRDefault="00736F4A">
      <w:pPr>
        <w:spacing w:line="240" w:lineRule="auto"/>
        <w:rPr>
          <w:lang w:val="hu-HU"/>
        </w:rPr>
      </w:pPr>
    </w:p>
    <w:p w14:paraId="1264645D" w14:textId="77777777" w:rsidR="00736F4A" w:rsidRDefault="00100640">
      <w:pPr>
        <w:spacing w:line="240" w:lineRule="auto"/>
        <w:rPr>
          <w:u w:val="single"/>
          <w:lang w:val="hu-HU"/>
        </w:rPr>
      </w:pPr>
      <w:r>
        <w:rPr>
          <w:u w:val="single"/>
          <w:lang w:val="hu-HU"/>
        </w:rPr>
        <w:t>Jelölőfesték:</w:t>
      </w:r>
    </w:p>
    <w:p w14:paraId="306B0A98" w14:textId="77777777" w:rsidR="00736F4A" w:rsidRDefault="00100640">
      <w:pPr>
        <w:spacing w:line="240" w:lineRule="auto"/>
        <w:ind w:left="7" w:right="9"/>
        <w:rPr>
          <w:lang w:bidi="en-US"/>
        </w:rPr>
      </w:pPr>
      <w:r>
        <w:t>sellak</w:t>
      </w:r>
    </w:p>
    <w:p w14:paraId="158235A6" w14:textId="77777777" w:rsidR="00736F4A" w:rsidRDefault="00100640">
      <w:pPr>
        <w:spacing w:line="240" w:lineRule="auto"/>
        <w:ind w:left="7" w:right="9"/>
      </w:pPr>
      <w:r>
        <w:t xml:space="preserve">fekete vas-oxid </w:t>
      </w:r>
      <w:r>
        <w:rPr>
          <w:lang w:bidi="en-US"/>
        </w:rPr>
        <w:t>(E172)</w:t>
      </w:r>
    </w:p>
    <w:p w14:paraId="3F50DF45" w14:textId="77777777" w:rsidR="00736F4A" w:rsidRDefault="00100640">
      <w:pPr>
        <w:spacing w:line="240" w:lineRule="auto"/>
        <w:ind w:left="7" w:right="9"/>
      </w:pPr>
      <w:r>
        <w:t>kálium-hidroxid.</w:t>
      </w:r>
    </w:p>
    <w:p w14:paraId="1C923C3A" w14:textId="77777777" w:rsidR="00736F4A" w:rsidRDefault="00736F4A">
      <w:pPr>
        <w:spacing w:line="240" w:lineRule="auto"/>
        <w:rPr>
          <w:lang w:val="hu-HU"/>
        </w:rPr>
      </w:pPr>
    </w:p>
    <w:p w14:paraId="311D2E99" w14:textId="77777777" w:rsidR="00736F4A" w:rsidRDefault="00100640">
      <w:pPr>
        <w:spacing w:line="240" w:lineRule="auto"/>
        <w:ind w:left="567" w:hanging="567"/>
        <w:outlineLvl w:val="0"/>
        <w:rPr>
          <w:b/>
          <w:bCs/>
          <w:lang w:val="hu-HU"/>
        </w:rPr>
      </w:pPr>
      <w:r>
        <w:rPr>
          <w:b/>
          <w:bCs/>
          <w:lang w:val="hu-HU"/>
        </w:rPr>
        <w:t>6.2</w:t>
      </w:r>
      <w:r>
        <w:rPr>
          <w:b/>
          <w:bCs/>
          <w:lang w:val="hu-HU"/>
        </w:rPr>
        <w:tab/>
        <w:t>Inkompatibilitások</w:t>
      </w:r>
    </w:p>
    <w:p w14:paraId="47917FE5" w14:textId="77777777" w:rsidR="00736F4A" w:rsidRDefault="00736F4A">
      <w:pPr>
        <w:spacing w:line="240" w:lineRule="auto"/>
        <w:rPr>
          <w:lang w:val="hu-HU"/>
        </w:rPr>
      </w:pPr>
    </w:p>
    <w:p w14:paraId="33E445A4" w14:textId="77777777" w:rsidR="00736F4A" w:rsidRDefault="00100640">
      <w:pPr>
        <w:spacing w:line="240" w:lineRule="auto"/>
        <w:rPr>
          <w:lang w:val="hu-HU"/>
        </w:rPr>
      </w:pPr>
      <w:r>
        <w:rPr>
          <w:lang w:val="hu-HU"/>
        </w:rPr>
        <w:t>Nem értelmezhető.</w:t>
      </w:r>
    </w:p>
    <w:p w14:paraId="57506910" w14:textId="77777777" w:rsidR="00736F4A" w:rsidRDefault="00736F4A">
      <w:pPr>
        <w:spacing w:line="240" w:lineRule="auto"/>
        <w:rPr>
          <w:lang w:val="hu-HU"/>
        </w:rPr>
      </w:pPr>
    </w:p>
    <w:p w14:paraId="42DB6567" w14:textId="77777777" w:rsidR="00736F4A" w:rsidRDefault="00100640">
      <w:pPr>
        <w:spacing w:line="240" w:lineRule="auto"/>
        <w:ind w:left="567" w:hanging="567"/>
        <w:outlineLvl w:val="0"/>
        <w:rPr>
          <w:b/>
          <w:bCs/>
          <w:lang w:val="hu-HU"/>
        </w:rPr>
      </w:pPr>
      <w:r>
        <w:rPr>
          <w:b/>
          <w:bCs/>
          <w:lang w:val="hu-HU"/>
        </w:rPr>
        <w:t>6.3</w:t>
      </w:r>
      <w:r>
        <w:rPr>
          <w:b/>
          <w:bCs/>
          <w:lang w:val="hu-HU"/>
        </w:rPr>
        <w:tab/>
        <w:t>Felhasználhatósági időtartam</w:t>
      </w:r>
    </w:p>
    <w:p w14:paraId="75CDEB0B" w14:textId="77777777" w:rsidR="00736F4A" w:rsidRDefault="00736F4A">
      <w:pPr>
        <w:spacing w:line="240" w:lineRule="auto"/>
        <w:rPr>
          <w:lang w:val="hu-HU"/>
        </w:rPr>
      </w:pPr>
    </w:p>
    <w:p w14:paraId="77BF01E6" w14:textId="77777777" w:rsidR="00736F4A" w:rsidRDefault="00100640">
      <w:pPr>
        <w:spacing w:line="240" w:lineRule="auto"/>
        <w:ind w:left="7" w:right="9"/>
      </w:pPr>
      <w:r>
        <w:t>3 év</w:t>
      </w:r>
    </w:p>
    <w:p w14:paraId="75B8CCF6" w14:textId="77777777" w:rsidR="00736F4A" w:rsidRDefault="00736F4A">
      <w:pPr>
        <w:spacing w:line="240" w:lineRule="auto"/>
        <w:rPr>
          <w:lang w:val="hu-HU"/>
        </w:rPr>
      </w:pPr>
    </w:p>
    <w:p w14:paraId="4D9BF5AC" w14:textId="77777777" w:rsidR="00736F4A" w:rsidRDefault="00100640">
      <w:pPr>
        <w:spacing w:line="240" w:lineRule="auto"/>
        <w:ind w:left="567" w:hanging="567"/>
        <w:outlineLvl w:val="0"/>
        <w:rPr>
          <w:b/>
          <w:bCs/>
          <w:lang w:val="hu-HU"/>
        </w:rPr>
      </w:pPr>
      <w:r>
        <w:rPr>
          <w:b/>
          <w:bCs/>
          <w:lang w:val="hu-HU"/>
        </w:rPr>
        <w:t>6.4</w:t>
      </w:r>
      <w:r>
        <w:rPr>
          <w:b/>
          <w:bCs/>
          <w:lang w:val="hu-HU"/>
        </w:rPr>
        <w:tab/>
        <w:t>Különleges tárolási előírások</w:t>
      </w:r>
    </w:p>
    <w:p w14:paraId="732CAE82" w14:textId="77777777" w:rsidR="00736F4A" w:rsidRDefault="00736F4A">
      <w:pPr>
        <w:spacing w:line="240" w:lineRule="auto"/>
        <w:ind w:left="567" w:hanging="567"/>
        <w:outlineLvl w:val="0"/>
        <w:rPr>
          <w:b/>
          <w:bCs/>
          <w:lang w:val="hu-HU"/>
        </w:rPr>
      </w:pPr>
    </w:p>
    <w:p w14:paraId="142FA811" w14:textId="77777777" w:rsidR="00736F4A" w:rsidRDefault="00100640">
      <w:pPr>
        <w:spacing w:line="240" w:lineRule="auto"/>
        <w:rPr>
          <w:u w:val="single"/>
          <w:lang w:val="hu-HU"/>
        </w:rPr>
      </w:pPr>
      <w:r>
        <w:rPr>
          <w:u w:val="single"/>
          <w:lang w:val="hu-HU"/>
        </w:rPr>
        <w:t>Buborékcsomagolás</w:t>
      </w:r>
    </w:p>
    <w:p w14:paraId="034F4AF4" w14:textId="77777777" w:rsidR="00736F4A" w:rsidRDefault="00100640">
      <w:pPr>
        <w:spacing w:line="240" w:lineRule="auto"/>
        <w:ind w:left="7" w:right="9"/>
      </w:pPr>
      <w:r>
        <w:t>Ez a gyógyszer nem igényel különleges tárolási hőmérsékletet.</w:t>
      </w:r>
    </w:p>
    <w:p w14:paraId="13FB1DA7" w14:textId="77777777" w:rsidR="00736F4A" w:rsidRDefault="00100640">
      <w:pPr>
        <w:spacing w:line="240" w:lineRule="auto"/>
        <w:ind w:left="7" w:right="9"/>
      </w:pPr>
      <w:r>
        <w:t>A fénytől és nedvességtől való védelem érdekében az eredeti csomagolásban tárolandó.</w:t>
      </w:r>
    </w:p>
    <w:p w14:paraId="23AD4D30" w14:textId="77777777" w:rsidR="00736F4A" w:rsidRDefault="00736F4A">
      <w:pPr>
        <w:spacing w:line="240" w:lineRule="auto"/>
        <w:rPr>
          <w:lang w:val="hu-HU"/>
        </w:rPr>
      </w:pPr>
    </w:p>
    <w:p w14:paraId="4A76F9C9" w14:textId="77777777" w:rsidR="00736F4A" w:rsidRDefault="00100640">
      <w:pPr>
        <w:spacing w:line="240" w:lineRule="auto"/>
        <w:rPr>
          <w:u w:val="single"/>
          <w:lang w:val="hu-HU"/>
        </w:rPr>
      </w:pPr>
      <w:r>
        <w:rPr>
          <w:u w:val="single"/>
          <w:lang w:val="hu-HU"/>
        </w:rPr>
        <w:t>Tartály</w:t>
      </w:r>
    </w:p>
    <w:p w14:paraId="51597B92" w14:textId="77777777" w:rsidR="00736F4A" w:rsidRDefault="00100640">
      <w:pPr>
        <w:spacing w:line="240" w:lineRule="auto"/>
        <w:ind w:left="7" w:right="9"/>
      </w:pPr>
      <w:r>
        <w:t>Ez a gyógyszer nem igényel különleges tárolási hőmérsékletet.</w:t>
      </w:r>
    </w:p>
    <w:p w14:paraId="70E66AED" w14:textId="77777777" w:rsidR="00736F4A" w:rsidRDefault="00100640">
      <w:pPr>
        <w:spacing w:line="240" w:lineRule="auto"/>
        <w:ind w:left="7" w:right="9"/>
      </w:pPr>
      <w:r>
        <w:t>A fénytől és a nedvességtől való védelem érdekében az eredeti csomagolásban tárolandó.</w:t>
      </w:r>
    </w:p>
    <w:p w14:paraId="52A0EC99" w14:textId="77777777" w:rsidR="00736F4A" w:rsidRDefault="00100640">
      <w:pPr>
        <w:spacing w:line="240" w:lineRule="auto"/>
        <w:rPr>
          <w:lang w:val="hu-HU"/>
        </w:rPr>
      </w:pPr>
      <w:r>
        <w:rPr>
          <w:lang w:val="hu-HU"/>
        </w:rPr>
        <w:t>A tartályt tartsa jól lezárva.</w:t>
      </w:r>
    </w:p>
    <w:p w14:paraId="02A19602" w14:textId="77777777" w:rsidR="00736F4A" w:rsidRDefault="00736F4A">
      <w:pPr>
        <w:spacing w:line="240" w:lineRule="auto"/>
        <w:rPr>
          <w:lang w:val="hu-HU"/>
        </w:rPr>
      </w:pPr>
    </w:p>
    <w:p w14:paraId="0C0477D6" w14:textId="77777777" w:rsidR="00736F4A" w:rsidRDefault="00100640">
      <w:pPr>
        <w:spacing w:line="240" w:lineRule="auto"/>
        <w:ind w:left="567" w:hanging="567"/>
        <w:outlineLvl w:val="0"/>
        <w:rPr>
          <w:b/>
          <w:bCs/>
          <w:lang w:val="hu-HU"/>
        </w:rPr>
      </w:pPr>
      <w:r>
        <w:rPr>
          <w:b/>
          <w:bCs/>
          <w:lang w:val="hu-HU"/>
        </w:rPr>
        <w:t>6.5</w:t>
      </w:r>
      <w:r>
        <w:rPr>
          <w:b/>
          <w:bCs/>
          <w:lang w:val="hu-HU"/>
        </w:rPr>
        <w:tab/>
        <w:t>Csomagolás típusa és kiszerelése</w:t>
      </w:r>
    </w:p>
    <w:p w14:paraId="22760D8F" w14:textId="77777777" w:rsidR="00736F4A" w:rsidRDefault="00736F4A">
      <w:pPr>
        <w:spacing w:line="240" w:lineRule="auto"/>
        <w:rPr>
          <w:lang w:val="hu-HU"/>
        </w:rPr>
      </w:pPr>
    </w:p>
    <w:p w14:paraId="25F2F5FE" w14:textId="77777777" w:rsidR="00736F4A" w:rsidRDefault="00100640">
      <w:pPr>
        <w:spacing w:line="240" w:lineRule="auto"/>
        <w:rPr>
          <w:lang w:val="hu-HU"/>
        </w:rPr>
      </w:pPr>
      <w:r>
        <w:rPr>
          <w:lang w:val="hu-HU"/>
        </w:rPr>
        <w:t xml:space="preserve">10 × 1, 30 × 1, 60 × 1, 100 × 1 kemény kapszula adagonként perforált, nedvességmegkötővel ellátott OPA/Al/PE//Al/PE lehúzható fóliás buborékcsomagolásban és dobozban. </w:t>
      </w:r>
    </w:p>
    <w:p w14:paraId="74D3CDB3" w14:textId="77777777" w:rsidR="00736F4A" w:rsidRDefault="00100640">
      <w:pPr>
        <w:spacing w:line="240" w:lineRule="auto"/>
        <w:rPr>
          <w:lang w:val="hu-HU"/>
        </w:rPr>
      </w:pPr>
      <w:r>
        <w:rPr>
          <w:lang w:val="hu-HU"/>
        </w:rPr>
        <w:t xml:space="preserve">Gyűjtőcsomagolás: </w:t>
      </w:r>
      <w:r>
        <w:rPr>
          <w:color w:val="000000"/>
          <w:lang w:val="hu-HU"/>
        </w:rPr>
        <w:t>100</w:t>
      </w:r>
      <w:r>
        <w:rPr>
          <w:lang w:val="hu-HU"/>
        </w:rPr>
        <w:t> </w:t>
      </w:r>
      <w:r>
        <w:rPr>
          <w:color w:val="000000"/>
          <w:lang w:val="hu-HU"/>
        </w:rPr>
        <w:t>db (2 doboz 50 </w:t>
      </w:r>
      <w:r>
        <w:rPr>
          <w:lang w:val="hu-HU"/>
        </w:rPr>
        <w:t>× 1) vagy 180 db (3 doboz 60 × 1) kemény kapszula dobozban.</w:t>
      </w:r>
    </w:p>
    <w:p w14:paraId="7C874BF7" w14:textId="77777777" w:rsidR="00736F4A" w:rsidRDefault="00736F4A">
      <w:pPr>
        <w:spacing w:line="240" w:lineRule="auto"/>
        <w:rPr>
          <w:lang w:val="hu-HU"/>
        </w:rPr>
      </w:pPr>
    </w:p>
    <w:p w14:paraId="6D7A3598" w14:textId="77777777" w:rsidR="00736F4A" w:rsidRDefault="00100640">
      <w:pPr>
        <w:spacing w:line="240" w:lineRule="auto"/>
        <w:rPr>
          <w:lang w:val="hu-HU"/>
        </w:rPr>
      </w:pPr>
      <w:r>
        <w:t xml:space="preserve">Gyermekbiztos polipropilén (PP) kupakkal lezárt </w:t>
      </w:r>
      <w:r>
        <w:rPr>
          <w:lang w:val="hu-HU"/>
        </w:rPr>
        <w:t>HDPE tartály</w:t>
      </w:r>
      <w:r>
        <w:t>: 60 db kemény kapszula vagy 3</w:t>
      </w:r>
      <w:r>
        <w:rPr>
          <w:lang w:val="hu-HU"/>
        </w:rPr>
        <w:t>×</w:t>
      </w:r>
      <w:r>
        <w:t>60 db kemény kapszulát tartalmazó tartály dobozban.</w:t>
      </w:r>
    </w:p>
    <w:p w14:paraId="0466F398" w14:textId="77777777" w:rsidR="00736F4A" w:rsidRDefault="00736F4A">
      <w:pPr>
        <w:spacing w:line="240" w:lineRule="auto"/>
        <w:rPr>
          <w:lang w:val="hu-HU"/>
        </w:rPr>
      </w:pPr>
    </w:p>
    <w:p w14:paraId="7C9BCCEE" w14:textId="77777777" w:rsidR="00736F4A" w:rsidRDefault="00100640">
      <w:pPr>
        <w:spacing w:line="240" w:lineRule="auto"/>
        <w:rPr>
          <w:lang w:val="hu-HU"/>
        </w:rPr>
      </w:pPr>
      <w:r>
        <w:rPr>
          <w:lang w:val="hu-HU"/>
        </w:rPr>
        <w:t>Nem feltétlenül mindegyik kiszerelés kerül kereskedelmi forgalomba.</w:t>
      </w:r>
    </w:p>
    <w:p w14:paraId="0011C7F1" w14:textId="77777777" w:rsidR="00736F4A" w:rsidRDefault="00736F4A">
      <w:pPr>
        <w:spacing w:line="240" w:lineRule="auto"/>
        <w:rPr>
          <w:lang w:val="hu-HU"/>
        </w:rPr>
      </w:pPr>
    </w:p>
    <w:p w14:paraId="4530173B" w14:textId="77777777" w:rsidR="00736F4A" w:rsidRDefault="00100640">
      <w:pPr>
        <w:spacing w:line="240" w:lineRule="auto"/>
        <w:ind w:left="567" w:hanging="567"/>
        <w:outlineLvl w:val="0"/>
        <w:rPr>
          <w:b/>
          <w:bCs/>
          <w:lang w:val="hu-HU"/>
        </w:rPr>
      </w:pPr>
      <w:r>
        <w:rPr>
          <w:b/>
          <w:bCs/>
          <w:lang w:val="hu-HU"/>
        </w:rPr>
        <w:t>6.6</w:t>
      </w:r>
      <w:r>
        <w:rPr>
          <w:b/>
          <w:bCs/>
          <w:lang w:val="hu-HU"/>
        </w:rPr>
        <w:tab/>
        <w:t>A megsemmisítésre vonatkozó különleges óvintézkedések és egyéb, a készítmény kezelésével kapcsolatos információk</w:t>
      </w:r>
    </w:p>
    <w:p w14:paraId="60F8127E" w14:textId="77777777" w:rsidR="00736F4A" w:rsidRDefault="00736F4A">
      <w:pPr>
        <w:spacing w:line="240" w:lineRule="auto"/>
        <w:rPr>
          <w:lang w:val="hu-HU"/>
        </w:rPr>
      </w:pPr>
    </w:p>
    <w:p w14:paraId="27EA4E02" w14:textId="77777777" w:rsidR="00736F4A" w:rsidRDefault="00100640">
      <w:pPr>
        <w:spacing w:line="240" w:lineRule="auto"/>
        <w:rPr>
          <w:lang w:val="hu-HU"/>
        </w:rPr>
      </w:pPr>
      <w:r>
        <w:rPr>
          <w:lang w:val="hu-HU"/>
        </w:rPr>
        <w:t>Bármilyen fel nem használt gyógyszer, illetve hulladékanyag megsemmisítését a gyógyszerekre vonatkozó előírások szerint kell végrehajtani.</w:t>
      </w:r>
    </w:p>
    <w:p w14:paraId="62BF5B39" w14:textId="77777777" w:rsidR="00736F4A" w:rsidRDefault="00736F4A">
      <w:pPr>
        <w:spacing w:line="240" w:lineRule="auto"/>
        <w:rPr>
          <w:lang w:val="hu-HU"/>
        </w:rPr>
      </w:pPr>
    </w:p>
    <w:p w14:paraId="621B71E5" w14:textId="77777777" w:rsidR="00736F4A" w:rsidRDefault="00100640">
      <w:pPr>
        <w:pStyle w:val="Nincstrkz"/>
        <w:rPr>
          <w:b/>
        </w:rPr>
      </w:pPr>
      <w:r>
        <w:rPr>
          <w:b/>
        </w:rPr>
        <w:t xml:space="preserve">Megjegyzés: </w:t>
      </w:r>
      <w:r>
        <w:rPr>
          <w:b/>
          <w:lang w:val="en-GB"/>
        </w:rPr>
        <w:sym w:font="Wingdings" w:char="F058"/>
      </w:r>
      <w:r>
        <w:rPr>
          <w:b/>
        </w:rPr>
        <w:t xml:space="preserve"> (egy keresztes)</w:t>
      </w:r>
    </w:p>
    <w:p w14:paraId="51ED5660" w14:textId="77777777" w:rsidR="00736F4A" w:rsidRDefault="00100640">
      <w:pPr>
        <w:pStyle w:val="Nincstrkz"/>
        <w:rPr>
          <w:b/>
        </w:rPr>
      </w:pPr>
      <w:r>
        <w:rPr>
          <w:b/>
        </w:rPr>
        <w:t>Osztályozás: II./1 csoport</w:t>
      </w:r>
    </w:p>
    <w:p w14:paraId="19178834" w14:textId="77777777" w:rsidR="00736F4A" w:rsidRDefault="00100640">
      <w:pPr>
        <w:pStyle w:val="Nincstrkz"/>
      </w:pPr>
      <w:r>
        <w:t xml:space="preserve">Kizárólag orvosi rendelvényhez kötött gyógyszer osztályba, a (2) ca) pontja szerint </w:t>
      </w:r>
      <w:r>
        <w:rPr>
          <w:rFonts w:ascii="Times" w:hAnsi="Times" w:cs="Times"/>
        </w:rPr>
        <w:t>a szakorvosi/kórházi diagnózist követő járóbeteg-ellátásban alkalmazható gyógyszerek (J)</w:t>
      </w:r>
      <w:r>
        <w:t>.</w:t>
      </w:r>
    </w:p>
    <w:p w14:paraId="36D0F8E0" w14:textId="77777777" w:rsidR="00736F4A" w:rsidRDefault="00736F4A">
      <w:pPr>
        <w:spacing w:line="240" w:lineRule="auto"/>
        <w:rPr>
          <w:lang w:val="hu-HU"/>
        </w:rPr>
      </w:pPr>
    </w:p>
    <w:p w14:paraId="09E875E1" w14:textId="77777777" w:rsidR="00736F4A" w:rsidRDefault="00736F4A">
      <w:pPr>
        <w:spacing w:line="240" w:lineRule="auto"/>
        <w:rPr>
          <w:lang w:val="hu-HU"/>
        </w:rPr>
      </w:pPr>
    </w:p>
    <w:p w14:paraId="35FEFDAC" w14:textId="77777777" w:rsidR="00736F4A" w:rsidRDefault="00100640">
      <w:pPr>
        <w:spacing w:line="240" w:lineRule="auto"/>
        <w:ind w:left="567" w:hanging="567"/>
        <w:outlineLvl w:val="0"/>
        <w:rPr>
          <w:b/>
          <w:bCs/>
          <w:lang w:val="hu-HU"/>
        </w:rPr>
      </w:pPr>
      <w:r>
        <w:rPr>
          <w:b/>
          <w:bCs/>
          <w:lang w:val="hu-HU"/>
        </w:rPr>
        <w:t>7.</w:t>
      </w:r>
      <w:r>
        <w:rPr>
          <w:b/>
          <w:bCs/>
          <w:lang w:val="hu-HU"/>
        </w:rPr>
        <w:tab/>
        <w:t>A FORGALOMBA HOZATALI ENGEDÉLY JOGOSULTJA</w:t>
      </w:r>
    </w:p>
    <w:p w14:paraId="12568D86" w14:textId="77777777" w:rsidR="00736F4A" w:rsidRDefault="00736F4A">
      <w:pPr>
        <w:spacing w:line="240" w:lineRule="auto"/>
        <w:ind w:left="567" w:hanging="567"/>
        <w:outlineLvl w:val="0"/>
        <w:rPr>
          <w:b/>
          <w:bCs/>
          <w:lang w:val="hu-HU"/>
        </w:rPr>
      </w:pPr>
    </w:p>
    <w:p w14:paraId="1D7FFF96" w14:textId="77777777" w:rsidR="00736F4A" w:rsidRDefault="00100640">
      <w:pPr>
        <w:spacing w:line="240" w:lineRule="auto"/>
        <w:rPr>
          <w:lang w:val="hu-HU"/>
        </w:rPr>
      </w:pPr>
      <w:r>
        <w:rPr>
          <w:lang w:val="hu-HU"/>
        </w:rPr>
        <w:t>TAD Pharma GmbH</w:t>
      </w:r>
    </w:p>
    <w:p w14:paraId="527CCFEB" w14:textId="77777777" w:rsidR="00736F4A" w:rsidRDefault="00100640">
      <w:pPr>
        <w:spacing w:line="240" w:lineRule="auto"/>
        <w:rPr>
          <w:lang w:val="hu-HU"/>
        </w:rPr>
      </w:pPr>
      <w:r>
        <w:rPr>
          <w:lang w:val="hu-HU"/>
        </w:rPr>
        <w:t>Heinz-Lohmann-Straße 5</w:t>
      </w:r>
    </w:p>
    <w:p w14:paraId="19414D94" w14:textId="77777777" w:rsidR="00736F4A" w:rsidRDefault="00100640">
      <w:pPr>
        <w:spacing w:line="240" w:lineRule="auto"/>
        <w:rPr>
          <w:lang w:val="hu-HU"/>
        </w:rPr>
      </w:pPr>
      <w:r>
        <w:rPr>
          <w:lang w:val="hu-HU"/>
        </w:rPr>
        <w:t>27472 Cuxhaven</w:t>
      </w:r>
    </w:p>
    <w:p w14:paraId="7949ED1F" w14:textId="77777777" w:rsidR="00736F4A" w:rsidRDefault="00100640">
      <w:pPr>
        <w:spacing w:line="240" w:lineRule="auto"/>
        <w:rPr>
          <w:lang w:val="hu-HU"/>
        </w:rPr>
      </w:pPr>
      <w:r>
        <w:rPr>
          <w:lang w:val="hu-HU"/>
        </w:rPr>
        <w:t>Németország</w:t>
      </w:r>
    </w:p>
    <w:p w14:paraId="241AAD9B" w14:textId="77777777" w:rsidR="00736F4A" w:rsidRDefault="00736F4A">
      <w:pPr>
        <w:spacing w:line="240" w:lineRule="auto"/>
        <w:ind w:left="567" w:hanging="567"/>
        <w:outlineLvl w:val="0"/>
        <w:rPr>
          <w:b/>
          <w:bCs/>
          <w:lang w:val="hu-HU"/>
        </w:rPr>
      </w:pPr>
    </w:p>
    <w:p w14:paraId="2E82EA27" w14:textId="77777777" w:rsidR="00736F4A" w:rsidRDefault="00736F4A">
      <w:pPr>
        <w:spacing w:line="240" w:lineRule="auto"/>
        <w:ind w:left="567" w:hanging="567"/>
        <w:outlineLvl w:val="0"/>
        <w:rPr>
          <w:b/>
          <w:bCs/>
          <w:lang w:val="hu-HU"/>
        </w:rPr>
      </w:pPr>
    </w:p>
    <w:p w14:paraId="6F5DA1A6" w14:textId="77777777" w:rsidR="00736F4A" w:rsidRDefault="00100640">
      <w:pPr>
        <w:spacing w:line="240" w:lineRule="auto"/>
        <w:ind w:left="567" w:hanging="567"/>
        <w:outlineLvl w:val="0"/>
        <w:rPr>
          <w:b/>
          <w:bCs/>
          <w:lang w:val="hu-HU"/>
        </w:rPr>
      </w:pPr>
      <w:r>
        <w:rPr>
          <w:b/>
          <w:bCs/>
          <w:lang w:val="hu-HU"/>
        </w:rPr>
        <w:t>8.</w:t>
      </w:r>
      <w:r>
        <w:rPr>
          <w:b/>
          <w:bCs/>
          <w:lang w:val="hu-HU"/>
        </w:rPr>
        <w:tab/>
        <w:t>A FORGALOMBA HOZATALI ENGEDÉLY SZÁMA(I)</w:t>
      </w:r>
    </w:p>
    <w:p w14:paraId="760F4215" w14:textId="77777777" w:rsidR="00736F4A" w:rsidRDefault="00736F4A">
      <w:pPr>
        <w:spacing w:line="240" w:lineRule="auto"/>
        <w:ind w:left="567" w:hanging="567"/>
        <w:outlineLvl w:val="0"/>
        <w:rPr>
          <w:b/>
          <w:bCs/>
          <w:lang w:val="hu-HU"/>
        </w:rPr>
      </w:pPr>
    </w:p>
    <w:p w14:paraId="4267054F" w14:textId="77777777" w:rsidR="00736F4A" w:rsidRDefault="00100640">
      <w:pPr>
        <w:spacing w:line="240" w:lineRule="auto"/>
        <w:rPr>
          <w:lang w:val="hu-HU"/>
        </w:rPr>
      </w:pPr>
      <w:r>
        <w:t>OGYI-T-24333/17</w:t>
      </w:r>
      <w:r>
        <w:tab/>
        <w:t>10×1</w:t>
      </w:r>
      <w:r>
        <w:tab/>
        <w:t>OPA/Al/PE//Al/PE buborékcsomagolásban</w:t>
      </w:r>
    </w:p>
    <w:p w14:paraId="05436DE9" w14:textId="77777777" w:rsidR="00736F4A" w:rsidRDefault="00100640">
      <w:pPr>
        <w:spacing w:line="240" w:lineRule="auto"/>
      </w:pPr>
      <w:r>
        <w:t>OGYI-T-24333/18</w:t>
      </w:r>
      <w:r>
        <w:tab/>
        <w:t>30×1</w:t>
      </w:r>
      <w:r>
        <w:tab/>
        <w:t>OPA/Al/PE//Al/PE buborékcsomagolásban</w:t>
      </w:r>
    </w:p>
    <w:p w14:paraId="06DC3EB1" w14:textId="77777777" w:rsidR="00736F4A" w:rsidRDefault="00100640">
      <w:pPr>
        <w:spacing w:line="240" w:lineRule="auto"/>
      </w:pPr>
      <w:r>
        <w:t>OGYI-T-24333/19</w:t>
      </w:r>
      <w:r>
        <w:tab/>
        <w:t>60×1</w:t>
      </w:r>
      <w:r>
        <w:tab/>
        <w:t>OPA/Al/PE//Al/PE buborékcsomagolásban</w:t>
      </w:r>
    </w:p>
    <w:p w14:paraId="4A5DC4DF" w14:textId="77777777" w:rsidR="00736F4A" w:rsidRDefault="00100640">
      <w:pPr>
        <w:spacing w:line="240" w:lineRule="auto"/>
      </w:pPr>
      <w:r>
        <w:t>OGYI-T-24333/20</w:t>
      </w:r>
      <w:r>
        <w:tab/>
        <w:t>60×</w:t>
      </w:r>
      <w:r>
        <w:tab/>
        <w:t>HDPE tartályban</w:t>
      </w:r>
    </w:p>
    <w:p w14:paraId="0A567E2D" w14:textId="77777777" w:rsidR="00736F4A" w:rsidRDefault="00100640">
      <w:pPr>
        <w:spacing w:line="240" w:lineRule="auto"/>
      </w:pPr>
      <w:r>
        <w:t>OGYI-T-24333/21</w:t>
      </w:r>
      <w:r>
        <w:tab/>
        <w:t>100×1</w:t>
      </w:r>
      <w:r>
        <w:tab/>
        <w:t>OPA/Al/PE//Al/PE buborékcsomagolásban</w:t>
      </w:r>
    </w:p>
    <w:p w14:paraId="33332BB0" w14:textId="77777777" w:rsidR="00736F4A" w:rsidRDefault="00100640">
      <w:pPr>
        <w:spacing w:line="240" w:lineRule="auto"/>
      </w:pPr>
      <w:r>
        <w:t>OGYI-T-24333/22</w:t>
      </w:r>
      <w:r>
        <w:tab/>
        <w:t>100× (2×50×1)</w:t>
      </w:r>
      <w:r>
        <w:tab/>
        <w:t>OPA/Al/PE//Al/PE buborékcsomagolásban (gyűjtőcsomagolásban)</w:t>
      </w:r>
    </w:p>
    <w:p w14:paraId="4D1FC046" w14:textId="77777777" w:rsidR="00736F4A" w:rsidRDefault="00100640">
      <w:pPr>
        <w:spacing w:line="240" w:lineRule="auto"/>
      </w:pPr>
      <w:r>
        <w:t>OGYI-T-24333/23</w:t>
      </w:r>
      <w:r>
        <w:tab/>
        <w:t>180× (3×60×1)</w:t>
      </w:r>
      <w:r>
        <w:tab/>
        <w:t>OPA/Al/PE//Al/PE buborékcsomagolásban (gyűjtőcsomagolásban)</w:t>
      </w:r>
    </w:p>
    <w:p w14:paraId="56202641" w14:textId="77777777" w:rsidR="00736F4A" w:rsidRDefault="00100640">
      <w:pPr>
        <w:spacing w:line="240" w:lineRule="auto"/>
        <w:outlineLvl w:val="0"/>
      </w:pPr>
      <w:r>
        <w:t>OGYI-T-24333/24</w:t>
      </w:r>
      <w:r>
        <w:tab/>
        <w:t>3×60</w:t>
      </w:r>
      <w:r>
        <w:tab/>
        <w:t>HDPE tartályban</w:t>
      </w:r>
    </w:p>
    <w:p w14:paraId="2A6869E0" w14:textId="77777777" w:rsidR="00736F4A" w:rsidRDefault="00736F4A">
      <w:pPr>
        <w:spacing w:line="240" w:lineRule="auto"/>
        <w:ind w:left="567" w:hanging="567"/>
        <w:outlineLvl w:val="0"/>
      </w:pPr>
    </w:p>
    <w:p w14:paraId="02B27D30" w14:textId="77777777" w:rsidR="00736F4A" w:rsidRDefault="00736F4A">
      <w:pPr>
        <w:spacing w:line="240" w:lineRule="auto"/>
        <w:ind w:left="567" w:hanging="567"/>
        <w:outlineLvl w:val="0"/>
        <w:rPr>
          <w:b/>
          <w:bCs/>
          <w:lang w:val="hu-HU"/>
        </w:rPr>
      </w:pPr>
    </w:p>
    <w:p w14:paraId="14794081" w14:textId="77777777" w:rsidR="00736F4A" w:rsidRDefault="00100640">
      <w:pPr>
        <w:spacing w:line="240" w:lineRule="auto"/>
        <w:ind w:left="567" w:hanging="567"/>
        <w:outlineLvl w:val="0"/>
        <w:rPr>
          <w:b/>
          <w:bCs/>
          <w:lang w:val="hu-HU"/>
        </w:rPr>
      </w:pPr>
      <w:r>
        <w:rPr>
          <w:b/>
          <w:bCs/>
          <w:lang w:val="hu-HU"/>
        </w:rPr>
        <w:t>9.</w:t>
      </w:r>
      <w:r>
        <w:rPr>
          <w:b/>
          <w:bCs/>
          <w:lang w:val="hu-HU"/>
        </w:rPr>
        <w:tab/>
        <w:t>A FORGALOMBA HOZATALI ENGEDÉLY ELSŐ KIADÁSÁNAK/ MEGÚJÍTÁSÁNAK DÁTUMA</w:t>
      </w:r>
    </w:p>
    <w:p w14:paraId="0AAC52D6" w14:textId="77777777" w:rsidR="00736F4A" w:rsidRDefault="00736F4A">
      <w:pPr>
        <w:spacing w:line="240" w:lineRule="auto"/>
        <w:rPr>
          <w:lang w:val="hu-HU"/>
        </w:rPr>
      </w:pPr>
    </w:p>
    <w:p w14:paraId="0FF2882E" w14:textId="77777777" w:rsidR="00736F4A" w:rsidRDefault="00100640">
      <w:pPr>
        <w:spacing w:line="240" w:lineRule="auto"/>
        <w:rPr>
          <w:lang w:val="hu-HU"/>
        </w:rPr>
      </w:pPr>
      <w:r>
        <w:rPr>
          <w:lang w:val="hu-HU"/>
        </w:rPr>
        <w:t>A forgalomba hozatali engedély első kiadásának dátuma: 2024. január 24.</w:t>
      </w:r>
    </w:p>
    <w:p w14:paraId="665EF52C" w14:textId="77777777" w:rsidR="00736F4A" w:rsidRDefault="00736F4A">
      <w:pPr>
        <w:spacing w:line="240" w:lineRule="auto"/>
        <w:rPr>
          <w:lang w:val="hu-HU"/>
        </w:rPr>
      </w:pPr>
    </w:p>
    <w:p w14:paraId="63F0761E" w14:textId="77777777" w:rsidR="00736F4A" w:rsidRDefault="00736F4A">
      <w:pPr>
        <w:spacing w:line="240" w:lineRule="auto"/>
        <w:rPr>
          <w:lang w:val="hu-HU"/>
        </w:rPr>
      </w:pPr>
    </w:p>
    <w:p w14:paraId="1AF054A3" w14:textId="77777777" w:rsidR="00736F4A" w:rsidRDefault="00100640">
      <w:pPr>
        <w:spacing w:line="240" w:lineRule="auto"/>
        <w:ind w:left="567" w:hanging="567"/>
        <w:outlineLvl w:val="0"/>
        <w:rPr>
          <w:b/>
          <w:bCs/>
          <w:lang w:val="hu-HU"/>
        </w:rPr>
      </w:pPr>
      <w:r>
        <w:rPr>
          <w:b/>
          <w:bCs/>
          <w:lang w:val="hu-HU"/>
        </w:rPr>
        <w:t>10.</w:t>
      </w:r>
      <w:r>
        <w:rPr>
          <w:b/>
          <w:bCs/>
          <w:lang w:val="hu-HU"/>
        </w:rPr>
        <w:tab/>
        <w:t>A SZÖVEG ELLENŐRZÉSÉNEK DÁTUMA</w:t>
      </w:r>
    </w:p>
    <w:p w14:paraId="10EBAEBC" w14:textId="77777777" w:rsidR="00736F4A" w:rsidRDefault="00736F4A">
      <w:pPr>
        <w:numPr>
          <w:ilvl w:val="12"/>
          <w:numId w:val="0"/>
        </w:numPr>
        <w:spacing w:line="240" w:lineRule="auto"/>
        <w:ind w:right="-2"/>
        <w:rPr>
          <w:lang w:val="hu-HU"/>
        </w:rPr>
      </w:pPr>
    </w:p>
    <w:p w14:paraId="3C9B1AA5" w14:textId="1D57F74C" w:rsidR="00736F4A" w:rsidRDefault="00430518">
      <w:pPr>
        <w:spacing w:line="240" w:lineRule="auto"/>
        <w:rPr>
          <w:lang w:val="hu-HU"/>
        </w:rPr>
      </w:pPr>
      <w:r>
        <w:rPr>
          <w:lang w:val="hu-HU"/>
        </w:rPr>
        <w:t>2026. augusztus 28.</w:t>
      </w:r>
    </w:p>
    <w:sectPr w:rsidR="00736F4A">
      <w:headerReference w:type="default" r:id="rId8"/>
      <w:footerReference w:type="default" r:id="rId9"/>
      <w:headerReference w:type="first" r:id="rId10"/>
      <w:footerReference w:type="first" r:id="rId11"/>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9ED" w14:textId="77777777" w:rsidR="00F636EA" w:rsidRDefault="00F636EA">
      <w:pPr>
        <w:spacing w:line="240" w:lineRule="auto"/>
      </w:pPr>
      <w:r>
        <w:separator/>
      </w:r>
    </w:p>
  </w:endnote>
  <w:endnote w:type="continuationSeparator" w:id="0">
    <w:p w14:paraId="116F5511" w14:textId="77777777" w:rsidR="00F636EA" w:rsidRDefault="00F636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Italic">
    <w:altName w:val="Times New Roman"/>
    <w:panose1 w:val="00000000000000000000"/>
    <w:charset w:val="EE"/>
    <w:family w:val="auto"/>
    <w:notTrueType/>
    <w:pitch w:val="default"/>
    <w:sig w:usb0="00000005" w:usb1="00000000" w:usb2="00000000" w:usb3="00000000" w:csb0="00000002" w:csb1="00000000"/>
  </w:font>
  <w:font w:name="TimesNewRoman,Bold">
    <w:altName w:val="Yu Gothic"/>
    <w:panose1 w:val="00000000000000000000"/>
    <w:charset w:val="80"/>
    <w:family w:val="auto"/>
    <w:notTrueType/>
    <w:pitch w:val="default"/>
    <w:sig w:usb0="00000001" w:usb1="08070000" w:usb2="00000010" w:usb3="00000000" w:csb0="00020000"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7784B" w14:textId="77777777" w:rsidR="00736F4A" w:rsidRDefault="00736F4A">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849C5" w14:textId="4A58CB28" w:rsidR="00736F4A" w:rsidRDefault="00430518">
    <w:pPr>
      <w:pStyle w:val="llb1"/>
      <w:rPr>
        <w:rFonts w:ascii="Arial" w:hAnsi="Arial" w:cs="Arial"/>
        <w:sz w:val="18"/>
        <w:szCs w:val="18"/>
      </w:rPr>
    </w:pPr>
    <w:r w:rsidRPr="00430518">
      <w:rPr>
        <w:sz w:val="18"/>
        <w:szCs w:val="18"/>
        <w:lang w:val="hu-HU"/>
      </w:rPr>
      <w:t>NNGYK/ETGY/1941/2026</w:t>
    </w:r>
    <w:r w:rsidRPr="00430518" w:rsidDel="00430518">
      <w:rPr>
        <w:sz w:val="18"/>
        <w:szCs w:val="18"/>
        <w:lang w:val="hu-HU"/>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6AC82" w14:textId="77777777" w:rsidR="00F636EA" w:rsidRDefault="00F636EA">
      <w:pPr>
        <w:spacing w:line="240" w:lineRule="auto"/>
      </w:pPr>
      <w:r>
        <w:separator/>
      </w:r>
    </w:p>
  </w:footnote>
  <w:footnote w:type="continuationSeparator" w:id="0">
    <w:p w14:paraId="76834D07" w14:textId="77777777" w:rsidR="00F636EA" w:rsidRDefault="00F636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2F44" w14:textId="77777777" w:rsidR="00736F4A" w:rsidRDefault="00100640">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Pr>
        <w:noProof/>
        <w:sz w:val="18"/>
        <w:szCs w:val="18"/>
        <w:lang w:val="hu-HU"/>
      </w:rPr>
      <w:t>4</w:t>
    </w:r>
    <w:r>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56601" w14:textId="77777777" w:rsidR="00736F4A" w:rsidRDefault="00736F4A">
    <w:pPr>
      <w:pStyle w:val="lfej"/>
    </w:pPr>
  </w:p>
  <w:p w14:paraId="4A770330" w14:textId="77777777" w:rsidR="00736F4A" w:rsidRDefault="00736F4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4DE57D6"/>
    <w:multiLevelType w:val="hybridMultilevel"/>
    <w:tmpl w:val="D314470A"/>
    <w:lvl w:ilvl="0" w:tplc="ADF8713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2455C0">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6ED7E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10676E">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E2B20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5A72F6">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1AB658">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C46B7E">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3C18E6">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3" w15:restartNumberingAfterBreak="0">
    <w:nsid w:val="13EF7DAE"/>
    <w:multiLevelType w:val="hybridMultilevel"/>
    <w:tmpl w:val="8AAEBE64"/>
    <w:lvl w:ilvl="0" w:tplc="ADB467A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689FC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5E2CE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34F02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0CC6F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DEBD1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54AE0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5ACAD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A2A09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51B65B7"/>
    <w:multiLevelType w:val="hybridMultilevel"/>
    <w:tmpl w:val="F126F742"/>
    <w:lvl w:ilvl="0" w:tplc="3D96024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BE0404">
      <w:start w:val="1"/>
      <w:numFmt w:val="bullet"/>
      <w:lvlText w:val="o"/>
      <w:lvlJc w:val="left"/>
      <w:pPr>
        <w:ind w:left="1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1CC426">
      <w:start w:val="1"/>
      <w:numFmt w:val="bullet"/>
      <w:lvlText w:val="▪"/>
      <w:lvlJc w:val="left"/>
      <w:pPr>
        <w:ind w:left="1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48E80E">
      <w:start w:val="1"/>
      <w:numFmt w:val="bullet"/>
      <w:lvlText w:val="•"/>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402998">
      <w:start w:val="1"/>
      <w:numFmt w:val="bullet"/>
      <w:lvlText w:val="o"/>
      <w:lvlJc w:val="left"/>
      <w:pPr>
        <w:ind w:left="3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B4933E">
      <w:start w:val="1"/>
      <w:numFmt w:val="bullet"/>
      <w:lvlText w:val="▪"/>
      <w:lvlJc w:val="left"/>
      <w:pPr>
        <w:ind w:left="3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98E5CC">
      <w:start w:val="1"/>
      <w:numFmt w:val="bullet"/>
      <w:lvlText w:val="•"/>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A0B1AA">
      <w:start w:val="1"/>
      <w:numFmt w:val="bullet"/>
      <w:lvlText w:val="o"/>
      <w:lvlJc w:val="left"/>
      <w:pPr>
        <w:ind w:left="5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72A39C">
      <w:start w:val="1"/>
      <w:numFmt w:val="bullet"/>
      <w:lvlText w:val="▪"/>
      <w:lvlJc w:val="left"/>
      <w:pPr>
        <w:ind w:left="61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70D72B6"/>
    <w:multiLevelType w:val="hybridMultilevel"/>
    <w:tmpl w:val="E4762628"/>
    <w:lvl w:ilvl="0" w:tplc="1BE0BF7E">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E2ADB6">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928A76">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C860D4">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BC8574">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4430C6">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52EC7A">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EA4DA4">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8456C0">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7" w15:restartNumberingAfterBreak="0">
    <w:nsid w:val="26C50F45"/>
    <w:multiLevelType w:val="hybridMultilevel"/>
    <w:tmpl w:val="F1701C7A"/>
    <w:lvl w:ilvl="0" w:tplc="DF3CA95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D8292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6467B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4E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E8BAE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74ABA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92693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D0F1C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1C083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9" w15:restartNumberingAfterBreak="0">
    <w:nsid w:val="3B47511D"/>
    <w:multiLevelType w:val="hybridMultilevel"/>
    <w:tmpl w:val="FF7CC090"/>
    <w:lvl w:ilvl="0" w:tplc="E80492EC">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F204D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CE4A0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18DC04">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547482">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D2C6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A26FD4">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003714">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160B70">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BDC2426"/>
    <w:multiLevelType w:val="hybridMultilevel"/>
    <w:tmpl w:val="47EA5CF4"/>
    <w:lvl w:ilvl="0" w:tplc="4C9EC0AE">
      <w:start w:val="15"/>
      <w:numFmt w:val="bullet"/>
      <w:lvlText w:val=""/>
      <w:lvlJc w:val="left"/>
      <w:pPr>
        <w:ind w:left="720" w:hanging="360"/>
      </w:pPr>
      <w:rPr>
        <w:rFonts w:ascii="Wingdings" w:eastAsia="Times New Roman" w:hAnsi="Wingdings"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58C53A6"/>
    <w:multiLevelType w:val="hybridMultilevel"/>
    <w:tmpl w:val="8DE8A7BE"/>
    <w:lvl w:ilvl="0" w:tplc="4BD8FEAA">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23" w15:restartNumberingAfterBreak="0">
    <w:nsid w:val="4C285804"/>
    <w:multiLevelType w:val="hybridMultilevel"/>
    <w:tmpl w:val="D9CE3230"/>
    <w:lvl w:ilvl="0" w:tplc="A316F97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0E858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EE565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A8C5A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988E9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30E80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54FD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7878E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188B6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D4A4D3C"/>
    <w:multiLevelType w:val="hybridMultilevel"/>
    <w:tmpl w:val="57E6A686"/>
    <w:lvl w:ilvl="0" w:tplc="D446FFB2">
      <w:start w:val="1"/>
      <w:numFmt w:val="bullet"/>
      <w:lvlText w:val="•"/>
      <w:lvlJc w:val="left"/>
      <w:pPr>
        <w:ind w:left="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1ED1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7084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04C6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805F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3EFA4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50AD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62C4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F87FB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6" w15:restartNumberingAfterBreak="0">
    <w:nsid w:val="59AE2424"/>
    <w:multiLevelType w:val="hybridMultilevel"/>
    <w:tmpl w:val="88DA81DC"/>
    <w:lvl w:ilvl="0" w:tplc="4546057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CAD9F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F8E1C4">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042D90">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C030D0">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3C83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14A216">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0A7B2C">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F086B8">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75DF3ED3"/>
    <w:multiLevelType w:val="hybridMultilevel"/>
    <w:tmpl w:val="EF1E0390"/>
    <w:lvl w:ilvl="0" w:tplc="66429154">
      <w:start w:val="15"/>
      <w:numFmt w:val="bullet"/>
      <w:lvlText w:val=""/>
      <w:lvlJc w:val="left"/>
      <w:pPr>
        <w:ind w:left="720" w:hanging="360"/>
      </w:pPr>
      <w:rPr>
        <w:rFonts w:ascii="Wingdings" w:eastAsia="Times New Roman" w:hAnsi="Wingdings"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abstractNum w:abstractNumId="30" w15:restartNumberingAfterBreak="0">
    <w:nsid w:val="7F0B21B1"/>
    <w:multiLevelType w:val="hybridMultilevel"/>
    <w:tmpl w:val="C32C2024"/>
    <w:lvl w:ilvl="0" w:tplc="9D80DCA8">
      <w:start w:val="15"/>
      <w:numFmt w:val="bullet"/>
      <w:lvlText w:val=""/>
      <w:lvlJc w:val="left"/>
      <w:pPr>
        <w:ind w:left="720" w:hanging="360"/>
      </w:pPr>
      <w:rPr>
        <w:rFonts w:ascii="Wingdings" w:eastAsia="Times New Roman" w:hAnsi="Wingdings"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460733335">
    <w:abstractNumId w:val="27"/>
  </w:num>
  <w:num w:numId="2" w16cid:durableId="6093556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24124458">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97063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145338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502223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3503155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004884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53629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931825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09161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006602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9067495">
    <w:abstractNumId w:val="8"/>
  </w:num>
  <w:num w:numId="14" w16cid:durableId="663510141">
    <w:abstractNumId w:val="0"/>
    <w:lvlOverride w:ilvl="0">
      <w:lvl w:ilvl="0">
        <w:numFmt w:val="bullet"/>
        <w:lvlText w:val="-"/>
        <w:lvlJc w:val="left"/>
        <w:pPr>
          <w:ind w:left="360" w:hanging="360"/>
        </w:pPr>
      </w:lvl>
    </w:lvlOverride>
  </w:num>
  <w:num w:numId="15" w16cid:durableId="1848906707">
    <w:abstractNumId w:val="16"/>
  </w:num>
  <w:num w:numId="16" w16cid:durableId="1082065986">
    <w:abstractNumId w:val="29"/>
  </w:num>
  <w:num w:numId="17" w16cid:durableId="1025250836">
    <w:abstractNumId w:val="22"/>
  </w:num>
  <w:num w:numId="18" w16cid:durableId="1015960043">
    <w:abstractNumId w:val="12"/>
  </w:num>
  <w:num w:numId="19" w16cid:durableId="1791582200">
    <w:abstractNumId w:val="13"/>
  </w:num>
  <w:num w:numId="20" w16cid:durableId="1809007434">
    <w:abstractNumId w:val="23"/>
  </w:num>
  <w:num w:numId="21" w16cid:durableId="1349059748">
    <w:abstractNumId w:val="19"/>
  </w:num>
  <w:num w:numId="22" w16cid:durableId="2085640314">
    <w:abstractNumId w:val="10"/>
  </w:num>
  <w:num w:numId="23" w16cid:durableId="1937980312">
    <w:abstractNumId w:val="26"/>
  </w:num>
  <w:num w:numId="24" w16cid:durableId="806166676">
    <w:abstractNumId w:val="14"/>
  </w:num>
  <w:num w:numId="25" w16cid:durableId="1101873787">
    <w:abstractNumId w:val="17"/>
  </w:num>
  <w:num w:numId="26" w16cid:durableId="2085028531">
    <w:abstractNumId w:val="21"/>
  </w:num>
  <w:num w:numId="27" w16cid:durableId="209542120">
    <w:abstractNumId w:val="24"/>
  </w:num>
  <w:num w:numId="28" w16cid:durableId="617684587">
    <w:abstractNumId w:val="15"/>
  </w:num>
  <w:num w:numId="29" w16cid:durableId="1538084033">
    <w:abstractNumId w:val="28"/>
  </w:num>
  <w:num w:numId="30" w16cid:durableId="1998918791">
    <w:abstractNumId w:val="20"/>
  </w:num>
  <w:num w:numId="31" w16cid:durableId="1948107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GB" w:vendorID="64" w:dllVersion="0" w:nlCheck="1" w:checkStyle="0"/>
  <w:activeWritingStyle w:appName="MSWord" w:lang="en-US" w:vendorID="64" w:dllVersion="0" w:nlCheck="1" w:checkStyle="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736F4A"/>
    <w:rsid w:val="00044EE1"/>
    <w:rsid w:val="00100640"/>
    <w:rsid w:val="00430518"/>
    <w:rsid w:val="00736F4A"/>
    <w:rsid w:val="00F0737E"/>
    <w:rsid w:val="00F636EA"/>
    <w:rsid w:val="00F6616C"/>
  </w:rsids>
  <m:mathPr>
    <m:mathFont m:val="Cambria Math"/>
    <m:brkBin m:val="before"/>
    <m:brkBinSub m:val="--"/>
    <m:smallFrac m:val="0"/>
    <m:dispDef/>
    <m:lMargin m:val="0"/>
    <m:rMargin m:val="0"/>
    <m:defJc m:val="centerGroup"/>
    <m:wrapRight/>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C07C85"/>
  <w15:docId w15:val="{5600D1B2-9E2F-471B-9C65-789D2BD93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tabs>
        <w:tab w:val="left" w:pos="567"/>
      </w:tabs>
      <w:spacing w:line="260" w:lineRule="exact"/>
    </w:pPr>
    <w:rPr>
      <w:sz w:val="22"/>
      <w:szCs w:val="22"/>
      <w:lang w:val="en-GB" w:eastAsia="en-US"/>
    </w:rPr>
  </w:style>
  <w:style w:type="paragraph" w:styleId="Cmsor2">
    <w:name w:val="heading 2"/>
    <w:next w:val="Norml"/>
    <w:link w:val="Cmsor2Char"/>
    <w:uiPriority w:val="9"/>
    <w:unhideWhenUsed/>
    <w:qFormat/>
    <w:locked/>
    <w:pPr>
      <w:keepNext/>
      <w:keepLines/>
      <w:spacing w:after="243" w:line="248" w:lineRule="auto"/>
      <w:ind w:left="22" w:hanging="10"/>
      <w:outlineLvl w:val="1"/>
    </w:pPr>
    <w:rPr>
      <w:color w:val="000000"/>
      <w:sz w:val="22"/>
      <w:szCs w:val="22"/>
      <w:u w:val="single" w:color="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color w:val="0000FF"/>
      <w:u w:val="single"/>
    </w:rPr>
  </w:style>
  <w:style w:type="paragraph" w:customStyle="1" w:styleId="EMEAEnBodyText">
    <w:name w:val="EMEA En Body Text"/>
    <w:basedOn w:val="Norml"/>
    <w:uiPriority w:val="99"/>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ascii="Verdana" w:hAnsi="Verdana" w:cs="Verdana"/>
      <w:sz w:val="18"/>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Courier New" w:hAnsi="Courier New" w:cs="Courier New"/>
      <w:noProof/>
      <w:color w:val="800000"/>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uiPriority w:val="99"/>
    <w:semiHidden/>
    <w:pPr>
      <w:spacing w:line="240" w:lineRule="auto"/>
    </w:pPr>
    <w:rPr>
      <w:rFonts w:ascii="Tahoma" w:hAnsi="Tahoma" w:cs="Tahoma"/>
      <w:sz w:val="16"/>
      <w:szCs w:val="16"/>
    </w:rPr>
  </w:style>
  <w:style w:type="character" w:customStyle="1" w:styleId="BuborkszvegChar">
    <w:name w:val="Buborékszöveg Char"/>
    <w:link w:val="Buborkszveg1"/>
    <w:uiPriority w:val="99"/>
    <w:locked/>
    <w:rPr>
      <w:rFonts w:ascii="Tahoma" w:hAnsi="Tahoma" w:cs="Tahoma"/>
      <w:snapToGrid w:val="0"/>
      <w:sz w:val="16"/>
      <w:szCs w:val="16"/>
      <w:lang w:val="en-GB" w:eastAsia="en-US"/>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b/>
      <w:bCs/>
      <w:sz w:val="20"/>
      <w:szCs w:val="20"/>
      <w:lang w:val="en-GB"/>
    </w:rPr>
  </w:style>
  <w:style w:type="paragraph" w:customStyle="1" w:styleId="Vltozat1">
    <w:name w:val="Változat1"/>
    <w:hidden/>
    <w:uiPriority w:val="99"/>
    <w:semiHidden/>
    <w:rPr>
      <w:sz w:val="22"/>
      <w:szCs w:val="22"/>
      <w:lang w:val="en-GB" w:eastAsia="en-US"/>
    </w:rPr>
  </w:style>
  <w:style w:type="paragraph" w:styleId="lfej">
    <w:name w:val="header"/>
    <w:basedOn w:val="Norml"/>
    <w:link w:val="lfejChar1"/>
    <w:uiPriority w:val="99"/>
    <w:locked/>
    <w:pPr>
      <w:tabs>
        <w:tab w:val="clear" w:pos="567"/>
        <w:tab w:val="center" w:pos="4513"/>
        <w:tab w:val="right" w:pos="9026"/>
      </w:tabs>
    </w:pPr>
  </w:style>
  <w:style w:type="character" w:customStyle="1" w:styleId="lfejChar1">
    <w:name w:val="Élőfej Char1"/>
    <w:link w:val="lfej"/>
    <w:rPr>
      <w:sz w:val="22"/>
      <w:szCs w:val="22"/>
      <w:lang w:eastAsia="en-US"/>
    </w:rPr>
  </w:style>
  <w:style w:type="paragraph" w:styleId="llb">
    <w:name w:val="footer"/>
    <w:basedOn w:val="Norml"/>
    <w:link w:val="llbChar1"/>
    <w:uiPriority w:val="99"/>
    <w:locked/>
    <w:pPr>
      <w:tabs>
        <w:tab w:val="clear" w:pos="567"/>
        <w:tab w:val="center" w:pos="4513"/>
        <w:tab w:val="right" w:pos="9026"/>
      </w:tabs>
    </w:pPr>
  </w:style>
  <w:style w:type="character" w:customStyle="1" w:styleId="llbChar1">
    <w:name w:val="Élőláb Char1"/>
    <w:link w:val="llb"/>
    <w:uiPriority w:val="99"/>
    <w:rPr>
      <w:sz w:val="22"/>
      <w:szCs w:val="22"/>
      <w:lang w:eastAsia="en-US"/>
    </w:rPr>
  </w:style>
  <w:style w:type="paragraph" w:styleId="Buborkszveg">
    <w:name w:val="Balloon Text"/>
    <w:basedOn w:val="Norml"/>
    <w:link w:val="BuborkszvegChar1"/>
    <w:uiPriority w:val="99"/>
    <w:semiHidden/>
    <w:unhideWhenUsed/>
    <w:pPr>
      <w:spacing w:line="240" w:lineRule="auto"/>
    </w:pPr>
    <w:rPr>
      <w:rFonts w:ascii="Segoe UI" w:hAnsi="Segoe UI" w:cs="Segoe UI"/>
      <w:sz w:val="18"/>
      <w:szCs w:val="18"/>
    </w:rPr>
  </w:style>
  <w:style w:type="character" w:customStyle="1" w:styleId="BuborkszvegChar1">
    <w:name w:val="Buborékszöveg Char1"/>
    <w:link w:val="Buborkszveg"/>
    <w:uiPriority w:val="99"/>
    <w:semiHidden/>
    <w:rPr>
      <w:rFonts w:ascii="Segoe UI" w:hAnsi="Segoe UI" w:cs="Segoe UI"/>
      <w:sz w:val="18"/>
      <w:szCs w:val="18"/>
      <w:lang w:eastAsia="en-US"/>
    </w:rPr>
  </w:style>
  <w:style w:type="paragraph" w:styleId="Vltozat">
    <w:name w:val="Revision"/>
    <w:hidden/>
    <w:uiPriority w:val="99"/>
    <w:semiHidden/>
    <w:rPr>
      <w:sz w:val="22"/>
      <w:szCs w:val="22"/>
      <w:lang w:val="en-GB" w:eastAsia="en-US"/>
    </w:rPr>
  </w:style>
  <w:style w:type="character" w:styleId="Jegyzethivatkozs">
    <w:name w:val="annotation reference"/>
    <w:uiPriority w:val="99"/>
    <w:semiHidden/>
    <w:unhideWhenUsed/>
    <w:rPr>
      <w:sz w:val="16"/>
      <w:szCs w:val="16"/>
    </w:rPr>
  </w:style>
  <w:style w:type="paragraph" w:styleId="Jegyzetszveg">
    <w:name w:val="annotation text"/>
    <w:basedOn w:val="Norml"/>
    <w:link w:val="JegyzetszvegChar1"/>
    <w:uiPriority w:val="99"/>
    <w:unhideWhenUsed/>
    <w:pPr>
      <w:spacing w:line="240" w:lineRule="auto"/>
    </w:pPr>
    <w:rPr>
      <w:sz w:val="20"/>
      <w:szCs w:val="20"/>
    </w:rPr>
  </w:style>
  <w:style w:type="character" w:customStyle="1" w:styleId="JegyzetszvegChar1">
    <w:name w:val="Jegyzetszöveg Char1"/>
    <w:link w:val="Jegyzetszveg"/>
    <w:uiPriority w:val="99"/>
    <w:rPr>
      <w:lang w:eastAsia="en-US"/>
    </w:rPr>
  </w:style>
  <w:style w:type="character" w:customStyle="1" w:styleId="cf01">
    <w:name w:val="cf01"/>
    <w:rPr>
      <w:rFonts w:ascii="Segoe UI" w:hAnsi="Segoe UI" w:cs="Segoe UI" w:hint="default"/>
      <w:sz w:val="18"/>
      <w:szCs w:val="18"/>
    </w:rPr>
  </w:style>
  <w:style w:type="paragraph" w:styleId="Listaszerbekezds">
    <w:name w:val="List Paragraph"/>
    <w:basedOn w:val="Norml"/>
    <w:uiPriority w:val="34"/>
    <w:qFormat/>
    <w:pPr>
      <w:ind w:left="720"/>
      <w:contextualSpacing/>
    </w:pPr>
  </w:style>
  <w:style w:type="table" w:customStyle="1" w:styleId="TableGrid">
    <w:name w:val="TableGrid"/>
    <w:rPr>
      <w:rFonts w:ascii="Calibri" w:hAnsi="Calibri"/>
      <w:sz w:val="22"/>
      <w:szCs w:val="22"/>
    </w:rPr>
    <w:tblPr>
      <w:tblCellMar>
        <w:top w:w="0" w:type="dxa"/>
        <w:left w:w="0" w:type="dxa"/>
        <w:bottom w:w="0" w:type="dxa"/>
        <w:right w:w="0" w:type="dxa"/>
      </w:tblCellMar>
    </w:tblPr>
  </w:style>
  <w:style w:type="table" w:customStyle="1" w:styleId="TableGrid1">
    <w:name w:val="TableGrid1"/>
    <w:rPr>
      <w:rFonts w:ascii="Calibri" w:hAnsi="Calibri"/>
      <w:sz w:val="22"/>
      <w:szCs w:val="22"/>
    </w:rPr>
    <w:tblPr>
      <w:tblCellMar>
        <w:top w:w="0" w:type="dxa"/>
        <w:left w:w="0" w:type="dxa"/>
        <w:bottom w:w="0" w:type="dxa"/>
        <w:right w:w="0" w:type="dxa"/>
      </w:tblCellMar>
    </w:tblPr>
  </w:style>
  <w:style w:type="paragraph" w:customStyle="1" w:styleId="TableParagraph">
    <w:name w:val="Table Paragraph"/>
    <w:basedOn w:val="Norml"/>
    <w:uiPriority w:val="1"/>
    <w:qFormat/>
    <w:pPr>
      <w:widowControl w:val="0"/>
      <w:tabs>
        <w:tab w:val="clear" w:pos="567"/>
      </w:tabs>
      <w:autoSpaceDE w:val="0"/>
      <w:autoSpaceDN w:val="0"/>
      <w:adjustRightInd w:val="0"/>
      <w:spacing w:line="234" w:lineRule="exact"/>
    </w:pPr>
    <w:rPr>
      <w:sz w:val="24"/>
      <w:szCs w:val="24"/>
      <w:lang w:val="sl-SI" w:eastAsia="sl-SI"/>
    </w:rPr>
  </w:style>
  <w:style w:type="table" w:customStyle="1" w:styleId="TableGrid2">
    <w:name w:val="TableGrid2"/>
    <w:rPr>
      <w:rFonts w:ascii="Calibri" w:hAnsi="Calibri"/>
      <w:sz w:val="22"/>
      <w:szCs w:val="22"/>
    </w:rPr>
    <w:tblPr>
      <w:tblCellMar>
        <w:top w:w="0" w:type="dxa"/>
        <w:left w:w="0" w:type="dxa"/>
        <w:bottom w:w="0" w:type="dxa"/>
        <w:right w:w="0" w:type="dxa"/>
      </w:tblCellMar>
    </w:tblPr>
  </w:style>
  <w:style w:type="character" w:customStyle="1" w:styleId="Cmsor2Char">
    <w:name w:val="Címsor 2 Char"/>
    <w:link w:val="Cmsor2"/>
    <w:rPr>
      <w:color w:val="000000"/>
      <w:sz w:val="22"/>
      <w:szCs w:val="22"/>
      <w:u w:val="single" w:color="000000"/>
      <w:lang w:val="hu-HU" w:eastAsia="hu-HU"/>
    </w:rPr>
  </w:style>
  <w:style w:type="paragraph" w:styleId="Megjegyzstrgya">
    <w:name w:val="annotation subject"/>
    <w:basedOn w:val="Jegyzetszveg"/>
    <w:next w:val="Jegyzetszveg"/>
    <w:link w:val="MegjegyzstrgyaChar1"/>
    <w:uiPriority w:val="99"/>
    <w:semiHidden/>
    <w:unhideWhenUsed/>
    <w:rPr>
      <w:b/>
      <w:bCs/>
    </w:rPr>
  </w:style>
  <w:style w:type="character" w:customStyle="1" w:styleId="MegjegyzstrgyaChar1">
    <w:name w:val="Megjegyzés tárgya Char1"/>
    <w:link w:val="Megjegyzstrgya"/>
    <w:uiPriority w:val="99"/>
    <w:semiHidden/>
    <w:rPr>
      <w:b/>
      <w:bCs/>
      <w:lang w:eastAsia="en-US"/>
    </w:rPr>
  </w:style>
  <w:style w:type="paragraph" w:styleId="Szvegtrzs">
    <w:name w:val="Body Text"/>
    <w:basedOn w:val="Norml"/>
    <w:link w:val="SzvegtrzsChar"/>
    <w:pPr>
      <w:numPr>
        <w:ilvl w:val="12"/>
      </w:numPr>
      <w:tabs>
        <w:tab w:val="clear" w:pos="567"/>
        <w:tab w:val="left" w:pos="8505"/>
      </w:tabs>
      <w:spacing w:line="240" w:lineRule="auto"/>
      <w:ind w:right="-2"/>
    </w:pPr>
    <w:rPr>
      <w:szCs w:val="20"/>
      <w:lang w:val="sl-SI" w:eastAsia="sl-SI"/>
    </w:rPr>
  </w:style>
  <w:style w:type="character" w:customStyle="1" w:styleId="SzvegtrzsChar">
    <w:name w:val="Szövegtörzs Char"/>
    <w:link w:val="Szvegtrzs"/>
    <w:rPr>
      <w:sz w:val="22"/>
      <w:lang w:val="sl-SI" w:eastAsia="sl-SI"/>
    </w:rPr>
  </w:style>
  <w:style w:type="paragraph" w:styleId="Nincstrkz">
    <w:name w:val="No Spacing"/>
    <w:uiPriority w:val="1"/>
    <w:qFormat/>
    <w:rPr>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647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41</Pages>
  <Words>14587</Words>
  <Characters>100651</Characters>
  <Application>Microsoft Office Word</Application>
  <DocSecurity>0</DocSecurity>
  <Lines>838</Lines>
  <Paragraphs>230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115008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subject/>
  <dc:creator>European Medicines Agency</dc:creator>
  <cp:keywords/>
  <cp:lastModifiedBy>OGYI_62.1</cp:lastModifiedBy>
  <cp:revision>8</cp:revision>
  <cp:lastPrinted>2022-09-05T13:00:00Z</cp:lastPrinted>
  <dcterms:created xsi:type="dcterms:W3CDTF">2025-12-15T14:09:00Z</dcterms:created>
  <dcterms:modified xsi:type="dcterms:W3CDTF">2026-10-16T12:20:00Z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
  </property>
  <property fmtid="{D5CDD505-2E9C-101B-9397-08002B2CF9AE}" pid="3" name="DM_Author">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doc_category">
    <vt:lpwstr/>
  </property>
  <property fmtid="{D5CDD505-2E9C-101B-9397-08002B2CF9AE}" pid="9" name="DM_emea_doc_number">
    <vt:lpwstr/>
  </property>
  <property fmtid="{D5CDD505-2E9C-101B-9397-08002B2CF9AE}" pid="10" name="DM_emea_doc_ref_id">
    <vt:lpwstr/>
  </property>
  <property fmtid="{D5CDD505-2E9C-101B-9397-08002B2CF9AE}" pid="11" name="DM_emea_internal_label">
    <vt:lpwstr/>
  </property>
  <property fmtid="{D5CDD505-2E9C-101B-9397-08002B2CF9AE}" pid="12" name="DM_emea_legal_date">
    <vt:lpwstr/>
  </property>
  <property fmtid="{D5CDD505-2E9C-101B-9397-08002B2CF9AE}" pid="13" name="DM_emea_received_date">
    <vt:lpwstr/>
  </property>
  <property fmtid="{D5CDD505-2E9C-101B-9397-08002B2CF9AE}" pid="14" name="DM_emea_sent_date">
    <vt:lpwstr/>
  </property>
  <property fmtid="{D5CDD505-2E9C-101B-9397-08002B2CF9AE}" pid="15" name="DM_emea_year">
    <vt:lpwstr/>
  </property>
  <property fmtid="{D5CDD505-2E9C-101B-9397-08002B2CF9AE}" pid="16" name="DM_Keywords">
    <vt:lpwstr/>
  </property>
  <property fmtid="{D5CDD505-2E9C-101B-9397-08002B2CF9AE}" pid="17" name="DM_Language">
    <vt:lpwstr/>
  </property>
  <property fmtid="{D5CDD505-2E9C-101B-9397-08002B2CF9AE}" pid="18" name="DM_Modifer_Name">
    <vt:lpwstr/>
  </property>
  <property fmtid="{D5CDD505-2E9C-101B-9397-08002B2CF9AE}" pid="19" name="DM_Modified_Date">
    <vt:lpwstr/>
  </property>
  <property fmtid="{D5CDD505-2E9C-101B-9397-08002B2CF9AE}" pid="20" name="DM_Modifier_Name">
    <vt:lpwstr/>
  </property>
  <property fmtid="{D5CDD505-2E9C-101B-9397-08002B2CF9AE}" pid="21" name="DM_Modify_Date">
    <vt:lpwstr/>
  </property>
  <property fmtid="{D5CDD505-2E9C-101B-9397-08002B2CF9AE}" pid="22" name="DM_Name">
    <vt:lpwstr/>
  </property>
  <property fmtid="{D5CDD505-2E9C-101B-9397-08002B2CF9AE}" pid="23" name="DM_Owner">
    <vt:lpwstr/>
  </property>
  <property fmtid="{D5CDD505-2E9C-101B-9397-08002B2CF9AE}" pid="24" name="DM_Path">
    <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
  </property>
  <property fmtid="{D5CDD505-2E9C-101B-9397-08002B2CF9AE}" pid="29" name="DM_Version">
    <vt:lpwstr/>
  </property>
  <property fmtid="{D5CDD505-2E9C-101B-9397-08002B2CF9AE}" pid="30" name="MSIP_Label_afe1b31d-cec0-4074-b4bd-f07689e43d84_ActionId">
    <vt:lpwstr/>
  </property>
  <property fmtid="{D5CDD505-2E9C-101B-9397-08002B2CF9AE}" pid="31" name="MSIP_Label_afe1b31d-cec0-4074-b4bd-f07689e43d84_Application">
    <vt:lpwstr/>
  </property>
  <property fmtid="{D5CDD505-2E9C-101B-9397-08002B2CF9AE}" pid="32" name="MSIP_Label_afe1b31d-cec0-4074-b4bd-f07689e43d84_Enabled">
    <vt:lpwstr/>
  </property>
  <property fmtid="{D5CDD505-2E9C-101B-9397-08002B2CF9AE}" pid="33" name="MSIP_Label_afe1b31d-cec0-4074-b4bd-f07689e43d84_Extended_MSFT_Method">
    <vt:lpwstr/>
  </property>
  <property fmtid="{D5CDD505-2E9C-101B-9397-08002B2CF9AE}" pid="34" name="MSIP_Label_afe1b31d-cec0-4074-b4bd-f07689e43d84_Name">
    <vt:lpwstr/>
  </property>
  <property fmtid="{D5CDD505-2E9C-101B-9397-08002B2CF9AE}" pid="35" name="MSIP_Label_afe1b31d-cec0-4074-b4bd-f07689e43d84_Owner">
    <vt:lpwstr/>
  </property>
  <property fmtid="{D5CDD505-2E9C-101B-9397-08002B2CF9AE}" pid="36" name="MSIP_Label_afe1b31d-cec0-4074-b4bd-f07689e43d84_SetDate">
    <vt:lpwstr/>
  </property>
  <property fmtid="{D5CDD505-2E9C-101B-9397-08002B2CF9AE}" pid="37" name="MSIP_Label_afe1b31d-cec0-4074-b4bd-f07689e43d84_SiteId">
    <vt:lpwstr/>
  </property>
  <property fmtid="{D5CDD505-2E9C-101B-9397-08002B2CF9AE}" pid="38" name="MSIP_Label_0eea11ca-d417-4147-80ed-01a58412c458_Enabled">
    <vt:lpwstr/>
  </property>
  <property fmtid="{D5CDD505-2E9C-101B-9397-08002B2CF9AE}" pid="39" name="MSIP_Label_0eea11ca-d417-4147-80ed-01a58412c458_SetDate">
    <vt:lpwstr/>
  </property>
  <property fmtid="{D5CDD505-2E9C-101B-9397-08002B2CF9AE}" pid="40" name="MSIP_Label_0eea11ca-d417-4147-80ed-01a58412c458_Method">
    <vt:lpwstr/>
  </property>
  <property fmtid="{D5CDD505-2E9C-101B-9397-08002B2CF9AE}" pid="41" name="MSIP_Label_0eea11ca-d417-4147-80ed-01a58412c458_Name">
    <vt:lpwstr/>
  </property>
  <property fmtid="{D5CDD505-2E9C-101B-9397-08002B2CF9AE}" pid="42" name="MSIP_Label_0eea11ca-d417-4147-80ed-01a58412c458_SiteId">
    <vt:lpwstr/>
  </property>
  <property fmtid="{D5CDD505-2E9C-101B-9397-08002B2CF9AE}" pid="43" name="MSIP_Label_0eea11ca-d417-4147-80ed-01a58412c458_ActionId">
    <vt:lpwstr/>
  </property>
  <property fmtid="{D5CDD505-2E9C-101B-9397-08002B2CF9AE}" pid="44" name="MSIP_Label_0eea11ca-d417-4147-80ed-01a58412c458_ContentBits">
    <vt:lpwstr/>
  </property>
</Properties>
</file>