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166" w:rsidRDefault="00226345">
      <w:pPr>
        <w:widowControl w:val="0"/>
        <w:spacing w:line="240" w:lineRule="auto"/>
        <w:rPr>
          <w:lang w:val="hu-HU"/>
        </w:rPr>
      </w:pPr>
      <w:bookmarkStart w:id="0" w:name="_GoBack"/>
      <w:bookmarkEnd w:id="0"/>
      <w:r>
        <w:rPr>
          <w:b/>
          <w:bCs/>
          <w:lang w:val="hu-HU"/>
        </w:rPr>
        <w:t>1.</w:t>
      </w:r>
      <w:r>
        <w:rPr>
          <w:b/>
          <w:bCs/>
          <w:lang w:val="hu-HU"/>
        </w:rPr>
        <w:tab/>
        <w:t>A GYÓGYSZER NEVE</w:t>
      </w:r>
    </w:p>
    <w:p w:rsidR="008B5166" w:rsidRDefault="008B5166">
      <w:pPr>
        <w:widowControl w:val="0"/>
        <w:spacing w:line="240" w:lineRule="auto"/>
        <w:rPr>
          <w:lang w:val="hu-HU"/>
        </w:rPr>
      </w:pPr>
    </w:p>
    <w:p w:rsidR="008B5166" w:rsidRDefault="00226345">
      <w:pPr>
        <w:widowControl w:val="0"/>
        <w:spacing w:line="240" w:lineRule="auto"/>
        <w:rPr>
          <w:noProof/>
        </w:rPr>
      </w:pPr>
      <w:bookmarkStart w:id="1" w:name="_Hlk150777562"/>
      <w:r>
        <w:rPr>
          <w:lang w:val="hu-HU"/>
        </w:rPr>
        <w:t xml:space="preserve">Varesta </w:t>
      </w:r>
      <w:r>
        <w:rPr>
          <w:noProof/>
        </w:rPr>
        <w:t>5 mg filmtabletta</w:t>
      </w:r>
    </w:p>
    <w:bookmarkEnd w:id="1"/>
    <w:p w:rsidR="008B5166" w:rsidRDefault="00226345">
      <w:pPr>
        <w:widowControl w:val="0"/>
        <w:spacing w:line="240" w:lineRule="auto"/>
        <w:rPr>
          <w:noProof/>
        </w:rPr>
      </w:pPr>
      <w:r>
        <w:rPr>
          <w:lang w:val="hu-HU"/>
        </w:rPr>
        <w:t xml:space="preserve">Varesta </w:t>
      </w:r>
      <w:r>
        <w:rPr>
          <w:noProof/>
        </w:rPr>
        <w:t>10 mg filmtabletta</w:t>
      </w:r>
    </w:p>
    <w:p w:rsidR="008B5166" w:rsidRDefault="00226345">
      <w:pPr>
        <w:widowControl w:val="0"/>
        <w:spacing w:line="240" w:lineRule="auto"/>
        <w:rPr>
          <w:noProof/>
        </w:rPr>
      </w:pPr>
      <w:r>
        <w:rPr>
          <w:lang w:val="hu-HU"/>
        </w:rPr>
        <w:t xml:space="preserve">Varesta </w:t>
      </w:r>
      <w:r>
        <w:rPr>
          <w:noProof/>
        </w:rPr>
        <w:t>15 mg filmtabletta</w:t>
      </w:r>
    </w:p>
    <w:p w:rsidR="008B5166" w:rsidRDefault="00226345">
      <w:pPr>
        <w:widowControl w:val="0"/>
        <w:spacing w:line="240" w:lineRule="auto"/>
        <w:rPr>
          <w:noProof/>
        </w:rPr>
      </w:pPr>
      <w:r>
        <w:rPr>
          <w:lang w:val="hu-HU"/>
        </w:rPr>
        <w:t xml:space="preserve">Varesta </w:t>
      </w:r>
      <w:r>
        <w:rPr>
          <w:noProof/>
        </w:rPr>
        <w:t>20 mg filmtabletta</w:t>
      </w:r>
    </w:p>
    <w:p w:rsidR="008B5166" w:rsidRDefault="008B5166">
      <w:pPr>
        <w:widowControl w:val="0"/>
        <w:spacing w:line="240" w:lineRule="auto"/>
        <w:rPr>
          <w:lang w:val="hu-HU"/>
        </w:rPr>
      </w:pPr>
    </w:p>
    <w:p w:rsidR="008B5166" w:rsidRDefault="008B5166">
      <w:pPr>
        <w:widowControl w:val="0"/>
        <w:spacing w:line="240" w:lineRule="auto"/>
        <w:rPr>
          <w:lang w:val="hu-HU"/>
        </w:rPr>
      </w:pPr>
    </w:p>
    <w:p w:rsidR="008B5166" w:rsidRDefault="00226345">
      <w:pPr>
        <w:widowControl w:val="0"/>
        <w:spacing w:line="240" w:lineRule="auto"/>
        <w:rPr>
          <w:b/>
          <w:bCs/>
          <w:lang w:val="hu-HU"/>
        </w:rPr>
      </w:pPr>
      <w:r>
        <w:rPr>
          <w:b/>
          <w:bCs/>
          <w:lang w:val="hu-HU"/>
        </w:rPr>
        <w:t>2.</w:t>
      </w:r>
      <w:r>
        <w:rPr>
          <w:b/>
          <w:bCs/>
          <w:lang w:val="hu-HU"/>
        </w:rPr>
        <w:tab/>
        <w:t>MINŐSÉGI ÉS MENNYISÉGI ÖSSZETÉTEL</w:t>
      </w:r>
    </w:p>
    <w:p w:rsidR="008B5166" w:rsidRDefault="008B5166">
      <w:pPr>
        <w:widowControl w:val="0"/>
        <w:spacing w:line="240" w:lineRule="auto"/>
        <w:rPr>
          <w:bCs/>
          <w:lang w:val="hu-HU"/>
        </w:rPr>
      </w:pPr>
    </w:p>
    <w:p w:rsidR="008B5166" w:rsidRDefault="00226345">
      <w:pPr>
        <w:widowControl w:val="0"/>
        <w:spacing w:line="240" w:lineRule="auto"/>
        <w:rPr>
          <w:noProof/>
          <w:u w:val="single"/>
        </w:rPr>
      </w:pPr>
      <w:r>
        <w:rPr>
          <w:u w:val="single"/>
          <w:lang w:val="hu-HU"/>
        </w:rPr>
        <w:t xml:space="preserve">Varesta </w:t>
      </w:r>
      <w:r>
        <w:rPr>
          <w:noProof/>
          <w:u w:val="single"/>
        </w:rPr>
        <w:t>5 mg filmtabletta:</w:t>
      </w:r>
    </w:p>
    <w:p w:rsidR="008B5166" w:rsidRDefault="00226345">
      <w:pPr>
        <w:widowControl w:val="0"/>
        <w:spacing w:line="240" w:lineRule="auto"/>
        <w:rPr>
          <w:lang w:val="hu-HU"/>
        </w:rPr>
      </w:pPr>
      <w:r>
        <w:rPr>
          <w:lang w:val="hu-HU"/>
        </w:rPr>
        <w:t>5</w:t>
      </w:r>
      <w:r>
        <w:rPr>
          <w:noProof/>
          <w:color w:val="000000"/>
        </w:rPr>
        <w:t> </w:t>
      </w:r>
      <w:r>
        <w:rPr>
          <w:lang w:val="hu-HU"/>
        </w:rPr>
        <w:t>mg vortioxetint tartalmaz (vortioxetin-hidrobromid formájában) filmtablettánként.</w:t>
      </w:r>
    </w:p>
    <w:p w:rsidR="008B5166" w:rsidRDefault="008B5166">
      <w:pPr>
        <w:widowControl w:val="0"/>
        <w:spacing w:line="240" w:lineRule="auto"/>
        <w:rPr>
          <w:u w:val="single"/>
          <w:lang w:val="hu-HU"/>
        </w:rPr>
      </w:pPr>
    </w:p>
    <w:p w:rsidR="008B5166" w:rsidRDefault="00226345">
      <w:pPr>
        <w:widowControl w:val="0"/>
        <w:spacing w:line="240" w:lineRule="auto"/>
        <w:rPr>
          <w:noProof/>
          <w:u w:val="single"/>
        </w:rPr>
      </w:pPr>
      <w:r>
        <w:rPr>
          <w:u w:val="single"/>
          <w:lang w:val="hu-HU"/>
        </w:rPr>
        <w:t xml:space="preserve">Varesta </w:t>
      </w:r>
      <w:r>
        <w:rPr>
          <w:noProof/>
          <w:u w:val="single"/>
        </w:rPr>
        <w:t>10 mg filmtabletta:</w:t>
      </w:r>
    </w:p>
    <w:p w:rsidR="008B5166" w:rsidRDefault="00226345">
      <w:pPr>
        <w:widowControl w:val="0"/>
        <w:spacing w:line="240" w:lineRule="auto"/>
        <w:rPr>
          <w:lang w:val="hu-HU"/>
        </w:rPr>
      </w:pPr>
      <w:r>
        <w:rPr>
          <w:lang w:val="hu-HU"/>
        </w:rPr>
        <w:t>10</w:t>
      </w:r>
      <w:r>
        <w:rPr>
          <w:noProof/>
          <w:color w:val="000000"/>
        </w:rPr>
        <w:t> </w:t>
      </w:r>
      <w:r>
        <w:rPr>
          <w:lang w:val="hu-HU"/>
        </w:rPr>
        <w:t>mg vortioxetint tartalmaz (vortioxetin-hidrobromid formájában) filmtablettánként.</w:t>
      </w:r>
    </w:p>
    <w:p w:rsidR="008B5166" w:rsidRDefault="008B5166">
      <w:pPr>
        <w:widowControl w:val="0"/>
        <w:spacing w:line="240" w:lineRule="auto"/>
        <w:rPr>
          <w:u w:val="single"/>
          <w:lang w:val="hu-HU"/>
        </w:rPr>
      </w:pPr>
    </w:p>
    <w:p w:rsidR="008B5166" w:rsidRDefault="00226345">
      <w:pPr>
        <w:widowControl w:val="0"/>
        <w:spacing w:line="240" w:lineRule="auto"/>
        <w:rPr>
          <w:noProof/>
          <w:u w:val="single"/>
        </w:rPr>
      </w:pPr>
      <w:r>
        <w:rPr>
          <w:u w:val="single"/>
          <w:lang w:val="hu-HU"/>
        </w:rPr>
        <w:t xml:space="preserve">Varesta </w:t>
      </w:r>
      <w:r>
        <w:rPr>
          <w:noProof/>
          <w:u w:val="single"/>
        </w:rPr>
        <w:t>15 mg filmtabletta:</w:t>
      </w:r>
    </w:p>
    <w:p w:rsidR="008B5166" w:rsidRDefault="00226345">
      <w:pPr>
        <w:widowControl w:val="0"/>
        <w:spacing w:line="240" w:lineRule="auto"/>
        <w:rPr>
          <w:lang w:val="hu-HU"/>
        </w:rPr>
      </w:pPr>
      <w:r>
        <w:rPr>
          <w:lang w:val="hu-HU"/>
        </w:rPr>
        <w:t>15</w:t>
      </w:r>
      <w:r>
        <w:rPr>
          <w:noProof/>
          <w:color w:val="000000"/>
        </w:rPr>
        <w:t> </w:t>
      </w:r>
      <w:r>
        <w:rPr>
          <w:lang w:val="hu-HU"/>
        </w:rPr>
        <w:t>mg vortioxetint tartalmaz (vortioxetin-hidrobromid formájában) filmtablettánként.</w:t>
      </w:r>
    </w:p>
    <w:p w:rsidR="008B5166" w:rsidRDefault="008B5166">
      <w:pPr>
        <w:widowControl w:val="0"/>
        <w:spacing w:line="240" w:lineRule="auto"/>
        <w:rPr>
          <w:u w:val="single"/>
          <w:lang w:val="hu-HU"/>
        </w:rPr>
      </w:pPr>
    </w:p>
    <w:p w:rsidR="008B5166" w:rsidRDefault="00226345">
      <w:pPr>
        <w:widowControl w:val="0"/>
        <w:spacing w:line="240" w:lineRule="auto"/>
        <w:rPr>
          <w:noProof/>
          <w:u w:val="single"/>
        </w:rPr>
      </w:pPr>
      <w:r>
        <w:rPr>
          <w:u w:val="single"/>
          <w:lang w:val="hu-HU"/>
        </w:rPr>
        <w:t xml:space="preserve">Varesta </w:t>
      </w:r>
      <w:r>
        <w:rPr>
          <w:noProof/>
          <w:u w:val="single"/>
        </w:rPr>
        <w:t>20 mg filmtabletta:</w:t>
      </w:r>
    </w:p>
    <w:p w:rsidR="008B5166" w:rsidRDefault="00226345">
      <w:r>
        <w:rPr>
          <w:lang w:val="hu-HU"/>
        </w:rPr>
        <w:t>20</w:t>
      </w:r>
      <w:r>
        <w:rPr>
          <w:noProof/>
          <w:color w:val="000000"/>
        </w:rPr>
        <w:t> </w:t>
      </w:r>
      <w:r>
        <w:rPr>
          <w:lang w:val="hu-HU"/>
        </w:rPr>
        <w:t>mg vortioxetint tartalmaz (vortioxetin-hidrobromid formájában) filmtablettánként.</w:t>
      </w:r>
    </w:p>
    <w:p w:rsidR="008B5166" w:rsidRDefault="008B5166">
      <w:pPr>
        <w:pStyle w:val="EMEAEnBodyText"/>
        <w:autoSpaceDE w:val="0"/>
        <w:autoSpaceDN w:val="0"/>
        <w:adjustRightInd w:val="0"/>
        <w:spacing w:before="0" w:after="0"/>
        <w:rPr>
          <w:u w:val="single"/>
          <w:lang w:val="hu-HU"/>
        </w:rPr>
      </w:pPr>
    </w:p>
    <w:p w:rsidR="008B5166" w:rsidRDefault="00226345">
      <w:pPr>
        <w:pStyle w:val="EMEAEnBodyText"/>
        <w:autoSpaceDE w:val="0"/>
        <w:autoSpaceDN w:val="0"/>
        <w:adjustRightInd w:val="0"/>
        <w:spacing w:before="0" w:after="0"/>
        <w:rPr>
          <w:lang w:val="hu-HU"/>
        </w:rPr>
      </w:pPr>
      <w:r>
        <w:rPr>
          <w:lang w:val="hu-HU"/>
        </w:rPr>
        <w:t>A segédanyagok teljes listáját lásd a 6.1 pontban.</w:t>
      </w:r>
    </w:p>
    <w:p w:rsidR="008B5166" w:rsidRDefault="008B5166">
      <w:pPr>
        <w:widowControl w:val="0"/>
        <w:spacing w:line="240" w:lineRule="auto"/>
        <w:rPr>
          <w:b/>
          <w:bCs/>
          <w:lang w:val="hu-HU"/>
        </w:rPr>
      </w:pPr>
    </w:p>
    <w:p w:rsidR="008B5166" w:rsidRDefault="008B5166">
      <w:pPr>
        <w:widowControl w:val="0"/>
        <w:spacing w:line="240" w:lineRule="auto"/>
        <w:rPr>
          <w:b/>
          <w:bCs/>
          <w:lang w:val="hu-HU"/>
        </w:rPr>
      </w:pPr>
    </w:p>
    <w:p w:rsidR="008B5166" w:rsidRDefault="00226345">
      <w:pPr>
        <w:spacing w:line="240" w:lineRule="auto"/>
        <w:ind w:left="567" w:hanging="567"/>
        <w:rPr>
          <w:b/>
          <w:bCs/>
          <w:lang w:val="hu-HU"/>
        </w:rPr>
      </w:pPr>
      <w:r>
        <w:rPr>
          <w:b/>
          <w:bCs/>
          <w:lang w:val="hu-HU"/>
        </w:rPr>
        <w:t>3.</w:t>
      </w:r>
      <w:r>
        <w:rPr>
          <w:b/>
          <w:bCs/>
          <w:lang w:val="hu-HU"/>
        </w:rPr>
        <w:tab/>
        <w:t>GYÓGYSZERFORMA</w:t>
      </w:r>
    </w:p>
    <w:p w:rsidR="008B5166" w:rsidRDefault="008B5166">
      <w:pPr>
        <w:spacing w:line="240" w:lineRule="auto"/>
        <w:ind w:left="567" w:hanging="567"/>
        <w:rPr>
          <w:b/>
          <w:bCs/>
          <w:lang w:val="hu-HU"/>
        </w:rPr>
      </w:pPr>
    </w:p>
    <w:p w:rsidR="008B5166" w:rsidRDefault="00226345">
      <w:pPr>
        <w:spacing w:line="240" w:lineRule="auto"/>
        <w:ind w:left="567" w:hanging="567"/>
        <w:rPr>
          <w:lang w:val="hu-HU"/>
        </w:rPr>
      </w:pPr>
      <w:r>
        <w:rPr>
          <w:lang w:val="hu-HU"/>
        </w:rPr>
        <w:t>Filmtabletta (tabletta)</w:t>
      </w:r>
    </w:p>
    <w:p w:rsidR="008B5166" w:rsidRDefault="008B5166">
      <w:pPr>
        <w:spacing w:line="240" w:lineRule="auto"/>
        <w:ind w:left="567" w:hanging="567"/>
        <w:rPr>
          <w:b/>
          <w:bCs/>
          <w:lang w:val="hu-HU"/>
        </w:rPr>
      </w:pPr>
    </w:p>
    <w:p w:rsidR="008B5166" w:rsidRDefault="00226345">
      <w:pPr>
        <w:autoSpaceDE w:val="0"/>
        <w:autoSpaceDN w:val="0"/>
        <w:adjustRightInd w:val="0"/>
        <w:spacing w:line="240" w:lineRule="auto"/>
        <w:jc w:val="both"/>
        <w:rPr>
          <w:noProof/>
          <w:u w:val="single"/>
        </w:rPr>
      </w:pPr>
      <w:r>
        <w:rPr>
          <w:u w:val="single"/>
          <w:lang w:val="hu-HU"/>
        </w:rPr>
        <w:t xml:space="preserve">Varesta </w:t>
      </w:r>
      <w:r>
        <w:rPr>
          <w:noProof/>
          <w:u w:val="single"/>
        </w:rPr>
        <w:t>5 mg filmtabletta:</w:t>
      </w:r>
    </w:p>
    <w:p w:rsidR="008B5166" w:rsidRDefault="00226345">
      <w:pPr>
        <w:autoSpaceDE w:val="0"/>
        <w:autoSpaceDN w:val="0"/>
        <w:adjustRightInd w:val="0"/>
      </w:pPr>
      <w:r>
        <w:rPr>
          <w:lang w:val="hu-HU"/>
        </w:rPr>
        <w:t>Halvány szürkés rózsaszínű, ovális, mindkét oldalán domború filmtabletta, egyik oldalán</w:t>
      </w:r>
      <w:r>
        <w:rPr>
          <w:rFonts w:eastAsiaTheme="minorEastAsia"/>
          <w:lang w:val="hu-HU" w:eastAsia="hu-HU"/>
        </w:rPr>
        <w:t xml:space="preserve"> </w:t>
      </w:r>
      <w:r>
        <w:t>„5” jelöléssel.</w:t>
      </w:r>
    </w:p>
    <w:p w:rsidR="008B5166" w:rsidRDefault="00226345">
      <w:pPr>
        <w:autoSpaceDE w:val="0"/>
        <w:autoSpaceDN w:val="0"/>
        <w:adjustRightInd w:val="0"/>
        <w:spacing w:line="240" w:lineRule="auto"/>
        <w:jc w:val="both"/>
        <w:rPr>
          <w:lang w:val="hu-HU"/>
        </w:rPr>
      </w:pPr>
      <w:r>
        <w:rPr>
          <w:lang w:val="hu-HU"/>
        </w:rPr>
        <w:t>Tablettaméret: kb. 9 mm × 6 mm.</w:t>
      </w:r>
    </w:p>
    <w:p w:rsidR="008B5166" w:rsidRDefault="008B5166">
      <w:pPr>
        <w:autoSpaceDE w:val="0"/>
        <w:autoSpaceDN w:val="0"/>
        <w:adjustRightInd w:val="0"/>
        <w:spacing w:line="240" w:lineRule="auto"/>
        <w:jc w:val="both"/>
        <w:rPr>
          <w:lang w:val="hu-HU"/>
        </w:rPr>
      </w:pPr>
    </w:p>
    <w:p w:rsidR="008B5166" w:rsidRDefault="00226345">
      <w:pPr>
        <w:widowControl w:val="0"/>
        <w:spacing w:line="240" w:lineRule="auto"/>
        <w:rPr>
          <w:noProof/>
          <w:u w:val="single"/>
        </w:rPr>
      </w:pPr>
      <w:r>
        <w:rPr>
          <w:u w:val="single"/>
          <w:lang w:val="hu-HU"/>
        </w:rPr>
        <w:t xml:space="preserve">Varesta </w:t>
      </w:r>
      <w:r>
        <w:rPr>
          <w:noProof/>
          <w:u w:val="single"/>
        </w:rPr>
        <w:t>10 mg filmtabletta:</w:t>
      </w:r>
    </w:p>
    <w:p w:rsidR="008B5166" w:rsidRDefault="00226345">
      <w:pPr>
        <w:widowControl w:val="0"/>
        <w:spacing w:line="240" w:lineRule="auto"/>
        <w:rPr>
          <w:lang w:val="hu-HU"/>
        </w:rPr>
      </w:pPr>
      <w:r>
        <w:rPr>
          <w:lang w:val="hu-HU"/>
        </w:rPr>
        <w:t>Halvány barnássárga színű, ovális, mindkét oldalán domború filmtabletta, egyik oldalán „10” jelöléssel</w:t>
      </w:r>
      <w:bookmarkStart w:id="2" w:name="_Hlk158813429"/>
      <w:r>
        <w:rPr>
          <w:lang w:val="hu-HU"/>
        </w:rPr>
        <w:t xml:space="preserve">, másik oldalán bemetszéssel ellátva. </w:t>
      </w:r>
      <w:bookmarkEnd w:id="2"/>
    </w:p>
    <w:p w:rsidR="008B5166" w:rsidRDefault="00226345">
      <w:pPr>
        <w:widowControl w:val="0"/>
        <w:spacing w:line="240" w:lineRule="auto"/>
        <w:rPr>
          <w:lang w:val="hu-HU"/>
        </w:rPr>
      </w:pPr>
      <w:r>
        <w:rPr>
          <w:lang w:val="hu-HU"/>
        </w:rPr>
        <w:t>Tablettaméret: kb. 9 mm × 6 mm.</w:t>
      </w:r>
    </w:p>
    <w:p w:rsidR="008B5166" w:rsidRDefault="00226345">
      <w:pPr>
        <w:widowControl w:val="0"/>
        <w:spacing w:line="240" w:lineRule="auto"/>
        <w:rPr>
          <w:lang w:val="hu-HU"/>
        </w:rPr>
      </w:pPr>
      <w:r>
        <w:rPr>
          <w:lang w:val="hu-HU"/>
        </w:rPr>
        <w:t>A tabletta egyenlő adagokra osztható.</w:t>
      </w:r>
    </w:p>
    <w:p w:rsidR="008B5166" w:rsidRDefault="008B5166">
      <w:pPr>
        <w:widowControl w:val="0"/>
        <w:spacing w:line="240" w:lineRule="auto"/>
        <w:rPr>
          <w:lang w:val="hu-HU"/>
        </w:rPr>
      </w:pPr>
    </w:p>
    <w:p w:rsidR="008B5166" w:rsidRDefault="00226345">
      <w:pPr>
        <w:widowControl w:val="0"/>
        <w:spacing w:line="240" w:lineRule="auto"/>
        <w:rPr>
          <w:noProof/>
          <w:u w:val="single"/>
        </w:rPr>
      </w:pPr>
      <w:r>
        <w:rPr>
          <w:u w:val="single"/>
          <w:lang w:val="hu-HU"/>
        </w:rPr>
        <w:t xml:space="preserve">Varesta </w:t>
      </w:r>
      <w:r>
        <w:rPr>
          <w:noProof/>
          <w:u w:val="single"/>
        </w:rPr>
        <w:t>15 mg filmtabletta:</w:t>
      </w:r>
    </w:p>
    <w:p w:rsidR="008B5166" w:rsidRDefault="00226345">
      <w:pPr>
        <w:widowControl w:val="0"/>
        <w:spacing w:line="240" w:lineRule="auto"/>
        <w:rPr>
          <w:lang w:val="hu-HU"/>
        </w:rPr>
      </w:pPr>
      <w:r>
        <w:rPr>
          <w:lang w:val="hu-HU"/>
        </w:rPr>
        <w:t xml:space="preserve">Halvány barnás narancssárga színű, ovális, mindkét oldalán domború filmtabletta, egyik oldalán </w:t>
      </w:r>
      <w:r>
        <w:t xml:space="preserve">„15” </w:t>
      </w:r>
      <w:bookmarkStart w:id="3" w:name="_Hlk158813533"/>
      <w:r>
        <w:t>jelöléssel, másik oldalán bemetszéssel</w:t>
      </w:r>
      <w:bookmarkEnd w:id="3"/>
      <w:r>
        <w:t xml:space="preserve"> ellátva</w:t>
      </w:r>
      <w:r>
        <w:rPr>
          <w:lang w:val="hu-HU"/>
        </w:rPr>
        <w:t>.</w:t>
      </w:r>
    </w:p>
    <w:p w:rsidR="008B5166" w:rsidRDefault="00226345">
      <w:pPr>
        <w:widowControl w:val="0"/>
        <w:spacing w:line="240" w:lineRule="auto"/>
        <w:rPr>
          <w:lang w:val="hu-HU"/>
        </w:rPr>
      </w:pPr>
      <w:r>
        <w:rPr>
          <w:lang w:val="hu-HU"/>
        </w:rPr>
        <w:t>Tablettaméret: kb. 9 mm × 6 mm.</w:t>
      </w:r>
    </w:p>
    <w:p w:rsidR="008B5166" w:rsidRDefault="00226345">
      <w:pPr>
        <w:widowControl w:val="0"/>
        <w:spacing w:line="240" w:lineRule="auto"/>
        <w:rPr>
          <w:lang w:val="hu-HU"/>
        </w:rPr>
      </w:pPr>
      <w:r>
        <w:rPr>
          <w:lang w:val="hu-HU"/>
        </w:rPr>
        <w:t>A tabletta egyenlő adagokra osztható.</w:t>
      </w:r>
    </w:p>
    <w:p w:rsidR="008B5166" w:rsidRDefault="008B5166">
      <w:pPr>
        <w:widowControl w:val="0"/>
        <w:spacing w:line="240" w:lineRule="auto"/>
        <w:rPr>
          <w:lang w:val="hu-HU"/>
        </w:rPr>
      </w:pPr>
    </w:p>
    <w:p w:rsidR="008B5166" w:rsidRDefault="00226345">
      <w:pPr>
        <w:widowControl w:val="0"/>
        <w:spacing w:line="240" w:lineRule="auto"/>
        <w:rPr>
          <w:noProof/>
          <w:u w:val="single"/>
        </w:rPr>
      </w:pPr>
      <w:r>
        <w:rPr>
          <w:u w:val="single"/>
          <w:lang w:val="hu-HU"/>
        </w:rPr>
        <w:t xml:space="preserve">Varesta </w:t>
      </w:r>
      <w:r>
        <w:rPr>
          <w:noProof/>
          <w:u w:val="single"/>
        </w:rPr>
        <w:t>20 mg filmtabletta:</w:t>
      </w:r>
    </w:p>
    <w:p w:rsidR="008B5166" w:rsidRDefault="00226345">
      <w:pPr>
        <w:spacing w:line="240" w:lineRule="auto"/>
        <w:rPr>
          <w:lang w:val="hu-HU"/>
        </w:rPr>
      </w:pPr>
      <w:r>
        <w:rPr>
          <w:lang w:val="hu-HU"/>
        </w:rPr>
        <w:t xml:space="preserve">Barnás piros színű, ovális, mindkét oldalán domború filmtabletta, egyik oldalán </w:t>
      </w:r>
      <w:r>
        <w:t xml:space="preserve">„20” </w:t>
      </w:r>
      <w:bookmarkStart w:id="4" w:name="_Hlk158813622"/>
      <w:r>
        <w:t>jelöléssel, másik oldalán bemetszéssel ellátva</w:t>
      </w:r>
      <w:r>
        <w:rPr>
          <w:lang w:val="hu-HU"/>
        </w:rPr>
        <w:t>.</w:t>
      </w:r>
    </w:p>
    <w:bookmarkEnd w:id="4"/>
    <w:p w:rsidR="008B5166" w:rsidRDefault="00226345">
      <w:pPr>
        <w:spacing w:line="240" w:lineRule="auto"/>
        <w:rPr>
          <w:lang w:val="hu-HU"/>
        </w:rPr>
      </w:pPr>
      <w:r>
        <w:rPr>
          <w:lang w:val="hu-HU"/>
        </w:rPr>
        <w:t>Tablettaméret: kb. 9 mm × 6 mm.</w:t>
      </w:r>
    </w:p>
    <w:p w:rsidR="008B5166" w:rsidRDefault="00226345">
      <w:pPr>
        <w:widowControl w:val="0"/>
        <w:spacing w:line="240" w:lineRule="auto"/>
        <w:rPr>
          <w:lang w:val="hu-HU"/>
        </w:rPr>
      </w:pPr>
      <w:r>
        <w:rPr>
          <w:lang w:val="hu-HU"/>
        </w:rPr>
        <w:t>A tabletta egyenlő adagokra osztható.</w:t>
      </w:r>
    </w:p>
    <w:p w:rsidR="008B5166" w:rsidRDefault="008B5166">
      <w:pPr>
        <w:autoSpaceDE w:val="0"/>
        <w:autoSpaceDN w:val="0"/>
        <w:adjustRightInd w:val="0"/>
        <w:spacing w:line="240" w:lineRule="auto"/>
        <w:jc w:val="both"/>
        <w:rPr>
          <w:lang w:val="hu-HU"/>
        </w:rPr>
      </w:pP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4.</w:t>
      </w:r>
      <w:r>
        <w:rPr>
          <w:b/>
          <w:bCs/>
          <w:lang w:val="hu-HU"/>
        </w:rPr>
        <w:tab/>
        <w:t>KLINIKAI JELLEMZŐK</w:t>
      </w: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lastRenderedPageBreak/>
        <w:t>4.1</w:t>
      </w:r>
      <w:r>
        <w:rPr>
          <w:b/>
          <w:bCs/>
          <w:lang w:val="hu-HU"/>
        </w:rPr>
        <w:tab/>
        <w:t>Terápiás javallatok</w:t>
      </w:r>
    </w:p>
    <w:p w:rsidR="008B5166" w:rsidRDefault="008B5166">
      <w:pPr>
        <w:spacing w:line="240" w:lineRule="auto"/>
        <w:ind w:left="567" w:hanging="567"/>
        <w:outlineLvl w:val="0"/>
        <w:rPr>
          <w:b/>
          <w:bCs/>
          <w:lang w:val="hu-HU"/>
        </w:rPr>
      </w:pPr>
    </w:p>
    <w:p w:rsidR="008B5166" w:rsidRDefault="00226345">
      <w:pPr>
        <w:spacing w:line="240" w:lineRule="auto"/>
        <w:rPr>
          <w:lang w:val="hu-HU"/>
        </w:rPr>
      </w:pPr>
      <w:r>
        <w:rPr>
          <w:lang w:val="hu-HU"/>
        </w:rPr>
        <w:t>A Varesta felnőttek major depressziós epizódjainak kezelésére javallott.</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4.2</w:t>
      </w:r>
      <w:r>
        <w:rPr>
          <w:b/>
          <w:bCs/>
          <w:lang w:val="hu-HU"/>
        </w:rPr>
        <w:tab/>
        <w:t>Adagolás és alkalmazás</w:t>
      </w:r>
    </w:p>
    <w:p w:rsidR="008B5166" w:rsidRDefault="008B5166">
      <w:pPr>
        <w:spacing w:line="240" w:lineRule="auto"/>
        <w:ind w:left="567" w:hanging="567"/>
        <w:outlineLvl w:val="0"/>
        <w:rPr>
          <w:b/>
          <w:bCs/>
          <w:lang w:val="hu-HU"/>
        </w:rPr>
      </w:pPr>
    </w:p>
    <w:p w:rsidR="008B5166" w:rsidRDefault="00226345">
      <w:pPr>
        <w:spacing w:line="240" w:lineRule="auto"/>
        <w:rPr>
          <w:u w:val="single"/>
          <w:lang w:val="hu-HU"/>
        </w:rPr>
      </w:pPr>
      <w:r>
        <w:rPr>
          <w:u w:val="single"/>
          <w:lang w:val="hu-HU"/>
        </w:rPr>
        <w:t>Adagolás</w:t>
      </w:r>
    </w:p>
    <w:p w:rsidR="008B5166" w:rsidRDefault="008B5166">
      <w:pPr>
        <w:autoSpaceDE w:val="0"/>
        <w:autoSpaceDN w:val="0"/>
        <w:adjustRightInd w:val="0"/>
        <w:spacing w:line="240" w:lineRule="auto"/>
        <w:jc w:val="both"/>
        <w:rPr>
          <w:lang w:val="hu-HU"/>
        </w:rPr>
      </w:pPr>
    </w:p>
    <w:p w:rsidR="008B5166" w:rsidRDefault="00226345">
      <w:pPr>
        <w:spacing w:line="240" w:lineRule="auto"/>
        <w:rPr>
          <w:lang w:val="hu-HU"/>
        </w:rPr>
      </w:pPr>
      <w:r>
        <w:rPr>
          <w:lang w:val="hu-HU"/>
        </w:rPr>
        <w:t>A Varesta kezdő és ajánlott dózisa 65</w:t>
      </w:r>
      <w:r>
        <w:t> </w:t>
      </w:r>
      <w:r>
        <w:rPr>
          <w:lang w:val="hu-HU"/>
        </w:rPr>
        <w:t>évesnél fiatalabb felnőttek esetében napi egyszer 10</w:t>
      </w:r>
      <w:r>
        <w:t> </w:t>
      </w:r>
      <w:r>
        <w:rPr>
          <w:lang w:val="hu-HU"/>
        </w:rPr>
        <w:t>mg vortioxetin.</w:t>
      </w:r>
    </w:p>
    <w:p w:rsidR="008B5166" w:rsidRDefault="008B5166">
      <w:pPr>
        <w:spacing w:line="240" w:lineRule="auto"/>
        <w:rPr>
          <w:lang w:val="hu-HU"/>
        </w:rPr>
      </w:pPr>
    </w:p>
    <w:p w:rsidR="008B5166" w:rsidRDefault="00226345">
      <w:pPr>
        <w:spacing w:line="240" w:lineRule="auto"/>
        <w:rPr>
          <w:lang w:val="hu-HU"/>
        </w:rPr>
      </w:pPr>
      <w:r>
        <w:rPr>
          <w:lang w:val="hu-HU"/>
        </w:rPr>
        <w:t>A beteg egyéni terápiás válaszától függően a dózis legfeljebb napi egyszeri 20</w:t>
      </w:r>
      <w:r>
        <w:t> </w:t>
      </w:r>
      <w:r>
        <w:rPr>
          <w:lang w:val="hu-HU"/>
        </w:rPr>
        <w:t>mg vortioxetinre növelhető, vagy minimum napi egyszeri 5</w:t>
      </w:r>
      <w:r>
        <w:t> </w:t>
      </w:r>
      <w:r>
        <w:rPr>
          <w:lang w:val="hu-HU"/>
        </w:rPr>
        <w:t>mg vortioxetinre csökkenthető.</w:t>
      </w:r>
    </w:p>
    <w:p w:rsidR="008B5166" w:rsidRDefault="008B5166">
      <w:pPr>
        <w:spacing w:line="240" w:lineRule="auto"/>
        <w:rPr>
          <w:lang w:val="hu-HU"/>
        </w:rPr>
      </w:pPr>
    </w:p>
    <w:p w:rsidR="008B5166" w:rsidRDefault="00226345">
      <w:pPr>
        <w:spacing w:line="240" w:lineRule="auto"/>
        <w:rPr>
          <w:lang w:val="hu-HU"/>
        </w:rPr>
      </w:pPr>
      <w:r>
        <w:rPr>
          <w:lang w:val="hu-HU"/>
        </w:rPr>
        <w:t>A depresszív tünetek megszűnése után az antidepresszív válasz stabilizálásához legalább 6</w:t>
      </w:r>
      <w:r>
        <w:t> </w:t>
      </w:r>
      <w:r>
        <w:rPr>
          <w:lang w:val="hu-HU"/>
        </w:rPr>
        <w:t>hónapos kezelés javasolt.</w:t>
      </w:r>
    </w:p>
    <w:p w:rsidR="008B5166" w:rsidRDefault="008B5166">
      <w:pPr>
        <w:spacing w:line="240" w:lineRule="auto"/>
        <w:rPr>
          <w:u w:val="single"/>
          <w:lang w:val="hu-HU"/>
        </w:rPr>
      </w:pPr>
    </w:p>
    <w:p w:rsidR="008B5166" w:rsidRDefault="00226345">
      <w:pPr>
        <w:spacing w:line="240" w:lineRule="auto"/>
        <w:rPr>
          <w:lang w:val="hu-HU"/>
        </w:rPr>
      </w:pPr>
      <w:r>
        <w:rPr>
          <w:u w:val="single"/>
          <w:lang w:val="hu-HU"/>
        </w:rPr>
        <w:t>A kezelés megszakítása</w:t>
      </w:r>
    </w:p>
    <w:p w:rsidR="008B5166" w:rsidRDefault="008B5166">
      <w:pPr>
        <w:spacing w:line="240" w:lineRule="auto"/>
        <w:rPr>
          <w:lang w:val="hu-HU"/>
        </w:rPr>
      </w:pPr>
    </w:p>
    <w:p w:rsidR="008B5166" w:rsidRDefault="00226345">
      <w:pPr>
        <w:spacing w:line="240" w:lineRule="auto"/>
        <w:rPr>
          <w:lang w:val="hu-HU"/>
        </w:rPr>
      </w:pPr>
      <w:r>
        <w:rPr>
          <w:lang w:val="hu-HU"/>
        </w:rPr>
        <w:t>A kezelés megszakításával összefüggő tünetek elkerülése érdekében a dózis fokozatos csökkentése mérlegelendő (lásd 4.8 pont). Azonban nem áll rendelkezésre elegendő adat ahhoz, hogy a vortioxetin-kezelésben részesülő betegek esetében specifikus ajánlásokat lehessen tenni az adagolás fokozatos csökkentésére vonatkozóan.</w:t>
      </w:r>
    </w:p>
    <w:p w:rsidR="008B5166" w:rsidRDefault="008B5166">
      <w:pPr>
        <w:spacing w:line="240" w:lineRule="auto"/>
        <w:rPr>
          <w:lang w:val="hu-HU"/>
        </w:rPr>
      </w:pPr>
    </w:p>
    <w:p w:rsidR="008B5166" w:rsidRDefault="00226345">
      <w:pPr>
        <w:spacing w:line="240" w:lineRule="auto"/>
        <w:rPr>
          <w:iCs/>
          <w:noProof/>
          <w:u w:val="single"/>
          <w:lang w:eastAsia="hu-HU"/>
        </w:rPr>
      </w:pPr>
      <w:r>
        <w:rPr>
          <w:iCs/>
          <w:noProof/>
          <w:u w:val="single"/>
        </w:rPr>
        <w:t>Különleges betegcsoportok</w:t>
      </w:r>
    </w:p>
    <w:p w:rsidR="008B5166" w:rsidRDefault="008B5166">
      <w:pPr>
        <w:spacing w:line="240" w:lineRule="auto"/>
        <w:rPr>
          <w:lang w:val="hu-HU"/>
        </w:rPr>
      </w:pPr>
    </w:p>
    <w:p w:rsidR="008B5166" w:rsidRDefault="00226345">
      <w:pPr>
        <w:tabs>
          <w:tab w:val="left" w:pos="-720"/>
          <w:tab w:val="left" w:pos="0"/>
        </w:tabs>
        <w:jc w:val="both"/>
        <w:rPr>
          <w:i/>
          <w:iCs/>
          <w:u w:val="single"/>
          <w:lang w:val="hu-HU"/>
        </w:rPr>
      </w:pPr>
      <w:r>
        <w:rPr>
          <w:i/>
          <w:iCs/>
          <w:u w:val="single"/>
          <w:lang w:val="hu-HU"/>
        </w:rPr>
        <w:t>Idősek</w:t>
      </w:r>
    </w:p>
    <w:p w:rsidR="008B5166" w:rsidRDefault="00226345">
      <w:pPr>
        <w:tabs>
          <w:tab w:val="left" w:pos="-720"/>
          <w:tab w:val="left" w:pos="0"/>
        </w:tabs>
        <w:rPr>
          <w:iCs/>
          <w:lang w:val="hu-HU"/>
        </w:rPr>
      </w:pPr>
      <w:r>
        <w:rPr>
          <w:iCs/>
          <w:lang w:val="hu-HU"/>
        </w:rPr>
        <w:t>A 65</w:t>
      </w:r>
      <w:r>
        <w:t> </w:t>
      </w:r>
      <w:r>
        <w:rPr>
          <w:iCs/>
          <w:lang w:val="hu-HU"/>
        </w:rPr>
        <w:t>éves vagy annál idősebb betegek esetében kezdő dózisként mindig a legalacsonyabb hatékony adagot, napi egyszeri 5</w:t>
      </w:r>
      <w:r>
        <w:t> </w:t>
      </w:r>
      <w:r>
        <w:rPr>
          <w:iCs/>
          <w:lang w:val="hu-HU"/>
        </w:rPr>
        <w:t>mg vortioxetint kell alkalmazni. Óvatosság javasolt, ha 65</w:t>
      </w:r>
      <w:r>
        <w:t> </w:t>
      </w:r>
      <w:r>
        <w:rPr>
          <w:iCs/>
          <w:lang w:val="hu-HU"/>
        </w:rPr>
        <w:t>éves vagy annál idősebb betegeket vortioxetin napi egyszeri 10</w:t>
      </w:r>
      <w:r>
        <w:t> </w:t>
      </w:r>
      <w:r>
        <w:rPr>
          <w:iCs/>
          <w:lang w:val="hu-HU"/>
        </w:rPr>
        <w:t>mg-ot meghaladó adagjával kezelnek, mivel az erre vonatkozó adatok korlátozottak (lásd 4.4 pont).</w:t>
      </w:r>
    </w:p>
    <w:p w:rsidR="008B5166" w:rsidRDefault="008B5166">
      <w:pPr>
        <w:tabs>
          <w:tab w:val="left" w:pos="-720"/>
          <w:tab w:val="left" w:pos="0"/>
        </w:tabs>
        <w:jc w:val="both"/>
        <w:rPr>
          <w:iCs/>
          <w:u w:val="single"/>
          <w:lang w:val="hu-HU"/>
        </w:rPr>
      </w:pPr>
    </w:p>
    <w:p w:rsidR="008B5166" w:rsidRDefault="00226345">
      <w:pPr>
        <w:tabs>
          <w:tab w:val="left" w:pos="-720"/>
          <w:tab w:val="left" w:pos="0"/>
        </w:tabs>
        <w:jc w:val="both"/>
        <w:rPr>
          <w:i/>
          <w:iCs/>
          <w:u w:val="single"/>
          <w:lang w:val="hu-HU"/>
        </w:rPr>
      </w:pPr>
      <w:r>
        <w:rPr>
          <w:i/>
          <w:iCs/>
          <w:u w:val="single"/>
          <w:lang w:val="hu-HU"/>
        </w:rPr>
        <w:t>Citokróm P450-inhibitorok</w:t>
      </w:r>
    </w:p>
    <w:p w:rsidR="008B5166" w:rsidRDefault="00226345">
      <w:pPr>
        <w:tabs>
          <w:tab w:val="left" w:pos="-720"/>
          <w:tab w:val="left" w:pos="0"/>
        </w:tabs>
        <w:jc w:val="both"/>
        <w:rPr>
          <w:iCs/>
          <w:lang w:val="hu-HU"/>
        </w:rPr>
      </w:pPr>
      <w:r>
        <w:rPr>
          <w:iCs/>
          <w:lang w:val="hu-HU"/>
        </w:rPr>
        <w:t>A beteg egyéni terápiás válaszától függően alacsonyabb vortioxetin-adag alkalmazása megfontolandó, ha a beteg a vortioxetin-kezelés mellett egy erős CYP2D6-inhibitort (pl. bupropion, kinidin, fluoxetin, paroxetin) kap (lásd 4.5 pont).</w:t>
      </w:r>
    </w:p>
    <w:p w:rsidR="008B5166" w:rsidRDefault="008B5166">
      <w:pPr>
        <w:tabs>
          <w:tab w:val="left" w:pos="-720"/>
          <w:tab w:val="left" w:pos="0"/>
        </w:tabs>
        <w:jc w:val="both"/>
        <w:rPr>
          <w:iCs/>
          <w:u w:val="single"/>
          <w:lang w:val="hu-HU"/>
        </w:rPr>
      </w:pPr>
    </w:p>
    <w:p w:rsidR="008B5166" w:rsidRDefault="00226345">
      <w:pPr>
        <w:tabs>
          <w:tab w:val="left" w:pos="-720"/>
          <w:tab w:val="left" w:pos="0"/>
        </w:tabs>
        <w:jc w:val="both"/>
        <w:rPr>
          <w:i/>
          <w:iCs/>
          <w:u w:val="single"/>
          <w:lang w:val="hu-HU"/>
        </w:rPr>
      </w:pPr>
      <w:r>
        <w:rPr>
          <w:i/>
          <w:iCs/>
          <w:u w:val="single"/>
          <w:lang w:val="hu-HU"/>
        </w:rPr>
        <w:t>Citokróm P450-induktorok</w:t>
      </w:r>
    </w:p>
    <w:p w:rsidR="008B5166" w:rsidRDefault="00226345">
      <w:pPr>
        <w:tabs>
          <w:tab w:val="left" w:pos="-720"/>
          <w:tab w:val="left" w:pos="0"/>
        </w:tabs>
        <w:rPr>
          <w:iCs/>
          <w:lang w:val="hu-HU"/>
        </w:rPr>
      </w:pPr>
      <w:r>
        <w:rPr>
          <w:iCs/>
          <w:lang w:val="hu-HU"/>
        </w:rPr>
        <w:t>A beteg egyéni terápiás válaszától függően a vortioxetin dózisának módosítása megfontolandó, ha a beteg a vortioxetin-kezelés mellett erős P450-induktort (pl. rifampicin, karbamazepin, fenitoin) kap (lásd 4.5 pont).</w:t>
      </w:r>
    </w:p>
    <w:p w:rsidR="008B5166" w:rsidRDefault="008B5166">
      <w:pPr>
        <w:tabs>
          <w:tab w:val="left" w:pos="-720"/>
          <w:tab w:val="left" w:pos="0"/>
        </w:tabs>
        <w:jc w:val="both"/>
        <w:rPr>
          <w:i/>
          <w:iCs/>
          <w:u w:val="single"/>
          <w:lang w:val="hu-HU"/>
        </w:rPr>
      </w:pPr>
    </w:p>
    <w:p w:rsidR="008B5166" w:rsidRDefault="00226345">
      <w:pPr>
        <w:tabs>
          <w:tab w:val="left" w:pos="-720"/>
          <w:tab w:val="left" w:pos="0"/>
        </w:tabs>
        <w:jc w:val="both"/>
        <w:rPr>
          <w:i/>
          <w:iCs/>
          <w:u w:val="single"/>
          <w:lang w:val="hu-HU"/>
        </w:rPr>
      </w:pPr>
      <w:r>
        <w:rPr>
          <w:i/>
          <w:iCs/>
          <w:u w:val="single"/>
          <w:lang w:val="hu-HU"/>
        </w:rPr>
        <w:t>Gyermekek és serdülők</w:t>
      </w:r>
    </w:p>
    <w:p w:rsidR="008B5166" w:rsidRDefault="00226345">
      <w:pPr>
        <w:tabs>
          <w:tab w:val="left" w:pos="-720"/>
          <w:tab w:val="left" w:pos="0"/>
        </w:tabs>
        <w:rPr>
          <w:iCs/>
          <w:lang w:val="hu-HU"/>
        </w:rPr>
      </w:pPr>
      <w:r>
        <w:rPr>
          <w:iCs/>
          <w:lang w:val="hu-HU"/>
        </w:rPr>
        <w:t>Mivel a hatásosságát nem igazolták, ezért a vortioxetin nem alkalmazható major depresszióban (MDD) szenvedő (18</w:t>
      </w:r>
      <w:r>
        <w:t> </w:t>
      </w:r>
      <w:r>
        <w:rPr>
          <w:iCs/>
          <w:lang w:val="hu-HU"/>
        </w:rPr>
        <w:t>éves kor alatti) gyermekek és serdülők esetében (lásd 5.1 pont). A vortioxetin gyermekeknél és serdülőknél való alkalmazásának biztonságosságáról szóló információkat lásd a 4.4, 4.8 és 5.1 pontokban.</w:t>
      </w:r>
    </w:p>
    <w:p w:rsidR="008B5166" w:rsidRDefault="008B5166">
      <w:pPr>
        <w:tabs>
          <w:tab w:val="left" w:pos="-720"/>
          <w:tab w:val="left" w:pos="0"/>
        </w:tabs>
        <w:jc w:val="both"/>
        <w:rPr>
          <w:iCs/>
          <w:u w:val="single"/>
        </w:rPr>
      </w:pPr>
    </w:p>
    <w:p w:rsidR="008B5166" w:rsidRDefault="00226345">
      <w:pPr>
        <w:tabs>
          <w:tab w:val="left" w:pos="-720"/>
          <w:tab w:val="left" w:pos="0"/>
        </w:tabs>
        <w:jc w:val="both"/>
        <w:rPr>
          <w:i/>
          <w:u w:val="single"/>
          <w:lang w:eastAsia="hu-HU"/>
        </w:rPr>
      </w:pPr>
      <w:r>
        <w:rPr>
          <w:i/>
          <w:u w:val="single"/>
        </w:rPr>
        <w:t>Vese- vagy májkárosodás</w:t>
      </w:r>
    </w:p>
    <w:p w:rsidR="008B5166" w:rsidRDefault="00226345">
      <w:pPr>
        <w:spacing w:line="240" w:lineRule="auto"/>
        <w:rPr>
          <w:lang w:val="hu-HU"/>
        </w:rPr>
      </w:pPr>
      <w:r>
        <w:t>A vese- vagy májfunkciók alapján a dózis módosítása nem szükséges (lásd 4.4 és 5.2 pont).</w:t>
      </w:r>
    </w:p>
    <w:p w:rsidR="008B5166" w:rsidRDefault="008B5166">
      <w:pPr>
        <w:spacing w:line="240" w:lineRule="auto"/>
        <w:rPr>
          <w:u w:val="single"/>
          <w:lang w:val="hu-HU"/>
        </w:rPr>
      </w:pPr>
    </w:p>
    <w:p w:rsidR="008B5166" w:rsidRDefault="00226345">
      <w:pPr>
        <w:spacing w:line="240" w:lineRule="auto"/>
        <w:rPr>
          <w:u w:val="single"/>
          <w:lang w:val="hu-HU"/>
        </w:rPr>
      </w:pPr>
      <w:r>
        <w:rPr>
          <w:u w:val="single"/>
          <w:lang w:val="hu-HU"/>
        </w:rPr>
        <w:t>Az alkalmazás módja</w:t>
      </w:r>
    </w:p>
    <w:p w:rsidR="008B5166" w:rsidRDefault="00226345">
      <w:pPr>
        <w:spacing w:line="240" w:lineRule="auto"/>
        <w:rPr>
          <w:lang w:val="hu-HU"/>
        </w:rPr>
      </w:pPr>
      <w:r>
        <w:rPr>
          <w:lang w:val="hu-HU"/>
        </w:rPr>
        <w:t>A Varesta filmtabletta szájon át alkalmazandó.</w:t>
      </w:r>
    </w:p>
    <w:p w:rsidR="008B5166" w:rsidRDefault="00226345">
      <w:pPr>
        <w:spacing w:line="240" w:lineRule="auto"/>
        <w:rPr>
          <w:lang w:val="hu-HU"/>
        </w:rPr>
      </w:pPr>
      <w:r>
        <w:rPr>
          <w:lang w:val="hu-HU"/>
        </w:rPr>
        <w:t>A filmtablettákat étkezés közben vagy attól függetlenül is be lehet venni.</w:t>
      </w: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t>4.3</w:t>
      </w:r>
      <w:r>
        <w:rPr>
          <w:b/>
          <w:bCs/>
          <w:lang w:val="hu-HU"/>
        </w:rPr>
        <w:tab/>
        <w:t>Ellenjavallatok</w:t>
      </w:r>
    </w:p>
    <w:p w:rsidR="008B5166" w:rsidRDefault="008B5166">
      <w:pPr>
        <w:spacing w:line="240" w:lineRule="auto"/>
        <w:ind w:left="567" w:hanging="567"/>
        <w:outlineLvl w:val="0"/>
        <w:rPr>
          <w:b/>
          <w:bCs/>
          <w:lang w:val="hu-HU"/>
        </w:rPr>
      </w:pPr>
    </w:p>
    <w:p w:rsidR="008B5166" w:rsidRDefault="00226345">
      <w:pPr>
        <w:tabs>
          <w:tab w:val="clear" w:pos="567"/>
        </w:tabs>
        <w:autoSpaceDE w:val="0"/>
        <w:autoSpaceDN w:val="0"/>
        <w:adjustRightInd w:val="0"/>
        <w:spacing w:line="240" w:lineRule="auto"/>
        <w:contextualSpacing/>
        <w:rPr>
          <w:rFonts w:eastAsia="Calibri"/>
        </w:rPr>
      </w:pPr>
      <w:r>
        <w:rPr>
          <w:rFonts w:eastAsia="Calibri"/>
        </w:rPr>
        <w:t>A készítmény hatóanyagával vagy a 6.1 pontban felsorolt bármely segédanyagával szembeni túlérzékenység.</w:t>
      </w:r>
    </w:p>
    <w:p w:rsidR="008B5166" w:rsidRDefault="008B5166">
      <w:pPr>
        <w:tabs>
          <w:tab w:val="clear" w:pos="567"/>
        </w:tabs>
        <w:autoSpaceDE w:val="0"/>
        <w:autoSpaceDN w:val="0"/>
        <w:adjustRightInd w:val="0"/>
        <w:spacing w:line="240" w:lineRule="auto"/>
        <w:contextualSpacing/>
        <w:rPr>
          <w:rFonts w:eastAsia="Calibri"/>
          <w:lang w:val="hu-HU"/>
        </w:rPr>
      </w:pPr>
    </w:p>
    <w:p w:rsidR="008B5166" w:rsidRDefault="00226345">
      <w:pPr>
        <w:tabs>
          <w:tab w:val="clear" w:pos="567"/>
        </w:tabs>
        <w:autoSpaceDE w:val="0"/>
        <w:autoSpaceDN w:val="0"/>
        <w:adjustRightInd w:val="0"/>
        <w:spacing w:line="240" w:lineRule="auto"/>
        <w:contextualSpacing/>
        <w:rPr>
          <w:rFonts w:eastAsia="Calibri"/>
          <w:lang w:val="hu-HU"/>
        </w:rPr>
      </w:pPr>
      <w:r>
        <w:rPr>
          <w:rFonts w:eastAsia="Calibri"/>
          <w:lang w:val="hu-HU"/>
        </w:rPr>
        <w:t>Nem szelektív monoaminoxidáz-inhibitorokkal (MAOI-k) vagy szelektív MAO-A-inhibitorokkal való egyidejű alkalmazás (lásd 4.5 pont).</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rsidR="008B5166" w:rsidRDefault="008B5166">
      <w:pPr>
        <w:spacing w:line="240" w:lineRule="auto"/>
        <w:rPr>
          <w:lang w:val="hu-HU"/>
        </w:rPr>
      </w:pPr>
    </w:p>
    <w:p w:rsidR="008B5166" w:rsidRDefault="00226345">
      <w:pPr>
        <w:spacing w:line="240" w:lineRule="auto"/>
        <w:rPr>
          <w:noProof/>
          <w:u w:val="single"/>
          <w:lang w:val="hu-HU"/>
        </w:rPr>
      </w:pPr>
      <w:r>
        <w:rPr>
          <w:noProof/>
          <w:u w:val="single"/>
          <w:lang w:val="hu-HU"/>
        </w:rPr>
        <w:t>Gyermekek és serdülők</w:t>
      </w:r>
    </w:p>
    <w:p w:rsidR="008B5166" w:rsidRDefault="00226345">
      <w:pPr>
        <w:spacing w:line="240" w:lineRule="auto"/>
        <w:rPr>
          <w:noProof/>
          <w:lang w:val="hu-HU"/>
        </w:rPr>
      </w:pPr>
      <w:r>
        <w:rPr>
          <w:noProof/>
          <w:lang w:val="hu-HU"/>
        </w:rPr>
        <w:t>Mivel a hatásosságot nem igazolták, ezért a vortioxetin nem alkalmazható MDD-ben szenvedő, 7–17 éves gyermekek és serdülők esetén (lásd 5.1 pont). Általánosságban véve a vortioxetin</w:t>
      </w:r>
      <w:r>
        <w:rPr>
          <w:rFonts w:eastAsiaTheme="minorEastAsia"/>
          <w:lang w:val="hu-HU" w:eastAsia="hu-HU"/>
        </w:rPr>
        <w:t xml:space="preserve"> </w:t>
      </w:r>
      <w:r>
        <w:rPr>
          <w:noProof/>
        </w:rPr>
        <w:t>mellékhatásprofilja gyermekek és serdülők esetén hasonló volt a felnőttekéhez, eltekintve attól, hogy a</w:t>
      </w:r>
      <w:r>
        <w:rPr>
          <w:noProof/>
          <w:lang w:val="hu-HU"/>
        </w:rPr>
        <w:t xml:space="preserve"> felnőttekhez képest nagyobb gyakorisággal fordultak elő hasi fájdalommal kapcsolatos események és – kifejezetten serdülőknél – öngyilkossági gondolatok (lásd 4.8 és 5.1 pont). Antidepresszánsokkal folytatott klinikai vizsgálatokban gyermekek és serdülők esetében gyakrabban figyeltek meg szuicid viselkedést (öngyilkossági kísérletet és szuicid gondolatokat), illetve ellenséges magatartást (főként agressziót, ellenkezést és dühreakciót), mint a placebocsoportban.</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Öngyilkosság /öngyilkossági gondolatok vagy a klinikai állapot romlása</w:t>
      </w:r>
    </w:p>
    <w:p w:rsidR="008B5166" w:rsidRDefault="00226345">
      <w:pPr>
        <w:spacing w:line="240" w:lineRule="auto"/>
        <w:rPr>
          <w:noProof/>
          <w:lang w:val="hu-HU"/>
        </w:rPr>
      </w:pPr>
      <w:r>
        <w:rPr>
          <w:noProof/>
          <w:lang w:val="hu-HU"/>
        </w:rPr>
        <w:t>Depresszió esetén fokozott az öngyilkossági gondolatok, az önkárosító magatartás és az öngyilkosság (öngyilkossággal kapcsolatos események) megjelenésének kockázata. A kockázat mindaddig fennáll, amíg jelentős remisszió nem következik be. Mivel előfordulhat, hogy a kezelés első néhány hete alatt, vagy még később sem történik javulás, a betegeket állapotuk javulásáig szoros ellenőrzés alatt kell tartani. Általános klinikai tapasztalat, hogy az öngyilkosság veszélye a gyógyulás korai szakaszában fokozódhat.</w:t>
      </w:r>
    </w:p>
    <w:p w:rsidR="008B5166" w:rsidRDefault="00226345">
      <w:pPr>
        <w:spacing w:line="240" w:lineRule="auto"/>
        <w:rPr>
          <w:noProof/>
          <w:lang w:val="hu-HU"/>
        </w:rPr>
      </w:pPr>
      <w:r>
        <w:rPr>
          <w:noProof/>
          <w:lang w:val="hu-HU"/>
        </w:rPr>
        <w:t>Azok a betegek, akiknek anamnézisében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antidepresszánsokat vizsgáló, placebokontrollos klinikai vizsgálatok metaanalízise kimutatta, hogy a 25 évnél fiatalabb betegeknél az öngyilkos magatartás kockázata az antidepresszánst szedőknél fokozottabb, mint a placebót szedőknél.</w:t>
      </w:r>
    </w:p>
    <w:p w:rsidR="008B5166" w:rsidRDefault="00226345">
      <w:pPr>
        <w:spacing w:line="240" w:lineRule="auto"/>
        <w:rPr>
          <w:noProof/>
          <w:lang w:val="hu-HU"/>
        </w:rPr>
      </w:pPr>
      <w:r>
        <w:rPr>
          <w:noProof/>
          <w:lang w:val="hu-HU"/>
        </w:rPr>
        <w:t>A betegeket, különösen a magas kockázati csoportba tartozókat a gyógyszeres kezelés során gondos felügyelet alatt kell tartani, főként a terápia kezdetén, és a dózismódosításokat követően. A betegeket (és gondviselőiket) figyelmeztetni kell arra, hogy figyeljék a klinikai állapot romlása, az öngyilkos magatartás vagy öngyilkossági gondolatok, vagy szokatlan magatartásbeli változások bármilyen megjelenését, és ha a felsorolt tünetek valamelyikét észlelik, sürgősen forduljanak orvoshoz.</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Görcsrohamok</w:t>
      </w:r>
    </w:p>
    <w:p w:rsidR="008B5166" w:rsidRDefault="00226345">
      <w:pPr>
        <w:spacing w:line="240" w:lineRule="auto"/>
        <w:rPr>
          <w:noProof/>
          <w:lang w:val="hu-HU"/>
        </w:rPr>
      </w:pPr>
      <w:r>
        <w:rPr>
          <w:noProof/>
          <w:lang w:val="hu-HU"/>
        </w:rPr>
        <w:t>Az antidepresszánsok szedésekor fennáll a görcsrohamok jelentkezésének kockázata. Ezért a vortioxetin-kezelés megkezdésekor óvatosan kell eljárni, amennyiben a beteg anamnézisében görcsrohamok fordultak elő, illetve ha a beteg instabil epilepsziában szenved (lásd 4.5 pont). A kezelést meg kell szakítani, ha a betegnél görcsrohamok lépnek fel, vagy a görcsrohamok gyakoribbá válnak.</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Szerotonin-szindróma (SS) és neuroleptikus malignus szindróma (NMS)</w:t>
      </w:r>
    </w:p>
    <w:p w:rsidR="008B5166" w:rsidRDefault="00226345">
      <w:pPr>
        <w:spacing w:line="240" w:lineRule="auto"/>
        <w:rPr>
          <w:noProof/>
          <w:lang w:val="hu-HU"/>
        </w:rPr>
      </w:pPr>
      <w:r>
        <w:rPr>
          <w:noProof/>
          <w:lang w:val="hu-HU"/>
        </w:rPr>
        <w:t>A vortioxetin alkalmazásakor szerotonin-szindróma (SS) vagy neuroleptikus malignus szindróma (NMS), két potenciálisan életveszélyes állapot alakulhat ki. Az SS és az NMS kockázata szerotonerg hatóanyagok (így az opioidok és a triptánok), a szerotonin lebomlását gátló gyógyszerek (így a MAO-gátlók), antipszichotikumok és más dopamin-antagonisták egyidejű alkalmazása esetén megnő. A betegeknél figyelni kell az SS vagy az NMS okozta jelek és tünetek jelentkezését (lásd 4.3 és 4.5 pontok).</w:t>
      </w:r>
    </w:p>
    <w:p w:rsidR="008B5166" w:rsidRDefault="00226345">
      <w:pPr>
        <w:spacing w:line="240" w:lineRule="auto"/>
        <w:rPr>
          <w:noProof/>
          <w:lang w:val="hu-HU"/>
        </w:rPr>
      </w:pPr>
      <w:r>
        <w:rPr>
          <w:noProof/>
          <w:lang w:val="hu-HU"/>
        </w:rPr>
        <w:t>A szerotonin-szindróma tünetei közé tartoznak a pszichés állapot változásai (pl. agitáció, hallucinációk, kóma), a vegetatív idegrendszeri instabilitás (pl. tachycardia, labilis vérnyomás, hyperthermia), a neuromuszkuláris eltérések (pl. hyperreflexia, koordinációs zavar) és/vagy az emésztőrendszeri tünetek (pl. hányinger, hányás, hasmenés). Ilyen tünetek jelentkezése esetén a vortioxetin-kezelést azonnal abba kell hagyni, és meg kell kezdeni a tüneti kezelést.</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Mánia/hipománia</w:t>
      </w:r>
    </w:p>
    <w:p w:rsidR="008B5166" w:rsidRDefault="00226345">
      <w:pPr>
        <w:spacing w:line="240" w:lineRule="auto"/>
        <w:rPr>
          <w:noProof/>
          <w:lang w:val="hu-HU"/>
        </w:rPr>
      </w:pPr>
      <w:r>
        <w:rPr>
          <w:noProof/>
          <w:lang w:val="hu-HU"/>
        </w:rPr>
        <w:t>A vortioxetin fokozott óvatossággal alkalmazandó olyan betegeknél, akiknek anamnézisében mánia/hipománia fordult elő, és minden, mániás fázisba kerülő betegnél abba kell hagyni a kezelést.</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Agresszió/agitáció</w:t>
      </w:r>
    </w:p>
    <w:p w:rsidR="008B5166" w:rsidRDefault="00226345">
      <w:pPr>
        <w:spacing w:line="240" w:lineRule="auto"/>
        <w:rPr>
          <w:noProof/>
          <w:lang w:val="hu-HU"/>
        </w:rPr>
      </w:pPr>
      <w:r>
        <w:rPr>
          <w:noProof/>
          <w:lang w:val="hu-HU"/>
        </w:rPr>
        <w:t>Az antidepresszánsokkal, így például vortioxetinnel kezelt betegek agressziót, dühöt, agitációt és ingerlékenységet is tapasztalhatnak. Szorosan monitorozni kell a betegek állapotát és betegségstátuszát. A betegeket (és gondviselőiket) figyelmeztetni kell arra, hogy forduljanak orvoshoz, ha agresszív/nyugtalan viselkedés kialakulását vagy súlyosbodását észlelik.</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Haemorrhagia</w:t>
      </w:r>
    </w:p>
    <w:p w:rsidR="008B5166" w:rsidRDefault="00226345">
      <w:pPr>
        <w:spacing w:line="240" w:lineRule="auto"/>
        <w:rPr>
          <w:noProof/>
          <w:lang w:val="hu-HU"/>
        </w:rPr>
      </w:pPr>
      <w:r>
        <w:rPr>
          <w:noProof/>
          <w:lang w:val="hu-HU"/>
        </w:rPr>
        <w:t>A szerotonerg hatású antidepresszánsok – többek között a vortioxetin – alkalmazásával összefüggésben ritkán vérzési zavarokat, például ecchymosist, purpurát és egyéb vérzéses eseményeket, például emésztőrendszeri vagy nőgyógyászati vérzést jelentettek. Az SSRI-k/SNRI-k fokozhatják a post partum vérzés kockázatát, és ez a kockázat potenciálisan a vortioxetinre is vonatkozik (lásd: 4.6 pont). Fokozott óvatosság javasolt a véralvadásgátlókat és/vagy a thrombocyta funkciót ismerten befolyásoló gyógyszereket (pl. atípusos antipszichotikumok és fenotiazinok, a triciklusos antidepresszánsok többsége, nem-szteroid gyulladásgátlók [NSAID-ok] és acetilszalicilsav [ASA]) szedő betegek (lásd 4.5 pont), illetve olyan betegek esetében, akiknek anamnézisében vérzési hajlam/vérzési rendellenességek szerepelnek.</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Hyponatraemia</w:t>
      </w:r>
    </w:p>
    <w:p w:rsidR="008B5166" w:rsidRDefault="00226345">
      <w:pPr>
        <w:spacing w:line="240" w:lineRule="auto"/>
        <w:rPr>
          <w:noProof/>
          <w:lang w:val="hu-HU"/>
        </w:rPr>
      </w:pPr>
      <w:r>
        <w:rPr>
          <w:noProof/>
          <w:lang w:val="hu-HU"/>
        </w:rPr>
        <w:t>A szerotonerg hatású (SSRI, SNRI) antidepresszánsok alkalmazása mellett ritkán – feltehetően a nem megfelelő antidiuretikushormon-szekréciós szindróma (SIADH) következtében kialakult – hyponatraemiáról számoltak be. Fokozott óvatossággal kell eljárni a veszélyeztetett – így például az idős, a májcirrhosisban szenvedő, illetve az egyidejűleg ismerten hyponatraemiát okozó gyógyszerrel kezelt – betegek esetében.</w:t>
      </w:r>
    </w:p>
    <w:p w:rsidR="008B5166" w:rsidRDefault="00226345">
      <w:pPr>
        <w:spacing w:line="240" w:lineRule="auto"/>
        <w:rPr>
          <w:noProof/>
          <w:lang w:val="hu-HU"/>
        </w:rPr>
      </w:pPr>
      <w:r>
        <w:rPr>
          <w:noProof/>
          <w:lang w:val="hu-HU"/>
        </w:rPr>
        <w:t>A hyponatraemia tüneteit mutató betegeknél fontolóra kell venni a vortioxetin leállítását, és meg kell kezdeni a megfelelő orvosi kezelést.</w:t>
      </w:r>
    </w:p>
    <w:p w:rsidR="008B5166" w:rsidRDefault="008B5166">
      <w:pPr>
        <w:spacing w:line="240" w:lineRule="auto"/>
        <w:rPr>
          <w:noProof/>
          <w:u w:val="single"/>
          <w:lang w:val="hu-HU"/>
        </w:rPr>
      </w:pPr>
    </w:p>
    <w:p w:rsidR="008B5166" w:rsidRDefault="00226345">
      <w:pPr>
        <w:spacing w:line="240" w:lineRule="auto"/>
        <w:rPr>
          <w:noProof/>
          <w:u w:val="single"/>
          <w:lang w:val="hu-HU"/>
        </w:rPr>
      </w:pPr>
      <w:r>
        <w:rPr>
          <w:noProof/>
          <w:u w:val="single"/>
          <w:lang w:val="hu-HU"/>
        </w:rPr>
        <w:t>Glaucoma</w:t>
      </w:r>
    </w:p>
    <w:p w:rsidR="008B5166" w:rsidRDefault="00226345">
      <w:pPr>
        <w:spacing w:line="240" w:lineRule="auto"/>
        <w:rPr>
          <w:noProof/>
          <w:lang w:val="hu-HU"/>
        </w:rPr>
      </w:pPr>
      <w:r>
        <w:rPr>
          <w:noProof/>
          <w:lang w:val="hu-HU"/>
        </w:rPr>
        <w:t>Antidepresszánsok, így például a vortioxetin alkalmazásával kapcsolatban beszámoltak mydriasisról. Ez a pupillatágító hatás beszűkítheti a szem csarnokzugát, aminek hatására megnő a szembelnyomás, és zárt zugú glaucoma alakul ki. Fokozott óvatosság javasolt, ha olyan betegnek írják fel a vortioxetint, akinek magas a szembelnyomása, vagy akinél fennáll az akut zárt zugú glaucoma kockázata.</w:t>
      </w:r>
    </w:p>
    <w:p w:rsidR="008B5166" w:rsidRDefault="008B5166">
      <w:pPr>
        <w:spacing w:line="240" w:lineRule="auto"/>
        <w:rPr>
          <w:u w:val="single"/>
          <w:lang w:val="hu-HU"/>
        </w:rPr>
      </w:pPr>
    </w:p>
    <w:p w:rsidR="008B5166" w:rsidRDefault="00226345">
      <w:pPr>
        <w:spacing w:line="240" w:lineRule="auto"/>
        <w:rPr>
          <w:lang w:val="hu-HU"/>
        </w:rPr>
      </w:pPr>
      <w:r>
        <w:rPr>
          <w:u w:val="single"/>
          <w:lang w:val="hu-HU"/>
        </w:rPr>
        <w:t>Idősek</w:t>
      </w:r>
    </w:p>
    <w:p w:rsidR="008B5166" w:rsidRDefault="00226345">
      <w:pPr>
        <w:spacing w:line="240" w:lineRule="auto"/>
        <w:rPr>
          <w:lang w:val="hu-HU"/>
        </w:rPr>
      </w:pPr>
      <w:r>
        <w:rPr>
          <w:lang w:val="hu-HU"/>
        </w:rPr>
        <w:t>A major depressziós epizódban szenvedő idős betegek vortioxetin-kezelésével kapcsolatban rendelkezésre álló adatok korlátozottak. Ezért elővigyázatosság szükséges, amikor 65 évesnél idősebb betegeket napi egyszer 10 mg-ot meghaladó dózisban vortioxetinnel kezelnek (lásd 4.2, 4.8 és 5.2 pont).</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Vese- vagy májkárosodás</w:t>
      </w:r>
    </w:p>
    <w:p w:rsidR="008B5166" w:rsidRDefault="00226345">
      <w:pPr>
        <w:spacing w:line="240" w:lineRule="auto"/>
        <w:rPr>
          <w:lang w:val="hu-HU"/>
        </w:rPr>
      </w:pPr>
      <w:r>
        <w:rPr>
          <w:lang w:val="hu-HU"/>
        </w:rPr>
        <w:t>Mivel a vese- vagy májkárosodásban szenvedő betegek veszélyeztetettek, és ezekben a csoportokban a vortioxetin alkalmazására vonatkozóan rendelkezésre álló adatok korlátozottak, ezért ezen betegek kezelése során elővigyázatossággal kell eljárni (lásd 4.2 és 5.2 pont).</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Nátrium</w:t>
      </w:r>
    </w:p>
    <w:p w:rsidR="008B5166" w:rsidRDefault="00226345">
      <w:pPr>
        <w:spacing w:line="240" w:lineRule="auto"/>
        <w:rPr>
          <w:lang w:val="hu-HU"/>
        </w:rPr>
      </w:pPr>
      <w:r>
        <w:rPr>
          <w:lang w:val="hu-HU"/>
        </w:rPr>
        <w:t>A készítmény kevesebb mint 1 mmol (23 mg) nátriumot tartalmaz filmtablettánként, azaz gyakorlatilag „nátriummentes”.</w:t>
      </w:r>
    </w:p>
    <w:p w:rsidR="008B5166" w:rsidRDefault="008B5166">
      <w:pPr>
        <w:spacing w:line="240" w:lineRule="auto"/>
        <w:rPr>
          <w:u w:val="single"/>
          <w:lang w:val="hu-HU"/>
        </w:rPr>
      </w:pPr>
    </w:p>
    <w:p w:rsidR="008B5166" w:rsidRDefault="00226345">
      <w:pPr>
        <w:spacing w:line="240" w:lineRule="auto"/>
        <w:ind w:left="567" w:hanging="567"/>
        <w:outlineLvl w:val="0"/>
        <w:rPr>
          <w:b/>
          <w:bCs/>
          <w:lang w:val="hu-HU"/>
        </w:rPr>
      </w:pPr>
      <w:r>
        <w:rPr>
          <w:b/>
          <w:bCs/>
          <w:lang w:val="hu-HU"/>
        </w:rPr>
        <w:t>4.5</w:t>
      </w:r>
      <w:r>
        <w:rPr>
          <w:b/>
          <w:bCs/>
          <w:lang w:val="hu-HU"/>
        </w:rPr>
        <w:tab/>
        <w:t>Gyógyszerkölcsönhatások és egyéb interakciók</w:t>
      </w:r>
    </w:p>
    <w:p w:rsidR="008B5166" w:rsidRDefault="008B5166">
      <w:pPr>
        <w:spacing w:line="240" w:lineRule="auto"/>
        <w:rPr>
          <w:lang w:val="hu-HU"/>
        </w:rPr>
      </w:pPr>
    </w:p>
    <w:p w:rsidR="008B5166" w:rsidRDefault="00226345">
      <w:pPr>
        <w:spacing w:line="240" w:lineRule="auto"/>
        <w:rPr>
          <w:lang w:val="hu-HU"/>
        </w:rPr>
      </w:pPr>
      <w:r>
        <w:rPr>
          <w:lang w:val="hu-HU"/>
        </w:rPr>
        <w:t>A vortioxetin nagyrészt a májban metabolizálódik, elsősorban oxidáció révén, melyet a CYP2D6, illetve kisebb mértékben a CYP3A4/5 és CYP2C19 katalizál (lásd 5.2 pont).</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Más gyógyszerek potenciális hatása a vortioxetinre</w:t>
      </w:r>
    </w:p>
    <w:p w:rsidR="008B5166" w:rsidRDefault="00226345">
      <w:pPr>
        <w:spacing w:line="240" w:lineRule="auto"/>
        <w:rPr>
          <w:i/>
          <w:iCs/>
          <w:lang w:val="hu-HU"/>
        </w:rPr>
      </w:pPr>
      <w:r>
        <w:rPr>
          <w:i/>
          <w:iCs/>
          <w:lang w:val="hu-HU"/>
        </w:rPr>
        <w:t>Irreverzibilis, nem szelektív MAO</w:t>
      </w:r>
      <w:r>
        <w:rPr>
          <w:lang w:val="hu-HU"/>
        </w:rPr>
        <w:t>-</w:t>
      </w:r>
      <w:r>
        <w:rPr>
          <w:i/>
          <w:iCs/>
          <w:lang w:val="hu-HU"/>
        </w:rPr>
        <w:t>gátlók</w:t>
      </w:r>
    </w:p>
    <w:p w:rsidR="008B5166" w:rsidRDefault="00226345">
      <w:pPr>
        <w:spacing w:line="240" w:lineRule="auto"/>
        <w:rPr>
          <w:lang w:val="hu-HU"/>
        </w:rPr>
      </w:pPr>
      <w:r>
        <w:rPr>
          <w:lang w:val="hu-HU"/>
        </w:rPr>
        <w:t>A szerotonin szindróma kockázata miatt a vortioxetin irreverzibilis, nem szelektív MAO-gátlókkal történő egyidejű alkalmazása ellenjavallt. A vortioxetin alkalmazását az irreverzibilis, nem szelektív MAO-gátló-kezelés abbahagyása után legalább 14 napig nem szabad megkezdeni. A vortioxetin alkalmazását legalább 14 nappal az irreverzibilis, nem szelektív MAO-gátló kezelés megkezdése előtt abba kell hagyni (lásd 4.3 pont).</w:t>
      </w:r>
    </w:p>
    <w:p w:rsidR="008B5166" w:rsidRDefault="008B5166">
      <w:pPr>
        <w:spacing w:line="240" w:lineRule="auto"/>
        <w:rPr>
          <w:lang w:val="hu-HU"/>
        </w:rPr>
      </w:pPr>
    </w:p>
    <w:p w:rsidR="008B5166" w:rsidRDefault="00226345">
      <w:pPr>
        <w:spacing w:line="240" w:lineRule="auto"/>
        <w:rPr>
          <w:i/>
          <w:iCs/>
          <w:lang w:val="hu-HU"/>
        </w:rPr>
      </w:pPr>
      <w:r>
        <w:rPr>
          <w:i/>
          <w:iCs/>
          <w:lang w:val="hu-HU"/>
        </w:rPr>
        <w:t>Reverzibilis, szelektív MAO-A gátló (moklobemid)</w:t>
      </w:r>
    </w:p>
    <w:p w:rsidR="008B5166" w:rsidRDefault="00226345">
      <w:pPr>
        <w:spacing w:line="240" w:lineRule="auto"/>
        <w:rPr>
          <w:lang w:val="hu-HU"/>
        </w:rPr>
      </w:pPr>
      <w:r>
        <w:rPr>
          <w:lang w:val="hu-HU"/>
        </w:rPr>
        <w:t>A vortioxetin reverzibilis és szelektív MAO-A gátlóval (például moklobemiddel) történő egyidejű alkalmazása ellenjavallt (lásd 4.3 pont). Amennyiben az együttes alkalmazás mégis szükségesnek bizonyul, a hozzáadott gyógyszert a lehető legkisebb dózisban, és a szerotonin-szindróma kialakulása tekintetében történő szoros klinikai monitorozás mellett kell alkalmazni (lásd 4.4 pont).</w:t>
      </w:r>
    </w:p>
    <w:p w:rsidR="008B5166" w:rsidRDefault="008B5166">
      <w:pPr>
        <w:spacing w:line="240" w:lineRule="auto"/>
        <w:rPr>
          <w:i/>
          <w:iCs/>
          <w:lang w:val="hu-HU"/>
        </w:rPr>
      </w:pPr>
    </w:p>
    <w:p w:rsidR="008B5166" w:rsidRDefault="00226345">
      <w:pPr>
        <w:spacing w:line="240" w:lineRule="auto"/>
        <w:rPr>
          <w:i/>
          <w:iCs/>
          <w:lang w:val="hu-HU"/>
        </w:rPr>
      </w:pPr>
      <w:r>
        <w:rPr>
          <w:i/>
          <w:iCs/>
          <w:lang w:val="hu-HU"/>
        </w:rPr>
        <w:t>Reverzibilis, nem szelektív MAO-gátló (linezolid)</w:t>
      </w:r>
    </w:p>
    <w:p w:rsidR="008B5166" w:rsidRDefault="00226345">
      <w:pPr>
        <w:spacing w:line="240" w:lineRule="auto"/>
        <w:rPr>
          <w:lang w:val="hu-HU"/>
        </w:rPr>
      </w:pPr>
      <w:r>
        <w:rPr>
          <w:lang w:val="hu-HU"/>
        </w:rPr>
        <w:t>A vortioxetin gyenge, reverzibilis és nem szelektív MAO-gátlóval (például linezolid nevű antibiotikummal) történő egyidejű alkalmazása ellenjavallt (lásd 4.3 pont).</w:t>
      </w:r>
    </w:p>
    <w:p w:rsidR="008B5166" w:rsidRDefault="00226345">
      <w:pPr>
        <w:spacing w:line="240" w:lineRule="auto"/>
        <w:rPr>
          <w:lang w:val="hu-HU"/>
        </w:rPr>
      </w:pPr>
      <w:r>
        <w:rPr>
          <w:lang w:val="hu-HU"/>
        </w:rPr>
        <w:t>Amennyiben az együttes alkalmazás mégis szükségesnek bizonyul, a hozzáadott gyógyszert a lehető legkisebb dózisban, és a szerotonin szindróma kialakulása tekintetében történő szoros klinikai monitorozás mellett kell alkalmazni (lásd 4.4 pont).</w:t>
      </w:r>
    </w:p>
    <w:p w:rsidR="008B5166" w:rsidRDefault="008B5166">
      <w:pPr>
        <w:spacing w:line="240" w:lineRule="auto"/>
        <w:rPr>
          <w:lang w:val="hu-HU"/>
        </w:rPr>
      </w:pPr>
    </w:p>
    <w:p w:rsidR="008B5166" w:rsidRDefault="00226345">
      <w:pPr>
        <w:spacing w:line="240" w:lineRule="auto"/>
        <w:rPr>
          <w:i/>
          <w:iCs/>
          <w:lang w:val="hu-HU"/>
        </w:rPr>
      </w:pPr>
      <w:r>
        <w:rPr>
          <w:i/>
          <w:iCs/>
          <w:lang w:val="hu-HU"/>
        </w:rPr>
        <w:t>Irreverzibilis, szelektív MAO-B gátló (szelegilin, razagilin)</w:t>
      </w:r>
    </w:p>
    <w:p w:rsidR="008B5166" w:rsidRDefault="00226345">
      <w:pPr>
        <w:spacing w:line="240" w:lineRule="auto"/>
        <w:rPr>
          <w:lang w:val="hu-HU"/>
        </w:rPr>
      </w:pPr>
      <w:r>
        <w:rPr>
          <w:lang w:val="hu-HU"/>
        </w:rPr>
        <w:t>Noha a szelektív MAO-B gátlók esetében várhatóan alacsonyabb a szerotonin szindróma kialakulásának kockázata, mint a MAO-A gátlók esetében, a vortioxetin az irreverzibilis MAO-B gátlókkal, mint például szelegilinnel vagy razagilinnel csak óvatosan adható együtt.</w:t>
      </w:r>
    </w:p>
    <w:p w:rsidR="008B5166" w:rsidRDefault="00226345">
      <w:pPr>
        <w:spacing w:line="240" w:lineRule="auto"/>
        <w:rPr>
          <w:lang w:val="hu-HU"/>
        </w:rPr>
      </w:pPr>
      <w:r>
        <w:rPr>
          <w:lang w:val="hu-HU"/>
        </w:rPr>
        <w:t>Együttes alkalmazás esetén a szerotonin szindróma kialakulása tekintetében történő szoros klinikai monitorozás szükséges (lásd 4.4 pont).</w:t>
      </w:r>
    </w:p>
    <w:p w:rsidR="008B5166" w:rsidRDefault="008B5166">
      <w:pPr>
        <w:spacing w:line="240" w:lineRule="auto"/>
        <w:rPr>
          <w:i/>
          <w:iCs/>
          <w:lang w:val="hu-HU"/>
        </w:rPr>
      </w:pPr>
    </w:p>
    <w:p w:rsidR="008B5166" w:rsidRDefault="00226345">
      <w:pPr>
        <w:spacing w:line="240" w:lineRule="auto"/>
        <w:rPr>
          <w:i/>
          <w:iCs/>
          <w:lang w:val="hu-HU"/>
        </w:rPr>
      </w:pPr>
      <w:r>
        <w:rPr>
          <w:i/>
          <w:iCs/>
          <w:lang w:val="hu-HU"/>
        </w:rPr>
        <w:t>Szerotonerg gyógyszerek</w:t>
      </w:r>
    </w:p>
    <w:p w:rsidR="008B5166" w:rsidRDefault="00226345">
      <w:pPr>
        <w:spacing w:line="240" w:lineRule="auto"/>
        <w:rPr>
          <w:lang w:val="hu-HU"/>
        </w:rPr>
      </w:pPr>
      <w:r>
        <w:rPr>
          <w:lang w:val="hu-HU"/>
        </w:rPr>
        <w:t>A szerotonerg hatású gyógyszerek például opioidok (beleértve a tramadolt) és triptánok (így a szumatriptán) egyidejű alkalmazása szerotonin szindróma kialakulásához vezethet (lásd 4.4 pont).</w:t>
      </w:r>
    </w:p>
    <w:p w:rsidR="008B5166" w:rsidRDefault="008B5166">
      <w:pPr>
        <w:spacing w:line="240" w:lineRule="auto"/>
        <w:rPr>
          <w:lang w:val="hu-HU"/>
        </w:rPr>
      </w:pPr>
    </w:p>
    <w:p w:rsidR="008B5166" w:rsidRDefault="00226345">
      <w:pPr>
        <w:spacing w:line="240" w:lineRule="auto"/>
        <w:rPr>
          <w:i/>
          <w:iCs/>
          <w:lang w:val="hu-HU"/>
        </w:rPr>
      </w:pPr>
      <w:r>
        <w:rPr>
          <w:i/>
          <w:iCs/>
          <w:lang w:val="hu-HU"/>
        </w:rPr>
        <w:t>Közönséges orbáncfű</w:t>
      </w:r>
    </w:p>
    <w:p w:rsidR="008B5166" w:rsidRDefault="00226345">
      <w:pPr>
        <w:spacing w:line="240" w:lineRule="auto"/>
        <w:rPr>
          <w:lang w:val="hu-HU"/>
        </w:rPr>
      </w:pPr>
      <w:r>
        <w:rPr>
          <w:lang w:val="hu-HU"/>
        </w:rPr>
        <w:t>A szerotonerg hatású antidepresszánsok és a közönséges orbáncfüvet (</w:t>
      </w:r>
      <w:r>
        <w:rPr>
          <w:i/>
          <w:iCs/>
          <w:lang w:val="hu-HU"/>
        </w:rPr>
        <w:t>Hypericum perforatum</w:t>
      </w:r>
      <w:r>
        <w:rPr>
          <w:lang w:val="hu-HU"/>
        </w:rPr>
        <w:t>) tartalmazó gyógynövénykészítmények egyidejű alkalmazása a mellékhatások, így a szerotonin szindróma nagyobb előfordulási gyakoriságát eredményezheti (lásd 4.4 pont).</w:t>
      </w:r>
    </w:p>
    <w:p w:rsidR="008B5166" w:rsidRDefault="008B5166">
      <w:pPr>
        <w:spacing w:line="240" w:lineRule="auto"/>
        <w:rPr>
          <w:i/>
          <w:iCs/>
          <w:lang w:val="hu-HU"/>
        </w:rPr>
      </w:pPr>
    </w:p>
    <w:p w:rsidR="008B5166" w:rsidRDefault="00226345">
      <w:pPr>
        <w:spacing w:line="240" w:lineRule="auto"/>
        <w:rPr>
          <w:i/>
          <w:iCs/>
          <w:lang w:val="hu-HU"/>
        </w:rPr>
      </w:pPr>
      <w:r>
        <w:rPr>
          <w:i/>
          <w:iCs/>
          <w:lang w:val="hu-HU"/>
        </w:rPr>
        <w:t>A görcsküszöböt csökkentő gyógyszerek</w:t>
      </w:r>
    </w:p>
    <w:p w:rsidR="008B5166" w:rsidRDefault="00226345">
      <w:pPr>
        <w:spacing w:line="240" w:lineRule="auto"/>
        <w:rPr>
          <w:lang w:val="hu-HU"/>
        </w:rPr>
      </w:pPr>
      <w:r>
        <w:rPr>
          <w:lang w:val="hu-HU"/>
        </w:rPr>
        <w:t xml:space="preserve">A szerotonerg hatású antidepresszánsok csökkenthetik a görcsküszöböt. Fokozott óvatosság javasolt olyan gyógyszerek egyidejű alkalmazása esetén, amelyek csökkenthetik a görcsküszöböt </w:t>
      </w:r>
      <w:r>
        <w:t>[</w:t>
      </w:r>
      <w:r>
        <w:rPr>
          <w:lang w:val="hu-HU"/>
        </w:rPr>
        <w:t>például antidepresszánsok (triciklusos antidepresszánsok, SSRI-k, SNRI-k), neuroleptikumok (fenotiazinok, tioxantének és butirofenonok), meflokin, bupropion, tramadol] (lásd 4.4 pont).</w:t>
      </w:r>
    </w:p>
    <w:p w:rsidR="008B5166" w:rsidRDefault="008B5166">
      <w:pPr>
        <w:spacing w:line="240" w:lineRule="auto"/>
        <w:rPr>
          <w:lang w:val="hu-HU"/>
        </w:rPr>
      </w:pPr>
    </w:p>
    <w:p w:rsidR="008B5166" w:rsidRDefault="00226345">
      <w:pPr>
        <w:spacing w:line="240" w:lineRule="auto"/>
        <w:rPr>
          <w:i/>
          <w:iCs/>
          <w:lang w:val="hu-HU"/>
        </w:rPr>
      </w:pPr>
      <w:r>
        <w:rPr>
          <w:i/>
          <w:iCs/>
          <w:lang w:val="hu-HU"/>
        </w:rPr>
        <w:t>ECT (elektrokonvulzív terápia)</w:t>
      </w:r>
    </w:p>
    <w:p w:rsidR="008B5166" w:rsidRDefault="00226345">
      <w:pPr>
        <w:spacing w:line="240" w:lineRule="auto"/>
        <w:rPr>
          <w:lang w:val="hu-HU"/>
        </w:rPr>
      </w:pPr>
      <w:r>
        <w:rPr>
          <w:lang w:val="hu-HU"/>
        </w:rPr>
        <w:t>A vortioxetin és ECT egyidejű alkalmazásával nincs klinikai tapasztalat, ezért fokozott óvatosság javasolt.</w:t>
      </w:r>
    </w:p>
    <w:p w:rsidR="008B5166" w:rsidRDefault="008B5166">
      <w:pPr>
        <w:spacing w:line="240" w:lineRule="auto"/>
        <w:rPr>
          <w:i/>
          <w:iCs/>
          <w:lang w:val="hu-HU"/>
        </w:rPr>
      </w:pPr>
    </w:p>
    <w:p w:rsidR="008B5166" w:rsidRDefault="00226345">
      <w:pPr>
        <w:spacing w:line="240" w:lineRule="auto"/>
        <w:rPr>
          <w:i/>
          <w:iCs/>
          <w:lang w:val="hu-HU"/>
        </w:rPr>
      </w:pPr>
      <w:r>
        <w:rPr>
          <w:i/>
          <w:iCs/>
          <w:lang w:val="hu-HU"/>
        </w:rPr>
        <w:t>CYP2D6-inhibitorok</w:t>
      </w:r>
    </w:p>
    <w:p w:rsidR="008B5166" w:rsidRDefault="00226345">
      <w:pPr>
        <w:spacing w:line="240" w:lineRule="auto"/>
        <w:rPr>
          <w:lang w:val="hu-HU"/>
        </w:rPr>
      </w:pPr>
      <w:r>
        <w:rPr>
          <w:lang w:val="hu-HU"/>
        </w:rPr>
        <w:t>Napi 10 mg vortioxetin és napi kétszer 150 mg bupropion (erős CYP2D6-inhibitor) 14 napon át történő egyidejű alkalmazása egészséges önkénteseknél a vortioxetin-expozíciót jelző görbe alatti terület (AUC) értékét 2,3-szeresére növelte. Egyidejű alkalmazás esetén a mellékhatások gyakorisága nagyobb volt akkor, amikor a bupropiont adták a meglévő vortioxetin-kezeléshez, mint akkor, amikor a vortioxetint adták a meglévő bupropion-kezeléshez.</w:t>
      </w:r>
    </w:p>
    <w:p w:rsidR="008B5166" w:rsidRDefault="00226345">
      <w:pPr>
        <w:spacing w:line="240" w:lineRule="auto"/>
        <w:rPr>
          <w:lang w:val="hu-HU"/>
        </w:rPr>
      </w:pPr>
      <w:r>
        <w:rPr>
          <w:lang w:val="hu-HU"/>
        </w:rPr>
        <w:t>A beteg egyéni terápiás válaszától függően alacsonyabb vortioxetin-adag alkalmazása mérlegelhető, amennyiben a vortioxetin-kezeléshez erős CYP2D6-inhibitort (pl. bupropion, kinidin, fluoxetin, paroxetin) adnak (lásd 4.2 pont).</w:t>
      </w:r>
    </w:p>
    <w:p w:rsidR="008B5166" w:rsidRDefault="008B5166"/>
    <w:p w:rsidR="008B5166" w:rsidRDefault="00226345">
      <w:r>
        <w:rPr>
          <w:i/>
        </w:rPr>
        <w:t>CYP3A4</w:t>
      </w:r>
      <w:r>
        <w:rPr>
          <w:i/>
        </w:rPr>
        <w:noBreakHyphen/>
        <w:t xml:space="preserve">inhibitorok, valamint </w:t>
      </w:r>
      <w:r>
        <w:rPr>
          <w:i/>
          <w:iCs/>
          <w:lang w:val="hu-HU"/>
        </w:rPr>
        <w:t>CYP2C9 és CYP2C19 inhibitorok</w:t>
      </w:r>
      <w:r>
        <w:rPr>
          <w:i/>
        </w:rPr>
        <w:t xml:space="preserve"> </w:t>
      </w:r>
    </w:p>
    <w:p w:rsidR="008B5166" w:rsidRDefault="00226345">
      <w:pPr>
        <w:rPr>
          <w:lang w:val="hu-HU"/>
        </w:rPr>
      </w:pPr>
      <w:r>
        <w:rPr>
          <w:lang w:val="hu-HU"/>
        </w:rPr>
        <w:t>Az AUC-érték 1,3-szeres, illetve 1,5-szeres növekedését figyelték meg, amikor egészséges önkénteseknél a 6 napos, napi 400 mg ketokonazol-kezelést (CYP3A4/5 és P-glikoprotein inhibitor), illetve a 6 napos, napi 200 mg flukonazol-kezelést (CYP2C9, CYP2C19 és CYP3A4/5 inhibitor) követően a kezelést vortioxetinnel egészítették ki. A dózis módosítása nem szükséges.</w:t>
      </w:r>
    </w:p>
    <w:p w:rsidR="008B5166" w:rsidRDefault="008B5166">
      <w:pPr>
        <w:rPr>
          <w:lang w:val="hu-HU"/>
        </w:rPr>
      </w:pPr>
    </w:p>
    <w:p w:rsidR="008B5166" w:rsidRDefault="00226345">
      <w:pPr>
        <w:rPr>
          <w:lang w:val="hu-HU"/>
        </w:rPr>
      </w:pPr>
      <w:r>
        <w:rPr>
          <w:lang w:val="hu-HU"/>
        </w:rPr>
        <w:t>Nem figyeltek meg az ismételten alkalmazott vortioxetin farmakokinetikájára gyakorolt gátló hatást egyszeri 40 mg omeprazol (CYP2C19-inhibitor) egészséges önkénteseknél történő alkalmazásakor.</w:t>
      </w:r>
    </w:p>
    <w:p w:rsidR="008B5166" w:rsidRDefault="008B5166">
      <w:pPr>
        <w:rPr>
          <w:i/>
          <w:iCs/>
          <w:lang w:val="hu-HU"/>
        </w:rPr>
      </w:pPr>
    </w:p>
    <w:p w:rsidR="008B5166" w:rsidRDefault="00226345">
      <w:pPr>
        <w:rPr>
          <w:i/>
          <w:iCs/>
          <w:lang w:val="hu-HU"/>
        </w:rPr>
      </w:pPr>
      <w:r>
        <w:rPr>
          <w:i/>
          <w:iCs/>
          <w:lang w:val="hu-HU"/>
        </w:rPr>
        <w:t>Kölcsönhatások gyenge CYP2D6 metabolizálóknál</w:t>
      </w:r>
    </w:p>
    <w:p w:rsidR="008B5166" w:rsidRDefault="00226345">
      <w:pPr>
        <w:rPr>
          <w:lang w:val="hu-HU"/>
        </w:rPr>
      </w:pPr>
      <w:r>
        <w:rPr>
          <w:lang w:val="hu-HU"/>
        </w:rPr>
        <w:t>A gyenge CYP2D6 metabolizáló betegeknél (lásd 5.2 pont) nem végeztek kimondottan az erős CYP3A4-inhibitorok (mint például az itrakonazol, vorikonazol, klaritromicin, telitromicin, nefazodon, konivaptán és a HIV proteáz-inhibitorok jelentős része) és a CYP2C9-inhibitorok (mint például: flukonazol és amiodaron) egyidejű alkalmazására irányuló vizsgálatokat, de ezeknél a betegeknél az együttadás várhatóan kifejezettebb vortioxetin-expozíciót eredményez, mint a fent leírt mérsékelt hatás. Az adott beteg terápiás válaszától függően alacsonyabb vortioxetin-dózis alkalmazása mérlegelhető, amennyiben a gyenge CYP2D6 metabolizálóknak a vortioxetin-kezelés mellett erős CYP3A4- vagy CYP2C2-inhibitort adnak.</w:t>
      </w:r>
    </w:p>
    <w:p w:rsidR="008B5166" w:rsidRDefault="008B5166">
      <w:pPr>
        <w:spacing w:line="240" w:lineRule="auto"/>
        <w:rPr>
          <w:i/>
          <w:iCs/>
          <w:lang w:val="hu-HU"/>
        </w:rPr>
      </w:pPr>
    </w:p>
    <w:p w:rsidR="008B5166" w:rsidRDefault="00226345">
      <w:pPr>
        <w:spacing w:line="240" w:lineRule="auto"/>
        <w:rPr>
          <w:i/>
          <w:iCs/>
          <w:lang w:val="hu-HU"/>
        </w:rPr>
      </w:pPr>
      <w:r>
        <w:rPr>
          <w:i/>
          <w:iCs/>
          <w:lang w:val="hu-HU"/>
        </w:rPr>
        <w:t>Citokróm P450-induktorok</w:t>
      </w:r>
    </w:p>
    <w:p w:rsidR="008B5166" w:rsidRDefault="00226345">
      <w:pPr>
        <w:spacing w:line="240" w:lineRule="auto"/>
        <w:rPr>
          <w:lang w:val="hu-HU"/>
        </w:rPr>
      </w:pPr>
      <w:r>
        <w:rPr>
          <w:lang w:val="hu-HU"/>
        </w:rPr>
        <w:t>A 10 napos, napi 600 mg rifampicin-kezelést (a CYP izoenzimek erős induktora) követően 20 mg vortioxetin egyszeri együttadása egészséges önkénteseknél a vortioxetin AUC-értékének 72%-os csökkenését eredményezte. A beteg kezelésre adott válaszától függően a dózis módosítása mérlegelhető, amennyiben a beteg a vortioxetin-kezelés mellett erős P450 induktort (pl. rifampicint, karbamazepint, fenitoint) kap (lásd 4.2 pont).</w:t>
      </w:r>
    </w:p>
    <w:p w:rsidR="008B5166" w:rsidRDefault="008B5166">
      <w:pPr>
        <w:spacing w:line="240" w:lineRule="auto"/>
        <w:rPr>
          <w:lang w:val="hu-HU"/>
        </w:rPr>
      </w:pPr>
    </w:p>
    <w:p w:rsidR="008B5166" w:rsidRDefault="00226345">
      <w:pPr>
        <w:spacing w:line="240" w:lineRule="auto"/>
        <w:rPr>
          <w:i/>
          <w:iCs/>
          <w:lang w:val="hu-HU"/>
        </w:rPr>
      </w:pPr>
      <w:r>
        <w:rPr>
          <w:i/>
          <w:iCs/>
          <w:lang w:val="hu-HU"/>
        </w:rPr>
        <w:t>Alkohol</w:t>
      </w:r>
    </w:p>
    <w:p w:rsidR="008B5166" w:rsidRDefault="00226345">
      <w:pPr>
        <w:spacing w:line="240" w:lineRule="auto"/>
        <w:rPr>
          <w:lang w:val="hu-HU"/>
        </w:rPr>
      </w:pPr>
      <w:r>
        <w:rPr>
          <w:lang w:val="hu-HU"/>
        </w:rPr>
        <w:t xml:space="preserve">Az egyszeri orális etanol-adag (0,6 g/ttkg) egészséges önkéntesek esetében nem befolyásolta sem az egyszeri 20 mg, illetve 40 mg adagban alkalmazott vortioxetin, sem az etanol farmakokinetikáját, és a placebóhoz viszonyítva nem okozott jelentős mértékű kognitív funkció romlást sem. Ennek ellenére az antidepresszáns-kezelés ideje alatt nem javasolt az alkoholfogyasztás. </w:t>
      </w:r>
    </w:p>
    <w:p w:rsidR="008B5166" w:rsidRDefault="00226345">
      <w:pPr>
        <w:spacing w:line="240" w:lineRule="auto"/>
        <w:rPr>
          <w:lang w:val="hu-HU"/>
        </w:rPr>
      </w:pPr>
      <w:r>
        <w:rPr>
          <w:lang w:val="hu-HU"/>
        </w:rPr>
        <w:t xml:space="preserve"> </w:t>
      </w:r>
    </w:p>
    <w:p w:rsidR="008B5166" w:rsidRDefault="00226345">
      <w:pPr>
        <w:spacing w:line="240" w:lineRule="auto"/>
        <w:rPr>
          <w:i/>
          <w:iCs/>
          <w:lang w:val="hu-HU"/>
        </w:rPr>
      </w:pPr>
      <w:r>
        <w:rPr>
          <w:i/>
          <w:iCs/>
          <w:lang w:val="hu-HU"/>
        </w:rPr>
        <w:t>Acetilszalicilsav</w:t>
      </w:r>
    </w:p>
    <w:p w:rsidR="008B5166" w:rsidRDefault="00226345">
      <w:pPr>
        <w:spacing w:line="240" w:lineRule="auto"/>
        <w:rPr>
          <w:lang w:val="hu-HU"/>
        </w:rPr>
      </w:pPr>
      <w:r>
        <w:rPr>
          <w:lang w:val="hu-HU"/>
        </w:rPr>
        <w:t>Napi 150 mg acetilszalicilsav többszöri adagolása egészséges önkénteseknél nem befolyásolta az ismételten alkalmazott vortioxetin farmakokinetikáját.</w:t>
      </w:r>
    </w:p>
    <w:p w:rsidR="008B5166" w:rsidRDefault="008B5166">
      <w:pPr>
        <w:spacing w:line="240" w:lineRule="auto"/>
        <w:rPr>
          <w:u w:val="single"/>
          <w:lang w:val="hu-HU"/>
        </w:rPr>
      </w:pPr>
    </w:p>
    <w:p w:rsidR="008B5166" w:rsidRDefault="00226345">
      <w:pPr>
        <w:spacing w:line="240" w:lineRule="auto"/>
        <w:rPr>
          <w:lang w:val="hu-HU"/>
        </w:rPr>
      </w:pPr>
      <w:r>
        <w:rPr>
          <w:u w:val="single"/>
          <w:lang w:val="hu-HU"/>
        </w:rPr>
        <w:t>A vortioxetin potenciális hatása más gyógyszerekre</w:t>
      </w:r>
    </w:p>
    <w:p w:rsidR="008B5166" w:rsidRDefault="008B5166">
      <w:pPr>
        <w:spacing w:line="240" w:lineRule="auto"/>
        <w:rPr>
          <w:lang w:val="hu-HU"/>
        </w:rPr>
      </w:pPr>
    </w:p>
    <w:p w:rsidR="008B5166" w:rsidRDefault="00226345">
      <w:pPr>
        <w:spacing w:line="240" w:lineRule="auto"/>
        <w:rPr>
          <w:i/>
          <w:iCs/>
          <w:lang w:val="hu-HU"/>
        </w:rPr>
      </w:pPr>
      <w:r>
        <w:rPr>
          <w:i/>
          <w:iCs/>
          <w:lang w:val="hu-HU"/>
        </w:rPr>
        <w:t>Véralvadásgátlók és thrombocytaaggregáció-gátlók</w:t>
      </w:r>
    </w:p>
    <w:p w:rsidR="008B5166" w:rsidRDefault="00226345">
      <w:pPr>
        <w:spacing w:line="240" w:lineRule="auto"/>
        <w:rPr>
          <w:lang w:val="hu-HU"/>
        </w:rPr>
      </w:pPr>
      <w:r>
        <w:rPr>
          <w:lang w:val="hu-HU"/>
        </w:rPr>
        <w:t xml:space="preserve">A placebóhoz képest nem figyeltek meg jelentős eltérést a </w:t>
      </w:r>
      <w:r>
        <w:t>nemzetközi normalizált arány</w:t>
      </w:r>
      <w:r>
        <w:rPr>
          <w:lang w:val="hu-HU"/>
        </w:rPr>
        <w:t xml:space="preserve"> (INR), a prothrombin vagy a plazma R-/S- warfarin-értékeiben azoknál a warfarinra beállított egészséges önkénteseknél, akiknél emellett ismételten vortioxetint is alkalmaztak. A placebóhoz képest nem figyeltek meg jelentős thrombocytaaggregáció-gátló, illetve az acetilszalicilsav vagy szalicilsav farmakokinetikájára gyakorolt hatást azoknál a korábban már napi 150 mg acetilszalicilsavval kezelt egészséges önkénteseknél, akiknél ezzel egyidejűleg ismételten vortioxetint is alkalmaztak. Az orális antikoagulánsokkal, thrombocytaaggregáció-gátlókkal vagy fájdalomcsillapítókkal (pl. acetilszalicilsav [ASA] vagy NSAID-ok) együtt alkalmazva azonban a vortioxetin esetében is fokozott óvatossággal kell eljárni, mert ilyenkor fennáll a farmakodinámiás kölcsönhatásból eredő vérzés kockázata (lásd 4.4 pont).</w:t>
      </w:r>
    </w:p>
    <w:p w:rsidR="008B5166" w:rsidRDefault="008B5166">
      <w:pPr>
        <w:spacing w:line="240" w:lineRule="auto"/>
        <w:rPr>
          <w:lang w:val="hu-HU"/>
        </w:rPr>
      </w:pPr>
    </w:p>
    <w:p w:rsidR="008B5166" w:rsidRDefault="00226345">
      <w:pPr>
        <w:spacing w:line="240" w:lineRule="auto"/>
        <w:rPr>
          <w:i/>
          <w:iCs/>
          <w:lang w:val="hu-HU"/>
        </w:rPr>
      </w:pPr>
      <w:r>
        <w:rPr>
          <w:i/>
          <w:iCs/>
          <w:lang w:val="hu-HU"/>
        </w:rPr>
        <w:t>Citokróm P450 szubsztrátok</w:t>
      </w:r>
    </w:p>
    <w:p w:rsidR="008B5166" w:rsidRDefault="00226345">
      <w:pPr>
        <w:spacing w:line="240" w:lineRule="auto"/>
        <w:rPr>
          <w:lang w:val="hu-HU"/>
        </w:rPr>
      </w:pPr>
      <w:r>
        <w:rPr>
          <w:i/>
          <w:iCs/>
          <w:lang w:val="hu-HU"/>
        </w:rPr>
        <w:t xml:space="preserve">In vitro </w:t>
      </w:r>
      <w:r>
        <w:rPr>
          <w:lang w:val="hu-HU"/>
        </w:rPr>
        <w:t>a vortioxetin nem gátolta vagy indukálta a P450 izoenzimeket (lásd 5.2 pont).</w:t>
      </w:r>
    </w:p>
    <w:p w:rsidR="008B5166" w:rsidRDefault="008B5166">
      <w:pPr>
        <w:spacing w:line="240" w:lineRule="auto"/>
        <w:rPr>
          <w:lang w:val="hu-HU"/>
        </w:rPr>
      </w:pPr>
    </w:p>
    <w:p w:rsidR="008B5166" w:rsidRDefault="00226345">
      <w:pPr>
        <w:spacing w:line="240" w:lineRule="auto"/>
        <w:rPr>
          <w:lang w:val="hu-HU"/>
        </w:rPr>
      </w:pPr>
      <w:r>
        <w:rPr>
          <w:lang w:val="hu-HU"/>
        </w:rPr>
        <w:t>Egészséges önkénteseknél a vortioxetin ismételt alkalmazását követően nem figyeltek meg a citokróm P450 CYP2C19 (omeprazol, diazepám), CYP3A4/5 (etinilösztradiol, midazolám), CYP2B6 (bupropion), CYP2C9 (tolbutamid, S-warfarin), CYP1A2 (koffein) vagy a CYP2D6 (dextrometorfán) izoenzimre gyakorolt gátló hatást.</w:t>
      </w:r>
    </w:p>
    <w:p w:rsidR="008B5166" w:rsidRDefault="008B5166">
      <w:pPr>
        <w:spacing w:line="240" w:lineRule="auto"/>
        <w:rPr>
          <w:lang w:val="hu-HU"/>
        </w:rPr>
      </w:pPr>
    </w:p>
    <w:p w:rsidR="008B5166" w:rsidRDefault="00226345">
      <w:pPr>
        <w:spacing w:line="240" w:lineRule="auto"/>
        <w:rPr>
          <w:lang w:val="hu-HU"/>
        </w:rPr>
      </w:pPr>
      <w:r>
        <w:rPr>
          <w:lang w:val="hu-HU"/>
        </w:rPr>
        <w:t>Nem figyeltek meg farmakodinámiás kölcsönhatásokat. A vortioxetin és egyszeri 10 mg diazepám egyidejű adását követően nem jelentkezett a placebóhoz viszonyítva jelentős mértékű kognitív funkció károsodás. A vortioxetin és kombinált orális fogamzásgátló (etinilösztradiol 30 </w:t>
      </w:r>
      <w:r>
        <w:t>µg</w:t>
      </w:r>
      <w:r>
        <w:rPr>
          <w:lang w:val="hu-HU"/>
        </w:rPr>
        <w:t xml:space="preserve"> /levonorgesztrel 150 </w:t>
      </w:r>
      <w:r>
        <w:t>µg</w:t>
      </w:r>
      <w:r>
        <w:rPr>
          <w:lang w:val="hu-HU"/>
        </w:rPr>
        <w:t>) egyidejű adását követően a nemi hormonok szintjében nem észleltek a placebóhoz viszonyítva jelentős mértékű változást.</w:t>
      </w:r>
    </w:p>
    <w:p w:rsidR="008B5166" w:rsidRDefault="008B5166">
      <w:pPr>
        <w:spacing w:line="240" w:lineRule="auto"/>
        <w:rPr>
          <w:lang w:val="hu-HU"/>
        </w:rPr>
      </w:pPr>
    </w:p>
    <w:p w:rsidR="008B5166" w:rsidRDefault="00226345">
      <w:pPr>
        <w:spacing w:line="240" w:lineRule="auto"/>
        <w:rPr>
          <w:i/>
          <w:iCs/>
          <w:lang w:val="hu-HU"/>
        </w:rPr>
      </w:pPr>
      <w:r>
        <w:rPr>
          <w:i/>
          <w:iCs/>
          <w:lang w:val="hu-HU"/>
        </w:rPr>
        <w:t>Lítium, triptofán</w:t>
      </w:r>
    </w:p>
    <w:p w:rsidR="008B5166" w:rsidRDefault="00226345">
      <w:pPr>
        <w:spacing w:line="240" w:lineRule="auto"/>
        <w:rPr>
          <w:lang w:val="hu-HU"/>
        </w:rPr>
      </w:pPr>
      <w:r>
        <w:rPr>
          <w:lang w:val="hu-HU"/>
        </w:rPr>
        <w:t>Nem figyeltek meg klinikailag releváns hatást azoknál az egészséges önkénteseknél, akik a dinamikus egyensúlyi állapotú lítium-expozíció mellett egyidejűleg ismételten vortioxetint is kaptak. Mivel azonban a szerotonerg antidepresszánsok és a lítium vagy triptofán együttadásakor hatásfokozódásáról számoltak be, ezért a vortioxetin ezekkel a gyógyszerekkel egyidejűleg fokozott óvatossággal alkalmazandó.</w:t>
      </w:r>
    </w:p>
    <w:p w:rsidR="008B5166" w:rsidRDefault="008B5166">
      <w:pPr>
        <w:spacing w:line="240" w:lineRule="auto"/>
        <w:rPr>
          <w:i/>
          <w:iCs/>
          <w:lang w:val="hu-HU"/>
        </w:rPr>
      </w:pPr>
    </w:p>
    <w:p w:rsidR="008B5166" w:rsidRDefault="00226345">
      <w:pPr>
        <w:spacing w:line="240" w:lineRule="auto"/>
        <w:rPr>
          <w:i/>
          <w:iCs/>
          <w:lang w:val="hu-HU"/>
        </w:rPr>
      </w:pPr>
      <w:r>
        <w:rPr>
          <w:i/>
          <w:iCs/>
          <w:lang w:val="hu-HU"/>
        </w:rPr>
        <w:t>Vizelet-drogtesztek eredményének megzavarása</w:t>
      </w:r>
    </w:p>
    <w:p w:rsidR="008B5166" w:rsidRDefault="00226345">
      <w:pPr>
        <w:spacing w:line="240" w:lineRule="auto"/>
        <w:rPr>
          <w:lang w:val="hu-HU"/>
        </w:rPr>
      </w:pPr>
      <w:r>
        <w:rPr>
          <w:lang w:val="hu-HU"/>
        </w:rPr>
        <w:t>Beszámoltak arról, hogy vortioxetint szedő betegeknél a vizeletből végzett enzim-immunvizsgálatok álpozitív eredményt adtak metadonra. Óvatosan kell eljárni a vizeletből végzett drogtesztek pozitív eredményeinek értelmezésekor, és fontolóra kell venni egy másik analitikai technikával (például kromatográfiás módszerrel) történő igazolást.</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4.6</w:t>
      </w:r>
      <w:r>
        <w:rPr>
          <w:b/>
          <w:bCs/>
          <w:lang w:val="hu-HU"/>
        </w:rPr>
        <w:tab/>
        <w:t>Termékenység, terhesség és szoptatás</w:t>
      </w:r>
    </w:p>
    <w:p w:rsidR="008B5166" w:rsidRDefault="008B5166">
      <w:pPr>
        <w:spacing w:line="240" w:lineRule="auto"/>
        <w:rPr>
          <w:iCs/>
          <w:lang w:val="hu-HU"/>
        </w:rPr>
      </w:pPr>
    </w:p>
    <w:p w:rsidR="008B5166" w:rsidRDefault="00226345">
      <w:pPr>
        <w:spacing w:line="240" w:lineRule="auto"/>
        <w:rPr>
          <w:u w:val="single"/>
          <w:lang w:val="hu-HU"/>
        </w:rPr>
      </w:pPr>
      <w:r>
        <w:rPr>
          <w:u w:val="single"/>
          <w:lang w:val="hu-HU"/>
        </w:rPr>
        <w:t>Terhesség</w:t>
      </w:r>
    </w:p>
    <w:p w:rsidR="008B5166" w:rsidRDefault="00226345">
      <w:pPr>
        <w:spacing w:line="240" w:lineRule="auto"/>
        <w:rPr>
          <w:lang w:val="hu-HU"/>
        </w:rPr>
      </w:pPr>
      <w:r>
        <w:rPr>
          <w:lang w:val="hu-HU"/>
        </w:rPr>
        <w:t>A vortioxetin terhes nőknél történő alkalmazása tekintetében korlátozott mennyiségű információ áll rendelkezésre. Az állatkísérletek reprodukciós toxicitást mutattak ki (lásd 5.3 pont).</w:t>
      </w:r>
    </w:p>
    <w:p w:rsidR="008B5166" w:rsidRDefault="008B5166">
      <w:pPr>
        <w:spacing w:line="240" w:lineRule="auto"/>
        <w:rPr>
          <w:lang w:val="hu-HU"/>
        </w:rPr>
      </w:pPr>
    </w:p>
    <w:p w:rsidR="008B5166" w:rsidRDefault="00226345">
      <w:pPr>
        <w:spacing w:line="240" w:lineRule="auto"/>
        <w:rPr>
          <w:lang w:val="hu-HU"/>
        </w:rPr>
      </w:pPr>
      <w:r>
        <w:rPr>
          <w:lang w:val="hu-HU"/>
        </w:rPr>
        <w:t>A következő tünetek léphetnek fel az újszülöttnél azt követően, hogy az anya a terhesség késői fázisaiban szerotonerg gyógyszert szedett: respiratoricus distress, cyanosis, apnoe, görcsrohamok, instabil testhőmérséklet, szoptatási nehézség, hányás, hypoglykaemia, izom-hypertonia, izom-hypotonia, hyperreflexia, tremor, nyugtalanság, ingerlékenység, letargia, folyamatos sírás, aluszékonyság és alvászavar. E tüneteket a kezelés abbahagyása vagy a túlzott szerotonerg-aktivitás is eredményezheti. Az esetek többségében ezek a szövődmények közvetlenül vagy nem sokkal a szülés után (24 órán belül) jelentkeztek.</w:t>
      </w:r>
    </w:p>
    <w:p w:rsidR="008B5166" w:rsidRDefault="008B5166">
      <w:pPr>
        <w:spacing w:line="240" w:lineRule="auto"/>
        <w:rPr>
          <w:lang w:val="hu-HU"/>
        </w:rPr>
      </w:pPr>
    </w:p>
    <w:p w:rsidR="008B5166" w:rsidRDefault="00226345">
      <w:pPr>
        <w:spacing w:line="240" w:lineRule="auto"/>
        <w:rPr>
          <w:lang w:val="hu-HU"/>
        </w:rPr>
      </w:pPr>
      <w:r>
        <w:rPr>
          <w:lang w:val="hu-HU"/>
        </w:rPr>
        <w:t>Epidemiológiai adatok azt mutatják, hogy az SSRI-k terhességben, különösen a késői terhességben történő alkalmazása növelheti az újszülöttkori persistáló pulmonalis hypertensio (PPHN) kialakulásának kockázatát. Noha a PPHN és a vortioxetin-kezelés közötti összefüggést nem vizsgálták, ez a potenciális kockázat az érintett hatásmechanizmust (a szerotonin-koncentráció emelkedését) figyelembe véve nem zárható ki.</w:t>
      </w:r>
    </w:p>
    <w:p w:rsidR="008B5166" w:rsidRDefault="008B5166">
      <w:pPr>
        <w:spacing w:line="240" w:lineRule="auto"/>
        <w:rPr>
          <w:lang w:val="hu-HU"/>
        </w:rPr>
      </w:pPr>
    </w:p>
    <w:p w:rsidR="008B5166" w:rsidRDefault="00226345">
      <w:pPr>
        <w:spacing w:line="240" w:lineRule="auto"/>
        <w:rPr>
          <w:lang w:val="hu-HU"/>
        </w:rPr>
      </w:pPr>
      <w:r>
        <w:rPr>
          <w:lang w:val="hu-HU"/>
        </w:rPr>
        <w:t>A vortioxetint csak akkor lehet terhes nőknél alkalmazni, ha a várható előny felülmúlja a magzatra gyakorolt potenciális kockázatot.</w:t>
      </w:r>
    </w:p>
    <w:p w:rsidR="008B5166" w:rsidRDefault="008B5166">
      <w:pPr>
        <w:spacing w:line="240" w:lineRule="auto"/>
        <w:rPr>
          <w:lang w:val="hu-HU"/>
        </w:rPr>
      </w:pPr>
    </w:p>
    <w:p w:rsidR="008B5166" w:rsidRDefault="00226345">
      <w:pPr>
        <w:spacing w:line="240" w:lineRule="auto"/>
        <w:rPr>
          <w:lang w:val="hu-HU"/>
        </w:rPr>
      </w:pPr>
      <w:r>
        <w:rPr>
          <w:lang w:val="hu-HU"/>
        </w:rPr>
        <w:t>A megfigyeléses adatok alátámasztották a postpartum vérzés fokozott (2-szeresnél kisebb) kockázatát a szülést megelőző hónapban történő SSRI- vagy SNRI-expozíciót követően. Bár egyetlen vizsgálatban sem elemezték a vortioxetin-kezelés és a postpartum vérzés összefüggéseit, a hatásmechanizmust figyelembe véve fennáll a potenciális kockázat (lásd 4.4 pont).</w:t>
      </w:r>
    </w:p>
    <w:p w:rsidR="008B5166" w:rsidRDefault="008B5166">
      <w:pPr>
        <w:spacing w:line="240" w:lineRule="auto"/>
        <w:rPr>
          <w:u w:val="single"/>
          <w:lang w:val="hu-HU"/>
        </w:rPr>
      </w:pPr>
    </w:p>
    <w:p w:rsidR="008B5166" w:rsidRDefault="00226345">
      <w:pPr>
        <w:spacing w:line="240" w:lineRule="auto"/>
        <w:rPr>
          <w:lang w:val="hu-HU"/>
        </w:rPr>
      </w:pPr>
      <w:r>
        <w:rPr>
          <w:u w:val="single"/>
          <w:lang w:val="hu-HU"/>
        </w:rPr>
        <w:t>Szoptatás</w:t>
      </w:r>
    </w:p>
    <w:p w:rsidR="008B5166" w:rsidRDefault="00226345">
      <w:pPr>
        <w:spacing w:line="240" w:lineRule="auto"/>
        <w:rPr>
          <w:lang w:val="hu-HU"/>
        </w:rPr>
      </w:pPr>
      <w:r>
        <w:rPr>
          <w:lang w:val="hu-HU"/>
        </w:rPr>
        <w:t>A rendelkezésre álló, állatkísérletek során nyert adatok a vortioxetin, illetve metabolitjainak kiválasztódását igazolták az anyatejbe. A vortioxetin várhatóan kiválasztódik a humán anyatejbe is (lásd 5.3 pont).</w:t>
      </w:r>
    </w:p>
    <w:p w:rsidR="008B5166" w:rsidRDefault="008B5166">
      <w:pPr>
        <w:spacing w:line="240" w:lineRule="auto"/>
        <w:rPr>
          <w:lang w:val="hu-HU"/>
        </w:rPr>
      </w:pPr>
    </w:p>
    <w:p w:rsidR="008B5166" w:rsidRDefault="00226345">
      <w:pPr>
        <w:spacing w:line="240" w:lineRule="auto"/>
        <w:rPr>
          <w:lang w:val="hu-HU"/>
        </w:rPr>
      </w:pPr>
      <w:r>
        <w:rPr>
          <w:lang w:val="hu-HU"/>
        </w:rPr>
        <w:t>A szoptatott csecsemőre nézve a kockázatot nem lehet kizárni.</w:t>
      </w:r>
    </w:p>
    <w:p w:rsidR="008B5166" w:rsidRDefault="008B5166">
      <w:pPr>
        <w:spacing w:line="240" w:lineRule="auto"/>
        <w:rPr>
          <w:lang w:val="hu-HU"/>
        </w:rPr>
      </w:pPr>
    </w:p>
    <w:p w:rsidR="008B5166" w:rsidRDefault="00226345">
      <w:pPr>
        <w:spacing w:line="240" w:lineRule="auto"/>
        <w:rPr>
          <w:lang w:val="hu-HU"/>
        </w:rPr>
      </w:pPr>
      <w:r>
        <w:rPr>
          <w:lang w:val="hu-HU"/>
        </w:rPr>
        <w:t>A vortioxetin alkalmazása előtt el kell dönteni, hogy a szoptatást függesztik fel, vagy abbahagyják a vortioxetin-kezelést/megszakítják a vortioxetin-kezelést – figyelembe véve a szoptatás előnyét a gyermek, valamint a terápia előnyét az anya szempontjából.</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Termékenység</w:t>
      </w:r>
    </w:p>
    <w:p w:rsidR="008B5166" w:rsidRDefault="00226345">
      <w:pPr>
        <w:spacing w:line="240" w:lineRule="auto"/>
        <w:rPr>
          <w:lang w:val="hu-HU"/>
        </w:rPr>
      </w:pPr>
      <w:r>
        <w:rPr>
          <w:lang w:val="hu-HU"/>
        </w:rPr>
        <w:t>Hím és nőstény patkányokon végzett termékenységi vizsgálatokban a vortioxetin nem gyakorolt hatást a termékenységre, a spermiumok minőségére, illetve a párzási teljesítményre (lásd 5.3 pont).</w:t>
      </w:r>
    </w:p>
    <w:p w:rsidR="008B5166" w:rsidRDefault="00226345">
      <w:pPr>
        <w:spacing w:line="240" w:lineRule="auto"/>
        <w:rPr>
          <w:lang w:val="hu-HU"/>
        </w:rPr>
      </w:pPr>
      <w:r>
        <w:rPr>
          <w:lang w:val="hu-HU"/>
        </w:rPr>
        <w:t>Embereknél néhány esetben az antidepresszánsok egyik rokon farmakológiai osztályába (SSRI-k) tartozó gyógyszereknél az ondó minőségére kifejtett reverzibilis hatásokról számoltak be. A humán termékenységet befolyásoló hatást eddig nem figyeltek meg.</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rsidR="008B5166" w:rsidRDefault="008B5166">
      <w:pPr>
        <w:spacing w:line="240" w:lineRule="auto"/>
        <w:rPr>
          <w:lang w:val="hu-HU"/>
        </w:rPr>
      </w:pPr>
    </w:p>
    <w:p w:rsidR="008B5166" w:rsidRDefault="00226345">
      <w:pPr>
        <w:spacing w:line="240" w:lineRule="auto"/>
        <w:rPr>
          <w:lang w:val="hu-HU"/>
        </w:rPr>
      </w:pPr>
      <w:r>
        <w:rPr>
          <w:lang w:val="hu-HU"/>
        </w:rPr>
        <w:t>A vortioxetin nem, vagy csak elhanyagolható mértékben befoly</w:t>
      </w:r>
      <w:r>
        <w:rPr>
          <w:rFonts w:hint="eastAsia"/>
          <w:lang w:val="hu-HU"/>
        </w:rPr>
        <w:t>á</w:t>
      </w:r>
      <w:r>
        <w:rPr>
          <w:lang w:val="hu-HU"/>
        </w:rPr>
        <w:t>solja a g</w:t>
      </w:r>
      <w:r>
        <w:rPr>
          <w:rFonts w:hint="eastAsia"/>
          <w:lang w:val="hu-HU"/>
        </w:rPr>
        <w:t>é</w:t>
      </w:r>
      <w:r>
        <w:rPr>
          <w:lang w:val="hu-HU"/>
        </w:rPr>
        <w:t>pj</w:t>
      </w:r>
      <w:r>
        <w:rPr>
          <w:rFonts w:hint="eastAsia"/>
          <w:lang w:val="hu-HU"/>
        </w:rPr>
        <w:t>á</w:t>
      </w:r>
      <w:r>
        <w:rPr>
          <w:lang w:val="hu-HU"/>
        </w:rPr>
        <w:t>rm</w:t>
      </w:r>
      <w:r>
        <w:rPr>
          <w:rFonts w:hint="eastAsia"/>
          <w:lang w:val="hu-HU"/>
        </w:rPr>
        <w:t>ű</w:t>
      </w:r>
      <w:r>
        <w:rPr>
          <w:lang w:val="hu-HU"/>
        </w:rPr>
        <w:t>vezet</w:t>
      </w:r>
      <w:r>
        <w:rPr>
          <w:rFonts w:hint="eastAsia"/>
          <w:lang w:val="hu-HU"/>
        </w:rPr>
        <w:t>é</w:t>
      </w:r>
      <w:r>
        <w:rPr>
          <w:lang w:val="hu-HU"/>
        </w:rPr>
        <w:t xml:space="preserve">shez </w:t>
      </w:r>
      <w:r>
        <w:rPr>
          <w:rFonts w:hint="eastAsia"/>
          <w:lang w:val="hu-HU"/>
        </w:rPr>
        <w:t>é</w:t>
      </w:r>
      <w:r>
        <w:rPr>
          <w:lang w:val="hu-HU"/>
        </w:rPr>
        <w:t>s a g</w:t>
      </w:r>
      <w:r>
        <w:rPr>
          <w:rFonts w:hint="eastAsia"/>
          <w:lang w:val="hu-HU"/>
        </w:rPr>
        <w:t>é</w:t>
      </w:r>
      <w:r>
        <w:rPr>
          <w:lang w:val="hu-HU"/>
        </w:rPr>
        <w:t>pek kezel</w:t>
      </w:r>
      <w:r>
        <w:rPr>
          <w:rFonts w:hint="eastAsia"/>
          <w:lang w:val="hu-HU"/>
        </w:rPr>
        <w:t>é</w:t>
      </w:r>
      <w:r>
        <w:rPr>
          <w:lang w:val="hu-HU"/>
        </w:rPr>
        <w:t>s</w:t>
      </w:r>
      <w:r>
        <w:rPr>
          <w:rFonts w:hint="eastAsia"/>
          <w:lang w:val="hu-HU"/>
        </w:rPr>
        <w:t>é</w:t>
      </w:r>
      <w:r>
        <w:rPr>
          <w:lang w:val="hu-HU"/>
        </w:rPr>
        <w:t>hez sz</w:t>
      </w:r>
      <w:r>
        <w:rPr>
          <w:rFonts w:hint="eastAsia"/>
          <w:lang w:val="hu-HU"/>
        </w:rPr>
        <w:t>ü</w:t>
      </w:r>
      <w:r>
        <w:rPr>
          <w:lang w:val="hu-HU"/>
        </w:rPr>
        <w:t>ks</w:t>
      </w:r>
      <w:r>
        <w:rPr>
          <w:rFonts w:hint="eastAsia"/>
          <w:lang w:val="hu-HU"/>
        </w:rPr>
        <w:t>é</w:t>
      </w:r>
      <w:r>
        <w:rPr>
          <w:lang w:val="hu-HU"/>
        </w:rPr>
        <w:t>ges k</w:t>
      </w:r>
      <w:r>
        <w:rPr>
          <w:rFonts w:hint="eastAsia"/>
          <w:lang w:val="hu-HU"/>
        </w:rPr>
        <w:t>é</w:t>
      </w:r>
      <w:r>
        <w:rPr>
          <w:lang w:val="hu-HU"/>
        </w:rPr>
        <w:t>pess</w:t>
      </w:r>
      <w:r>
        <w:rPr>
          <w:rFonts w:hint="eastAsia"/>
          <w:lang w:val="hu-HU"/>
        </w:rPr>
        <w:t>é</w:t>
      </w:r>
      <w:r>
        <w:rPr>
          <w:lang w:val="hu-HU"/>
        </w:rPr>
        <w:t xml:space="preserve">geket. Mivel azonban olyan mellékhatásokról számoltak be, mint a szédülés, a betegnek fokozott óvatosság javasolt gépjárművezetésnél vagy veszélyes gépek kezelésénél, különösen a vortioxetin-kezelés megkezdésekor, illetve az adag módosítása esetén. </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4.8</w:t>
      </w:r>
      <w:r>
        <w:rPr>
          <w:b/>
          <w:bCs/>
          <w:lang w:val="hu-HU"/>
        </w:rPr>
        <w:tab/>
        <w:t>Nemkívánatos hatások, mellékhatások</w:t>
      </w:r>
    </w:p>
    <w:p w:rsidR="008B5166" w:rsidRDefault="008B5166">
      <w:pPr>
        <w:spacing w:line="240" w:lineRule="auto"/>
        <w:rPr>
          <w:i/>
          <w:iCs/>
          <w:lang w:val="hu-HU"/>
        </w:rPr>
      </w:pPr>
    </w:p>
    <w:p w:rsidR="008B5166" w:rsidRDefault="00226345">
      <w:pPr>
        <w:rPr>
          <w:u w:val="single"/>
          <w:lang w:eastAsia="hu-HU"/>
        </w:rPr>
      </w:pPr>
      <w:r>
        <w:rPr>
          <w:u w:val="single"/>
        </w:rPr>
        <w:t>A biztonságossági profil összefoglalása</w:t>
      </w:r>
    </w:p>
    <w:p w:rsidR="008B5166" w:rsidRDefault="008B5166"/>
    <w:p w:rsidR="008B5166" w:rsidRDefault="00226345">
      <w:r>
        <w:t>A leggyakoribb mellékhatás a hányinger volt.</w:t>
      </w:r>
    </w:p>
    <w:p w:rsidR="008B5166" w:rsidRDefault="008B5166"/>
    <w:p w:rsidR="008B5166" w:rsidRDefault="00226345">
      <w:pPr>
        <w:rPr>
          <w:u w:val="single"/>
        </w:rPr>
      </w:pPr>
      <w:r>
        <w:rPr>
          <w:u w:val="single"/>
        </w:rPr>
        <w:t>A mellékhatások táblázatos felsorolása</w:t>
      </w:r>
    </w:p>
    <w:p w:rsidR="008B5166" w:rsidRDefault="008B5166">
      <w:pPr>
        <w:ind w:right="-1"/>
      </w:pPr>
    </w:p>
    <w:p w:rsidR="008B5166" w:rsidRDefault="00226345">
      <w:pPr>
        <w:ind w:right="-1"/>
        <w:rPr>
          <w:lang w:val="hu-HU"/>
        </w:rPr>
      </w:pPr>
      <w:r>
        <w:t>Az alábbi mellékhatásokat a következő gyakorisági kategóriák szerint csoportosították: nagyon gyakori (≥ 1/10), gyakori (≥ 1/100 – &lt; 1/10), nem gyakori (≥ 1/1000 – &lt; 1/100), ritka (≥ 1/10 000 – &lt; 1/1000), nagyon ritka (&lt; 1/10 000), nem ismert (a gyakoriság a rendelkezésre álló adatokból nem állapítható meg).</w:t>
      </w:r>
      <w:r>
        <w:rPr>
          <w:rFonts w:eastAsiaTheme="minorEastAsia"/>
          <w:lang w:val="hu-HU" w:eastAsia="hu-HU"/>
        </w:rPr>
        <w:t xml:space="preserve"> </w:t>
      </w:r>
      <w:r>
        <w:rPr>
          <w:lang w:val="hu-HU"/>
        </w:rPr>
        <w:t>A felsorolás a klinikai vizsgálatokból és a forgalomba hozatalt követő tapasztalatokból származó információkon alapul.</w:t>
      </w:r>
    </w:p>
    <w:p w:rsidR="008B5166" w:rsidRDefault="008B5166">
      <w:pPr>
        <w:ind w:right="-1"/>
      </w:pPr>
    </w:p>
    <w:tbl>
      <w:tblPr>
        <w:tblW w:w="9356" w:type="dxa"/>
        <w:tblInd w:w="-3" w:type="dxa"/>
        <w:tblLayout w:type="fixed"/>
        <w:tblCellMar>
          <w:left w:w="0" w:type="dxa"/>
          <w:right w:w="0" w:type="dxa"/>
        </w:tblCellMar>
        <w:tblLook w:val="0000" w:firstRow="0" w:lastRow="0" w:firstColumn="0" w:lastColumn="0" w:noHBand="0" w:noVBand="0"/>
      </w:tblPr>
      <w:tblGrid>
        <w:gridCol w:w="3536"/>
        <w:gridCol w:w="3213"/>
        <w:gridCol w:w="2607"/>
      </w:tblGrid>
      <w:tr w:rsidR="008B5166">
        <w:trPr>
          <w:trHeight w:val="364"/>
        </w:trPr>
        <w:tc>
          <w:tcPr>
            <w:tcW w:w="3536"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SZERVRENDSZERI KATEGÓRIA</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GYAKORISÁG</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MELLÉKHATÁS</w:t>
            </w:r>
          </w:p>
        </w:tc>
      </w:tr>
      <w:tr w:rsidR="008B5166">
        <w:trPr>
          <w:trHeight w:val="542"/>
        </w:trPr>
        <w:tc>
          <w:tcPr>
            <w:tcW w:w="3536"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Immunrendszeri betegségek és tünetek</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Anafilaxiás reakció</w:t>
            </w:r>
          </w:p>
        </w:tc>
      </w:tr>
      <w:tr w:rsidR="008B5166">
        <w:trPr>
          <w:trHeight w:val="614"/>
        </w:trPr>
        <w:tc>
          <w:tcPr>
            <w:tcW w:w="3536"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Endokrin betegségek és tünetek</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Hyperprolactinaemia, esetenként galactorrhoeával</w:t>
            </w:r>
          </w:p>
        </w:tc>
      </w:tr>
      <w:tr w:rsidR="008B5166">
        <w:trPr>
          <w:trHeight w:val="616"/>
        </w:trPr>
        <w:tc>
          <w:tcPr>
            <w:tcW w:w="3536"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Anyagcsere- és táplálkozási betegségek és tünetek</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Hyponatraemia</w:t>
            </w:r>
          </w:p>
        </w:tc>
      </w:tr>
      <w:tr w:rsidR="008B5166">
        <w:trPr>
          <w:trHeight w:val="357"/>
        </w:trPr>
        <w:tc>
          <w:tcPr>
            <w:tcW w:w="3536" w:type="dxa"/>
            <w:vMerge w:val="restart"/>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Pszichiátriai kórképek</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Gyakori</w:t>
            </w:r>
          </w:p>
        </w:tc>
        <w:tc>
          <w:tcPr>
            <w:tcW w:w="2607" w:type="dxa"/>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Kóros álmok</w:t>
            </w:r>
          </w:p>
        </w:tc>
      </w:tr>
      <w:tr w:rsidR="008B5166">
        <w:trPr>
          <w:trHeight w:val="357"/>
        </w:trPr>
        <w:tc>
          <w:tcPr>
            <w:tcW w:w="3536" w:type="dxa"/>
            <w:vMerge/>
            <w:tcBorders>
              <w:top w:val="single" w:sz="2" w:space="0" w:color="000000"/>
              <w:left w:val="single" w:sz="2" w:space="0" w:color="000000"/>
              <w:bottom w:val="single" w:sz="2"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gyakori</w:t>
            </w:r>
          </w:p>
        </w:tc>
        <w:tc>
          <w:tcPr>
            <w:tcW w:w="2607" w:type="dxa"/>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Hallucinációk</w:t>
            </w:r>
          </w:p>
        </w:tc>
      </w:tr>
      <w:tr w:rsidR="008B5166">
        <w:trPr>
          <w:trHeight w:val="364"/>
        </w:trPr>
        <w:tc>
          <w:tcPr>
            <w:tcW w:w="3536" w:type="dxa"/>
            <w:vMerge/>
            <w:tcBorders>
              <w:top w:val="nil"/>
              <w:left w:val="single" w:sz="2" w:space="0" w:color="000000"/>
              <w:bottom w:val="single" w:sz="2"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2" w:space="0" w:color="000000"/>
              <w:right w:val="single" w:sz="4" w:space="0" w:color="000000"/>
            </w:tcBorders>
          </w:tcPr>
          <w:p w:rsidR="008B5166" w:rsidRDefault="00226345">
            <w:pPr>
              <w:spacing w:line="240" w:lineRule="auto"/>
              <w:rPr>
                <w:lang w:val="hu-HU"/>
              </w:rPr>
            </w:pPr>
            <w:r>
              <w:rPr>
                <w:lang w:val="hu-HU"/>
              </w:rPr>
              <w:t>Nem ismert*</w:t>
            </w:r>
          </w:p>
        </w:tc>
        <w:tc>
          <w:tcPr>
            <w:tcW w:w="2607" w:type="dxa"/>
            <w:tcBorders>
              <w:top w:val="single" w:sz="4" w:space="0" w:color="000000"/>
              <w:left w:val="single" w:sz="4" w:space="0" w:color="000000"/>
              <w:bottom w:val="single" w:sz="4" w:space="0" w:color="000000"/>
              <w:right w:val="single" w:sz="4" w:space="0" w:color="000000"/>
            </w:tcBorders>
          </w:tcPr>
          <w:p w:rsidR="008B5166" w:rsidRDefault="00226345">
            <w:pPr>
              <w:spacing w:line="240" w:lineRule="auto"/>
              <w:rPr>
                <w:lang w:val="hu-HU"/>
              </w:rPr>
            </w:pPr>
            <w:r>
              <w:rPr>
                <w:lang w:val="hu-HU"/>
              </w:rPr>
              <w:t>Insomnia</w:t>
            </w:r>
          </w:p>
        </w:tc>
      </w:tr>
      <w:tr w:rsidR="008B5166">
        <w:trPr>
          <w:trHeight w:val="727"/>
        </w:trPr>
        <w:tc>
          <w:tcPr>
            <w:tcW w:w="3536" w:type="dxa"/>
            <w:vMerge/>
            <w:tcBorders>
              <w:top w:val="nil"/>
              <w:left w:val="single" w:sz="2" w:space="0" w:color="000000"/>
              <w:bottom w:val="single" w:sz="2"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4"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Agitáció, agresszió (lásd 4.4 pont)</w:t>
            </w:r>
          </w:p>
        </w:tc>
      </w:tr>
      <w:tr w:rsidR="008B5166">
        <w:trPr>
          <w:trHeight w:val="362"/>
        </w:trPr>
        <w:tc>
          <w:tcPr>
            <w:tcW w:w="3536" w:type="dxa"/>
            <w:vMerge w:val="restart"/>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Idegrendszeri betegségek és tünetek</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Gyakori</w:t>
            </w:r>
          </w:p>
        </w:tc>
        <w:tc>
          <w:tcPr>
            <w:tcW w:w="2607" w:type="dxa"/>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Szédülés</w:t>
            </w:r>
          </w:p>
        </w:tc>
      </w:tr>
      <w:tr w:rsidR="008B5166">
        <w:trPr>
          <w:trHeight w:val="364"/>
        </w:trPr>
        <w:tc>
          <w:tcPr>
            <w:tcW w:w="3536" w:type="dxa"/>
            <w:vMerge/>
            <w:tcBorders>
              <w:top w:val="nil"/>
              <w:left w:val="single" w:sz="2" w:space="0" w:color="000000"/>
              <w:bottom w:val="single" w:sz="4"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gyakori</w:t>
            </w:r>
          </w:p>
        </w:tc>
        <w:tc>
          <w:tcPr>
            <w:tcW w:w="2607" w:type="dxa"/>
            <w:tcBorders>
              <w:top w:val="single" w:sz="4"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Tremor</w:t>
            </w:r>
          </w:p>
        </w:tc>
      </w:tr>
      <w:tr w:rsidR="008B5166">
        <w:trPr>
          <w:trHeight w:val="1232"/>
        </w:trPr>
        <w:tc>
          <w:tcPr>
            <w:tcW w:w="3536" w:type="dxa"/>
            <w:vMerge/>
            <w:tcBorders>
              <w:top w:val="nil"/>
              <w:left w:val="single" w:sz="2" w:space="0" w:color="000000"/>
              <w:bottom w:val="single" w:sz="4"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4"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Szerotonin szindróma,</w:t>
            </w:r>
          </w:p>
          <w:p w:rsidR="008B5166" w:rsidRDefault="00226345">
            <w:pPr>
              <w:spacing w:line="240" w:lineRule="auto"/>
              <w:rPr>
                <w:lang w:val="hu-HU"/>
              </w:rPr>
            </w:pPr>
            <w:r>
              <w:rPr>
                <w:lang w:val="hu-HU"/>
              </w:rPr>
              <w:t>fejfájás,</w:t>
            </w:r>
          </w:p>
          <w:p w:rsidR="008B5166" w:rsidRDefault="00226345">
            <w:pPr>
              <w:spacing w:line="240" w:lineRule="auto"/>
              <w:rPr>
                <w:lang w:val="hu-HU"/>
              </w:rPr>
            </w:pPr>
            <w:r>
              <w:rPr>
                <w:lang w:val="hu-HU"/>
              </w:rPr>
              <w:t>akathisia,</w:t>
            </w:r>
          </w:p>
          <w:p w:rsidR="008B5166" w:rsidRDefault="00226345">
            <w:pPr>
              <w:spacing w:line="240" w:lineRule="auto"/>
              <w:rPr>
                <w:lang w:val="hu-HU"/>
              </w:rPr>
            </w:pPr>
            <w:r>
              <w:rPr>
                <w:lang w:val="hu-HU"/>
              </w:rPr>
              <w:t>bruxismus,</w:t>
            </w:r>
          </w:p>
          <w:p w:rsidR="008B5166" w:rsidRDefault="00226345">
            <w:pPr>
              <w:spacing w:line="240" w:lineRule="auto"/>
              <w:rPr>
                <w:lang w:val="hu-HU"/>
              </w:rPr>
            </w:pPr>
            <w:r>
              <w:rPr>
                <w:lang w:val="hu-HU"/>
              </w:rPr>
              <w:t>trismus,</w:t>
            </w:r>
          </w:p>
          <w:p w:rsidR="008B5166" w:rsidRDefault="00226345">
            <w:pPr>
              <w:spacing w:line="240" w:lineRule="auto"/>
              <w:rPr>
                <w:lang w:val="hu-HU"/>
              </w:rPr>
            </w:pPr>
            <w:r>
              <w:rPr>
                <w:lang w:val="hu-HU"/>
              </w:rPr>
              <w:t>nyugtalanláb-szindróma</w:t>
            </w:r>
          </w:p>
        </w:tc>
      </w:tr>
      <w:tr w:rsidR="008B5166">
        <w:trPr>
          <w:trHeight w:val="409"/>
        </w:trPr>
        <w:tc>
          <w:tcPr>
            <w:tcW w:w="3536" w:type="dxa"/>
            <w:vMerge w:val="restart"/>
            <w:tcBorders>
              <w:top w:val="single" w:sz="4" w:space="0" w:color="000000"/>
              <w:left w:val="single" w:sz="4" w:space="0" w:color="000000"/>
              <w:bottom w:val="single" w:sz="4" w:space="0" w:color="000000"/>
              <w:right w:val="single" w:sz="4" w:space="0" w:color="000000"/>
            </w:tcBorders>
          </w:tcPr>
          <w:p w:rsidR="008B5166" w:rsidRDefault="00226345">
            <w:pPr>
              <w:spacing w:line="240" w:lineRule="auto"/>
              <w:rPr>
                <w:lang w:val="hu-HU"/>
              </w:rPr>
            </w:pPr>
            <w:r>
              <w:rPr>
                <w:lang w:val="hu-HU"/>
              </w:rPr>
              <w:t>Szembetegségek és szemészeti tünetek</w:t>
            </w:r>
          </w:p>
        </w:tc>
        <w:tc>
          <w:tcPr>
            <w:tcW w:w="3213" w:type="dxa"/>
            <w:tcBorders>
              <w:top w:val="single" w:sz="2" w:space="0" w:color="000000"/>
              <w:left w:val="single" w:sz="4" w:space="0" w:color="000000"/>
              <w:bottom w:val="single" w:sz="4" w:space="0" w:color="000000"/>
              <w:right w:val="single" w:sz="2" w:space="0" w:color="000000"/>
            </w:tcBorders>
          </w:tcPr>
          <w:p w:rsidR="008B5166" w:rsidRDefault="00226345">
            <w:pPr>
              <w:spacing w:line="240" w:lineRule="auto"/>
              <w:rPr>
                <w:lang w:val="hu-HU"/>
              </w:rPr>
            </w:pPr>
            <w:r>
              <w:rPr>
                <w:lang w:val="hu-HU"/>
              </w:rPr>
              <w:t>Nem gyakori</w:t>
            </w:r>
          </w:p>
        </w:tc>
        <w:tc>
          <w:tcPr>
            <w:tcW w:w="2607" w:type="dxa"/>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Homályos látás</w:t>
            </w:r>
          </w:p>
        </w:tc>
      </w:tr>
      <w:tr w:rsidR="008B5166">
        <w:trPr>
          <w:trHeight w:val="868"/>
        </w:trPr>
        <w:tc>
          <w:tcPr>
            <w:tcW w:w="3536" w:type="dxa"/>
            <w:vMerge/>
            <w:tcBorders>
              <w:top w:val="nil"/>
              <w:left w:val="single" w:sz="4" w:space="0" w:color="000000"/>
              <w:bottom w:val="single" w:sz="4" w:space="0" w:color="000000"/>
              <w:right w:val="single" w:sz="4" w:space="0" w:color="000000"/>
            </w:tcBorders>
          </w:tcPr>
          <w:p w:rsidR="008B5166" w:rsidRDefault="008B5166">
            <w:pPr>
              <w:spacing w:line="240" w:lineRule="auto"/>
              <w:rPr>
                <w:lang w:val="hu-HU"/>
              </w:rPr>
            </w:pPr>
          </w:p>
        </w:tc>
        <w:tc>
          <w:tcPr>
            <w:tcW w:w="3213" w:type="dxa"/>
            <w:tcBorders>
              <w:top w:val="single" w:sz="4" w:space="0" w:color="000000"/>
              <w:left w:val="single" w:sz="4" w:space="0" w:color="000000"/>
              <w:bottom w:val="single" w:sz="2" w:space="0" w:color="000000"/>
              <w:right w:val="single" w:sz="2" w:space="0" w:color="000000"/>
            </w:tcBorders>
          </w:tcPr>
          <w:p w:rsidR="008B5166" w:rsidRDefault="00226345">
            <w:pPr>
              <w:spacing w:line="240" w:lineRule="auto"/>
              <w:rPr>
                <w:lang w:val="hu-HU"/>
              </w:rPr>
            </w:pPr>
            <w:r>
              <w:rPr>
                <w:lang w:val="hu-HU"/>
              </w:rPr>
              <w:t>Ritka</w:t>
            </w:r>
          </w:p>
        </w:tc>
        <w:tc>
          <w:tcPr>
            <w:tcW w:w="2607" w:type="dxa"/>
            <w:tcBorders>
              <w:top w:val="single" w:sz="4"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Mydriasis (ami akut zárt zugú</w:t>
            </w:r>
          </w:p>
          <w:p w:rsidR="008B5166" w:rsidRDefault="00226345">
            <w:pPr>
              <w:spacing w:line="240" w:lineRule="auto"/>
              <w:rPr>
                <w:lang w:val="hu-HU"/>
              </w:rPr>
            </w:pPr>
            <w:r>
              <w:rPr>
                <w:lang w:val="hu-HU"/>
              </w:rPr>
              <w:t>glaucomához vezethet – lásd 4.4 pont)</w:t>
            </w:r>
          </w:p>
        </w:tc>
      </w:tr>
      <w:tr w:rsidR="008B5166">
        <w:trPr>
          <w:trHeight w:val="364"/>
        </w:trPr>
        <w:tc>
          <w:tcPr>
            <w:tcW w:w="3536" w:type="dxa"/>
            <w:vMerge w:val="restart"/>
            <w:tcBorders>
              <w:top w:val="single" w:sz="4"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Érbetegségek és tünetek</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gyakori</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Kipirulás</w:t>
            </w:r>
          </w:p>
        </w:tc>
      </w:tr>
      <w:tr w:rsidR="008B5166">
        <w:trPr>
          <w:trHeight w:val="1120"/>
        </w:trPr>
        <w:tc>
          <w:tcPr>
            <w:tcW w:w="3536" w:type="dxa"/>
            <w:vMerge/>
            <w:tcBorders>
              <w:top w:val="nil"/>
              <w:left w:val="single" w:sz="2" w:space="0" w:color="000000"/>
              <w:bottom w:val="single" w:sz="2"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Vérzés (ide tartozik a zúzódás, véraláfutás, orrvérzés, gasztrointesztinális, illetve hüvelyi vérzés)</w:t>
            </w:r>
          </w:p>
        </w:tc>
      </w:tr>
      <w:tr w:rsidR="008B5166">
        <w:trPr>
          <w:trHeight w:val="357"/>
        </w:trPr>
        <w:tc>
          <w:tcPr>
            <w:tcW w:w="3536" w:type="dxa"/>
            <w:vMerge w:val="restart"/>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Emésztőrendszeri betegségek és tünetek</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Nagyon gyakori</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Hányinger</w:t>
            </w:r>
          </w:p>
        </w:tc>
      </w:tr>
      <w:tr w:rsidR="008B5166">
        <w:trPr>
          <w:trHeight w:val="685"/>
        </w:trPr>
        <w:tc>
          <w:tcPr>
            <w:tcW w:w="3536" w:type="dxa"/>
            <w:vMerge/>
            <w:tcBorders>
              <w:top w:val="nil"/>
              <w:left w:val="single" w:sz="2" w:space="0" w:color="000000"/>
              <w:bottom w:val="single" w:sz="4"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Gyakori</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Hasmenés,</w:t>
            </w:r>
          </w:p>
          <w:p w:rsidR="008B5166" w:rsidRDefault="00226345">
            <w:pPr>
              <w:spacing w:line="240" w:lineRule="auto"/>
              <w:rPr>
                <w:lang w:val="hu-HU"/>
              </w:rPr>
            </w:pPr>
            <w:r>
              <w:rPr>
                <w:lang w:val="hu-HU"/>
              </w:rPr>
              <w:t>székrekedés,</w:t>
            </w:r>
          </w:p>
          <w:p w:rsidR="008B5166" w:rsidRDefault="00226345">
            <w:pPr>
              <w:spacing w:line="240" w:lineRule="auto"/>
              <w:rPr>
                <w:lang w:val="hu-HU"/>
              </w:rPr>
            </w:pPr>
            <w:r>
              <w:rPr>
                <w:lang w:val="hu-HU"/>
              </w:rPr>
              <w:t>hányás,</w:t>
            </w:r>
          </w:p>
          <w:p w:rsidR="008B5166" w:rsidRDefault="00226345">
            <w:pPr>
              <w:spacing w:line="240" w:lineRule="auto"/>
              <w:rPr>
                <w:lang w:val="hu-HU"/>
              </w:rPr>
            </w:pPr>
            <w:r>
              <w:rPr>
                <w:lang w:val="hu-HU"/>
              </w:rPr>
              <w:t>dyspepsia</w:t>
            </w:r>
          </w:p>
        </w:tc>
      </w:tr>
      <w:tr w:rsidR="008B5166">
        <w:trPr>
          <w:trHeight w:val="865"/>
        </w:trPr>
        <w:tc>
          <w:tcPr>
            <w:tcW w:w="3536" w:type="dxa"/>
            <w:vMerge w:val="restart"/>
            <w:tcBorders>
              <w:top w:val="single" w:sz="4"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A bőr és a bőr alatti szövet betegségei és tünetei</w:t>
            </w:r>
          </w:p>
        </w:tc>
        <w:tc>
          <w:tcPr>
            <w:tcW w:w="3213"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Gyakori</w:t>
            </w:r>
          </w:p>
        </w:tc>
        <w:tc>
          <w:tcPr>
            <w:tcW w:w="2607" w:type="dxa"/>
            <w:tcBorders>
              <w:top w:val="single" w:sz="2"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Pruritus, beleértve a generalizált pruritust is, hyperhidrosis</w:t>
            </w:r>
          </w:p>
        </w:tc>
      </w:tr>
      <w:tr w:rsidR="008B5166">
        <w:trPr>
          <w:trHeight w:val="433"/>
        </w:trPr>
        <w:tc>
          <w:tcPr>
            <w:tcW w:w="3536" w:type="dxa"/>
            <w:vMerge/>
            <w:tcBorders>
              <w:top w:val="nil"/>
              <w:left w:val="single" w:sz="2" w:space="0" w:color="000000"/>
              <w:bottom w:val="single" w:sz="4" w:space="0" w:color="000000"/>
              <w:right w:val="single" w:sz="2" w:space="0" w:color="000000"/>
            </w:tcBorders>
          </w:tcPr>
          <w:p w:rsidR="008B5166" w:rsidRDefault="008B5166">
            <w:pPr>
              <w:spacing w:line="240" w:lineRule="auto"/>
              <w:rPr>
                <w:lang w:val="hu-HU"/>
              </w:rPr>
            </w:pPr>
          </w:p>
        </w:tc>
        <w:tc>
          <w:tcPr>
            <w:tcW w:w="3213" w:type="dxa"/>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Nem gyakori</w:t>
            </w:r>
          </w:p>
        </w:tc>
        <w:tc>
          <w:tcPr>
            <w:tcW w:w="2607" w:type="dxa"/>
            <w:tcBorders>
              <w:top w:val="single" w:sz="2"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Éjszakai izzadás</w:t>
            </w:r>
          </w:p>
        </w:tc>
      </w:tr>
      <w:tr w:rsidR="008B5166">
        <w:trPr>
          <w:trHeight w:val="657"/>
        </w:trPr>
        <w:tc>
          <w:tcPr>
            <w:tcW w:w="3536" w:type="dxa"/>
            <w:vMerge/>
            <w:tcBorders>
              <w:top w:val="nil"/>
              <w:left w:val="single" w:sz="2" w:space="0" w:color="000000"/>
              <w:bottom w:val="single" w:sz="4" w:space="0" w:color="000000"/>
              <w:right w:val="single" w:sz="2" w:space="0" w:color="000000"/>
            </w:tcBorders>
          </w:tcPr>
          <w:p w:rsidR="008B5166" w:rsidRDefault="008B5166">
            <w:pPr>
              <w:spacing w:line="240" w:lineRule="auto"/>
              <w:rPr>
                <w:lang w:val="hu-HU"/>
              </w:rPr>
            </w:pPr>
          </w:p>
        </w:tc>
        <w:tc>
          <w:tcPr>
            <w:tcW w:w="3213" w:type="dxa"/>
            <w:tcBorders>
              <w:top w:val="single" w:sz="4"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4" w:space="0" w:color="000000"/>
              <w:left w:val="single" w:sz="2" w:space="0" w:color="000000"/>
              <w:bottom w:val="single" w:sz="4" w:space="0" w:color="000000"/>
              <w:right w:val="single" w:sz="2" w:space="0" w:color="000000"/>
            </w:tcBorders>
          </w:tcPr>
          <w:p w:rsidR="008B5166" w:rsidRDefault="00226345">
            <w:pPr>
              <w:spacing w:line="240" w:lineRule="auto"/>
              <w:rPr>
                <w:lang w:val="hu-HU"/>
              </w:rPr>
            </w:pPr>
            <w:r>
              <w:rPr>
                <w:lang w:val="hu-HU"/>
              </w:rPr>
              <w:t>Angiooedema,</w:t>
            </w:r>
          </w:p>
          <w:p w:rsidR="008B5166" w:rsidRDefault="00226345">
            <w:pPr>
              <w:spacing w:line="240" w:lineRule="auto"/>
              <w:rPr>
                <w:lang w:val="hu-HU"/>
              </w:rPr>
            </w:pPr>
            <w:r>
              <w:rPr>
                <w:lang w:val="hu-HU"/>
              </w:rPr>
              <w:t>urticaria,</w:t>
            </w:r>
          </w:p>
          <w:p w:rsidR="008B5166" w:rsidRDefault="00226345">
            <w:pPr>
              <w:spacing w:line="240" w:lineRule="auto"/>
              <w:rPr>
                <w:lang w:val="hu-HU"/>
              </w:rPr>
            </w:pPr>
            <w:r>
              <w:rPr>
                <w:lang w:val="hu-HU"/>
              </w:rPr>
              <w:t>bőrkiütés</w:t>
            </w:r>
          </w:p>
        </w:tc>
      </w:tr>
      <w:tr w:rsidR="008B5166">
        <w:trPr>
          <w:trHeight w:val="616"/>
        </w:trPr>
        <w:tc>
          <w:tcPr>
            <w:tcW w:w="3536" w:type="dxa"/>
            <w:tcBorders>
              <w:top w:val="single" w:sz="4"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Általános tünetek, az alkalmazás helyén fellépő reakciók</w:t>
            </w:r>
          </w:p>
        </w:tc>
        <w:tc>
          <w:tcPr>
            <w:tcW w:w="3213" w:type="dxa"/>
            <w:tcBorders>
              <w:top w:val="single" w:sz="4"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Nem ismert*</w:t>
            </w:r>
          </w:p>
        </w:tc>
        <w:tc>
          <w:tcPr>
            <w:tcW w:w="2607" w:type="dxa"/>
            <w:tcBorders>
              <w:top w:val="single" w:sz="4" w:space="0" w:color="000000"/>
              <w:left w:val="single" w:sz="2" w:space="0" w:color="000000"/>
              <w:bottom w:val="single" w:sz="2" w:space="0" w:color="000000"/>
              <w:right w:val="single" w:sz="2" w:space="0" w:color="000000"/>
            </w:tcBorders>
          </w:tcPr>
          <w:p w:rsidR="008B5166" w:rsidRDefault="00226345">
            <w:pPr>
              <w:spacing w:line="240" w:lineRule="auto"/>
              <w:rPr>
                <w:lang w:val="hu-HU"/>
              </w:rPr>
            </w:pPr>
            <w:r>
              <w:rPr>
                <w:lang w:val="hu-HU"/>
              </w:rPr>
              <w:t>A kezelés megszakításával összefüggő szindróma</w:t>
            </w:r>
          </w:p>
        </w:tc>
      </w:tr>
    </w:tbl>
    <w:p w:rsidR="008B5166" w:rsidRDefault="00226345">
      <w:pPr>
        <w:spacing w:line="240" w:lineRule="auto"/>
        <w:rPr>
          <w:lang w:val="hu-HU"/>
        </w:rPr>
      </w:pPr>
      <w:r>
        <w:rPr>
          <w:lang w:val="hu-HU"/>
        </w:rPr>
        <w:t>*Forgalomba hozatal utáni esetek alapján</w:t>
      </w:r>
    </w:p>
    <w:p w:rsidR="008B5166" w:rsidRDefault="008B5166">
      <w:pPr>
        <w:pStyle w:val="NoSpacing1"/>
        <w:rPr>
          <w:rFonts w:ascii="Times New Roman" w:hAnsi="Times New Roman"/>
          <w:u w:val="single"/>
          <w:lang w:val="hu-HU"/>
        </w:rPr>
      </w:pPr>
    </w:p>
    <w:p w:rsidR="008B5166" w:rsidRDefault="00226345">
      <w:pPr>
        <w:pStyle w:val="NoSpacing1"/>
        <w:rPr>
          <w:rFonts w:ascii="Times New Roman" w:hAnsi="Times New Roman"/>
          <w:u w:val="single"/>
          <w:lang w:val="hu-HU"/>
        </w:rPr>
      </w:pPr>
      <w:r>
        <w:rPr>
          <w:rFonts w:ascii="Times New Roman" w:hAnsi="Times New Roman"/>
          <w:u w:val="single"/>
          <w:lang w:val="hu-HU"/>
        </w:rPr>
        <w:t>A kiválasztott mellékhatások leírása</w:t>
      </w:r>
    </w:p>
    <w:p w:rsidR="008B5166" w:rsidRDefault="00226345">
      <w:pPr>
        <w:pStyle w:val="NoSpacing1"/>
        <w:rPr>
          <w:rFonts w:ascii="Times New Roman" w:hAnsi="Times New Roman"/>
          <w:i/>
          <w:iCs/>
          <w:lang w:val="hu-HU"/>
        </w:rPr>
      </w:pPr>
      <w:r>
        <w:rPr>
          <w:rFonts w:ascii="Times New Roman" w:hAnsi="Times New Roman"/>
          <w:i/>
          <w:iCs/>
          <w:lang w:val="hu-HU"/>
        </w:rPr>
        <w:t>Hányinger</w:t>
      </w:r>
    </w:p>
    <w:p w:rsidR="008B5166" w:rsidRDefault="00226345">
      <w:pPr>
        <w:pStyle w:val="NoSpacing1"/>
        <w:rPr>
          <w:rFonts w:ascii="Times New Roman" w:hAnsi="Times New Roman"/>
          <w:lang w:val="hu-HU"/>
        </w:rPr>
      </w:pPr>
      <w:r>
        <w:rPr>
          <w:rFonts w:ascii="Times New Roman" w:hAnsi="Times New Roman"/>
          <w:lang w:val="hu-HU"/>
        </w:rPr>
        <w:t>A hányinger általában enyhe vagy közepesen súlyos volt, és a kezelés első két hetében jelentkezett. A reakciók rendszerint átmenetiek voltak, és általában nem vezettek a terápia megszakításához. Az emésztőrendszeri mellékhatások, mint például a hányinger, gyakrabban fordultak elő a nőknél, mint a férfiaknál.</w:t>
      </w:r>
    </w:p>
    <w:p w:rsidR="008B5166" w:rsidRDefault="008B5166">
      <w:pPr>
        <w:pStyle w:val="NoSpacing1"/>
        <w:rPr>
          <w:i/>
          <w:iCs/>
          <w:lang w:val="hu-HU"/>
        </w:rPr>
      </w:pPr>
    </w:p>
    <w:p w:rsidR="008B5166" w:rsidRDefault="00226345">
      <w:pPr>
        <w:pStyle w:val="NoSpacing1"/>
        <w:rPr>
          <w:rFonts w:ascii="Times New Roman" w:hAnsi="Times New Roman"/>
          <w:i/>
          <w:iCs/>
          <w:lang w:val="hu-HU"/>
        </w:rPr>
      </w:pPr>
      <w:r>
        <w:rPr>
          <w:rFonts w:ascii="Times New Roman" w:hAnsi="Times New Roman"/>
          <w:i/>
          <w:iCs/>
          <w:lang w:val="hu-HU"/>
        </w:rPr>
        <w:t>Idősek</w:t>
      </w:r>
    </w:p>
    <w:p w:rsidR="008B5166" w:rsidRDefault="00226345">
      <w:pPr>
        <w:pStyle w:val="NoSpacing1"/>
        <w:rPr>
          <w:rFonts w:ascii="Times New Roman" w:hAnsi="Times New Roman"/>
          <w:lang w:val="hu-HU"/>
        </w:rPr>
      </w:pPr>
      <w:r>
        <w:rPr>
          <w:rFonts w:ascii="Times New Roman" w:hAnsi="Times New Roman"/>
          <w:lang w:val="hu-HU"/>
        </w:rPr>
        <w:t>A napi egyszer 10</w:t>
      </w:r>
      <w:r>
        <w:rPr>
          <w:lang w:val="hu-HU"/>
        </w:rPr>
        <w:t> </w:t>
      </w:r>
      <w:r>
        <w:rPr>
          <w:rFonts w:ascii="Times New Roman" w:hAnsi="Times New Roman"/>
          <w:lang w:val="hu-HU"/>
        </w:rPr>
        <w:t>mg-os vagy nagyobb vortioxetin-dózis alkalmazásakor a vizsgálatokból kivontak aránya a 65</w:t>
      </w:r>
      <w:r>
        <w:rPr>
          <w:lang w:val="hu-HU"/>
        </w:rPr>
        <w:t> </w:t>
      </w:r>
      <w:r>
        <w:rPr>
          <w:rFonts w:ascii="Times New Roman" w:hAnsi="Times New Roman"/>
          <w:lang w:val="hu-HU"/>
        </w:rPr>
        <w:t>éves vagy idősebb betegeknél magasabb volt.</w:t>
      </w:r>
    </w:p>
    <w:p w:rsidR="008B5166" w:rsidRDefault="00226345">
      <w:pPr>
        <w:pStyle w:val="NoSpacing1"/>
        <w:rPr>
          <w:rFonts w:ascii="Times New Roman" w:hAnsi="Times New Roman"/>
          <w:lang w:val="hu-HU"/>
        </w:rPr>
      </w:pPr>
      <w:r>
        <w:rPr>
          <w:rFonts w:ascii="Times New Roman" w:hAnsi="Times New Roman"/>
          <w:lang w:val="hu-HU"/>
        </w:rPr>
        <w:t>Napi egyszer 20</w:t>
      </w:r>
      <w:r>
        <w:rPr>
          <w:lang w:val="hu-HU"/>
        </w:rPr>
        <w:t> </w:t>
      </w:r>
      <w:r>
        <w:rPr>
          <w:rFonts w:ascii="Times New Roman" w:hAnsi="Times New Roman"/>
          <w:lang w:val="hu-HU"/>
        </w:rPr>
        <w:t>mg vortioxetin alkalmazásakor a hányinger és székrekedés gyakrabban fordult elő a 65</w:t>
      </w:r>
      <w:r>
        <w:rPr>
          <w:lang w:val="hu-HU"/>
        </w:rPr>
        <w:t> </w:t>
      </w:r>
      <w:r>
        <w:rPr>
          <w:rFonts w:ascii="Times New Roman" w:hAnsi="Times New Roman"/>
          <w:lang w:val="hu-HU"/>
        </w:rPr>
        <w:t>éves vagy idősebb betegeknél (42%, illetve 15%), mint a 65</w:t>
      </w:r>
      <w:r>
        <w:rPr>
          <w:lang w:val="hu-HU"/>
        </w:rPr>
        <w:t> </w:t>
      </w:r>
      <w:r>
        <w:rPr>
          <w:rFonts w:ascii="Times New Roman" w:hAnsi="Times New Roman"/>
          <w:lang w:val="hu-HU"/>
        </w:rPr>
        <w:t>évesnél fiatalabbaknál (27%, illetve</w:t>
      </w:r>
    </w:p>
    <w:p w:rsidR="008B5166" w:rsidRDefault="00226345">
      <w:pPr>
        <w:pStyle w:val="NoSpacing1"/>
        <w:rPr>
          <w:rFonts w:ascii="Times New Roman" w:hAnsi="Times New Roman"/>
          <w:lang w:val="hu-HU"/>
        </w:rPr>
      </w:pPr>
      <w:r>
        <w:rPr>
          <w:rFonts w:ascii="Times New Roman" w:hAnsi="Times New Roman"/>
          <w:lang w:val="hu-HU"/>
        </w:rPr>
        <w:t>4%) (lásd 4.4 pont).</w:t>
      </w:r>
    </w:p>
    <w:p w:rsidR="008B5166" w:rsidRDefault="008B5166">
      <w:pPr>
        <w:pStyle w:val="NoSpacing1"/>
        <w:rPr>
          <w:rFonts w:ascii="Times New Roman" w:hAnsi="Times New Roman"/>
          <w:lang w:val="hu-HU"/>
        </w:rPr>
      </w:pPr>
    </w:p>
    <w:p w:rsidR="008B5166" w:rsidRDefault="00226345">
      <w:pPr>
        <w:pStyle w:val="NoSpacing1"/>
        <w:rPr>
          <w:rFonts w:ascii="Times New Roman" w:hAnsi="Times New Roman"/>
          <w:i/>
          <w:iCs/>
          <w:lang w:val="hu-HU"/>
        </w:rPr>
      </w:pPr>
      <w:r>
        <w:rPr>
          <w:rFonts w:ascii="Times New Roman" w:hAnsi="Times New Roman"/>
          <w:i/>
          <w:iCs/>
          <w:lang w:val="hu-HU"/>
        </w:rPr>
        <w:t>Szexuális diszfunkció</w:t>
      </w:r>
    </w:p>
    <w:p w:rsidR="008B5166" w:rsidRDefault="00226345">
      <w:pPr>
        <w:pStyle w:val="NoSpacing1"/>
        <w:rPr>
          <w:rFonts w:ascii="Times New Roman" w:hAnsi="Times New Roman"/>
          <w:lang w:val="hu-HU"/>
        </w:rPr>
      </w:pPr>
      <w:r>
        <w:rPr>
          <w:rFonts w:ascii="Times New Roman" w:hAnsi="Times New Roman"/>
          <w:lang w:val="hu-HU"/>
        </w:rPr>
        <w:t>A klinikai vizsgálatokban a szexuális diszfunkció mértékét az Arizona szexuális tapasztalati skála (Sexual Experience Scale – ASEX) alkalmazásával mérték fel. Az 5-től 15</w:t>
      </w:r>
      <w:r>
        <w:rPr>
          <w:lang w:val="hu-HU"/>
        </w:rPr>
        <w:t> </w:t>
      </w:r>
      <w:r>
        <w:rPr>
          <w:rFonts w:ascii="Times New Roman" w:hAnsi="Times New Roman"/>
          <w:lang w:val="hu-HU"/>
        </w:rPr>
        <w:t>mg-ig terjedő dózistartományban a vortioxetin nem különbözött a placebótól. A vortioxetin 20</w:t>
      </w:r>
      <w:r>
        <w:rPr>
          <w:lang w:val="hu-HU"/>
        </w:rPr>
        <w:t> </w:t>
      </w:r>
      <w:r>
        <w:rPr>
          <w:rFonts w:ascii="Times New Roman" w:hAnsi="Times New Roman"/>
          <w:lang w:val="hu-HU"/>
        </w:rPr>
        <w:t>mg-os adagját alkalmazva azonban a kezelés során megnőtt a szexuális diszfunkció (sexual dysfunction, TESD) gyakorisága (lásd 5.1 pont). A forgalomba hozatalt követően szexuális diszfunkció eseteiről számoltak be a vortioxetin 20</w:t>
      </w:r>
      <w:r>
        <w:rPr>
          <w:lang w:val="hu-HU"/>
        </w:rPr>
        <w:t> </w:t>
      </w:r>
      <w:r>
        <w:rPr>
          <w:rFonts w:ascii="Times New Roman" w:hAnsi="Times New Roman"/>
          <w:lang w:val="hu-HU"/>
        </w:rPr>
        <w:t>mg alatti adagjai mellett is.</w:t>
      </w:r>
    </w:p>
    <w:p w:rsidR="008B5166" w:rsidRDefault="008B5166">
      <w:pPr>
        <w:pStyle w:val="NoSpacing1"/>
        <w:rPr>
          <w:i/>
          <w:iCs/>
          <w:lang w:val="hu-HU"/>
        </w:rPr>
      </w:pPr>
    </w:p>
    <w:p w:rsidR="008B5166" w:rsidRDefault="00226345">
      <w:pPr>
        <w:pStyle w:val="NoSpacing1"/>
        <w:rPr>
          <w:rFonts w:ascii="Times New Roman" w:hAnsi="Times New Roman"/>
          <w:i/>
          <w:iCs/>
          <w:lang w:val="hu-HU"/>
        </w:rPr>
      </w:pPr>
      <w:r>
        <w:rPr>
          <w:rFonts w:ascii="Times New Roman" w:hAnsi="Times New Roman"/>
          <w:i/>
          <w:iCs/>
          <w:lang w:val="hu-HU"/>
        </w:rPr>
        <w:t>A gyógyszercsoportra jellemző mellékhatások</w:t>
      </w:r>
    </w:p>
    <w:p w:rsidR="008B5166" w:rsidRDefault="00226345">
      <w:pPr>
        <w:pStyle w:val="NoSpacing1"/>
        <w:rPr>
          <w:rFonts w:ascii="Times New Roman" w:hAnsi="Times New Roman"/>
          <w:lang w:val="hu-HU"/>
        </w:rPr>
      </w:pPr>
      <w:r>
        <w:rPr>
          <w:rFonts w:ascii="Times New Roman" w:hAnsi="Times New Roman"/>
          <w:lang w:val="hu-HU"/>
        </w:rPr>
        <w:t>Az antidepresszánsok rokon farmakológiai osztályaiba sorolt gyógyszerekkel (SSRI-k vagy TCA-k) kezelt, javarészt 50 éves vagy idősebb betegekkel folytatott epidemiológiai vizsgálatokban a csonttörések kockázatának növekedését tapasztalták. A kockázathoz vezető mechanizmus nem ismert, és az sem, hogy ez a kockázat a vortioxetin esetében is fennáll-e.</w:t>
      </w:r>
    </w:p>
    <w:p w:rsidR="008B5166" w:rsidRDefault="008B5166">
      <w:pPr>
        <w:pStyle w:val="NoSpacing1"/>
        <w:rPr>
          <w:i/>
          <w:iCs/>
          <w:u w:val="single"/>
          <w:lang w:val="hu-HU"/>
        </w:rPr>
      </w:pPr>
    </w:p>
    <w:p w:rsidR="008B5166" w:rsidRDefault="00226345">
      <w:pPr>
        <w:pStyle w:val="NoSpacing1"/>
        <w:rPr>
          <w:rFonts w:ascii="Times New Roman" w:hAnsi="Times New Roman"/>
          <w:i/>
          <w:iCs/>
          <w:lang w:val="hu-HU"/>
        </w:rPr>
      </w:pPr>
      <w:r>
        <w:rPr>
          <w:rFonts w:ascii="Times New Roman" w:hAnsi="Times New Roman"/>
          <w:i/>
          <w:iCs/>
          <w:lang w:val="hu-HU"/>
        </w:rPr>
        <w:t>Gyermekek és serdülők</w:t>
      </w:r>
    </w:p>
    <w:p w:rsidR="008B5166" w:rsidRDefault="00226345">
      <w:pPr>
        <w:pStyle w:val="NoSpacing1"/>
        <w:rPr>
          <w:rFonts w:ascii="Times New Roman" w:hAnsi="Times New Roman"/>
          <w:lang w:val="hu-HU"/>
        </w:rPr>
      </w:pPr>
      <w:r>
        <w:rPr>
          <w:rFonts w:ascii="Times New Roman" w:hAnsi="Times New Roman"/>
          <w:lang w:val="hu-HU"/>
        </w:rPr>
        <w:t>Két kettős vak, placebokontrollos vizsgálatot végeztek, az egyikben összesen 304, major depresszióban (MDD) szenvedő, 7–11</w:t>
      </w:r>
      <w:r>
        <w:rPr>
          <w:lang w:val="hu-HU"/>
        </w:rPr>
        <w:t> </w:t>
      </w:r>
      <w:r>
        <w:rPr>
          <w:rFonts w:ascii="Times New Roman" w:hAnsi="Times New Roman"/>
          <w:lang w:val="hu-HU"/>
        </w:rPr>
        <w:t>éves korú gyermeket, a másikban 308, major depresszióban (MDD) szenvedő 12–17</w:t>
      </w:r>
      <w:r>
        <w:rPr>
          <w:lang w:val="hu-HU"/>
        </w:rPr>
        <w:t> </w:t>
      </w:r>
      <w:r>
        <w:rPr>
          <w:rFonts w:ascii="Times New Roman" w:hAnsi="Times New Roman"/>
          <w:lang w:val="hu-HU"/>
        </w:rPr>
        <w:t>éves korú gyermeket és serdülőt kezeltek vortioxetinnel. Általánosságban véve a vortioxetin mellékhatásprofilja gyermekek és serdülők esetén hasonló volt a felnőtteknél megfigyeltekéhez, eltekintve attól, hogy a felnőttekhez képest nagyobb gyakorisággal fordultak elő hasi fájdalommal kapcsolatos események és – kifejezetten serdülőknél – öngyilkossági gondolatok (lásd 5.1 pont).</w:t>
      </w:r>
    </w:p>
    <w:p w:rsidR="008B5166" w:rsidRDefault="008B5166">
      <w:pPr>
        <w:pStyle w:val="NoSpacing1"/>
        <w:rPr>
          <w:rFonts w:ascii="Times New Roman" w:hAnsi="Times New Roman"/>
          <w:lang w:val="hu-HU"/>
        </w:rPr>
      </w:pPr>
    </w:p>
    <w:p w:rsidR="008B5166" w:rsidRDefault="00226345">
      <w:pPr>
        <w:pStyle w:val="NoSpacing1"/>
        <w:rPr>
          <w:rFonts w:ascii="Times New Roman" w:hAnsi="Times New Roman"/>
          <w:lang w:val="hu-HU"/>
        </w:rPr>
      </w:pPr>
      <w:r>
        <w:rPr>
          <w:rFonts w:ascii="Times New Roman" w:hAnsi="Times New Roman"/>
          <w:lang w:val="hu-HU"/>
        </w:rPr>
        <w:t>Két hosszú távú, nyílt elrendezésű, kiterjesztett vizsgálatot végeztek 5 mg/nap és 20</w:t>
      </w:r>
      <w:r>
        <w:rPr>
          <w:lang w:val="hu-HU"/>
        </w:rPr>
        <w:t> </w:t>
      </w:r>
      <w:r>
        <w:rPr>
          <w:rFonts w:ascii="Times New Roman" w:hAnsi="Times New Roman"/>
          <w:lang w:val="hu-HU"/>
        </w:rPr>
        <w:t>mg/nap közötti vortioxetin-adagokkal, 6</w:t>
      </w:r>
      <w:r>
        <w:rPr>
          <w:lang w:val="hu-HU"/>
        </w:rPr>
        <w:t> </w:t>
      </w:r>
      <w:r>
        <w:rPr>
          <w:rFonts w:ascii="Times New Roman" w:hAnsi="Times New Roman"/>
          <w:lang w:val="hu-HU"/>
        </w:rPr>
        <w:t>hónapos (N=662), illetve 18</w:t>
      </w:r>
      <w:r>
        <w:rPr>
          <w:lang w:val="hu-HU"/>
        </w:rPr>
        <w:t> </w:t>
      </w:r>
      <w:r>
        <w:rPr>
          <w:rFonts w:ascii="Times New Roman" w:hAnsi="Times New Roman"/>
          <w:lang w:val="hu-HU"/>
        </w:rPr>
        <w:t>hónapos (N=94) kezelési időtartammal. A vortioxetin biztonságossági és tolerálhatósági profilja gyermekeknél és serdülőknél a hosszú távú alkalmazás után összességében hasonló volt a rövid távú alkalmazás után megfigyeltekhez.</w:t>
      </w:r>
    </w:p>
    <w:p w:rsidR="008B5166" w:rsidRDefault="008B5166">
      <w:pPr>
        <w:pStyle w:val="NoSpacing1"/>
        <w:rPr>
          <w:rFonts w:ascii="Times New Roman" w:hAnsi="Times New Roman"/>
          <w:lang w:val="hu-HU"/>
        </w:rPr>
      </w:pPr>
    </w:p>
    <w:p w:rsidR="008B5166" w:rsidRDefault="00226345">
      <w:pPr>
        <w:pStyle w:val="NoSpacing1"/>
        <w:rPr>
          <w:rFonts w:ascii="Times New Roman" w:hAnsi="Times New Roman"/>
          <w:i/>
          <w:iCs/>
          <w:lang w:val="hu-HU"/>
        </w:rPr>
      </w:pPr>
      <w:r>
        <w:rPr>
          <w:rFonts w:ascii="Times New Roman" w:hAnsi="Times New Roman"/>
          <w:i/>
          <w:iCs/>
          <w:lang w:val="hu-HU"/>
        </w:rPr>
        <w:t>A vortioxetin-kezelés megszakításakor jelentkező tünetek</w:t>
      </w:r>
    </w:p>
    <w:p w:rsidR="008B5166" w:rsidRDefault="00226345">
      <w:pPr>
        <w:pStyle w:val="NoSpacing1"/>
        <w:rPr>
          <w:rFonts w:ascii="Times New Roman" w:hAnsi="Times New Roman"/>
          <w:lang w:val="hu-HU"/>
        </w:rPr>
      </w:pPr>
      <w:r>
        <w:rPr>
          <w:rFonts w:ascii="Times New Roman" w:hAnsi="Times New Roman"/>
          <w:lang w:val="hu-HU"/>
        </w:rPr>
        <w:t>A klinikai vizsgálatokban a vortioxetin-kezelés hirtelen megszakítását követően szisztematikusan értékelték a kezelés megszakításával összefüggő tüneteket. A vortioxetinnel történő kezelést követően nem volt klinikailag releváns különbség a placebóhoz képest a kezelés megszakításával összefüggő tünetek incidenciája vagy jellege tekintetében (lásd 5.1 pont). A forgalomba hozatalt követő időszakban olyan esetekről számoltak be, amelyek a kezelés megszakításával összefüggő tünetekkel jártak, ilyen volt többek között a szédülés, fejfájás, érzékelési zavarok (beleértve a paraesthesiát, áramütésszerű érzést), alvászavarok (beleértve az álmatlanságot), hányinger és/vagy hányás, szorongás, ingerlékenység, izgatottság, fáradtság és tremor. Ezek a tünetek a vortioxetin-kezelés megszakítását követő első héten belül jelentkezhetnek.</w:t>
      </w:r>
    </w:p>
    <w:p w:rsidR="008B5166" w:rsidRDefault="008B5166">
      <w:pPr>
        <w:pStyle w:val="NoSpacing1"/>
        <w:rPr>
          <w:rFonts w:ascii="Times New Roman" w:hAnsi="Times New Roman"/>
          <w:u w:val="single"/>
          <w:lang w:val="hu-HU"/>
        </w:rPr>
      </w:pPr>
    </w:p>
    <w:p w:rsidR="008B5166" w:rsidRDefault="00226345">
      <w:pPr>
        <w:pStyle w:val="NoSpacing1"/>
        <w:rPr>
          <w:rFonts w:ascii="Times New Roman" w:hAnsi="Times New Roman"/>
          <w:u w:val="single"/>
          <w:lang w:val="hu-HU"/>
        </w:rPr>
      </w:pPr>
      <w:r>
        <w:rPr>
          <w:rFonts w:ascii="Times New Roman" w:hAnsi="Times New Roman"/>
          <w:u w:val="single"/>
          <w:lang w:val="hu-HU"/>
        </w:rPr>
        <w:t>Feltételezett mellékhatások bejelentése</w:t>
      </w:r>
    </w:p>
    <w:p w:rsidR="008B5166" w:rsidRDefault="00226345">
      <w:pPr>
        <w:pStyle w:val="NoSpacing1"/>
        <w:rPr>
          <w:rFonts w:ascii="Times New Roman" w:hAnsi="Times New Roman"/>
          <w:lang w:val="hu-HU"/>
        </w:rPr>
      </w:pPr>
      <w:r>
        <w:rPr>
          <w:rFonts w:ascii="Times New Roman" w:hAnsi="Times New Roman"/>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Pr>
            <w:rStyle w:val="Hiperhivatkozs"/>
            <w:rFonts w:ascii="Times New Roman" w:hAnsi="Times New Roman"/>
            <w:highlight w:val="lightGray"/>
            <w:lang w:val="hu-HU"/>
          </w:rPr>
          <w:t>V. függelékben</w:t>
        </w:r>
      </w:hyperlink>
      <w:r>
        <w:rPr>
          <w:rFonts w:ascii="Times New Roman" w:hAnsi="Times New Roman"/>
          <w:highlight w:val="lightGray"/>
          <w:lang w:val="hu-HU"/>
        </w:rPr>
        <w:t xml:space="preserve"> található elérhetőségek valamelyikén keresztül.</w:t>
      </w:r>
    </w:p>
    <w:p w:rsidR="008B5166" w:rsidRDefault="008B5166">
      <w:pPr>
        <w:ind w:left="567" w:hanging="567"/>
        <w:rPr>
          <w:lang w:val="hu-HU"/>
        </w:rPr>
      </w:pPr>
    </w:p>
    <w:p w:rsidR="008B5166" w:rsidRDefault="00226345">
      <w:pPr>
        <w:spacing w:line="240" w:lineRule="auto"/>
        <w:ind w:left="567" w:hanging="567"/>
        <w:outlineLvl w:val="0"/>
        <w:rPr>
          <w:b/>
          <w:bCs/>
          <w:lang w:val="hu-HU"/>
        </w:rPr>
      </w:pPr>
      <w:r>
        <w:rPr>
          <w:b/>
          <w:bCs/>
          <w:lang w:val="hu-HU"/>
        </w:rPr>
        <w:t>4.9</w:t>
      </w:r>
      <w:r>
        <w:rPr>
          <w:b/>
          <w:bCs/>
          <w:lang w:val="hu-HU"/>
        </w:rPr>
        <w:tab/>
        <w:t>Túladagolás</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T</w:t>
      </w:r>
      <w:r>
        <w:rPr>
          <w:rFonts w:hint="eastAsia"/>
          <w:u w:val="single"/>
          <w:lang w:val="hu-HU"/>
        </w:rPr>
        <w:t>ü</w:t>
      </w:r>
      <w:r>
        <w:rPr>
          <w:u w:val="single"/>
          <w:lang w:val="hu-HU"/>
        </w:rPr>
        <w:t>netek</w:t>
      </w:r>
    </w:p>
    <w:p w:rsidR="008B5166" w:rsidRDefault="00226345">
      <w:pPr>
        <w:spacing w:line="240" w:lineRule="auto"/>
        <w:rPr>
          <w:lang w:val="hu-HU"/>
        </w:rPr>
      </w:pPr>
      <w:r>
        <w:rPr>
          <w:lang w:val="hu-HU"/>
        </w:rPr>
        <w:t>Klinikai vizsgálatokban a 40–75 mg-os dózistartományban a vortioxetin bevétele a következő mellékhatások felerősödését okozta: hányinger, felálláskor jelentkező szédülés, hasmenés, hasi diszkomfortérzés, generalizált pruritus, somnolentia és kipirulás.</w:t>
      </w:r>
    </w:p>
    <w:p w:rsidR="008B5166" w:rsidRDefault="008B5166">
      <w:pPr>
        <w:spacing w:line="240" w:lineRule="auto"/>
        <w:rPr>
          <w:lang w:val="hu-HU"/>
        </w:rPr>
      </w:pPr>
    </w:p>
    <w:p w:rsidR="008B5166" w:rsidRDefault="00226345">
      <w:pPr>
        <w:spacing w:line="240" w:lineRule="auto"/>
        <w:rPr>
          <w:lang w:val="hu-HU"/>
        </w:rPr>
      </w:pPr>
      <w:r>
        <w:rPr>
          <w:lang w:val="hu-HU"/>
        </w:rPr>
        <w:t>A forgalomba hozatalt követő tapasztalatok elsősorban a 80 mg-ig terjedő vortioxetin túladagolásra vonatkoznak. Az esetek többségében tünetmentességről, illetve enyhe tünetekről számoltak be. A leggyakrabban jelentett tünet a hányinger és a hányás volt.</w:t>
      </w:r>
    </w:p>
    <w:p w:rsidR="008B5166" w:rsidRDefault="008B5166">
      <w:pPr>
        <w:spacing w:line="240" w:lineRule="auto"/>
        <w:rPr>
          <w:lang w:val="hu-HU"/>
        </w:rPr>
      </w:pPr>
    </w:p>
    <w:p w:rsidR="008B5166" w:rsidRDefault="00226345">
      <w:pPr>
        <w:spacing w:line="240" w:lineRule="auto"/>
        <w:rPr>
          <w:lang w:val="hu-HU"/>
        </w:rPr>
      </w:pPr>
      <w:r>
        <w:rPr>
          <w:lang w:val="hu-HU"/>
        </w:rPr>
        <w:t>A 80 mg-ot meghaladó vortioxetin túladagolással kapcsolatban korlátozottak a tapasztalatok. A terápiás dózistartomány többszörösét meghaladó dózisok alkalmazását követően görcsrohamok és szerotonin szindróma előfordulásáról számoltak be.</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Kezel</w:t>
      </w:r>
      <w:r>
        <w:rPr>
          <w:rFonts w:hint="eastAsia"/>
          <w:u w:val="single"/>
          <w:lang w:val="hu-HU"/>
        </w:rPr>
        <w:t>é</w:t>
      </w:r>
      <w:r>
        <w:rPr>
          <w:u w:val="single"/>
          <w:lang w:val="hu-HU"/>
        </w:rPr>
        <w:t>s</w:t>
      </w:r>
    </w:p>
    <w:p w:rsidR="008B5166" w:rsidRDefault="00226345">
      <w:pPr>
        <w:spacing w:line="240" w:lineRule="auto"/>
        <w:rPr>
          <w:lang w:val="hu-HU"/>
        </w:rPr>
      </w:pPr>
      <w:r>
        <w:rPr>
          <w:lang w:val="hu-HU"/>
        </w:rPr>
        <w:t>Túladagolás esetén a klinikai tünetek kezelése és a beteg állapotának megfelelő monitorozása szükséges. További orvosi felügyelet szakellátást biztosító intézményben javasolt.</w:t>
      </w:r>
    </w:p>
    <w:p w:rsidR="008B5166" w:rsidRDefault="008B5166">
      <w:pPr>
        <w:spacing w:line="240" w:lineRule="auto"/>
        <w:ind w:left="567" w:hanging="567"/>
        <w:outlineLvl w:val="0"/>
        <w:rPr>
          <w:b/>
          <w:bCs/>
          <w:lang w:val="hu-HU"/>
        </w:rPr>
      </w:pP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t>5.</w:t>
      </w:r>
      <w:r>
        <w:rPr>
          <w:b/>
          <w:bCs/>
          <w:lang w:val="hu-HU"/>
        </w:rPr>
        <w:tab/>
        <w:t>FARMAKOLÓGIAI TULAJDONSÁGOK</w:t>
      </w: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t>5.1</w:t>
      </w:r>
      <w:r>
        <w:rPr>
          <w:b/>
          <w:bCs/>
          <w:lang w:val="hu-HU"/>
        </w:rPr>
        <w:tab/>
        <w:t>Farmakodinámiás tulajdonságok</w:t>
      </w:r>
    </w:p>
    <w:p w:rsidR="008B5166" w:rsidRDefault="008B5166">
      <w:pPr>
        <w:spacing w:line="240" w:lineRule="auto"/>
        <w:rPr>
          <w:lang w:val="hu-HU"/>
        </w:rPr>
      </w:pPr>
    </w:p>
    <w:p w:rsidR="008B5166" w:rsidRDefault="00226345">
      <w:pPr>
        <w:spacing w:line="240" w:lineRule="auto"/>
        <w:rPr>
          <w:lang w:val="hu-HU"/>
        </w:rPr>
      </w:pPr>
      <w:r>
        <w:rPr>
          <w:lang w:val="hu-HU"/>
        </w:rPr>
        <w:t>Farmakoter</w:t>
      </w:r>
      <w:r>
        <w:rPr>
          <w:rFonts w:hint="eastAsia"/>
          <w:lang w:val="hu-HU"/>
        </w:rPr>
        <w:t>á</w:t>
      </w:r>
      <w:r>
        <w:rPr>
          <w:lang w:val="hu-HU"/>
        </w:rPr>
        <w:t>pi</w:t>
      </w:r>
      <w:r>
        <w:rPr>
          <w:rFonts w:hint="eastAsia"/>
          <w:lang w:val="hu-HU"/>
        </w:rPr>
        <w:t>á</w:t>
      </w:r>
      <w:r>
        <w:rPr>
          <w:lang w:val="hu-HU"/>
        </w:rPr>
        <w:t xml:space="preserve">s csoport: Pszichoanaleptikumok; Egyéb antidepresszánsok; ATC kód: N06AX26 </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Hatásmechanizmus</w:t>
      </w:r>
    </w:p>
    <w:p w:rsidR="008B5166" w:rsidRDefault="008B5166">
      <w:pPr>
        <w:spacing w:line="240" w:lineRule="auto"/>
        <w:rPr>
          <w:lang w:val="hu-HU"/>
        </w:rPr>
      </w:pPr>
    </w:p>
    <w:p w:rsidR="008B5166" w:rsidRDefault="00226345">
      <w:pPr>
        <w:spacing w:line="240" w:lineRule="auto"/>
        <w:rPr>
          <w:lang w:val="hu-HU"/>
        </w:rPr>
      </w:pPr>
      <w:r>
        <w:rPr>
          <w:lang w:val="hu-HU"/>
        </w:rPr>
        <w:t>A vortioxetin hatásmechanizmusa vélhetően egyrészről arra vezethető vissza, hogy közvetlenül modulálja a szerotonerg receptoraktivitást, másrészről pedig gátolja a szerotonin (5-HT) transzportert is. Nem klinikai adatok alapján a vortioxetin 5-HT</w:t>
      </w:r>
      <w:r>
        <w:rPr>
          <w:vertAlign w:val="subscript"/>
          <w:lang w:val="hu-HU"/>
        </w:rPr>
        <w:t>3</w:t>
      </w:r>
      <w:r>
        <w:rPr>
          <w:lang w:val="hu-HU"/>
        </w:rPr>
        <w:t>, 5-HT</w:t>
      </w:r>
      <w:r>
        <w:rPr>
          <w:vertAlign w:val="subscript"/>
          <w:lang w:val="hu-HU"/>
        </w:rPr>
        <w:t>7</w:t>
      </w:r>
      <w:r>
        <w:rPr>
          <w:lang w:val="hu-HU"/>
        </w:rPr>
        <w:t xml:space="preserve"> és 5-HT</w:t>
      </w:r>
      <w:r>
        <w:rPr>
          <w:vertAlign w:val="subscript"/>
          <w:lang w:val="hu-HU"/>
        </w:rPr>
        <w:t>1D</w:t>
      </w:r>
      <w:r>
        <w:rPr>
          <w:lang w:val="hu-HU"/>
        </w:rPr>
        <w:t xml:space="preserve"> receptor antagonista, 5-HT</w:t>
      </w:r>
      <w:r>
        <w:rPr>
          <w:vertAlign w:val="subscript"/>
          <w:lang w:val="hu-HU"/>
        </w:rPr>
        <w:t>1B</w:t>
      </w:r>
      <w:r>
        <w:rPr>
          <w:lang w:val="hu-HU"/>
        </w:rPr>
        <w:t xml:space="preserve"> receptor parciális agonista, 5-HT</w:t>
      </w:r>
      <w:r>
        <w:rPr>
          <w:vertAlign w:val="subscript"/>
          <w:lang w:val="hu-HU"/>
        </w:rPr>
        <w:t>1A</w:t>
      </w:r>
      <w:r>
        <w:rPr>
          <w:lang w:val="hu-HU"/>
        </w:rPr>
        <w:t xml:space="preserve"> receptor agonista és 5-HT transzporter inhibitor, ennélfogva több rendszerben, így túlnyomóan a szerotonin-rendszerben, de valószínűleg a noradrenalin-, dopamin-, hisztamin-, acetilkolin-, GABA- és glutamát-rendszerben is modulálja a neurotranszmissziót. Ez a multimodális aktivitás felelős a vortioxetin állatkísérletekben megfigyelt antidepresszív és szorongásoldás-szerű, valamint a kognitív funkciókat, a tanulást és a memóriát javító hatásáért. Egyelőre azonban még nem ismert, hogy az egyes célhelyek pontosan milyen szerepet töltenek be az észlelt farmakodinámiás profil összességében, és az állatkísérletes eredmények csak óvatosan extrapolálhatók közvetlenül az emberekre.</w:t>
      </w:r>
    </w:p>
    <w:p w:rsidR="008B5166" w:rsidRDefault="008B5166">
      <w:pPr>
        <w:spacing w:line="240" w:lineRule="auto"/>
        <w:rPr>
          <w:lang w:val="hu-HU"/>
        </w:rPr>
      </w:pPr>
    </w:p>
    <w:p w:rsidR="008B5166" w:rsidRDefault="00226345">
      <w:pPr>
        <w:spacing w:line="240" w:lineRule="auto"/>
        <w:rPr>
          <w:lang w:val="hu-HU"/>
        </w:rPr>
      </w:pPr>
      <w:r>
        <w:rPr>
          <w:lang w:val="hu-HU"/>
        </w:rPr>
        <w:t>Két humán pozitronemissziós tomográfiás (positron emission tomography, PET) vizsgálatot végeztek 5-HT transzporter ligandumok (</w:t>
      </w:r>
      <w:r>
        <w:rPr>
          <w:vertAlign w:val="superscript"/>
          <w:lang w:val="hu-HU"/>
        </w:rPr>
        <w:t>11</w:t>
      </w:r>
      <w:r>
        <w:rPr>
          <w:lang w:val="hu-HU"/>
        </w:rPr>
        <w:t xml:space="preserve">C-MADAM vagy </w:t>
      </w:r>
      <w:r>
        <w:rPr>
          <w:vertAlign w:val="superscript"/>
          <w:lang w:val="hu-HU"/>
        </w:rPr>
        <w:t>11</w:t>
      </w:r>
      <w:r>
        <w:rPr>
          <w:lang w:val="hu-HU"/>
        </w:rPr>
        <w:t>C-DASB) segítségével az agyban található 5-HT transzporterek különböző dózisszintek melletti lefedettségének meghatározására. Az 5-HT transzporter lefedettség a raphe nucleusokban napi 5 mg dózis mellett 50% körüli, napi 10 mg dózis mellett 65% körüli, napi 20 mg dózis mellett pedig 80% fölötti értékre nőtt.</w:t>
      </w:r>
    </w:p>
    <w:p w:rsidR="008B5166" w:rsidRDefault="008B5166">
      <w:pPr>
        <w:spacing w:line="240" w:lineRule="auto"/>
        <w:rPr>
          <w:u w:val="single"/>
          <w:lang w:val="hu-HU"/>
        </w:rPr>
      </w:pPr>
    </w:p>
    <w:p w:rsidR="008B5166" w:rsidRDefault="00226345">
      <w:pPr>
        <w:spacing w:line="240" w:lineRule="auto"/>
        <w:rPr>
          <w:lang w:val="hu-HU"/>
        </w:rPr>
      </w:pPr>
      <w:r>
        <w:rPr>
          <w:u w:val="single"/>
          <w:lang w:val="hu-HU"/>
        </w:rPr>
        <w:t>Klinikai hatásosság és biztonságosság</w:t>
      </w:r>
    </w:p>
    <w:p w:rsidR="008B5166" w:rsidRDefault="008B5166">
      <w:pPr>
        <w:spacing w:line="240" w:lineRule="auto"/>
        <w:rPr>
          <w:lang w:val="hu-HU"/>
        </w:rPr>
      </w:pPr>
    </w:p>
    <w:p w:rsidR="008B5166" w:rsidRDefault="00226345">
      <w:pPr>
        <w:spacing w:line="240" w:lineRule="auto"/>
        <w:rPr>
          <w:lang w:val="hu-HU"/>
        </w:rPr>
      </w:pPr>
      <w:r>
        <w:rPr>
          <w:lang w:val="hu-HU"/>
        </w:rPr>
        <w:t>A vortioxetin hatásosságát és biztonságosságát egy, több mint 6700 beteg bevonásával végzett klinikai programban vizsgálták, amelyből összesen 3700 beteget kezeltek vortioxetinnel a major depresszió (MDD) rövid távú (≤12 hetes) vizsgálataiban. Tizenkét kettős vak, placebokontrollos, 6 vagy 8 hetes, fix dózisú vizsgálatot végeztek a vortioxetin MDD kezelésében mutatott rövid távú hatásosságának értékelésére felnőtteknél (az idős betegeket is beleértve). A 12 vizsgálat közül 9 esetében a vortioxetin legalább egy vizsgált dózisa hatásosnak bizonyult a Montgomery és Åsberg depresszió értékelő skála (Montgomery and Åsberg Depression Rating Scale, MADRS) vagy a 24 pontos Hamilton depresszió értékelő skála (Hamilton Depression Rating Scale 24-item, HAM-D24), összpontszámában a placebóhoz képest elért 2 pontos különbség alapján. Ezt az eredményt támasztotta alá, hogy a kezelésre reagáló és nem reagáló betegek aránya, valamint a Klinikai összbenyomás – általános javulását jelző pontszám (Clinical Global Impression – Global Improvement, CGI-I) alapján a hatás klinikailag is relevánsnak bizonyult. A vortioxetin hatásossága az adag emelésével nőtt.</w:t>
      </w:r>
    </w:p>
    <w:p w:rsidR="008B5166" w:rsidRDefault="008B5166">
      <w:pPr>
        <w:spacing w:line="240" w:lineRule="auto"/>
        <w:rPr>
          <w:lang w:val="hu-HU"/>
        </w:rPr>
      </w:pPr>
    </w:p>
    <w:p w:rsidR="008B5166" w:rsidRDefault="00226345">
      <w:pPr>
        <w:spacing w:line="240" w:lineRule="auto"/>
        <w:rPr>
          <w:lang w:val="hu-HU"/>
        </w:rPr>
      </w:pPr>
      <w:r>
        <w:rPr>
          <w:lang w:val="hu-HU"/>
        </w:rPr>
        <w:t>Az egyes vizsgálatokban elért hatást alátámasztotta a felnőtt populációban végzett rövid távú, placebokontrollos vizsgálatok kiindulási MADRS összpontszámához képest a 6. vagy 8.hétre elért átlagos változások metaanalízise (MMRM). A metanalízisben az önálló vizsgálatokban a placebóhoz viszonyítva elért átlagos különbség összességében statisztikailag szignifikáns volt: a napi 5, 10, illetve 20 mg-os adagnál -2,3 pont (p = 0,007), -3,6 pont (p &lt;0,001), és -4,6 pont (p &lt;0,001); a metaanalízisben a napi 15 mg-os adag a placebóhoz viszonyítva -2,6 pontos különbséget eredményezett, ami azonban statisztikailag nem különült el a placebótól. A vortioxetin hatásosságát az összesített reszponder analízis is alátámasztotta, melyben a reszponderek aránya a vortioxetin-kezelés mellett 46–49%, míg a placebocsoportban 34% volt (p &lt;0,01; NRI analízis).</w:t>
      </w:r>
    </w:p>
    <w:p w:rsidR="008B5166" w:rsidRDefault="008B5166">
      <w:pPr>
        <w:spacing w:line="240" w:lineRule="auto"/>
        <w:rPr>
          <w:lang w:val="hu-HU"/>
        </w:rPr>
      </w:pPr>
    </w:p>
    <w:p w:rsidR="008B5166" w:rsidRDefault="00226345">
      <w:pPr>
        <w:spacing w:line="240" w:lineRule="auto"/>
        <w:rPr>
          <w:lang w:val="hu-HU"/>
        </w:rPr>
      </w:pPr>
      <w:r>
        <w:rPr>
          <w:lang w:val="hu-HU"/>
        </w:rPr>
        <w:t xml:space="preserve">Ezen felül a vortioxetin a napi 5–20 mg dózistartományban hatásosnak bizonyult </w:t>
      </w:r>
      <w:r>
        <w:t>a depressziós tünetek széles skálájának</w:t>
      </w:r>
      <w:r>
        <w:rPr>
          <w:lang w:val="hu-HU"/>
        </w:rPr>
        <w:t xml:space="preserve"> kezelésében (amit a MADRS skála minden tételének javulása jelzett).</w:t>
      </w:r>
    </w:p>
    <w:p w:rsidR="008B5166" w:rsidRDefault="008B5166">
      <w:pPr>
        <w:spacing w:line="240" w:lineRule="auto"/>
        <w:rPr>
          <w:lang w:val="hu-HU"/>
        </w:rPr>
      </w:pPr>
    </w:p>
    <w:p w:rsidR="008B5166" w:rsidRDefault="00226345">
      <w:pPr>
        <w:spacing w:line="240" w:lineRule="auto"/>
        <w:rPr>
          <w:lang w:val="hu-HU"/>
        </w:rPr>
      </w:pPr>
      <w:r>
        <w:rPr>
          <w:lang w:val="hu-HU"/>
        </w:rPr>
        <w:t>A 10 mg vagy 20 mg dózisú vortioxetin hatásosságát igazolta továbbá a napi 25 mg vagy 50 mg dózisú agomelatinnal szemben egy 12 hetes, kettős vak, flexibilis dózisú, MDD-ben szenvedő betegek részvételével végzett összehasonlító vizsgálat. A MADRS összpontszám javulása alapján a vortioxetin statisztikailag szignifikánsan jobbnak bizonyult az agomelatinnál, és ennek klinikai relevanciáját igazolta a reszponderek és a remissziót mutatók aránya, valamint a CGI-I javulása.</w:t>
      </w:r>
    </w:p>
    <w:p w:rsidR="008B5166" w:rsidRDefault="008B5166">
      <w:pPr>
        <w:spacing w:line="240" w:lineRule="auto"/>
        <w:rPr>
          <w:i/>
          <w:iCs/>
          <w:u w:val="single"/>
          <w:lang w:val="hu-HU"/>
        </w:rPr>
      </w:pPr>
    </w:p>
    <w:p w:rsidR="008B5166" w:rsidRDefault="00226345">
      <w:pPr>
        <w:spacing w:line="240" w:lineRule="auto"/>
        <w:rPr>
          <w:i/>
          <w:iCs/>
          <w:u w:val="single"/>
          <w:lang w:val="hu-HU"/>
        </w:rPr>
      </w:pPr>
      <w:r>
        <w:rPr>
          <w:i/>
          <w:iCs/>
          <w:u w:val="single"/>
          <w:lang w:val="hu-HU"/>
        </w:rPr>
        <w:t>A hatás fenntartása</w:t>
      </w:r>
    </w:p>
    <w:p w:rsidR="008B5166" w:rsidRDefault="00226345">
      <w:pPr>
        <w:spacing w:line="240" w:lineRule="auto"/>
        <w:rPr>
          <w:lang w:val="hu-HU"/>
        </w:rPr>
      </w:pPr>
      <w:r>
        <w:rPr>
          <w:lang w:val="hu-HU"/>
        </w:rPr>
        <w:t>A hosszú távú antidepresszív hatásosságot egy relapszus-prevenciós vizsgálatban igazolták. A kezdeti 12 hetes nyílt elrendezésű vortioxetin-kezelési időszakban remissziót elérő betegeket napi 5 mg vagy 10 mg vortioxetin-, illetve placebokezelésre randomizálták, és a kettős vak szakaszban legalább 24 héten át (24–64 hétig) követték őket, figyelve a relapszus előfordulását. A vortioxetin az elsődleges végpont, az MDD relapszusig eltelt idő tekintetében felülmúlta a placebót (p = 0,004). A relatív hazárd 2,0 volt, vagyis a placebocsoportban kétszer nagyobb volt a relapszus kockázata, mint a vortioxetin- csoportban.</w:t>
      </w:r>
    </w:p>
    <w:p w:rsidR="008B5166" w:rsidRDefault="008B5166">
      <w:pPr>
        <w:spacing w:line="240" w:lineRule="auto"/>
        <w:rPr>
          <w:u w:val="single"/>
          <w:lang w:val="hu-HU"/>
        </w:rPr>
      </w:pPr>
    </w:p>
    <w:p w:rsidR="008B5166" w:rsidRDefault="00226345">
      <w:pPr>
        <w:spacing w:line="240" w:lineRule="auto"/>
        <w:rPr>
          <w:i/>
          <w:iCs/>
          <w:u w:val="single"/>
          <w:lang w:val="hu-HU"/>
        </w:rPr>
      </w:pPr>
      <w:r>
        <w:rPr>
          <w:i/>
          <w:iCs/>
          <w:u w:val="single"/>
          <w:lang w:val="hu-HU"/>
        </w:rPr>
        <w:t>Idősek</w:t>
      </w:r>
    </w:p>
    <w:p w:rsidR="008B5166" w:rsidRDefault="00226345">
      <w:pPr>
        <w:spacing w:line="240" w:lineRule="auto"/>
        <w:rPr>
          <w:lang w:val="hu-HU"/>
        </w:rPr>
      </w:pPr>
      <w:r>
        <w:rPr>
          <w:lang w:val="hu-HU"/>
        </w:rPr>
        <w:t>A depressziós idős betegek (≥65 éves, n = 452, ebből 156 vortioxetinnel kezelt) részvételével végzett 8 hetes, kettős vak, placebokontrollos, fix dózisú vizsgálatban a napi 5 mg vortioxetin a MADRS- és a HAM-D</w:t>
      </w:r>
      <w:r>
        <w:rPr>
          <w:vertAlign w:val="subscript"/>
          <w:lang w:val="hu-HU"/>
        </w:rPr>
        <w:t>24</w:t>
      </w:r>
      <w:r>
        <w:rPr>
          <w:lang w:val="hu-HU"/>
        </w:rPr>
        <w:t>-összpontszámok javulása alapján felülmúlta a placebót. A 8. hétre a vortioxetin 4,7 pontos különbséget eredményezett a placebóéhoz képest a MADRS összpontszámban (MMRM analízis).</w:t>
      </w:r>
    </w:p>
    <w:p w:rsidR="008B5166" w:rsidRDefault="008B5166">
      <w:pPr>
        <w:spacing w:line="240" w:lineRule="auto"/>
        <w:rPr>
          <w:i/>
          <w:iCs/>
          <w:u w:val="single"/>
          <w:lang w:val="hu-HU"/>
        </w:rPr>
      </w:pPr>
    </w:p>
    <w:p w:rsidR="008B5166" w:rsidRDefault="00226345">
      <w:pPr>
        <w:spacing w:line="240" w:lineRule="auto"/>
        <w:rPr>
          <w:i/>
          <w:iCs/>
          <w:u w:val="single"/>
          <w:lang w:val="hu-HU"/>
        </w:rPr>
      </w:pPr>
      <w:r>
        <w:rPr>
          <w:i/>
          <w:iCs/>
          <w:u w:val="single"/>
          <w:lang w:val="hu-HU"/>
        </w:rPr>
        <w:t>Súlyos depresszióban vagy súlyos szorongással társuló depresszióban szenvedő betegek</w:t>
      </w:r>
    </w:p>
    <w:p w:rsidR="008B5166" w:rsidRDefault="00226345">
      <w:pPr>
        <w:spacing w:line="240" w:lineRule="auto"/>
        <w:rPr>
          <w:lang w:val="hu-HU"/>
        </w:rPr>
      </w:pPr>
      <w:r>
        <w:rPr>
          <w:lang w:val="hu-HU"/>
        </w:rPr>
        <w:t>Súlyos depresszióban (kiindulási MADRS-összpontszám ≥30) vagy súlyos szorongással társuló depresszióban (kiindulási HAM-A-összpontszám ≥20) szenvedő felnőtt betegekkel végzett rövid távú vizsgálatokban a vortioxetin szintén hatásosnak bizonyult; (a MADRS összpontszámban a 6. vagy 8. hétre a placebóval szemben elért átlagos különbség összességében 2,8–7,3 pont, illetve 3,6–7,3 pont között volt (MMRM analízis)). Ebben a betegcsoportban a vortioxetin az idősek bevonásával végzett vizsgálatban is hatásosnak bizonyult.</w:t>
      </w:r>
    </w:p>
    <w:p w:rsidR="008B5166" w:rsidRDefault="00226345">
      <w:pPr>
        <w:spacing w:line="240" w:lineRule="auto"/>
        <w:rPr>
          <w:lang w:val="hu-HU"/>
        </w:rPr>
      </w:pPr>
      <w:r>
        <w:rPr>
          <w:lang w:val="hu-HU"/>
        </w:rPr>
        <w:t>A hosszút ávú relapszus-prevenciós vizsgálatok az antidepresszív hatásosság fenntartását ebben a betegcsoportban is bizonyították.</w:t>
      </w:r>
    </w:p>
    <w:p w:rsidR="008B5166" w:rsidRDefault="008B5166">
      <w:pPr>
        <w:spacing w:line="240" w:lineRule="auto"/>
        <w:rPr>
          <w:i/>
          <w:iCs/>
          <w:u w:val="single"/>
          <w:lang w:val="hu-HU"/>
        </w:rPr>
      </w:pPr>
    </w:p>
    <w:p w:rsidR="008B5166" w:rsidRDefault="00226345">
      <w:pPr>
        <w:spacing w:line="240" w:lineRule="auto"/>
        <w:rPr>
          <w:i/>
          <w:iCs/>
          <w:lang w:val="hu-HU"/>
        </w:rPr>
      </w:pPr>
      <w:r>
        <w:rPr>
          <w:i/>
          <w:iCs/>
          <w:lang w:val="hu-HU"/>
        </w:rPr>
        <w:t>A vortioxetin hatásai a szám-szimbólum behelyettesítési teszt (Digit Symbol Substitution Test, DSST) valamint a san diegoi Kalifornia Egyetem teljesítményalapú készségek felmérése (University of California San Diego Performance-Based Skills Assessment, UPSA) alapján megítélt objektív, illetve a megélt deficitek kérdőíve (Perceived Deficits Questionnaire, PDQ) valamint a kognitív és fizikális funkciók kérdőíve (Cognitive and Physical Functioning Questionnaire, CPFQ) alapján értékelt szubjektív mérések eredményeire</w:t>
      </w:r>
    </w:p>
    <w:p w:rsidR="008B5166" w:rsidRDefault="008B5166">
      <w:pPr>
        <w:spacing w:line="240" w:lineRule="auto"/>
        <w:rPr>
          <w:i/>
          <w:iCs/>
          <w:u w:val="single"/>
          <w:lang w:val="hu-HU"/>
        </w:rPr>
      </w:pPr>
    </w:p>
    <w:p w:rsidR="008B5166" w:rsidRDefault="00226345">
      <w:pPr>
        <w:spacing w:line="240" w:lineRule="auto"/>
        <w:rPr>
          <w:lang w:val="hu-HU"/>
        </w:rPr>
      </w:pPr>
      <w:r>
        <w:rPr>
          <w:lang w:val="hu-HU"/>
        </w:rPr>
        <w:t>A vortioxetin (napi 5–20 mg) hatásosságát a major depresszióban szenvedő betegeknél 2 felnőtt, és 1 idős betegekkel végzett rövid távú, placebokontrollos vizsgálatban tanulmányozták.</w:t>
      </w:r>
    </w:p>
    <w:p w:rsidR="008B5166" w:rsidRDefault="008B5166">
      <w:pPr>
        <w:spacing w:line="240" w:lineRule="auto"/>
        <w:rPr>
          <w:lang w:val="hu-HU"/>
        </w:rPr>
      </w:pPr>
    </w:p>
    <w:p w:rsidR="008B5166" w:rsidRDefault="00226345">
      <w:pPr>
        <w:spacing w:line="240" w:lineRule="auto"/>
        <w:rPr>
          <w:lang w:val="hu-HU"/>
        </w:rPr>
      </w:pPr>
      <w:r>
        <w:rPr>
          <w:lang w:val="hu-HU"/>
        </w:rPr>
        <w:t>A vortioxetinnek a DSST alapján statisztikailag szignifikáns hatása volt a placebóhoz képest, ami a felnőttekkel végzett két vizsgálatban Δ = 1,75-tól (p = 0,019) 4,26-ig (p &lt; 0,0001) terjedt, az idősekkel végzett vizsgálatban pedig a Δ = 2,79 (p = 0,023) volt. A vortioxetin 0,35 standardizált hatásnagysággal különült el a placebótól (p &lt; 0,05) abban a metaanalízisben is, ami a 3 vizsgálatban a DSST skálán a helyes szimbólumok számának kiindulási értékhez képest elért átlagos változását elemezte (ANCOVA, LOCF). Ugyanezeknek a vizsgálatoknak a metaanalízisében a MADRS-ban bekövetkező változásra történő korrekció után az összpontszám azt mutatta, hogy a vortioxetin 0,24 standardizált hatásnagysággal különült el a placebótól (p &lt; 0,05).</w:t>
      </w:r>
    </w:p>
    <w:p w:rsidR="008B5166" w:rsidRDefault="008B5166">
      <w:pPr>
        <w:spacing w:line="240" w:lineRule="auto"/>
        <w:rPr>
          <w:lang w:val="hu-HU"/>
        </w:rPr>
      </w:pPr>
    </w:p>
    <w:p w:rsidR="008B5166" w:rsidRDefault="00226345">
      <w:pPr>
        <w:spacing w:line="240" w:lineRule="auto"/>
        <w:rPr>
          <w:lang w:val="hu-HU"/>
        </w:rPr>
      </w:pPr>
      <w:r>
        <w:rPr>
          <w:lang w:val="hu-HU"/>
        </w:rPr>
        <w:t>A vortioxetin funkcionális teljesítőképességre kifejtett hatását egy vizsgálatban az UPSA felmérés alapján értékelték. A vortioxetin 8 pontos eredménnyel, statisztikailag különbözött a placebóval elért 5,1 ponttól (p = 0,0003).</w:t>
      </w:r>
    </w:p>
    <w:p w:rsidR="008B5166" w:rsidRDefault="008B5166">
      <w:pPr>
        <w:spacing w:line="240" w:lineRule="auto"/>
        <w:rPr>
          <w:lang w:val="hu-HU"/>
        </w:rPr>
      </w:pPr>
    </w:p>
    <w:p w:rsidR="008B5166" w:rsidRDefault="00226345">
      <w:pPr>
        <w:spacing w:line="240" w:lineRule="auto"/>
        <w:rPr>
          <w:lang w:val="hu-HU"/>
        </w:rPr>
      </w:pPr>
      <w:r>
        <w:rPr>
          <w:lang w:val="hu-HU"/>
        </w:rPr>
        <w:t>Egy vizsgálatban a vortioxetin a PDQ alapján mért szubjektív értékelésben is felülmúlta a placebót. A mért eredmény a vortioxetinnél -14,6, a placebónál pedig -10,5 volt (p = 0,002). A CPFQ alapján mért szubjektív értékelésben viszont a vortioxetin nem különült el a placebótól, itt a mért érték a vortioxetin esetén -8,1, a placebo esetében -6,9 volt (p = 0,086).</w:t>
      </w:r>
    </w:p>
    <w:p w:rsidR="008B5166" w:rsidRDefault="008B5166">
      <w:pPr>
        <w:spacing w:line="240" w:lineRule="auto"/>
        <w:rPr>
          <w:i/>
          <w:iCs/>
          <w:u w:val="single"/>
          <w:lang w:val="hu-HU"/>
        </w:rPr>
      </w:pPr>
    </w:p>
    <w:p w:rsidR="008B5166" w:rsidRDefault="00226345">
      <w:pPr>
        <w:spacing w:line="240" w:lineRule="auto"/>
        <w:rPr>
          <w:i/>
          <w:iCs/>
          <w:lang w:val="hu-HU"/>
        </w:rPr>
      </w:pPr>
      <w:r>
        <w:rPr>
          <w:i/>
          <w:iCs/>
          <w:lang w:val="hu-HU"/>
        </w:rPr>
        <w:t>Tolerálhatóság és biztonságosság</w:t>
      </w:r>
    </w:p>
    <w:p w:rsidR="008B5166" w:rsidRDefault="00226345">
      <w:pPr>
        <w:spacing w:line="240" w:lineRule="auto"/>
        <w:rPr>
          <w:lang w:val="hu-HU"/>
        </w:rPr>
      </w:pPr>
      <w:r>
        <w:rPr>
          <w:lang w:val="hu-HU"/>
        </w:rPr>
        <w:t>A vortioxetin biztonságosságát és tolerálhatóságát a napi 5–20 mg dózistartományban rövid és hosszú távú vizsgálatok során igazolták. A nemkívánatos hatásokkal, mellékhatásokkal kapcsolatban lásd a 4.8 pontot.</w:t>
      </w:r>
    </w:p>
    <w:p w:rsidR="008B5166" w:rsidRDefault="00226345">
      <w:pPr>
        <w:spacing w:line="240" w:lineRule="auto"/>
        <w:rPr>
          <w:lang w:val="hu-HU"/>
        </w:rPr>
      </w:pPr>
      <w:r>
        <w:rPr>
          <w:lang w:val="hu-HU"/>
        </w:rPr>
        <w:t>A vortioxetin a placebóhoz képest nem növelte az insomnia, illetve a somnolentia gyakoriságát.</w:t>
      </w:r>
    </w:p>
    <w:p w:rsidR="008B5166" w:rsidRDefault="008B5166">
      <w:pPr>
        <w:spacing w:line="240" w:lineRule="auto"/>
        <w:rPr>
          <w:u w:val="single"/>
          <w:lang w:val="hu-HU"/>
        </w:rPr>
      </w:pPr>
    </w:p>
    <w:p w:rsidR="008B5166" w:rsidRDefault="00226345">
      <w:pPr>
        <w:spacing w:line="240" w:lineRule="auto"/>
        <w:rPr>
          <w:lang w:val="hu-HU"/>
        </w:rPr>
      </w:pPr>
      <w:r>
        <w:rPr>
          <w:lang w:val="hu-HU"/>
        </w:rPr>
        <w:t>Rövid és hosszú távú, placebokontrollos klinikai vizsgálatokban a vortioxetin-kezelés hirtelen leállítását követően szisztematikusan értékelték a kezelés megszakításával összefüggő lehetséges tüneteket. A kezelés megszakításával összefüggő tünetek gyakoriságát, illetve természetét tekintve a rövid (6–12 hetes) és a hosszú távú (24–64 hetes) vortioxetin-kezelés esetén sem volt klinikailag releváns eltérés a placebóhoz képest.</w:t>
      </w:r>
    </w:p>
    <w:p w:rsidR="008B5166" w:rsidRDefault="008B5166">
      <w:pPr>
        <w:spacing w:line="240" w:lineRule="auto"/>
        <w:rPr>
          <w:lang w:val="hu-HU"/>
        </w:rPr>
      </w:pPr>
    </w:p>
    <w:p w:rsidR="008B5166" w:rsidRDefault="00226345">
      <w:pPr>
        <w:spacing w:line="240" w:lineRule="auto"/>
        <w:rPr>
          <w:lang w:val="hu-HU"/>
        </w:rPr>
      </w:pPr>
      <w:r>
        <w:rPr>
          <w:lang w:val="hu-HU"/>
        </w:rPr>
        <w:t>A vortioxetin rövid és hosszú távú klinikai vizsgálataiban a betegek által jelzett szexuális mellékhatások gyakorisága alacsony, és a placebóéhoz hasonló volt. Azokban a vizsgálatokban, amelyekben a szexuális funkciózavar tüneteit az Arizona szexuális tapasztalati skála (Arizona Sexual Experience Scale, ASEX) segítségével követték, a vortioxetin napi 5–15 mg-os dózistartományában sem a kezeléssel összefüggő szexuális funkciózavar (treatment-emergent sexual dysfunction, TESD) gyakorisága, sem pedig az ASEX-összpontszám nem mutatott jelentős különbséget a placebóhoz képest. A napi 20 mg-os adagnál a placebóhoz viszonyítva a TESD növekedését figyelték meg (az incidencia különbsége 14,2%, 95% CI [1,4, 27,0]).</w:t>
      </w:r>
    </w:p>
    <w:p w:rsidR="008B5166" w:rsidRDefault="008B5166">
      <w:pPr>
        <w:spacing w:line="240" w:lineRule="auto"/>
        <w:rPr>
          <w:lang w:val="hu-HU"/>
        </w:rPr>
      </w:pPr>
    </w:p>
    <w:p w:rsidR="008B5166" w:rsidRDefault="00226345">
      <w:pPr>
        <w:spacing w:line="240" w:lineRule="auto"/>
        <w:rPr>
          <w:lang w:val="hu-HU"/>
        </w:rPr>
      </w:pPr>
      <w:r>
        <w:rPr>
          <w:lang w:val="hu-HU"/>
        </w:rPr>
        <w:t>A vortioxetin szexuális funkciókra gyakorolt hatását egy 8 hetes, kettős vak, flexibilis dózisú eszcitaloprámmal szemben végzett összehasonlító vizsgálatban (n = 424) tovább vizsgálták olyan betegeknél, akik legalább 6 héten keresztül SSRI- (citaloprám, paroxetin vagy szertralin) kezelésben részesültek, enyhe depressziós tüneteket mutattak (kiindulási CGI-S ≤3), és a korábbi SSRI-kezelésük szexuális diszfunkcióhoz vezetett. A 8. héten a CSFQ-14 összpontszámban elért változás alapján mérve, a napi 10-20 mg vortioxetin statisztikailag szignifikánsan kevesebb kezelésből eredő szexuális diszfunkcióval járt, mint a napi 10–20 mg eszcitaloprám (2,2 pont, p = 0,013). A válaszadók aránya a 8. héten nem különbözött szignifikáns mértékben a vortioxetin- (162 (74,7%)), illetve az eszcitaloprám- (137 (66,2%)) csoportban (esélyhányados (OR): 1,5 p = 0,057). Az antidepresszáns hatás mindkét csoportban fennmaradt.</w:t>
      </w:r>
    </w:p>
    <w:p w:rsidR="008B5166" w:rsidRDefault="008B5166">
      <w:pPr>
        <w:spacing w:line="240" w:lineRule="auto"/>
        <w:rPr>
          <w:u w:val="single"/>
          <w:lang w:val="hu-HU"/>
        </w:rPr>
      </w:pPr>
    </w:p>
    <w:p w:rsidR="008B5166" w:rsidRDefault="00226345">
      <w:pPr>
        <w:spacing w:line="240" w:lineRule="auto"/>
        <w:rPr>
          <w:lang w:val="hu-HU"/>
        </w:rPr>
      </w:pPr>
      <w:r>
        <w:rPr>
          <w:lang w:val="hu-HU"/>
        </w:rPr>
        <w:t>A rövid és hosszú távú klinikai vizsgálatokban a vortioxetinnek a placebóhoz viszonyítva nem volt hatása a testtömegre, szívfrekvenciára és vérnyomásra.</w:t>
      </w:r>
    </w:p>
    <w:p w:rsidR="008B5166" w:rsidRDefault="008B5166">
      <w:pPr>
        <w:spacing w:line="240" w:lineRule="auto"/>
        <w:rPr>
          <w:lang w:val="hu-HU"/>
        </w:rPr>
      </w:pPr>
    </w:p>
    <w:p w:rsidR="008B5166" w:rsidRDefault="00226345">
      <w:pPr>
        <w:spacing w:line="240" w:lineRule="auto"/>
        <w:rPr>
          <w:lang w:val="hu-HU"/>
        </w:rPr>
      </w:pPr>
      <w:r>
        <w:rPr>
          <w:lang w:val="hu-HU"/>
        </w:rPr>
        <w:t>A klinikai vizsgálatokban nem tapasztaltak klinikailag jelentős máj- vagy vesefunkció-változást.</w:t>
      </w:r>
    </w:p>
    <w:p w:rsidR="008B5166" w:rsidRDefault="008B5166">
      <w:pPr>
        <w:spacing w:line="240" w:lineRule="auto"/>
        <w:rPr>
          <w:lang w:val="hu-HU"/>
        </w:rPr>
      </w:pPr>
    </w:p>
    <w:p w:rsidR="008B5166" w:rsidRDefault="00226345">
      <w:pPr>
        <w:spacing w:line="240" w:lineRule="auto"/>
        <w:rPr>
          <w:lang w:val="hu-HU"/>
        </w:rPr>
      </w:pPr>
      <w:r>
        <w:rPr>
          <w:lang w:val="hu-HU"/>
        </w:rPr>
        <w:t>MDD-ben szenvedő betegeknél a vortioxetin nem váltott ki klinikailag jelentős EKG-paraméter változást, így nem befolyásolta a QT-, QTc-, PR- és QRS- intervallumot sem. Egy egészséges önkéntesekkel végzett átfogó QTc vizsgálatban a maximum napi 40</w:t>
      </w:r>
      <w:r>
        <w:t> </w:t>
      </w:r>
      <w:r>
        <w:rPr>
          <w:lang w:val="hu-HU"/>
        </w:rPr>
        <w:t>mg-ig terjedő adagolás esetén nem figyeltek meg a QTc-intervallum megnyúlására utaló jeleket.</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Gyermekek és serdülők</w:t>
      </w:r>
    </w:p>
    <w:p w:rsidR="008B5166" w:rsidRDefault="00226345">
      <w:pPr>
        <w:spacing w:line="240" w:lineRule="auto"/>
        <w:rPr>
          <w:lang w:val="hu-HU"/>
        </w:rPr>
      </w:pPr>
      <w:r>
        <w:rPr>
          <w:lang w:val="hu-HU"/>
        </w:rPr>
        <w:t>Két rövid távú, randomizált, kettős vak, placebokontrollos, fix dózisú (10 mg/nap és 20 mg/nap vortioxetin), aktív kontrollal (fluoxetin) végzett hatásossági és biztonságossági vizsgálatot végeztek; az egyiket 7–11 éves, MDD-ben szenvedő gyermekeknél, a másikat 12–17 éves, MDD-ben szenvedő gyermekeknél és serdülőknél. A vizsgálatok magukban foglaltak egy négyhetes egyszeres vak elrendezésű, placebo alkalmazásával végzett bevezető időszakot, standardizált pszichoszociális beavatkozással (a kezelt betegek száma a 7–11 éves gyermekekkel végzett vizsgálatban N=677, a 12–17 éves gyermekekkel és serdülőkkel végzett vizsgálatban N=777), és csak a bevezető időszakban nem reagálókat randomizálták (7–11 éves gyermekekkel végzett vizsgálatban N=540, a 12–17 éves gyermekekkel és serdülőkkel végzett vizsgálatban N=616).</w:t>
      </w:r>
    </w:p>
    <w:p w:rsidR="008B5166" w:rsidRDefault="008B5166">
      <w:pPr>
        <w:spacing w:line="240" w:lineRule="auto"/>
        <w:rPr>
          <w:lang w:val="hu-HU"/>
        </w:rPr>
      </w:pPr>
    </w:p>
    <w:p w:rsidR="008B5166" w:rsidRDefault="00226345">
      <w:pPr>
        <w:spacing w:line="240" w:lineRule="auto"/>
        <w:rPr>
          <w:lang w:val="hu-HU"/>
        </w:rPr>
      </w:pPr>
      <w:r>
        <w:rPr>
          <w:lang w:val="hu-HU"/>
        </w:rPr>
        <w:t>A 7–11 éves gyermekekkel végzett vizsgálatban a két vortioxetin-adag (10 mg/nap és 20 mg/nap) átlagos hatása a 8. héten nem tért el statisztikailag szignifikánsan a placebóhoz képest az átdolgozott Gyermek Depresszió Értékelő Skála (Children´s Depression Rating Scale-Revised, CDRS-R) összesített pontszáma alapján, ahogy az aktív kontroll (20 mg/nap fluoxetin), illetve az egyes vortioxetin-adagok (10 mg/nap és 20 mg/nap) esetében sem mutatkozott nominálisan szignifikáns különbség a placebóhoz képest. Általánosságban véve a vortioxetin mellékhatásprofilja gyermekek esetén hasonló volt a felnőttekéhez, eltekintve attól, hogy gyermekeknél nagyobb gyakorisággal számoltak be hasi fájdalomról.</w:t>
      </w:r>
    </w:p>
    <w:p w:rsidR="008B5166" w:rsidRDefault="00226345">
      <w:pPr>
        <w:spacing w:line="240" w:lineRule="auto"/>
        <w:rPr>
          <w:lang w:val="hu-HU"/>
        </w:rPr>
      </w:pPr>
      <w:r>
        <w:rPr>
          <w:lang w:val="hu-HU"/>
        </w:rPr>
        <w:t>A nemkívánatos események miatt történő kilépés a vizsgálatból 2,0% volt a naponta 20 mg vortioxetinnel kezelt betegeknél, 1,3% a naponta 10 mg vortioxetin esetében, 0,7% a placebo esetében, és nem fordult elő kilépés a fluoxetin esetében. A vortioxetin-kezelési csoportokban a leggyakrabban jelentett nemkívánatos események a hányinger, fejfájás, hányás, szédülés és hasi fájdalom voltak. A hányinger, a hányás és a hasi fájdalom gyakorisága nagyobb volt a vortioxetin-csoportokban, mint a placebocsoportban. Nemkívánatos eseményként öngyilkossági gondolatokról és viselkedésről mind a négyhetes egyszeres vak elrendezésű bevezető időszakban (placebo 2/677 [0,3%]), mind a nyolchetes kezelési időszakban (10 mg/nap vortioxetin 1/149 [0,7%], placebo 1/153 [0,7%]) beszámoltak. Ezenkívül, a C-SSRS alapján a nyolchetes kezelési időszak alatt 5 betegnél számoltak be a „nem specifikus aktív öngyilkossági gondolatok” eseményről (20 mg/nap vortioxetin 1/153 [0,7%], placebo 1/153 [0,7%] és fluoxetin 3/82 [3,7%]). A Columbia Öngyilkosság Súlyosság Értékelő Skála (Columbia-Suicide Severity Rating Scale, C-SSRS) által mért öngyilkossági gondolatok és viselkedés terén a kezelési csoportok hasonlóak voltak.</w:t>
      </w:r>
    </w:p>
    <w:p w:rsidR="008B5166" w:rsidRDefault="008B5166">
      <w:pPr>
        <w:spacing w:line="240" w:lineRule="auto"/>
        <w:rPr>
          <w:lang w:val="hu-HU"/>
        </w:rPr>
      </w:pPr>
    </w:p>
    <w:p w:rsidR="008B5166" w:rsidRDefault="00226345">
      <w:pPr>
        <w:spacing w:line="240" w:lineRule="auto"/>
        <w:rPr>
          <w:lang w:val="hu-HU"/>
        </w:rPr>
      </w:pPr>
      <w:r>
        <w:rPr>
          <w:lang w:val="hu-HU"/>
        </w:rPr>
        <w:t>A 12–17 éves gyermekekkel és serdülőkkel végzett vizsgálatban sem a 10 mg/nap, sem a 20 mg/nap vortioxetin nem volt statisztikailag szignifikánsan jobb a placebóhoz képest az átdolgozott Gyermek Depresszió Értékelő Skála (Children´s Depression Rating Scale-Revised, CDRS-R) összesített pontszáma alapján. Az aktív kontroll (20 mg/nap fluoxetin) statisztikailag eltérő eredményt adott a placebóhoz képest a CDRS-R összesített pontszáma tekintetében. Általánosságban véve a serdülőknél a vortioxetin mellékhatásprofilja hasonló volt a felnőttekéhez, eltekintve attól, hogy serdülőknél nagyobb gyakorisággal számoltak be hasi fájdalomról és öngyilkossági gondolatokról. A nemkívánatos események miatt történő kilépés a vizsgálatból (főként az öngyilkossági gondolatok, hányinger és hányás miatt) a 20 mg/nap vortioxetinnel (5,6%) kezelt betegeknél volt a legmagasabb, szemben a napi 10 mg vortioxetinnel (2,7%), a fluoxetinnel (3,3%), és placebóval (1,3%) kezelt betegeknél tapasztalttal. A vortioxetin-kezelési csoportokban a leggyakrabban jelentett mellékhatások a hányinger, hányás és fejfájás voltak. Nemkívánatos eseményként öngyilkossági gondolatokról és viselkedésről mind a négyhetes egyszeresen vak elrendezésű bevezető időszakban (placebo 13/777 [1,7%]), mind a nyolchetes kezelési időszakban (10 mg/nap vortioxetin 2/147) [1,4%], 20 mg/nap vortioxetin 6/161 [3,7%], fluoxetin 6/153 [3,9%], placebo 0/154 [0%]) beszámoltak. A C-SSRS által mért öngyilkossági gondolatok és viselkedés terén nem volt különbség a kezelési csoportok között.</w:t>
      </w:r>
    </w:p>
    <w:p w:rsidR="008B5166" w:rsidRDefault="008B5166">
      <w:pPr>
        <w:spacing w:line="240" w:lineRule="auto"/>
        <w:rPr>
          <w:lang w:val="hu-HU"/>
        </w:rPr>
      </w:pPr>
    </w:p>
    <w:p w:rsidR="008B5166" w:rsidRDefault="00226345">
      <w:pPr>
        <w:spacing w:line="240" w:lineRule="auto"/>
        <w:rPr>
          <w:lang w:val="hu-HU"/>
        </w:rPr>
      </w:pPr>
      <w:r>
        <w:rPr>
          <w:lang w:val="hu-HU"/>
        </w:rPr>
        <w:t>A vortioxetin nem alkalmazható major depresszióban szenvedő (18 éves kor alatti) gyermekek és serdülők esetén (lásd 4.2 pont).</w:t>
      </w:r>
    </w:p>
    <w:p w:rsidR="008B5166" w:rsidRDefault="008B5166">
      <w:pPr>
        <w:spacing w:line="240" w:lineRule="auto"/>
        <w:rPr>
          <w:lang w:val="hu-HU"/>
        </w:rPr>
      </w:pPr>
    </w:p>
    <w:p w:rsidR="008B5166" w:rsidRDefault="00226345">
      <w:pPr>
        <w:spacing w:line="240" w:lineRule="auto"/>
        <w:rPr>
          <w:lang w:val="hu-HU"/>
        </w:rPr>
      </w:pPr>
      <w:r>
        <w:rPr>
          <w:lang w:val="hu-HU"/>
        </w:rPr>
        <w:t>Az Európai Gyógyszerügynökség gyermekek esetén a 7 évesnél fiatalabb korosztálynál eltekint a vortioxetin-tartalmú referenciakészítmény vizsgálati eredményeinek benyújtási kötelezettségétől major depresszióban (lásd 4.2 pont, gyermekgyógyászati alkalmazásra vonatkozó információk).</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5.2</w:t>
      </w:r>
      <w:r>
        <w:rPr>
          <w:b/>
          <w:bCs/>
          <w:lang w:val="hu-HU"/>
        </w:rPr>
        <w:tab/>
        <w:t>Farmakokinetikai tulajdonságok</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u w:val="single"/>
          <w:lang w:val="hu-HU"/>
        </w:rPr>
      </w:pPr>
      <w:r>
        <w:rPr>
          <w:u w:val="single"/>
          <w:lang w:val="hu-HU"/>
        </w:rPr>
        <w:t>Felszívódás</w:t>
      </w:r>
    </w:p>
    <w:p w:rsidR="008B5166" w:rsidRDefault="00226345">
      <w:pPr>
        <w:numPr>
          <w:ilvl w:val="12"/>
          <w:numId w:val="0"/>
        </w:numPr>
        <w:spacing w:line="240" w:lineRule="auto"/>
        <w:ind w:right="-2"/>
        <w:rPr>
          <w:lang w:val="hu-HU"/>
        </w:rPr>
      </w:pPr>
      <w:r>
        <w:rPr>
          <w:lang w:val="hu-HU"/>
        </w:rPr>
        <w:t>A vortioxetin a szájon át történő alkalmazást követően lassan, de jól felszívódik, és a maximális plazmakoncentrációját a gyógyszerbevételt követő 7–11 órán belül éri el. Napi 5 mg, 10 mg vagy 20 mg ismételt alkalmazása után átlagosan 9–33 ng/ml C</w:t>
      </w:r>
      <w:r>
        <w:rPr>
          <w:vertAlign w:val="subscript"/>
          <w:lang w:val="hu-HU"/>
        </w:rPr>
        <w:t>max</w:t>
      </w:r>
      <w:r>
        <w:rPr>
          <w:lang w:val="hu-HU"/>
        </w:rPr>
        <w:t xml:space="preserve"> értéket figyeltek meg. Az abszolút biohasznosulás 75%. A megfigyelések alapján az étkezés nem befolyásolta a gyógyszer farmakokinetikáját (lásd 4.2 pont).</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u w:val="single"/>
          <w:lang w:val="hu-HU"/>
        </w:rPr>
      </w:pPr>
      <w:r>
        <w:rPr>
          <w:u w:val="single"/>
          <w:lang w:val="hu-HU"/>
        </w:rPr>
        <w:t>Eloszlás</w:t>
      </w:r>
    </w:p>
    <w:p w:rsidR="008B5166" w:rsidRDefault="00226345">
      <w:pPr>
        <w:numPr>
          <w:ilvl w:val="12"/>
          <w:numId w:val="0"/>
        </w:numPr>
        <w:spacing w:line="240" w:lineRule="auto"/>
        <w:ind w:right="-2"/>
        <w:rPr>
          <w:lang w:val="hu-HU"/>
        </w:rPr>
      </w:pPr>
      <w:r>
        <w:rPr>
          <w:lang w:val="hu-HU"/>
        </w:rPr>
        <w:t>Az átlagos eloszlási térfogat (V</w:t>
      </w:r>
      <w:r>
        <w:rPr>
          <w:vertAlign w:val="subscript"/>
          <w:lang w:val="hu-HU"/>
        </w:rPr>
        <w:t>ss</w:t>
      </w:r>
      <w:r>
        <w:rPr>
          <w:lang w:val="hu-HU"/>
        </w:rPr>
        <w:t>) 2600 l, ami kiterjedt extravascularis eloszlásra utal. A vortioxetin nagymértékben (98–99%-ban) kötődik plazmafehérjékhez, és ez a kötődés a vortioxetin plazmakoncentrációjától függetlennek tűnik.</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u w:val="single"/>
          <w:lang w:val="hu-HU"/>
        </w:rPr>
      </w:pPr>
      <w:r>
        <w:rPr>
          <w:u w:val="single"/>
          <w:lang w:val="hu-HU"/>
        </w:rPr>
        <w:t>Biotranszformáció</w:t>
      </w:r>
    </w:p>
    <w:p w:rsidR="008B5166" w:rsidRDefault="00226345">
      <w:pPr>
        <w:numPr>
          <w:ilvl w:val="12"/>
          <w:numId w:val="0"/>
        </w:numPr>
        <w:spacing w:line="240" w:lineRule="auto"/>
        <w:ind w:right="-2"/>
        <w:rPr>
          <w:lang w:val="hu-HU"/>
        </w:rPr>
      </w:pPr>
      <w:r>
        <w:rPr>
          <w:lang w:val="hu-HU"/>
        </w:rPr>
        <w:t>A vortioxetin nagyrészt a májban metabolizálódik, elsősorban oxidáció révén, amelyet a CYP2D6, illetve kisebb mértékben a CYP3A4/5 és CYP2C9 katalizál, majd az ezt követő glükuronsav-konjugáció útján.</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lang w:val="hu-HU"/>
        </w:rPr>
      </w:pPr>
      <w:r>
        <w:rPr>
          <w:lang w:val="hu-HU"/>
        </w:rPr>
        <w:t>A vortioxetin gyógyszer-interakciós vizsgálataiban nem figyelték meg CYP izoenzimet gátló vagy indukáló hatást a CYP1A2, CYP2A6, CYP2B6, CYP2C8, CYP2C9, CYP2C19, CYP2D6, CYP2E1 vagy CYP3A4/5 izoenzimeken (lásd 4.5 pont). A vortioxetin a P-gp gyenge szubsztrátja és inhibitora. A vortioxetin fő metabolitja farmakológiailag inaktív.</w:t>
      </w:r>
    </w:p>
    <w:p w:rsidR="008B5166" w:rsidRDefault="008B5166">
      <w:pPr>
        <w:numPr>
          <w:ilvl w:val="12"/>
          <w:numId w:val="0"/>
        </w:numPr>
        <w:spacing w:line="240" w:lineRule="auto"/>
        <w:ind w:right="-2"/>
        <w:rPr>
          <w:u w:val="single"/>
          <w:lang w:val="hu-HU"/>
        </w:rPr>
      </w:pPr>
    </w:p>
    <w:p w:rsidR="008B5166" w:rsidRDefault="00226345">
      <w:pPr>
        <w:numPr>
          <w:ilvl w:val="12"/>
          <w:numId w:val="0"/>
        </w:numPr>
        <w:spacing w:line="240" w:lineRule="auto"/>
        <w:ind w:right="-2"/>
        <w:rPr>
          <w:u w:val="single"/>
          <w:lang w:val="hu-HU"/>
        </w:rPr>
      </w:pPr>
      <w:r>
        <w:rPr>
          <w:u w:val="single"/>
          <w:lang w:val="hu-HU"/>
        </w:rPr>
        <w:t>Elimináció</w:t>
      </w:r>
    </w:p>
    <w:p w:rsidR="008B5166" w:rsidRDefault="00226345">
      <w:pPr>
        <w:numPr>
          <w:ilvl w:val="12"/>
          <w:numId w:val="0"/>
        </w:numPr>
        <w:spacing w:line="240" w:lineRule="auto"/>
        <w:ind w:right="-2"/>
        <w:rPr>
          <w:lang w:val="hu-HU"/>
        </w:rPr>
      </w:pPr>
      <w:r>
        <w:rPr>
          <w:lang w:val="hu-HU"/>
        </w:rPr>
        <w:t>Az átlagos eliminációs felezési idő 66 óra, az orális clearance pedig 33 l/óra. Az inaktív vortioxetin-metabolitok mintegy kétharmada a vizelettel, körülbelül egyharmada pedig a széklettel választódik ki. A vortioxetin mindössze elhanyagolható mennyiségben választódik ki a széklettel. A dinamikus egyensúlyi állapotú plazmakoncentráció körülbelül 2 héten belül alakul ki.</w:t>
      </w:r>
    </w:p>
    <w:p w:rsidR="008B5166" w:rsidRDefault="008B5166">
      <w:pPr>
        <w:numPr>
          <w:ilvl w:val="12"/>
          <w:numId w:val="0"/>
        </w:numPr>
        <w:spacing w:line="240" w:lineRule="auto"/>
        <w:ind w:right="-2"/>
        <w:rPr>
          <w:u w:val="single"/>
          <w:lang w:val="hu-HU"/>
        </w:rPr>
      </w:pPr>
    </w:p>
    <w:p w:rsidR="008B5166" w:rsidRDefault="00226345">
      <w:pPr>
        <w:numPr>
          <w:ilvl w:val="12"/>
          <w:numId w:val="0"/>
        </w:numPr>
        <w:spacing w:line="240" w:lineRule="auto"/>
        <w:ind w:right="-2"/>
        <w:rPr>
          <w:u w:val="single"/>
          <w:lang w:val="hu-HU"/>
        </w:rPr>
      </w:pPr>
      <w:r>
        <w:rPr>
          <w:u w:val="single"/>
          <w:lang w:val="hu-HU"/>
        </w:rPr>
        <w:t>Linearitás/nem-linearitás</w:t>
      </w:r>
    </w:p>
    <w:p w:rsidR="008B5166" w:rsidRDefault="00226345">
      <w:pPr>
        <w:numPr>
          <w:ilvl w:val="12"/>
          <w:numId w:val="0"/>
        </w:numPr>
        <w:spacing w:line="240" w:lineRule="auto"/>
        <w:ind w:right="-2"/>
        <w:rPr>
          <w:lang w:val="hu-HU"/>
        </w:rPr>
      </w:pPr>
      <w:r>
        <w:rPr>
          <w:lang w:val="hu-HU"/>
        </w:rPr>
        <w:t>A farmakokinetika a vizsgált dózistartományban (napi 2,5–60 mg) az időtől függetlenül lineáris.</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lang w:val="hu-HU"/>
        </w:rPr>
      </w:pPr>
      <w:r>
        <w:rPr>
          <w:lang w:val="hu-HU"/>
        </w:rPr>
        <w:t>Napi 5–20 mg ismételt alkalmazását követően az akkumulációs index az AUC</w:t>
      </w:r>
      <w:r>
        <w:rPr>
          <w:vertAlign w:val="subscript"/>
          <w:lang w:val="hu-HU"/>
        </w:rPr>
        <w:t xml:space="preserve">0–24h </w:t>
      </w:r>
      <w:r>
        <w:rPr>
          <w:lang w:val="hu-HU"/>
        </w:rPr>
        <w:t>érték alapján a felezési időnek megfelelően 5–6.</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rFonts w:ascii="TimesNewRoman,Italic" w:hAnsi="TimesNewRoman,Italic" w:cs="TimesNewRoman,Italic"/>
          <w:u w:val="single"/>
          <w:lang w:val="hu-HU" w:eastAsia="en-GB"/>
        </w:rPr>
      </w:pPr>
      <w:r>
        <w:rPr>
          <w:rFonts w:ascii="TimesNewRoman,Italic" w:hAnsi="TimesNewRoman,Italic" w:cs="TimesNewRoman,Italic"/>
          <w:u w:val="single"/>
          <w:lang w:val="hu-HU" w:eastAsia="en-GB"/>
        </w:rPr>
        <w:t>Különleges betegcsoportok</w:t>
      </w:r>
    </w:p>
    <w:p w:rsidR="008B5166" w:rsidRDefault="008B5166">
      <w:pPr>
        <w:numPr>
          <w:ilvl w:val="12"/>
          <w:numId w:val="0"/>
        </w:numPr>
        <w:spacing w:line="240" w:lineRule="auto"/>
        <w:ind w:right="-2"/>
        <w:rPr>
          <w:u w:val="single"/>
          <w:lang w:val="hu-HU"/>
        </w:rPr>
      </w:pPr>
    </w:p>
    <w:p w:rsidR="008B5166" w:rsidRDefault="00226345">
      <w:pPr>
        <w:numPr>
          <w:ilvl w:val="12"/>
          <w:numId w:val="0"/>
        </w:numPr>
        <w:spacing w:line="240" w:lineRule="auto"/>
        <w:ind w:right="-2"/>
        <w:rPr>
          <w:i/>
          <w:iCs/>
          <w:lang w:val="hu-HU"/>
        </w:rPr>
      </w:pPr>
      <w:r>
        <w:rPr>
          <w:i/>
          <w:iCs/>
          <w:lang w:val="hu-HU"/>
        </w:rPr>
        <w:t>Idősek</w:t>
      </w:r>
    </w:p>
    <w:p w:rsidR="008B5166" w:rsidRDefault="00226345">
      <w:pPr>
        <w:numPr>
          <w:ilvl w:val="12"/>
          <w:numId w:val="0"/>
        </w:numPr>
        <w:spacing w:line="240" w:lineRule="auto"/>
        <w:ind w:right="-2"/>
      </w:pPr>
      <w:r>
        <w:rPr>
          <w:lang w:val="hu-HU"/>
        </w:rPr>
        <w:t>Napi 10 mg ismételt alkalmazását követően a fiatal (≤45 éves), egészséges kontrollhoz képest az idős (≥65 éves), egészséges önkénteseknél (n = 20) a vortioxetin-expozíció (C</w:t>
      </w:r>
      <w:r>
        <w:rPr>
          <w:vertAlign w:val="subscript"/>
          <w:lang w:val="hu-HU"/>
        </w:rPr>
        <w:t>max</w:t>
      </w:r>
      <w:r>
        <w:rPr>
          <w:lang w:val="hu-HU"/>
        </w:rPr>
        <w:t xml:space="preserve"> és AUC) maximum 27%- kal nőtt. A 65 éves és idősebb betegek esetében kezdő adagként mindig a napi egyszeri 5 mg-os legalacsonyabb hatékony dózist kell alkalmazni (lásd 4.2 pont). Fokozott óvatossággal kell eljárni a napi egyszeri 10 mg-ot meghaladó dózisú vortioxetin idős betegeknél történő alkalmazása esetén (lásd 4.4 pont).</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i/>
          <w:iCs/>
          <w:lang w:val="hu-HU"/>
        </w:rPr>
      </w:pPr>
      <w:r>
        <w:rPr>
          <w:i/>
          <w:iCs/>
          <w:lang w:val="hu-HU"/>
        </w:rPr>
        <w:t>Vesekárosodás</w:t>
      </w:r>
    </w:p>
    <w:p w:rsidR="008B5166" w:rsidRDefault="00226345">
      <w:pPr>
        <w:numPr>
          <w:ilvl w:val="12"/>
          <w:numId w:val="0"/>
        </w:numPr>
        <w:spacing w:line="240" w:lineRule="auto"/>
        <w:ind w:right="-2"/>
        <w:rPr>
          <w:lang w:val="hu-HU"/>
        </w:rPr>
      </w:pPr>
      <w:r>
        <w:rPr>
          <w:lang w:val="hu-HU"/>
        </w:rPr>
        <w:t>Egyszeri 10 mg vortioxetin alkalmazását követően a Cockcroft–Gault képlet segítségével meghatározott mértékű (enyhe, közepesen súlyos vagy súlyos; N = 8 csoportonként) vesekárosodás a megfelelő egészséges kontrollpárokhoz viszonyítva közepes mértékű (max. 30%-os) expozíciónövekedést okozott. Végstádiumú vesebetegségben szenvedőknél (N = 8) az egyszeri 10 mg vortioxetin alkalmazását követően a dialízis csupán kismértékű vortioxetin frakció veszteséggel járt (az AUC 13%-kal, illetve a C</w:t>
      </w:r>
      <w:r>
        <w:rPr>
          <w:vertAlign w:val="subscript"/>
          <w:lang w:val="hu-HU"/>
        </w:rPr>
        <w:t>max</w:t>
      </w:r>
      <w:r>
        <w:rPr>
          <w:lang w:val="hu-HU"/>
        </w:rPr>
        <w:t xml:space="preserve"> pedig 27%-kal volt alacsonyabb). A vesefunkció alapján az adag módosítása nem szükséges (lásd 4.2 és 4.4 pont).</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i/>
          <w:iCs/>
          <w:lang w:val="hu-HU"/>
        </w:rPr>
      </w:pPr>
      <w:r>
        <w:rPr>
          <w:i/>
          <w:iCs/>
          <w:lang w:val="hu-HU"/>
        </w:rPr>
        <w:t>Májkárosodás</w:t>
      </w:r>
    </w:p>
    <w:p w:rsidR="008B5166" w:rsidRDefault="00226345">
      <w:pPr>
        <w:numPr>
          <w:ilvl w:val="12"/>
          <w:numId w:val="0"/>
        </w:numPr>
        <w:spacing w:line="240" w:lineRule="auto"/>
        <w:ind w:right="-2"/>
        <w:rPr>
          <w:lang w:val="hu-HU"/>
        </w:rPr>
      </w:pPr>
      <w:r>
        <w:rPr>
          <w:lang w:val="hu-HU"/>
        </w:rPr>
        <w:t>Az enyhe, közepesen súlyos vagy súlyos (Child–Pugh A, B vagy C) májkárosodásban szenvedő betegek farmakokinetikáját az egészséges önkéntesekével hasonlították össze (N = 6–8). Az AUC- értékek változása 10% alatt volt az enyhe vagy közepesen súlyos májkárosodásban szenvedő betegeknél, és 10% felett volt a súlyos májkárosodásban szenvedő betegeknél. A C</w:t>
      </w:r>
      <w:r>
        <w:rPr>
          <w:vertAlign w:val="subscript"/>
          <w:lang w:val="hu-HU"/>
        </w:rPr>
        <w:t>max</w:t>
      </w:r>
      <w:r>
        <w:rPr>
          <w:lang w:val="hu-HU"/>
        </w:rPr>
        <w:t xml:space="preserve"> változása 25% alatt volt minden csoportban. A májfunkció alapján az adag módosítása nem szükséges (lásd 4.2 és 4.4 pont).</w:t>
      </w:r>
    </w:p>
    <w:p w:rsidR="008B5166" w:rsidRDefault="008B5166">
      <w:pPr>
        <w:numPr>
          <w:ilvl w:val="12"/>
          <w:numId w:val="0"/>
        </w:numPr>
        <w:spacing w:line="240" w:lineRule="auto"/>
        <w:ind w:right="-2"/>
        <w:rPr>
          <w:i/>
          <w:iCs/>
          <w:lang w:val="hu-HU"/>
        </w:rPr>
      </w:pPr>
    </w:p>
    <w:p w:rsidR="008B5166" w:rsidRDefault="00226345">
      <w:pPr>
        <w:numPr>
          <w:ilvl w:val="12"/>
          <w:numId w:val="0"/>
        </w:numPr>
        <w:spacing w:line="240" w:lineRule="auto"/>
        <w:ind w:right="-2"/>
        <w:rPr>
          <w:i/>
          <w:iCs/>
          <w:lang w:val="hu-HU"/>
        </w:rPr>
      </w:pPr>
      <w:r>
        <w:rPr>
          <w:i/>
          <w:iCs/>
          <w:lang w:val="hu-HU"/>
        </w:rPr>
        <w:t>CYP2D6 genotípusok</w:t>
      </w:r>
    </w:p>
    <w:p w:rsidR="008B5166" w:rsidRDefault="00226345">
      <w:pPr>
        <w:numPr>
          <w:ilvl w:val="12"/>
          <w:numId w:val="0"/>
        </w:numPr>
        <w:spacing w:line="240" w:lineRule="auto"/>
        <w:ind w:right="-2"/>
        <w:rPr>
          <w:lang w:val="hu-HU"/>
        </w:rPr>
      </w:pPr>
      <w:r>
        <w:rPr>
          <w:lang w:val="hu-HU"/>
        </w:rPr>
        <w:t>A vortioxetin plazmakoncentrációja körülbelül kétszer magasabb volt a gyenge CYP2D6-metabolizálóknál, mint a gyors CYP2D6 metabolizálóknál. Gyenge CYP2D6 metabolizáló betegeknél az erős CYP3A4/2C9 inhibitorok együttadása potenciálisan magasabb expozíciót eredményezhet (lásd 4.5 pont).</w:t>
      </w:r>
    </w:p>
    <w:p w:rsidR="008B5166" w:rsidRDefault="008B5166">
      <w:pPr>
        <w:numPr>
          <w:ilvl w:val="12"/>
          <w:numId w:val="0"/>
        </w:numPr>
        <w:spacing w:line="240" w:lineRule="auto"/>
        <w:ind w:right="-2"/>
        <w:rPr>
          <w:lang w:val="hu-HU"/>
        </w:rPr>
      </w:pPr>
    </w:p>
    <w:p w:rsidR="008B5166" w:rsidRDefault="00226345">
      <w:pPr>
        <w:numPr>
          <w:ilvl w:val="12"/>
          <w:numId w:val="0"/>
        </w:numPr>
        <w:spacing w:line="240" w:lineRule="auto"/>
        <w:ind w:right="-2"/>
        <w:rPr>
          <w:lang w:val="hu-HU"/>
        </w:rPr>
      </w:pPr>
      <w:r>
        <w:rPr>
          <w:lang w:val="hu-HU"/>
        </w:rPr>
        <w:t>Az ultragyors CYP2D6 metabolizálóknál a napi 10</w:t>
      </w:r>
      <w:r>
        <w:t> </w:t>
      </w:r>
      <w:r>
        <w:rPr>
          <w:lang w:val="hu-HU"/>
        </w:rPr>
        <w:t>mg vortioxetin-kezelés mellett kialakuló plazma koncentráció a gyors metabolizálóknál napi 5 mg-os és 10</w:t>
      </w:r>
      <w:r>
        <w:t> </w:t>
      </w:r>
      <w:r>
        <w:rPr>
          <w:lang w:val="hu-HU"/>
        </w:rPr>
        <w:t>mg-os kezeléssel elért koncentrációk közé esett. A kezelésre adott választól függően mérlegelhető az adag módosítása (lásd 4.2 pont).</w:t>
      </w:r>
    </w:p>
    <w:p w:rsidR="008B5166" w:rsidRDefault="008B5166">
      <w:pPr>
        <w:numPr>
          <w:ilvl w:val="12"/>
          <w:numId w:val="0"/>
        </w:numPr>
        <w:spacing w:line="240" w:lineRule="auto"/>
        <w:ind w:right="-2"/>
        <w:rPr>
          <w:lang w:val="hu-HU"/>
        </w:rPr>
      </w:pPr>
    </w:p>
    <w:p w:rsidR="008B5166" w:rsidRDefault="00226345">
      <w:pPr>
        <w:ind w:right="-1"/>
        <w:rPr>
          <w:i/>
          <w:lang w:eastAsia="hu-HU"/>
        </w:rPr>
      </w:pPr>
      <w:r>
        <w:rPr>
          <w:i/>
        </w:rPr>
        <w:t>Gyermekek és serdülők</w:t>
      </w:r>
    </w:p>
    <w:p w:rsidR="008B5166" w:rsidRDefault="00226345">
      <w:pPr>
        <w:numPr>
          <w:ilvl w:val="12"/>
          <w:numId w:val="0"/>
        </w:numPr>
        <w:spacing w:line="240" w:lineRule="auto"/>
        <w:ind w:right="-2"/>
        <w:rPr>
          <w:lang w:val="hu-HU"/>
        </w:rPr>
      </w:pPr>
      <w:r>
        <w:rPr>
          <w:lang w:val="hu-HU"/>
        </w:rPr>
        <w:t>A vortioxetin farmakokinetikáját major depresszióban szenvedő gyermekeknél és serdülőknél 5–20</w:t>
      </w:r>
      <w:r>
        <w:t> </w:t>
      </w:r>
      <w:r>
        <w:rPr>
          <w:lang w:val="hu-HU"/>
        </w:rPr>
        <w:t>mg vortioxetin napi egyszeri, szájon át történő adagolását követően egy (7–17</w:t>
      </w:r>
      <w:r>
        <w:t> </w:t>
      </w:r>
      <w:r>
        <w:rPr>
          <w:lang w:val="hu-HU"/>
        </w:rPr>
        <w:t>éves gyermekekkel és serdülőkkel végzett) farmakokinetikai vizsgálatból és két (7–17</w:t>
      </w:r>
      <w:r>
        <w:t> </w:t>
      </w:r>
      <w:r>
        <w:rPr>
          <w:lang w:val="hu-HU"/>
        </w:rPr>
        <w:t>éves gyermekekkel és serdülőkkel végzett) hatásossági és biztonságossági vizsgálatból származó adatok alapján végzett populációmodellező elemzéssel jellemezték. A vortioxetin gyermekeknél és serdülőknél megfigyelt farmakokinetikája hasonló volt a felnőtt betegeknél megfigyelthez.</w:t>
      </w:r>
    </w:p>
    <w:p w:rsidR="008B5166" w:rsidRDefault="008B5166">
      <w:pPr>
        <w:numPr>
          <w:ilvl w:val="12"/>
          <w:numId w:val="0"/>
        </w:numPr>
        <w:spacing w:line="240" w:lineRule="auto"/>
        <w:ind w:right="-2"/>
        <w:rPr>
          <w:lang w:val="hu-HU"/>
        </w:rPr>
      </w:pPr>
    </w:p>
    <w:p w:rsidR="008B5166" w:rsidRDefault="00226345">
      <w:pPr>
        <w:spacing w:line="240" w:lineRule="auto"/>
        <w:ind w:left="567" w:hanging="567"/>
        <w:outlineLvl w:val="0"/>
        <w:rPr>
          <w:b/>
          <w:bCs/>
          <w:lang w:val="hu-HU"/>
        </w:rPr>
      </w:pPr>
      <w:r>
        <w:rPr>
          <w:b/>
          <w:bCs/>
          <w:lang w:val="hu-HU"/>
        </w:rPr>
        <w:t>5.3</w:t>
      </w:r>
      <w:r>
        <w:rPr>
          <w:b/>
          <w:bCs/>
          <w:lang w:val="hu-HU"/>
        </w:rPr>
        <w:tab/>
        <w:t>A preklinikai biztonságossági vizsgálatok eredményei</w:t>
      </w:r>
    </w:p>
    <w:p w:rsidR="008B5166" w:rsidRDefault="008B5166">
      <w:pPr>
        <w:spacing w:line="240" w:lineRule="auto"/>
        <w:ind w:left="567" w:hanging="567"/>
        <w:outlineLvl w:val="0"/>
        <w:rPr>
          <w:b/>
          <w:bCs/>
          <w:lang w:val="hu-HU"/>
        </w:rPr>
      </w:pPr>
    </w:p>
    <w:p w:rsidR="008B5166" w:rsidRDefault="00226345">
      <w:pPr>
        <w:spacing w:line="240" w:lineRule="auto"/>
        <w:rPr>
          <w:lang w:val="hu-HU"/>
        </w:rPr>
      </w:pPr>
      <w:r>
        <w:rPr>
          <w:lang w:val="hu-HU"/>
        </w:rPr>
        <w:t>Az egereken, patkányokon és kutyákon végzett általános toxicitási vizsgálatokban a vortioxetin alkalmazása főként központi idegrendszeri klinikai tünetekkel járt. Ezek közé tartozott a nyáladzás (patkány és kutya), pupillatágulat (kutya), illetve görcsroham kutyáknál két esetben fordult elő az általános toxicitási vizsgálati programban. A görcsöt még nem okozó szintet a 20</w:t>
      </w:r>
      <w:r>
        <w:t> </w:t>
      </w:r>
      <w:r>
        <w:rPr>
          <w:lang w:val="hu-HU"/>
        </w:rPr>
        <w:t>mg/nap javasolt terápiás dózis figyelembe vételével 5-ös biztonsági küszöbbel határozták meg. A célszervi toxicitás a vesékre (patkányok) és a májra (egerek és patkányok) korlátozódott. A patkányok veséinek (glomerulonephritis, renalis tubularis elzáródás, kristályos anyag a vesetubulusokban), illetve az egerek és patkányok májának (májsejt-hypertrophia, májsejt-necrosis, epevezeték-hyperplasia, kristályos anyag az epevezetékekben) elváltozásai a napi 20</w:t>
      </w:r>
      <w:r>
        <w:t> </w:t>
      </w:r>
      <w:r>
        <w:rPr>
          <w:lang w:val="hu-HU"/>
        </w:rPr>
        <w:t>mg-os maximális javasolt terápiás dózis esetén létrejövő humán expozíciót 10-szeresen (egereknél), illetve 2-szeresen (patkányoknál) meghaladó expozíció mellett következtek be. Ezek az eredmények főként annak voltak tulajdoníthatók, hogy a vortioxetinből kialakult, rágcsálókra specifikus kristályos anyag elzárta a vesetubulusokat és az epeutakat, és így humán alkalmazás esetén a kockázat alacsonynak tekinthető.</w:t>
      </w:r>
    </w:p>
    <w:p w:rsidR="008B5166" w:rsidRDefault="008B5166">
      <w:pPr>
        <w:spacing w:line="240" w:lineRule="auto"/>
        <w:rPr>
          <w:lang w:val="hu-HU"/>
        </w:rPr>
      </w:pPr>
    </w:p>
    <w:p w:rsidR="008B5166" w:rsidRDefault="00226345">
      <w:pPr>
        <w:rPr>
          <w:lang w:val="hu-HU"/>
        </w:rPr>
      </w:pPr>
      <w:r>
        <w:rPr>
          <w:lang w:val="hu-HU"/>
        </w:rPr>
        <w:t xml:space="preserve">A vortioxetin </w:t>
      </w:r>
      <w:r>
        <w:rPr>
          <w:i/>
          <w:iCs/>
          <w:lang w:val="hu-HU"/>
        </w:rPr>
        <w:t xml:space="preserve">in vitro </w:t>
      </w:r>
      <w:r>
        <w:rPr>
          <w:lang w:val="hu-HU"/>
        </w:rPr>
        <w:t xml:space="preserve">és </w:t>
      </w:r>
      <w:r>
        <w:rPr>
          <w:i/>
          <w:iCs/>
          <w:lang w:val="hu-HU"/>
        </w:rPr>
        <w:t xml:space="preserve">in vivo </w:t>
      </w:r>
      <w:r>
        <w:rPr>
          <w:lang w:val="hu-HU"/>
        </w:rPr>
        <w:t>vizsgálatok egy sorozatában nem volt genotoxikus.</w:t>
      </w:r>
    </w:p>
    <w:p w:rsidR="008B5166" w:rsidRDefault="008B5166">
      <w:pPr>
        <w:rPr>
          <w:lang w:val="hu-HU"/>
        </w:rPr>
      </w:pPr>
    </w:p>
    <w:p w:rsidR="008B5166" w:rsidRDefault="00226345">
      <w:pPr>
        <w:rPr>
          <w:lang w:val="hu-HU"/>
        </w:rPr>
      </w:pPr>
      <w:r>
        <w:rPr>
          <w:lang w:val="hu-HU"/>
        </w:rPr>
        <w:t>Az egereken és patkányokon végzett hagyományos 2</w:t>
      </w:r>
      <w:r>
        <w:t> </w:t>
      </w:r>
      <w:r>
        <w:rPr>
          <w:lang w:val="hu-HU"/>
        </w:rPr>
        <w:t>éves karcinogenitási vizsgálat eredményei alapján a vortioxetin humán alkalmazása nem hordoz karcinogén kockázatot.</w:t>
      </w:r>
    </w:p>
    <w:p w:rsidR="008B5166" w:rsidRDefault="008B5166">
      <w:pPr>
        <w:rPr>
          <w:lang w:val="hu-HU"/>
        </w:rPr>
      </w:pPr>
    </w:p>
    <w:p w:rsidR="008B5166" w:rsidRDefault="00226345">
      <w:pPr>
        <w:rPr>
          <w:lang w:val="hu-HU"/>
        </w:rPr>
      </w:pPr>
      <w:r>
        <w:rPr>
          <w:lang w:val="hu-HU"/>
        </w:rPr>
        <w:t>A vortioxetin a patkányoknál nem befolyásolta a termékenységet, párzási teljesítményt, a reprodukciós szerveket, illetve a hímivarsejtek morfológiáját és mozgékonyságát. A vortioxetin patkányoknál, illetve nyulaknál nem mutatott teratogén hatást, ugyanakkor a magzat tömegének befolyásolása és a csontosodás késleltetése formájában reprodukciós toxicitás volt tapasztalható patkányoknál a napi 20</w:t>
      </w:r>
      <w:r>
        <w:t> </w:t>
      </w:r>
      <w:r>
        <w:rPr>
          <w:lang w:val="hu-HU"/>
        </w:rPr>
        <w:t>mg-os maximális javasolt terápiás adag esetén létrejövő, humán expozíciót 10-szeresen meghaladó expozíció mellett. Hasonló hatást figyeltek meg nyulaknál a szubterápiás expozíció mellett.</w:t>
      </w:r>
    </w:p>
    <w:p w:rsidR="008B5166" w:rsidRDefault="008B5166">
      <w:pPr>
        <w:rPr>
          <w:lang w:val="hu-HU"/>
        </w:rPr>
      </w:pPr>
    </w:p>
    <w:p w:rsidR="008B5166" w:rsidRDefault="00226345">
      <w:pPr>
        <w:rPr>
          <w:lang w:val="hu-HU"/>
        </w:rPr>
      </w:pPr>
      <w:r>
        <w:rPr>
          <w:lang w:val="hu-HU"/>
        </w:rPr>
        <w:t>Patkányokon végzett pre- és posztnatális vizsgálatokban a vortioxetin anyai toxicitást nem okozó adagban és a humán alkalmazás esetén napi 20</w:t>
      </w:r>
      <w:r>
        <w:t> </w:t>
      </w:r>
      <w:r>
        <w:rPr>
          <w:lang w:val="hu-HU"/>
        </w:rPr>
        <w:t>mg-os vortioxetin-dózisnak megfelelő expozíció mellett az utódoknál a mortalitás növekedésével, a tömeggyarapodás csökkenésével és a fejlődés késlekedésével járt (lásd 4.6 pont).</w:t>
      </w:r>
    </w:p>
    <w:p w:rsidR="008B5166" w:rsidRDefault="008B5166">
      <w:pPr>
        <w:rPr>
          <w:lang w:val="hu-HU"/>
        </w:rPr>
      </w:pPr>
    </w:p>
    <w:p w:rsidR="008B5166" w:rsidRDefault="00226345">
      <w:pPr>
        <w:rPr>
          <w:lang w:val="hu-HU"/>
        </w:rPr>
      </w:pPr>
      <w:r>
        <w:rPr>
          <w:lang w:val="hu-HU"/>
        </w:rPr>
        <w:t>A vortioxetinnel rokon anyag került be a laktáló patkányok tejébe (lásd 4.6 pont).</w:t>
      </w:r>
    </w:p>
    <w:p w:rsidR="008B5166" w:rsidRDefault="00226345">
      <w:pPr>
        <w:rPr>
          <w:lang w:val="hu-HU"/>
        </w:rPr>
      </w:pPr>
      <w:r>
        <w:rPr>
          <w:lang w:val="hu-HU"/>
        </w:rPr>
        <w:t>Fiatal patkányokon végzett toxicitási vizsgálatokban a vortioxetin-kezeléssel kapcsolatban megfigyelt változások mindegyike megfelelt a felnőtt állatokon tapasztaltaknak.</w:t>
      </w:r>
    </w:p>
    <w:p w:rsidR="008B5166" w:rsidRDefault="008B5166">
      <w:pPr>
        <w:rPr>
          <w:lang w:val="hu-HU"/>
        </w:rPr>
      </w:pPr>
    </w:p>
    <w:p w:rsidR="008B5166" w:rsidRDefault="00226345">
      <w:pPr>
        <w:rPr>
          <w:lang w:val="hu-HU"/>
        </w:rPr>
      </w:pPr>
      <w:r>
        <w:rPr>
          <w:lang w:val="hu-HU"/>
        </w:rPr>
        <w:t>A környezeti kockázatbecslésre vonatkozó vizsgálatok azt mutatták, hogy a vortioxetin esetében fennáll a perzisztens, bioakkumulatív és toxikus a környezeti hatás lehetősége (a halakra veszélyes). Azonban, ha a betegek a vortioxetint javaslat szerint alkalmazzák, a vízi és szárazföldi környezeti kockázat elhanyagolható mértékű (lásd 6.6 pont).</w:t>
      </w:r>
    </w:p>
    <w:p w:rsidR="008B5166" w:rsidRDefault="008B5166">
      <w:pPr>
        <w:spacing w:line="240" w:lineRule="auto"/>
        <w:rPr>
          <w:lang w:val="hu-HU"/>
        </w:rPr>
      </w:pP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6.</w:t>
      </w:r>
      <w:r>
        <w:rPr>
          <w:b/>
          <w:bCs/>
          <w:lang w:val="hu-HU"/>
        </w:rPr>
        <w:tab/>
        <w:t>GYÓGYSZERÉSZETI JELLEMZŐK</w:t>
      </w: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t>6.1</w:t>
      </w:r>
      <w:r>
        <w:rPr>
          <w:b/>
          <w:bCs/>
          <w:lang w:val="hu-HU"/>
        </w:rPr>
        <w:tab/>
        <w:t>Segédanyagok felsorolása</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Tablettamag</w:t>
      </w:r>
    </w:p>
    <w:p w:rsidR="008B5166" w:rsidRDefault="00226345">
      <w:pPr>
        <w:spacing w:line="240" w:lineRule="auto"/>
        <w:rPr>
          <w:lang w:val="hu-HU"/>
        </w:rPr>
      </w:pPr>
      <w:r>
        <w:rPr>
          <w:lang w:val="hu-HU"/>
        </w:rPr>
        <w:t>mannit</w:t>
      </w:r>
    </w:p>
    <w:p w:rsidR="008B5166" w:rsidRDefault="00226345">
      <w:pPr>
        <w:spacing w:line="240" w:lineRule="auto"/>
        <w:rPr>
          <w:lang w:val="hu-HU"/>
        </w:rPr>
      </w:pPr>
      <w:r>
        <w:rPr>
          <w:lang w:val="hu-HU"/>
        </w:rPr>
        <w:t>mikrokristályos cellulóz</w:t>
      </w:r>
    </w:p>
    <w:p w:rsidR="008B5166" w:rsidRDefault="00226345">
      <w:pPr>
        <w:spacing w:line="240" w:lineRule="auto"/>
        <w:rPr>
          <w:lang w:val="hu-HU"/>
        </w:rPr>
      </w:pPr>
      <w:r>
        <w:rPr>
          <w:lang w:val="hu-HU"/>
        </w:rPr>
        <w:t>karboximetilkeményítő-nátrium (A típus)</w:t>
      </w:r>
    </w:p>
    <w:p w:rsidR="008B5166" w:rsidRDefault="00226345">
      <w:pPr>
        <w:spacing w:line="240" w:lineRule="auto"/>
        <w:rPr>
          <w:lang w:val="hu-HU"/>
        </w:rPr>
      </w:pPr>
      <w:r>
        <w:rPr>
          <w:lang w:val="hu-HU"/>
        </w:rPr>
        <w:t>hidroxipropilcellulóz</w:t>
      </w:r>
    </w:p>
    <w:p w:rsidR="008B5166" w:rsidRDefault="00226345">
      <w:pPr>
        <w:spacing w:line="240" w:lineRule="auto"/>
        <w:rPr>
          <w:lang w:val="hu-HU"/>
        </w:rPr>
      </w:pPr>
      <w:r>
        <w:rPr>
          <w:lang w:val="hu-HU"/>
        </w:rPr>
        <w:t>magnézium-sztearát</w:t>
      </w:r>
    </w:p>
    <w:p w:rsidR="008B5166" w:rsidRDefault="008B5166">
      <w:pPr>
        <w:spacing w:line="240" w:lineRule="auto"/>
        <w:rPr>
          <w:lang w:val="hu-HU"/>
        </w:rPr>
      </w:pPr>
    </w:p>
    <w:p w:rsidR="008B5166" w:rsidRDefault="00226345">
      <w:pPr>
        <w:spacing w:line="240" w:lineRule="auto"/>
        <w:rPr>
          <w:u w:val="single"/>
          <w:lang w:val="hu-HU"/>
        </w:rPr>
      </w:pPr>
      <w:r>
        <w:rPr>
          <w:u w:val="single"/>
          <w:lang w:val="hu-HU"/>
        </w:rPr>
        <w:t>Filmbevonat</w:t>
      </w:r>
    </w:p>
    <w:p w:rsidR="008B5166" w:rsidRDefault="00226345">
      <w:pPr>
        <w:spacing w:line="240" w:lineRule="auto"/>
        <w:rPr>
          <w:lang w:val="hu-HU"/>
        </w:rPr>
      </w:pPr>
      <w:r>
        <w:rPr>
          <w:lang w:val="hu-HU"/>
        </w:rPr>
        <w:t>hipromellóz</w:t>
      </w:r>
    </w:p>
    <w:p w:rsidR="008B5166" w:rsidRDefault="00226345">
      <w:pPr>
        <w:spacing w:line="240" w:lineRule="auto"/>
        <w:rPr>
          <w:lang w:val="hu-HU"/>
        </w:rPr>
      </w:pPr>
      <w:r>
        <w:rPr>
          <w:lang w:val="hu-HU"/>
        </w:rPr>
        <w:t>makrogol 400</w:t>
      </w:r>
    </w:p>
    <w:p w:rsidR="008B5166" w:rsidRDefault="00226345">
      <w:pPr>
        <w:spacing w:line="240" w:lineRule="auto"/>
        <w:rPr>
          <w:lang w:val="hu-HU"/>
        </w:rPr>
      </w:pPr>
      <w:r>
        <w:rPr>
          <w:lang w:val="hu-HU"/>
        </w:rPr>
        <w:t>titán-dioxid (E171)</w:t>
      </w:r>
    </w:p>
    <w:p w:rsidR="008B5166" w:rsidRDefault="00226345">
      <w:pPr>
        <w:spacing w:line="240" w:lineRule="auto"/>
        <w:rPr>
          <w:lang w:val="hu-HU"/>
        </w:rPr>
      </w:pPr>
      <w:r>
        <w:rPr>
          <w:lang w:val="hu-HU"/>
        </w:rPr>
        <w:t xml:space="preserve">vörös vas-oxid (E172) </w:t>
      </w:r>
      <w:r>
        <w:rPr>
          <w:i/>
          <w:iCs/>
        </w:rPr>
        <w:t>(csak az 5 mg, 15 mg és a 20 mg-os hatáserősségekben)</w:t>
      </w:r>
    </w:p>
    <w:p w:rsidR="008B5166" w:rsidRDefault="00226345">
      <w:pPr>
        <w:spacing w:line="240" w:lineRule="auto"/>
        <w:rPr>
          <w:lang w:val="hu-HU"/>
        </w:rPr>
      </w:pPr>
      <w:r>
        <w:rPr>
          <w:lang w:val="hu-HU"/>
        </w:rPr>
        <w:t>sárga vas-oxid (E172)</w:t>
      </w:r>
      <w:r>
        <w:rPr>
          <w:i/>
          <w:iCs/>
        </w:rPr>
        <w:t xml:space="preserve"> (csak a 10 mg és a 15 mg-os hatáserősségekben)</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6.2</w:t>
      </w:r>
      <w:r>
        <w:rPr>
          <w:b/>
          <w:bCs/>
          <w:lang w:val="hu-HU"/>
        </w:rPr>
        <w:tab/>
        <w:t>Inkompatibilitások</w:t>
      </w:r>
    </w:p>
    <w:p w:rsidR="008B5166" w:rsidRDefault="008B5166">
      <w:pPr>
        <w:spacing w:line="240" w:lineRule="auto"/>
        <w:rPr>
          <w:lang w:val="hu-HU"/>
        </w:rPr>
      </w:pPr>
    </w:p>
    <w:p w:rsidR="008B5166" w:rsidRDefault="00226345">
      <w:pPr>
        <w:spacing w:line="240" w:lineRule="auto"/>
        <w:rPr>
          <w:lang w:val="hu-HU"/>
        </w:rPr>
      </w:pPr>
      <w:r>
        <w:rPr>
          <w:lang w:val="hu-HU"/>
        </w:rPr>
        <w:t>Nem értelmezhető.</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6.3</w:t>
      </w:r>
      <w:r>
        <w:rPr>
          <w:b/>
          <w:bCs/>
          <w:lang w:val="hu-HU"/>
        </w:rPr>
        <w:tab/>
        <w:t>Felhasználhatósági időtartam</w:t>
      </w:r>
    </w:p>
    <w:p w:rsidR="008B5166" w:rsidRDefault="008B5166">
      <w:pPr>
        <w:spacing w:line="240" w:lineRule="auto"/>
        <w:rPr>
          <w:lang w:val="hu-HU"/>
        </w:rPr>
      </w:pPr>
    </w:p>
    <w:p w:rsidR="008B5166" w:rsidRDefault="00226345">
      <w:pPr>
        <w:spacing w:line="240" w:lineRule="auto"/>
        <w:rPr>
          <w:lang w:val="hu-HU"/>
        </w:rPr>
      </w:pPr>
      <w:r>
        <w:rPr>
          <w:lang w:val="hu-HU"/>
        </w:rPr>
        <w:t>2 év</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6.4</w:t>
      </w:r>
      <w:r>
        <w:rPr>
          <w:b/>
          <w:bCs/>
          <w:lang w:val="hu-HU"/>
        </w:rPr>
        <w:tab/>
        <w:t>Különleges tárolási előírások</w:t>
      </w:r>
    </w:p>
    <w:p w:rsidR="008B5166" w:rsidRDefault="008B5166">
      <w:pPr>
        <w:spacing w:line="240" w:lineRule="auto"/>
        <w:ind w:left="567" w:hanging="567"/>
        <w:outlineLvl w:val="0"/>
        <w:rPr>
          <w:b/>
          <w:bCs/>
          <w:lang w:val="hu-HU"/>
        </w:rPr>
      </w:pPr>
    </w:p>
    <w:p w:rsidR="008B5166" w:rsidRDefault="00226345">
      <w:r>
        <w:t>Ez a gyógyszer nem igényel különleges tárolást.</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6.5</w:t>
      </w:r>
      <w:r>
        <w:rPr>
          <w:b/>
          <w:bCs/>
          <w:lang w:val="hu-HU"/>
        </w:rPr>
        <w:tab/>
        <w:t>Csomagolás típusa és kiszerelése</w:t>
      </w:r>
    </w:p>
    <w:p w:rsidR="008B5166" w:rsidRDefault="008B5166">
      <w:pPr>
        <w:widowControl w:val="0"/>
      </w:pPr>
    </w:p>
    <w:p w:rsidR="008B5166" w:rsidRDefault="00226345">
      <w:pPr>
        <w:widowControl w:val="0"/>
      </w:pPr>
      <w:r>
        <w:t>14, 28, 30, 56, 60, 90 és 98 filmtabletta PVC/PVDC//Al perforált vagy nem perforált buborékcsomagolásban és dobozban.</w:t>
      </w:r>
    </w:p>
    <w:p w:rsidR="008B5166" w:rsidRDefault="008B5166">
      <w:pPr>
        <w:spacing w:line="240" w:lineRule="auto"/>
        <w:rPr>
          <w:lang w:val="hu-HU"/>
        </w:rPr>
      </w:pPr>
    </w:p>
    <w:p w:rsidR="008B5166" w:rsidRDefault="00226345">
      <w:pPr>
        <w:spacing w:line="240" w:lineRule="auto"/>
        <w:rPr>
          <w:lang w:val="hu-HU"/>
        </w:rPr>
      </w:pPr>
      <w:r>
        <w:rPr>
          <w:lang w:val="hu-HU"/>
        </w:rPr>
        <w:t>Nem feltétlenül mindegyik kiszerelés kerül kereskedelmi forgalomba.</w:t>
      </w: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rsidR="008B5166" w:rsidRDefault="008B5166">
      <w:pPr>
        <w:spacing w:line="240" w:lineRule="auto"/>
        <w:rPr>
          <w:lang w:val="hu-HU"/>
        </w:rPr>
      </w:pPr>
    </w:p>
    <w:p w:rsidR="008B5166" w:rsidRDefault="00226345">
      <w:pPr>
        <w:spacing w:line="240" w:lineRule="auto"/>
        <w:rPr>
          <w:lang w:val="hu-HU"/>
        </w:rPr>
      </w:pPr>
      <w:r>
        <w:rPr>
          <w:lang w:val="hu-HU"/>
        </w:rPr>
        <w:t>Ez a gyógyszer kockázatot jelenthet a környezetre (lásd 5.3 pont).</w:t>
      </w:r>
    </w:p>
    <w:p w:rsidR="008B5166" w:rsidRDefault="008B5166">
      <w:pPr>
        <w:spacing w:line="240" w:lineRule="auto"/>
        <w:rPr>
          <w:lang w:val="hu-HU"/>
        </w:rPr>
      </w:pPr>
    </w:p>
    <w:p w:rsidR="008B5166" w:rsidRDefault="00226345">
      <w:pPr>
        <w:spacing w:line="240" w:lineRule="auto"/>
        <w:rPr>
          <w:lang w:val="hu-HU"/>
        </w:rPr>
      </w:pPr>
      <w:r>
        <w:rPr>
          <w:lang w:val="hu-HU"/>
        </w:rPr>
        <w:t>Bármilyen fel nem használt gyógyszer, illetve hulladékanyag megsemmisítését a gyógyszerekre vonatkozó előírások szerint kell végrehajtani.</w:t>
      </w:r>
    </w:p>
    <w:p w:rsidR="008B5166" w:rsidRDefault="008B5166">
      <w:pPr>
        <w:spacing w:line="240" w:lineRule="auto"/>
        <w:ind w:left="567" w:hanging="567"/>
        <w:outlineLvl w:val="0"/>
        <w:rPr>
          <w:b/>
          <w:bCs/>
          <w:lang w:val="hu-HU"/>
        </w:rPr>
      </w:pPr>
    </w:p>
    <w:p w:rsidR="008B5166" w:rsidRDefault="00226345">
      <w:pPr>
        <w:adjustRightInd w:val="0"/>
        <w:spacing w:line="240" w:lineRule="auto"/>
        <w:rPr>
          <w:rFonts w:eastAsiaTheme="minorHAnsi"/>
        </w:rPr>
      </w:pPr>
      <w:r>
        <w:rPr>
          <w:rFonts w:eastAsiaTheme="minorHAnsi"/>
          <w:b/>
          <w:bCs/>
        </w:rPr>
        <w:t xml:space="preserve">Megjegyzés: </w:t>
      </w:r>
      <w:r>
        <w:rPr>
          <w:rFonts w:ascii="Wingdings" w:eastAsiaTheme="minorHAnsi" w:hAnsi="Wingdings" w:cs="Wingdings"/>
        </w:rPr>
        <w:t></w:t>
      </w:r>
      <w:r>
        <w:rPr>
          <w:rFonts w:eastAsiaTheme="minorHAnsi"/>
        </w:rPr>
        <w:t xml:space="preserve"> (egy keresztes)</w:t>
      </w:r>
    </w:p>
    <w:p w:rsidR="008B5166" w:rsidRDefault="00226345">
      <w:pPr>
        <w:adjustRightInd w:val="0"/>
        <w:spacing w:line="240" w:lineRule="auto"/>
        <w:rPr>
          <w:rFonts w:eastAsiaTheme="minorHAnsi"/>
          <w:b/>
          <w:bCs/>
        </w:rPr>
      </w:pPr>
      <w:r>
        <w:rPr>
          <w:rFonts w:eastAsiaTheme="minorHAnsi"/>
        </w:rPr>
        <w:t>Osztályozás</w:t>
      </w:r>
      <w:r>
        <w:rPr>
          <w:rFonts w:eastAsiaTheme="minorHAnsi"/>
          <w:b/>
          <w:bCs/>
        </w:rPr>
        <w:t>: II./1. csoport</w:t>
      </w:r>
    </w:p>
    <w:p w:rsidR="008B5166" w:rsidRDefault="00226345">
      <w:pPr>
        <w:pStyle w:val="Szvegtrzs"/>
        <w:spacing w:after="0"/>
        <w:rPr>
          <w:rFonts w:eastAsiaTheme="minorHAnsi"/>
          <w:sz w:val="22"/>
          <w:szCs w:val="22"/>
        </w:rPr>
      </w:pPr>
      <w:r>
        <w:rPr>
          <w:sz w:val="22"/>
          <w:szCs w:val="22"/>
        </w:rPr>
        <w:t>Korl</w:t>
      </w:r>
      <w:r>
        <w:rPr>
          <w:rFonts w:hint="cs"/>
          <w:sz w:val="22"/>
          <w:szCs w:val="22"/>
        </w:rPr>
        <w:t>á</w:t>
      </w:r>
      <w:r>
        <w:rPr>
          <w:sz w:val="22"/>
          <w:szCs w:val="22"/>
        </w:rPr>
        <w:t xml:space="preserve">tozott </w:t>
      </w:r>
      <w:r>
        <w:rPr>
          <w:rFonts w:hint="cs"/>
          <w:sz w:val="22"/>
          <w:szCs w:val="22"/>
        </w:rPr>
        <w:t>é</w:t>
      </w:r>
      <w:r>
        <w:rPr>
          <w:sz w:val="22"/>
          <w:szCs w:val="22"/>
        </w:rPr>
        <w:t>rv</w:t>
      </w:r>
      <w:r>
        <w:rPr>
          <w:rFonts w:hint="cs"/>
          <w:sz w:val="22"/>
          <w:szCs w:val="22"/>
        </w:rPr>
        <w:t>é</w:t>
      </w:r>
      <w:r>
        <w:rPr>
          <w:sz w:val="22"/>
          <w:szCs w:val="22"/>
        </w:rPr>
        <w:t>ny</w:t>
      </w:r>
      <w:r>
        <w:rPr>
          <w:rFonts w:hint="cs"/>
          <w:sz w:val="22"/>
          <w:szCs w:val="22"/>
        </w:rPr>
        <w:t>ű</w:t>
      </w:r>
      <w:r>
        <w:rPr>
          <w:sz w:val="22"/>
          <w:szCs w:val="22"/>
        </w:rPr>
        <w:t xml:space="preserve"> orvosi rendelv</w:t>
      </w:r>
      <w:r>
        <w:rPr>
          <w:rFonts w:hint="cs"/>
          <w:sz w:val="22"/>
          <w:szCs w:val="22"/>
        </w:rPr>
        <w:t>é</w:t>
      </w:r>
      <w:r>
        <w:rPr>
          <w:sz w:val="22"/>
          <w:szCs w:val="22"/>
        </w:rPr>
        <w:t>nyhez k</w:t>
      </w:r>
      <w:r>
        <w:rPr>
          <w:rFonts w:hint="cs"/>
          <w:sz w:val="22"/>
          <w:szCs w:val="22"/>
        </w:rPr>
        <w:t>ö</w:t>
      </w:r>
      <w:r>
        <w:rPr>
          <w:sz w:val="22"/>
          <w:szCs w:val="22"/>
        </w:rPr>
        <w:t>t</w:t>
      </w:r>
      <w:r>
        <w:rPr>
          <w:rFonts w:hint="cs"/>
          <w:sz w:val="22"/>
          <w:szCs w:val="22"/>
        </w:rPr>
        <w:t>ö</w:t>
      </w:r>
      <w:r>
        <w:rPr>
          <w:sz w:val="22"/>
          <w:szCs w:val="22"/>
        </w:rPr>
        <w:t>tt, szakorvosi/k</w:t>
      </w:r>
      <w:r>
        <w:rPr>
          <w:rFonts w:hint="cs"/>
          <w:sz w:val="22"/>
          <w:szCs w:val="22"/>
        </w:rPr>
        <w:t>ó</w:t>
      </w:r>
      <w:r>
        <w:rPr>
          <w:sz w:val="22"/>
          <w:szCs w:val="22"/>
        </w:rPr>
        <w:t>rh</w:t>
      </w:r>
      <w:r>
        <w:rPr>
          <w:rFonts w:hint="cs"/>
          <w:sz w:val="22"/>
          <w:szCs w:val="22"/>
        </w:rPr>
        <w:t>á</w:t>
      </w:r>
      <w:r>
        <w:rPr>
          <w:sz w:val="22"/>
          <w:szCs w:val="22"/>
        </w:rPr>
        <w:t>zi diagn</w:t>
      </w:r>
      <w:r>
        <w:rPr>
          <w:rFonts w:hint="cs"/>
          <w:sz w:val="22"/>
          <w:szCs w:val="22"/>
        </w:rPr>
        <w:t>ó</w:t>
      </w:r>
      <w:r>
        <w:rPr>
          <w:sz w:val="22"/>
          <w:szCs w:val="22"/>
        </w:rPr>
        <w:t>zist k</w:t>
      </w:r>
      <w:r>
        <w:rPr>
          <w:rFonts w:hint="cs"/>
          <w:sz w:val="22"/>
          <w:szCs w:val="22"/>
        </w:rPr>
        <w:t>ö</w:t>
      </w:r>
      <w:r>
        <w:rPr>
          <w:sz w:val="22"/>
          <w:szCs w:val="22"/>
        </w:rPr>
        <w:t>vet</w:t>
      </w:r>
      <w:r>
        <w:rPr>
          <w:rFonts w:hint="cs"/>
          <w:sz w:val="22"/>
          <w:szCs w:val="22"/>
        </w:rPr>
        <w:t>ő</w:t>
      </w:r>
      <w:r>
        <w:rPr>
          <w:sz w:val="22"/>
          <w:szCs w:val="22"/>
        </w:rPr>
        <w:t xml:space="preserve"> j</w:t>
      </w:r>
      <w:r>
        <w:rPr>
          <w:rFonts w:hint="cs"/>
          <w:sz w:val="22"/>
          <w:szCs w:val="22"/>
        </w:rPr>
        <w:t>á</w:t>
      </w:r>
      <w:r>
        <w:rPr>
          <w:sz w:val="22"/>
          <w:szCs w:val="22"/>
        </w:rPr>
        <w:t>r</w:t>
      </w:r>
      <w:r>
        <w:rPr>
          <w:rFonts w:hint="cs"/>
          <w:sz w:val="22"/>
          <w:szCs w:val="22"/>
        </w:rPr>
        <w:t>ó</w:t>
      </w:r>
      <w:r>
        <w:rPr>
          <w:sz w:val="22"/>
          <w:szCs w:val="22"/>
        </w:rPr>
        <w:t>beteg-ell</w:t>
      </w:r>
      <w:r>
        <w:rPr>
          <w:rFonts w:hint="cs"/>
          <w:sz w:val="22"/>
          <w:szCs w:val="22"/>
        </w:rPr>
        <w:t>á</w:t>
      </w:r>
      <w:r>
        <w:rPr>
          <w:sz w:val="22"/>
          <w:szCs w:val="22"/>
        </w:rPr>
        <w:t>t</w:t>
      </w:r>
      <w:r>
        <w:rPr>
          <w:rFonts w:hint="cs"/>
          <w:sz w:val="22"/>
          <w:szCs w:val="22"/>
        </w:rPr>
        <w:t>á</w:t>
      </w:r>
      <w:r>
        <w:rPr>
          <w:sz w:val="22"/>
          <w:szCs w:val="22"/>
        </w:rPr>
        <w:t>sban alkalmazhat</w:t>
      </w:r>
      <w:r>
        <w:rPr>
          <w:rFonts w:hint="cs"/>
          <w:sz w:val="22"/>
          <w:szCs w:val="22"/>
        </w:rPr>
        <w:t>ó</w:t>
      </w:r>
      <w:r>
        <w:rPr>
          <w:sz w:val="22"/>
          <w:szCs w:val="22"/>
        </w:rPr>
        <w:t xml:space="preserve"> gy</w:t>
      </w:r>
      <w:r>
        <w:rPr>
          <w:rFonts w:hint="cs"/>
          <w:sz w:val="22"/>
          <w:szCs w:val="22"/>
        </w:rPr>
        <w:t>ó</w:t>
      </w:r>
      <w:r>
        <w:rPr>
          <w:sz w:val="22"/>
          <w:szCs w:val="22"/>
        </w:rPr>
        <w:t>gyszer (J).</w:t>
      </w:r>
    </w:p>
    <w:p w:rsidR="008B5166" w:rsidRDefault="008B5166">
      <w:pPr>
        <w:spacing w:line="240" w:lineRule="auto"/>
        <w:ind w:left="567" w:hanging="567"/>
        <w:outlineLvl w:val="0"/>
        <w:rPr>
          <w:b/>
          <w:bCs/>
          <w:lang w:val="hu-HU"/>
        </w:rPr>
      </w:pP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t>7.</w:t>
      </w:r>
      <w:r>
        <w:rPr>
          <w:b/>
          <w:bCs/>
          <w:lang w:val="hu-HU"/>
        </w:rPr>
        <w:tab/>
        <w:t>A FORGALOMBA HOZATALI ENGEDÉLY JOGOSULTJA</w:t>
      </w:r>
    </w:p>
    <w:p w:rsidR="008B5166" w:rsidRDefault="008B5166">
      <w:pPr>
        <w:spacing w:line="240" w:lineRule="auto"/>
        <w:ind w:left="567" w:hanging="567"/>
        <w:outlineLvl w:val="0"/>
        <w:rPr>
          <w:b/>
          <w:bCs/>
          <w:lang w:val="hu-HU"/>
        </w:rPr>
      </w:pPr>
    </w:p>
    <w:p w:rsidR="008B5166" w:rsidRDefault="00226345">
      <w:pPr>
        <w:spacing w:line="240" w:lineRule="auto"/>
        <w:rPr>
          <w:lang w:val="hu-HU"/>
        </w:rPr>
      </w:pPr>
      <w:bookmarkStart w:id="5" w:name="_Hlk158813842"/>
      <w:r>
        <w:rPr>
          <w:lang w:val="hu-HU"/>
        </w:rPr>
        <w:t>KRKA, d.d., Novo mesto</w:t>
      </w:r>
    </w:p>
    <w:p w:rsidR="008B5166" w:rsidRDefault="00226345">
      <w:pPr>
        <w:spacing w:line="240" w:lineRule="auto"/>
        <w:rPr>
          <w:lang w:val="hu-HU"/>
        </w:rPr>
      </w:pPr>
      <w:r>
        <w:rPr>
          <w:lang w:val="hu-HU"/>
        </w:rPr>
        <w:t>Šmarješka cesta 6</w:t>
      </w:r>
    </w:p>
    <w:p w:rsidR="008B5166" w:rsidRDefault="00226345">
      <w:pPr>
        <w:spacing w:line="240" w:lineRule="auto"/>
        <w:rPr>
          <w:lang w:val="hu-HU"/>
        </w:rPr>
      </w:pPr>
      <w:r>
        <w:rPr>
          <w:lang w:val="hu-HU"/>
        </w:rPr>
        <w:t>8501 Novo mesto</w:t>
      </w:r>
    </w:p>
    <w:p w:rsidR="008B5166" w:rsidRDefault="00226345">
      <w:pPr>
        <w:spacing w:line="240" w:lineRule="auto"/>
        <w:rPr>
          <w:noProof/>
          <w:lang w:val="hu-HU"/>
        </w:rPr>
      </w:pPr>
      <w:r>
        <w:rPr>
          <w:lang w:val="hu-HU"/>
        </w:rPr>
        <w:t>Szlovénia</w:t>
      </w:r>
    </w:p>
    <w:bookmarkEnd w:id="5"/>
    <w:p w:rsidR="008B5166" w:rsidRDefault="008B5166">
      <w:pPr>
        <w:spacing w:line="240" w:lineRule="auto"/>
        <w:ind w:left="567" w:hanging="567"/>
        <w:outlineLvl w:val="0"/>
        <w:rPr>
          <w:b/>
          <w:bCs/>
          <w:lang w:val="hu-HU"/>
        </w:rPr>
      </w:pP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t>8.</w:t>
      </w:r>
      <w:r>
        <w:rPr>
          <w:b/>
          <w:bCs/>
          <w:lang w:val="hu-HU"/>
        </w:rPr>
        <w:tab/>
        <w:t>A FORGALOMBA HOZATALI ENGEDÉLY SZÁMA(I)</w:t>
      </w:r>
    </w:p>
    <w:p w:rsidR="008B5166" w:rsidRDefault="008B5166">
      <w:pPr>
        <w:spacing w:line="240" w:lineRule="auto"/>
        <w:ind w:left="567" w:hanging="567"/>
        <w:outlineLvl w:val="0"/>
        <w:rPr>
          <w:b/>
          <w:bCs/>
          <w:lang w:val="hu-HU"/>
        </w:rPr>
      </w:pPr>
    </w:p>
    <w:p w:rsidR="008B5166" w:rsidRDefault="00226345">
      <w:pPr>
        <w:widowControl w:val="0"/>
        <w:spacing w:line="240" w:lineRule="auto"/>
        <w:rPr>
          <w:noProof/>
          <w:u w:val="single"/>
        </w:rPr>
      </w:pPr>
      <w:r>
        <w:rPr>
          <w:u w:val="single"/>
          <w:lang w:val="hu-HU"/>
        </w:rPr>
        <w:t xml:space="preserve">Varesta </w:t>
      </w:r>
      <w:r>
        <w:rPr>
          <w:noProof/>
          <w:u w:val="single"/>
        </w:rPr>
        <w:t>5 mg filmtabletta</w:t>
      </w:r>
    </w:p>
    <w:p w:rsidR="008B5166" w:rsidRDefault="00226345">
      <w:pPr>
        <w:widowControl w:val="0"/>
        <w:spacing w:line="240" w:lineRule="auto"/>
        <w:rPr>
          <w:lang w:val="hu-HU"/>
        </w:rPr>
      </w:pPr>
      <w:r>
        <w:rPr>
          <w:lang w:val="hu-HU"/>
        </w:rPr>
        <w:t>OGYI-T-24364/01</w:t>
      </w:r>
      <w:r>
        <w:rPr>
          <w:lang w:val="hu-HU"/>
        </w:rPr>
        <w:tab/>
        <w:t>14×</w:t>
      </w:r>
      <w:r>
        <w:rPr>
          <w:lang w:val="hu-HU"/>
        </w:rPr>
        <w:tab/>
        <w:t>PVC/PVDC//Al perforált buborékcsomagolásban</w:t>
      </w:r>
    </w:p>
    <w:p w:rsidR="008B5166" w:rsidRDefault="00226345">
      <w:pPr>
        <w:widowControl w:val="0"/>
        <w:spacing w:line="240" w:lineRule="auto"/>
        <w:rPr>
          <w:lang w:val="hu-HU"/>
        </w:rPr>
      </w:pPr>
      <w:r>
        <w:rPr>
          <w:lang w:val="hu-HU"/>
        </w:rPr>
        <w:t>OGYI-T-24364/02</w:t>
      </w:r>
      <w:r>
        <w:rPr>
          <w:lang w:val="hu-HU"/>
        </w:rPr>
        <w:tab/>
        <w:t>14×</w:t>
      </w:r>
      <w:r>
        <w:rPr>
          <w:lang w:val="hu-HU"/>
        </w:rPr>
        <w:tab/>
        <w:t>PVC/PVDC//Al nem perforált buborékcsomagolásban</w:t>
      </w:r>
    </w:p>
    <w:p w:rsidR="008B5166" w:rsidRDefault="00226345">
      <w:pPr>
        <w:widowControl w:val="0"/>
        <w:spacing w:line="240" w:lineRule="auto"/>
        <w:rPr>
          <w:lang w:val="hu-HU"/>
        </w:rPr>
      </w:pPr>
      <w:r>
        <w:rPr>
          <w:lang w:val="hu-HU"/>
        </w:rPr>
        <w:t>OGYI-T-24364/03</w:t>
      </w:r>
      <w:r>
        <w:rPr>
          <w:lang w:val="hu-HU"/>
        </w:rPr>
        <w:tab/>
        <w:t>28×</w:t>
      </w:r>
      <w:r>
        <w:rPr>
          <w:lang w:val="hu-HU"/>
        </w:rPr>
        <w:tab/>
        <w:t>PVC/PVDC//Al perforált buborékcsomagolásban</w:t>
      </w:r>
    </w:p>
    <w:p w:rsidR="008B5166" w:rsidRDefault="00226345">
      <w:pPr>
        <w:widowControl w:val="0"/>
        <w:spacing w:line="240" w:lineRule="auto"/>
        <w:rPr>
          <w:lang w:val="hu-HU"/>
        </w:rPr>
      </w:pPr>
      <w:r>
        <w:rPr>
          <w:lang w:val="hu-HU"/>
        </w:rPr>
        <w:t>OGYI-T-24364/04</w:t>
      </w:r>
      <w:r>
        <w:rPr>
          <w:lang w:val="hu-HU"/>
        </w:rPr>
        <w:tab/>
        <w:t>28×</w:t>
      </w:r>
      <w:r>
        <w:rPr>
          <w:lang w:val="hu-HU"/>
        </w:rPr>
        <w:tab/>
        <w:t>PVC/PVDC//Al nem perforált buborékcsomagolásban</w:t>
      </w:r>
    </w:p>
    <w:p w:rsidR="008B5166" w:rsidRDefault="00226345">
      <w:pPr>
        <w:widowControl w:val="0"/>
        <w:spacing w:line="240" w:lineRule="auto"/>
        <w:rPr>
          <w:lang w:val="hu-HU"/>
        </w:rPr>
      </w:pPr>
      <w:r>
        <w:rPr>
          <w:lang w:val="hu-HU"/>
        </w:rPr>
        <w:t>OGYI-T-24364/05</w:t>
      </w:r>
      <w:r>
        <w:rPr>
          <w:lang w:val="hu-HU"/>
        </w:rPr>
        <w:tab/>
        <w:t>30×</w:t>
      </w:r>
      <w:r>
        <w:rPr>
          <w:lang w:val="hu-HU"/>
        </w:rPr>
        <w:tab/>
        <w:t>PVC/PVDC//Al perforált buborékcsomagolásban</w:t>
      </w:r>
    </w:p>
    <w:p w:rsidR="008B5166" w:rsidRDefault="00226345">
      <w:pPr>
        <w:widowControl w:val="0"/>
        <w:spacing w:line="240" w:lineRule="auto"/>
        <w:rPr>
          <w:lang w:val="hu-HU"/>
        </w:rPr>
      </w:pPr>
      <w:r>
        <w:rPr>
          <w:lang w:val="hu-HU"/>
        </w:rPr>
        <w:t>OGYI-T-24364/06</w:t>
      </w:r>
      <w:r>
        <w:rPr>
          <w:lang w:val="hu-HU"/>
        </w:rPr>
        <w:tab/>
        <w:t>30×</w:t>
      </w:r>
      <w:r>
        <w:rPr>
          <w:lang w:val="hu-HU"/>
        </w:rPr>
        <w:tab/>
        <w:t>PVC/PVDC//Al nem perforált buborékcsomagolásban</w:t>
      </w:r>
    </w:p>
    <w:p w:rsidR="008B5166" w:rsidRDefault="00226345">
      <w:pPr>
        <w:widowControl w:val="0"/>
        <w:spacing w:line="240" w:lineRule="auto"/>
        <w:rPr>
          <w:lang w:val="hu-HU"/>
        </w:rPr>
      </w:pPr>
      <w:r>
        <w:rPr>
          <w:lang w:val="hu-HU"/>
        </w:rPr>
        <w:t>OGYI-T-24364/07</w:t>
      </w:r>
      <w:r>
        <w:rPr>
          <w:lang w:val="hu-HU"/>
        </w:rPr>
        <w:tab/>
        <w:t>56×</w:t>
      </w:r>
      <w:r>
        <w:rPr>
          <w:lang w:val="hu-HU"/>
        </w:rPr>
        <w:tab/>
        <w:t>PVC/PVDC//Al perforált buborékcsomagolásban</w:t>
      </w:r>
    </w:p>
    <w:p w:rsidR="008B5166" w:rsidRDefault="00226345">
      <w:pPr>
        <w:widowControl w:val="0"/>
        <w:spacing w:line="240" w:lineRule="auto"/>
        <w:rPr>
          <w:lang w:val="hu-HU"/>
        </w:rPr>
      </w:pPr>
      <w:r>
        <w:rPr>
          <w:lang w:val="hu-HU"/>
        </w:rPr>
        <w:t>OGYI-T-24364/08</w:t>
      </w:r>
      <w:r>
        <w:rPr>
          <w:lang w:val="hu-HU"/>
        </w:rPr>
        <w:tab/>
        <w:t>56×</w:t>
      </w:r>
      <w:r>
        <w:rPr>
          <w:lang w:val="hu-HU"/>
        </w:rPr>
        <w:tab/>
        <w:t>PVC/PVDC//Al nem perforált buborékcsomagolásban</w:t>
      </w:r>
    </w:p>
    <w:p w:rsidR="008B5166" w:rsidRDefault="00226345">
      <w:pPr>
        <w:widowControl w:val="0"/>
        <w:spacing w:line="240" w:lineRule="auto"/>
        <w:rPr>
          <w:lang w:val="hu-HU"/>
        </w:rPr>
      </w:pPr>
      <w:r>
        <w:rPr>
          <w:lang w:val="hu-HU"/>
        </w:rPr>
        <w:t>OGYI-T-24364/09</w:t>
      </w:r>
      <w:r>
        <w:rPr>
          <w:lang w:val="hu-HU"/>
        </w:rPr>
        <w:tab/>
        <w:t>60×</w:t>
      </w:r>
      <w:r>
        <w:rPr>
          <w:lang w:val="hu-HU"/>
        </w:rPr>
        <w:tab/>
        <w:t>PVC/PVDC//Al perforált buborékcsomagolásban</w:t>
      </w:r>
    </w:p>
    <w:p w:rsidR="008B5166" w:rsidRDefault="00226345">
      <w:pPr>
        <w:widowControl w:val="0"/>
        <w:spacing w:line="240" w:lineRule="auto"/>
        <w:rPr>
          <w:lang w:val="hu-HU"/>
        </w:rPr>
      </w:pPr>
      <w:r>
        <w:rPr>
          <w:lang w:val="hu-HU"/>
        </w:rPr>
        <w:t>OGYI-T-24364/10</w:t>
      </w:r>
      <w:r>
        <w:rPr>
          <w:lang w:val="hu-HU"/>
        </w:rPr>
        <w:tab/>
        <w:t>60×</w:t>
      </w:r>
      <w:r>
        <w:rPr>
          <w:lang w:val="hu-HU"/>
        </w:rPr>
        <w:tab/>
        <w:t>PVC/PVDC//Al nem perforált buborékcsomagolásban</w:t>
      </w:r>
    </w:p>
    <w:p w:rsidR="008B5166" w:rsidRDefault="00226345">
      <w:pPr>
        <w:widowControl w:val="0"/>
        <w:spacing w:line="240" w:lineRule="auto"/>
        <w:rPr>
          <w:lang w:val="hu-HU"/>
        </w:rPr>
      </w:pPr>
      <w:r>
        <w:rPr>
          <w:lang w:val="hu-HU"/>
        </w:rPr>
        <w:t>OGYI-T-24364/11</w:t>
      </w:r>
      <w:r>
        <w:rPr>
          <w:lang w:val="hu-HU"/>
        </w:rPr>
        <w:tab/>
        <w:t>90×</w:t>
      </w:r>
      <w:r>
        <w:rPr>
          <w:lang w:val="hu-HU"/>
        </w:rPr>
        <w:tab/>
        <w:t>PVC/PVDC//Al perforált buborékcsomagolásban</w:t>
      </w:r>
    </w:p>
    <w:p w:rsidR="008B5166" w:rsidRDefault="00226345">
      <w:pPr>
        <w:widowControl w:val="0"/>
        <w:spacing w:line="240" w:lineRule="auto"/>
        <w:rPr>
          <w:lang w:val="hu-HU"/>
        </w:rPr>
      </w:pPr>
      <w:r>
        <w:rPr>
          <w:lang w:val="hu-HU"/>
        </w:rPr>
        <w:t>OGYI-T-24364/12</w:t>
      </w:r>
      <w:r>
        <w:rPr>
          <w:lang w:val="hu-HU"/>
        </w:rPr>
        <w:tab/>
        <w:t>90×</w:t>
      </w:r>
      <w:r>
        <w:rPr>
          <w:lang w:val="hu-HU"/>
        </w:rPr>
        <w:tab/>
        <w:t>PVC/PVDC//Al nem perforált buborékcsomagolásban</w:t>
      </w:r>
    </w:p>
    <w:p w:rsidR="008B5166" w:rsidRDefault="00226345">
      <w:pPr>
        <w:widowControl w:val="0"/>
        <w:spacing w:line="240" w:lineRule="auto"/>
        <w:rPr>
          <w:lang w:val="hu-HU"/>
        </w:rPr>
      </w:pPr>
      <w:r>
        <w:rPr>
          <w:lang w:val="hu-HU"/>
        </w:rPr>
        <w:t>OGYI-T-24364/13</w:t>
      </w:r>
      <w:r>
        <w:rPr>
          <w:lang w:val="hu-HU"/>
        </w:rPr>
        <w:tab/>
        <w:t>98×</w:t>
      </w:r>
      <w:r>
        <w:rPr>
          <w:lang w:val="hu-HU"/>
        </w:rPr>
        <w:tab/>
        <w:t>PVC/PVDC//Al perforált buborékcsomagolásban</w:t>
      </w:r>
    </w:p>
    <w:p w:rsidR="008B5166" w:rsidRDefault="00226345">
      <w:pPr>
        <w:widowControl w:val="0"/>
        <w:spacing w:line="240" w:lineRule="auto"/>
        <w:rPr>
          <w:lang w:val="hu-HU"/>
        </w:rPr>
      </w:pPr>
      <w:r>
        <w:rPr>
          <w:lang w:val="hu-HU"/>
        </w:rPr>
        <w:t>OGYI-T-24364/14</w:t>
      </w:r>
      <w:r>
        <w:rPr>
          <w:lang w:val="hu-HU"/>
        </w:rPr>
        <w:tab/>
        <w:t>98×</w:t>
      </w:r>
      <w:r>
        <w:rPr>
          <w:lang w:val="hu-HU"/>
        </w:rPr>
        <w:tab/>
        <w:t>PVC/PVDC//Al nem perforált buborékcsomagolásban</w:t>
      </w:r>
    </w:p>
    <w:p w:rsidR="008B5166" w:rsidRDefault="008B5166">
      <w:pPr>
        <w:widowControl w:val="0"/>
        <w:spacing w:line="240" w:lineRule="auto"/>
        <w:rPr>
          <w:lang w:val="hu-HU"/>
        </w:rPr>
      </w:pPr>
    </w:p>
    <w:p w:rsidR="008B5166" w:rsidRDefault="00226345">
      <w:pPr>
        <w:widowControl w:val="0"/>
        <w:spacing w:line="240" w:lineRule="auto"/>
        <w:rPr>
          <w:noProof/>
          <w:u w:val="single"/>
        </w:rPr>
      </w:pPr>
      <w:r>
        <w:rPr>
          <w:u w:val="single"/>
          <w:lang w:val="hu-HU"/>
        </w:rPr>
        <w:t xml:space="preserve">Varesta </w:t>
      </w:r>
      <w:r>
        <w:rPr>
          <w:noProof/>
          <w:u w:val="single"/>
        </w:rPr>
        <w:t>10 mg filmtabletta</w:t>
      </w:r>
    </w:p>
    <w:p w:rsidR="008B5166" w:rsidRDefault="00226345">
      <w:pPr>
        <w:widowControl w:val="0"/>
        <w:spacing w:line="240" w:lineRule="auto"/>
        <w:rPr>
          <w:lang w:val="hu-HU"/>
        </w:rPr>
      </w:pPr>
      <w:r>
        <w:rPr>
          <w:lang w:val="hu-HU"/>
        </w:rPr>
        <w:t>OGYI-T-24364/15</w:t>
      </w:r>
      <w:r>
        <w:rPr>
          <w:lang w:val="hu-HU"/>
        </w:rPr>
        <w:tab/>
        <w:t>14×</w:t>
      </w:r>
      <w:r>
        <w:rPr>
          <w:lang w:val="hu-HU"/>
        </w:rPr>
        <w:tab/>
        <w:t>PVC/PVDC//Al perforált buborékcsomagolásban</w:t>
      </w:r>
    </w:p>
    <w:p w:rsidR="008B5166" w:rsidRDefault="00226345">
      <w:pPr>
        <w:widowControl w:val="0"/>
        <w:spacing w:line="240" w:lineRule="auto"/>
        <w:rPr>
          <w:lang w:val="hu-HU"/>
        </w:rPr>
      </w:pPr>
      <w:r>
        <w:rPr>
          <w:lang w:val="hu-HU"/>
        </w:rPr>
        <w:t>OGYI-T-24364/16</w:t>
      </w:r>
      <w:r>
        <w:rPr>
          <w:lang w:val="hu-HU"/>
        </w:rPr>
        <w:tab/>
        <w:t>14×</w:t>
      </w:r>
      <w:r>
        <w:rPr>
          <w:lang w:val="hu-HU"/>
        </w:rPr>
        <w:tab/>
        <w:t>PVC/PVDC//Al nem perforált buborékcsomagolásban</w:t>
      </w:r>
    </w:p>
    <w:p w:rsidR="008B5166" w:rsidRDefault="00226345">
      <w:pPr>
        <w:widowControl w:val="0"/>
        <w:spacing w:line="240" w:lineRule="auto"/>
        <w:rPr>
          <w:lang w:val="hu-HU"/>
        </w:rPr>
      </w:pPr>
      <w:r>
        <w:rPr>
          <w:lang w:val="hu-HU"/>
        </w:rPr>
        <w:t>OGYI-T-24364/17</w:t>
      </w:r>
      <w:r>
        <w:rPr>
          <w:lang w:val="hu-HU"/>
        </w:rPr>
        <w:tab/>
        <w:t>28×</w:t>
      </w:r>
      <w:r>
        <w:rPr>
          <w:lang w:val="hu-HU"/>
        </w:rPr>
        <w:tab/>
        <w:t>PVC/PVDC//Al perforált buborékcsomagolásban</w:t>
      </w:r>
    </w:p>
    <w:p w:rsidR="008B5166" w:rsidRDefault="00226345">
      <w:pPr>
        <w:widowControl w:val="0"/>
        <w:spacing w:line="240" w:lineRule="auto"/>
        <w:rPr>
          <w:lang w:val="hu-HU"/>
        </w:rPr>
      </w:pPr>
      <w:r>
        <w:rPr>
          <w:lang w:val="hu-HU"/>
        </w:rPr>
        <w:t>OGYI-T-24364/18</w:t>
      </w:r>
      <w:r>
        <w:rPr>
          <w:lang w:val="hu-HU"/>
        </w:rPr>
        <w:tab/>
        <w:t>28×</w:t>
      </w:r>
      <w:r>
        <w:rPr>
          <w:lang w:val="hu-HU"/>
        </w:rPr>
        <w:tab/>
        <w:t>PVC/PVDC//Al nem perforált buborékcsomagolásban</w:t>
      </w:r>
    </w:p>
    <w:p w:rsidR="008B5166" w:rsidRDefault="00226345">
      <w:pPr>
        <w:widowControl w:val="0"/>
        <w:spacing w:line="240" w:lineRule="auto"/>
        <w:rPr>
          <w:lang w:val="hu-HU"/>
        </w:rPr>
      </w:pPr>
      <w:r>
        <w:rPr>
          <w:lang w:val="hu-HU"/>
        </w:rPr>
        <w:t>OGYI-T-24364/19</w:t>
      </w:r>
      <w:r>
        <w:rPr>
          <w:lang w:val="hu-HU"/>
        </w:rPr>
        <w:tab/>
        <w:t>30×</w:t>
      </w:r>
      <w:r>
        <w:rPr>
          <w:lang w:val="hu-HU"/>
        </w:rPr>
        <w:tab/>
        <w:t>PVC/PVDC//Al perforált buborékcsomagolásban</w:t>
      </w:r>
    </w:p>
    <w:p w:rsidR="008B5166" w:rsidRDefault="00226345">
      <w:pPr>
        <w:widowControl w:val="0"/>
        <w:spacing w:line="240" w:lineRule="auto"/>
        <w:rPr>
          <w:lang w:val="hu-HU"/>
        </w:rPr>
      </w:pPr>
      <w:r>
        <w:rPr>
          <w:lang w:val="hu-HU"/>
        </w:rPr>
        <w:t>OGYI-T-24364/20</w:t>
      </w:r>
      <w:r>
        <w:rPr>
          <w:lang w:val="hu-HU"/>
        </w:rPr>
        <w:tab/>
        <w:t>30×</w:t>
      </w:r>
      <w:r>
        <w:rPr>
          <w:lang w:val="hu-HU"/>
        </w:rPr>
        <w:tab/>
        <w:t>PVC/PVDC//Al nem perforált buborékcsomagolásban</w:t>
      </w:r>
    </w:p>
    <w:p w:rsidR="008B5166" w:rsidRDefault="00226345">
      <w:pPr>
        <w:widowControl w:val="0"/>
        <w:spacing w:line="240" w:lineRule="auto"/>
        <w:rPr>
          <w:lang w:val="hu-HU"/>
        </w:rPr>
      </w:pPr>
      <w:r>
        <w:rPr>
          <w:lang w:val="hu-HU"/>
        </w:rPr>
        <w:t>OGYI-T-24364/21</w:t>
      </w:r>
      <w:r>
        <w:rPr>
          <w:lang w:val="hu-HU"/>
        </w:rPr>
        <w:tab/>
        <w:t>56×</w:t>
      </w:r>
      <w:r>
        <w:rPr>
          <w:lang w:val="hu-HU"/>
        </w:rPr>
        <w:tab/>
        <w:t>PVC/PVDC//Al perforált buborékcsomagolásban</w:t>
      </w:r>
    </w:p>
    <w:p w:rsidR="008B5166" w:rsidRDefault="00226345">
      <w:pPr>
        <w:widowControl w:val="0"/>
        <w:spacing w:line="240" w:lineRule="auto"/>
        <w:rPr>
          <w:lang w:val="hu-HU"/>
        </w:rPr>
      </w:pPr>
      <w:r>
        <w:rPr>
          <w:lang w:val="hu-HU"/>
        </w:rPr>
        <w:t>OGYI-T-24364/22</w:t>
      </w:r>
      <w:r>
        <w:rPr>
          <w:lang w:val="hu-HU"/>
        </w:rPr>
        <w:tab/>
        <w:t>56×</w:t>
      </w:r>
      <w:r>
        <w:rPr>
          <w:lang w:val="hu-HU"/>
        </w:rPr>
        <w:tab/>
        <w:t>PVC/PVDC//Al nem perforált buborékcsomagolásban</w:t>
      </w:r>
    </w:p>
    <w:p w:rsidR="008B5166" w:rsidRDefault="00226345">
      <w:pPr>
        <w:widowControl w:val="0"/>
        <w:spacing w:line="240" w:lineRule="auto"/>
        <w:rPr>
          <w:lang w:val="hu-HU"/>
        </w:rPr>
      </w:pPr>
      <w:r>
        <w:rPr>
          <w:lang w:val="hu-HU"/>
        </w:rPr>
        <w:t>OGYI-T-24364/23</w:t>
      </w:r>
      <w:r>
        <w:rPr>
          <w:lang w:val="hu-HU"/>
        </w:rPr>
        <w:tab/>
        <w:t>60×</w:t>
      </w:r>
      <w:r>
        <w:rPr>
          <w:lang w:val="hu-HU"/>
        </w:rPr>
        <w:tab/>
        <w:t>PVC/PVDC//Al perforált buborékcsomagolásban</w:t>
      </w:r>
    </w:p>
    <w:p w:rsidR="008B5166" w:rsidRDefault="00226345">
      <w:pPr>
        <w:widowControl w:val="0"/>
        <w:spacing w:line="240" w:lineRule="auto"/>
        <w:rPr>
          <w:lang w:val="hu-HU"/>
        </w:rPr>
      </w:pPr>
      <w:r>
        <w:rPr>
          <w:lang w:val="hu-HU"/>
        </w:rPr>
        <w:t>OGYI-T-24364/24</w:t>
      </w:r>
      <w:r>
        <w:rPr>
          <w:lang w:val="hu-HU"/>
        </w:rPr>
        <w:tab/>
        <w:t>60×</w:t>
      </w:r>
      <w:r>
        <w:rPr>
          <w:lang w:val="hu-HU"/>
        </w:rPr>
        <w:tab/>
        <w:t>PVC/PVDC//Al nem perforált buborékcsomagolásban</w:t>
      </w:r>
    </w:p>
    <w:p w:rsidR="008B5166" w:rsidRDefault="00226345">
      <w:pPr>
        <w:widowControl w:val="0"/>
        <w:spacing w:line="240" w:lineRule="auto"/>
        <w:rPr>
          <w:lang w:val="hu-HU"/>
        </w:rPr>
      </w:pPr>
      <w:r>
        <w:rPr>
          <w:lang w:val="hu-HU"/>
        </w:rPr>
        <w:t>OGYI-T-24364/25</w:t>
      </w:r>
      <w:r>
        <w:rPr>
          <w:lang w:val="hu-HU"/>
        </w:rPr>
        <w:tab/>
        <w:t>90×</w:t>
      </w:r>
      <w:r>
        <w:rPr>
          <w:lang w:val="hu-HU"/>
        </w:rPr>
        <w:tab/>
        <w:t>PVC/PVDC//Al perforált buborékcsomagolásban</w:t>
      </w:r>
    </w:p>
    <w:p w:rsidR="008B5166" w:rsidRDefault="00226345">
      <w:pPr>
        <w:widowControl w:val="0"/>
        <w:spacing w:line="240" w:lineRule="auto"/>
        <w:rPr>
          <w:lang w:val="hu-HU"/>
        </w:rPr>
      </w:pPr>
      <w:r>
        <w:rPr>
          <w:lang w:val="hu-HU"/>
        </w:rPr>
        <w:t>OGYI-T-24364/26</w:t>
      </w:r>
      <w:r>
        <w:rPr>
          <w:lang w:val="hu-HU"/>
        </w:rPr>
        <w:tab/>
        <w:t>90×</w:t>
      </w:r>
      <w:r>
        <w:rPr>
          <w:lang w:val="hu-HU"/>
        </w:rPr>
        <w:tab/>
        <w:t>PVC/PVDC//Al nem perforált buborékcsomagolásban</w:t>
      </w:r>
    </w:p>
    <w:p w:rsidR="008B5166" w:rsidRDefault="00226345">
      <w:pPr>
        <w:widowControl w:val="0"/>
        <w:spacing w:line="240" w:lineRule="auto"/>
        <w:rPr>
          <w:lang w:val="hu-HU"/>
        </w:rPr>
      </w:pPr>
      <w:r>
        <w:rPr>
          <w:lang w:val="hu-HU"/>
        </w:rPr>
        <w:t>OGYI-T-24364/27</w:t>
      </w:r>
      <w:r>
        <w:rPr>
          <w:lang w:val="hu-HU"/>
        </w:rPr>
        <w:tab/>
        <w:t>98×</w:t>
      </w:r>
      <w:r>
        <w:rPr>
          <w:lang w:val="hu-HU"/>
        </w:rPr>
        <w:tab/>
        <w:t>PVC/PVDC//Al perforált buborékcsomagolásban</w:t>
      </w:r>
    </w:p>
    <w:p w:rsidR="008B5166" w:rsidRDefault="00226345">
      <w:pPr>
        <w:widowControl w:val="0"/>
        <w:spacing w:line="240" w:lineRule="auto"/>
        <w:rPr>
          <w:lang w:val="hu-HU"/>
        </w:rPr>
      </w:pPr>
      <w:r>
        <w:rPr>
          <w:lang w:val="hu-HU"/>
        </w:rPr>
        <w:t>OGYI-T-24364/28</w:t>
      </w:r>
      <w:r>
        <w:rPr>
          <w:lang w:val="hu-HU"/>
        </w:rPr>
        <w:tab/>
        <w:t>98×</w:t>
      </w:r>
      <w:r>
        <w:rPr>
          <w:lang w:val="hu-HU"/>
        </w:rPr>
        <w:tab/>
        <w:t>PVC/PVDC//Al nem perforált buborékcsomagolásban</w:t>
      </w:r>
    </w:p>
    <w:p w:rsidR="008B5166" w:rsidRDefault="008B5166">
      <w:pPr>
        <w:widowControl w:val="0"/>
        <w:spacing w:line="240" w:lineRule="auto"/>
        <w:rPr>
          <w:lang w:val="hu-HU"/>
        </w:rPr>
      </w:pPr>
    </w:p>
    <w:p w:rsidR="008B5166" w:rsidRDefault="00226345">
      <w:pPr>
        <w:widowControl w:val="0"/>
        <w:spacing w:line="240" w:lineRule="auto"/>
        <w:rPr>
          <w:noProof/>
          <w:u w:val="single"/>
        </w:rPr>
      </w:pPr>
      <w:r>
        <w:rPr>
          <w:u w:val="single"/>
          <w:lang w:val="hu-HU"/>
        </w:rPr>
        <w:t xml:space="preserve">Varesta </w:t>
      </w:r>
      <w:r>
        <w:rPr>
          <w:noProof/>
          <w:u w:val="single"/>
        </w:rPr>
        <w:t>15 mg filmtabletta</w:t>
      </w:r>
    </w:p>
    <w:p w:rsidR="008B5166" w:rsidRDefault="00226345">
      <w:pPr>
        <w:widowControl w:val="0"/>
        <w:spacing w:line="240" w:lineRule="auto"/>
        <w:rPr>
          <w:lang w:val="hu-HU"/>
        </w:rPr>
      </w:pPr>
      <w:r>
        <w:rPr>
          <w:lang w:val="hu-HU"/>
        </w:rPr>
        <w:t>OGYI-T-24364/29</w:t>
      </w:r>
      <w:r>
        <w:rPr>
          <w:lang w:val="hu-HU"/>
        </w:rPr>
        <w:tab/>
        <w:t>14×</w:t>
      </w:r>
      <w:r>
        <w:rPr>
          <w:lang w:val="hu-HU"/>
        </w:rPr>
        <w:tab/>
        <w:t>PVC/PVDC//Al perforált buborékcsomagolásban</w:t>
      </w:r>
    </w:p>
    <w:p w:rsidR="008B5166" w:rsidRDefault="00226345">
      <w:pPr>
        <w:widowControl w:val="0"/>
        <w:spacing w:line="240" w:lineRule="auto"/>
        <w:rPr>
          <w:lang w:val="hu-HU"/>
        </w:rPr>
      </w:pPr>
      <w:r>
        <w:rPr>
          <w:lang w:val="hu-HU"/>
        </w:rPr>
        <w:t>OGYI-T-24364/30</w:t>
      </w:r>
      <w:r>
        <w:rPr>
          <w:lang w:val="hu-HU"/>
        </w:rPr>
        <w:tab/>
        <w:t>14×</w:t>
      </w:r>
      <w:r>
        <w:rPr>
          <w:lang w:val="hu-HU"/>
        </w:rPr>
        <w:tab/>
        <w:t>PVC/PVDC//Al nem perforált buborékcsomagolásban</w:t>
      </w:r>
    </w:p>
    <w:p w:rsidR="008B5166" w:rsidRDefault="00226345">
      <w:pPr>
        <w:widowControl w:val="0"/>
        <w:spacing w:line="240" w:lineRule="auto"/>
        <w:rPr>
          <w:lang w:val="hu-HU"/>
        </w:rPr>
      </w:pPr>
      <w:r>
        <w:rPr>
          <w:lang w:val="hu-HU"/>
        </w:rPr>
        <w:t>OGYI-T-24364/31</w:t>
      </w:r>
      <w:r>
        <w:rPr>
          <w:lang w:val="hu-HU"/>
        </w:rPr>
        <w:tab/>
        <w:t>28×</w:t>
      </w:r>
      <w:r>
        <w:rPr>
          <w:lang w:val="hu-HU"/>
        </w:rPr>
        <w:tab/>
        <w:t>PVC/PVDC//Al perforált buborékcsomagolásban</w:t>
      </w:r>
    </w:p>
    <w:p w:rsidR="008B5166" w:rsidRDefault="00226345">
      <w:pPr>
        <w:widowControl w:val="0"/>
        <w:spacing w:line="240" w:lineRule="auto"/>
        <w:rPr>
          <w:lang w:val="hu-HU"/>
        </w:rPr>
      </w:pPr>
      <w:r>
        <w:rPr>
          <w:lang w:val="hu-HU"/>
        </w:rPr>
        <w:t>OGYI-T-24364/32</w:t>
      </w:r>
      <w:r>
        <w:rPr>
          <w:lang w:val="hu-HU"/>
        </w:rPr>
        <w:tab/>
        <w:t>28×</w:t>
      </w:r>
      <w:r>
        <w:rPr>
          <w:lang w:val="hu-HU"/>
        </w:rPr>
        <w:tab/>
        <w:t>PVC/PVDC//Al nem perforált buborékcsomagolásban</w:t>
      </w:r>
    </w:p>
    <w:p w:rsidR="008B5166" w:rsidRDefault="00226345">
      <w:pPr>
        <w:widowControl w:val="0"/>
        <w:spacing w:line="240" w:lineRule="auto"/>
        <w:rPr>
          <w:lang w:val="hu-HU"/>
        </w:rPr>
      </w:pPr>
      <w:r>
        <w:rPr>
          <w:lang w:val="hu-HU"/>
        </w:rPr>
        <w:t>OGYI-T-24364/33</w:t>
      </w:r>
      <w:r>
        <w:rPr>
          <w:lang w:val="hu-HU"/>
        </w:rPr>
        <w:tab/>
        <w:t>30×</w:t>
      </w:r>
      <w:r>
        <w:rPr>
          <w:lang w:val="hu-HU"/>
        </w:rPr>
        <w:tab/>
        <w:t>PVC/PVDC//Al perforált buborékcsomagolásban</w:t>
      </w:r>
    </w:p>
    <w:p w:rsidR="008B5166" w:rsidRDefault="00226345">
      <w:pPr>
        <w:widowControl w:val="0"/>
        <w:spacing w:line="240" w:lineRule="auto"/>
        <w:rPr>
          <w:lang w:val="hu-HU"/>
        </w:rPr>
      </w:pPr>
      <w:r>
        <w:rPr>
          <w:lang w:val="hu-HU"/>
        </w:rPr>
        <w:t>OGYI-T-24364/34</w:t>
      </w:r>
      <w:r>
        <w:rPr>
          <w:lang w:val="hu-HU"/>
        </w:rPr>
        <w:tab/>
        <w:t>30×</w:t>
      </w:r>
      <w:r>
        <w:rPr>
          <w:lang w:val="hu-HU"/>
        </w:rPr>
        <w:tab/>
        <w:t>PVC/PVDC//Al nem perforált buborékcsomagolásban</w:t>
      </w:r>
    </w:p>
    <w:p w:rsidR="008B5166" w:rsidRDefault="00226345">
      <w:pPr>
        <w:widowControl w:val="0"/>
        <w:spacing w:line="240" w:lineRule="auto"/>
        <w:rPr>
          <w:lang w:val="hu-HU"/>
        </w:rPr>
      </w:pPr>
      <w:r>
        <w:rPr>
          <w:lang w:val="hu-HU"/>
        </w:rPr>
        <w:t>OGYI-T-24364/35</w:t>
      </w:r>
      <w:r>
        <w:rPr>
          <w:lang w:val="hu-HU"/>
        </w:rPr>
        <w:tab/>
        <w:t>56×</w:t>
      </w:r>
      <w:r>
        <w:rPr>
          <w:lang w:val="hu-HU"/>
        </w:rPr>
        <w:tab/>
        <w:t>PVC/PVDC//Al perforált buborékcsomagolásban</w:t>
      </w:r>
    </w:p>
    <w:p w:rsidR="008B5166" w:rsidRDefault="00226345">
      <w:pPr>
        <w:widowControl w:val="0"/>
        <w:spacing w:line="240" w:lineRule="auto"/>
        <w:rPr>
          <w:lang w:val="hu-HU"/>
        </w:rPr>
      </w:pPr>
      <w:r>
        <w:rPr>
          <w:lang w:val="hu-HU"/>
        </w:rPr>
        <w:t>OGYI-T-24364/36</w:t>
      </w:r>
      <w:r>
        <w:rPr>
          <w:lang w:val="hu-HU"/>
        </w:rPr>
        <w:tab/>
        <w:t>56×</w:t>
      </w:r>
      <w:r>
        <w:rPr>
          <w:lang w:val="hu-HU"/>
        </w:rPr>
        <w:tab/>
        <w:t>PVC/PVDC//Al nem perforált buborékcsomagolásban</w:t>
      </w:r>
    </w:p>
    <w:p w:rsidR="008B5166" w:rsidRDefault="00226345">
      <w:pPr>
        <w:widowControl w:val="0"/>
        <w:spacing w:line="240" w:lineRule="auto"/>
        <w:rPr>
          <w:lang w:val="hu-HU"/>
        </w:rPr>
      </w:pPr>
      <w:r>
        <w:rPr>
          <w:lang w:val="hu-HU"/>
        </w:rPr>
        <w:t>OGYI-T-24364/37</w:t>
      </w:r>
      <w:r>
        <w:rPr>
          <w:lang w:val="hu-HU"/>
        </w:rPr>
        <w:tab/>
        <w:t>60×</w:t>
      </w:r>
      <w:r>
        <w:rPr>
          <w:lang w:val="hu-HU"/>
        </w:rPr>
        <w:tab/>
        <w:t>PVC/PVDC//Al perforált buborékcsomagolásban</w:t>
      </w:r>
    </w:p>
    <w:p w:rsidR="008B5166" w:rsidRDefault="00226345">
      <w:pPr>
        <w:widowControl w:val="0"/>
        <w:spacing w:line="240" w:lineRule="auto"/>
        <w:rPr>
          <w:lang w:val="hu-HU"/>
        </w:rPr>
      </w:pPr>
      <w:r>
        <w:rPr>
          <w:lang w:val="hu-HU"/>
        </w:rPr>
        <w:t>OGYI-T-24364/38</w:t>
      </w:r>
      <w:r>
        <w:rPr>
          <w:lang w:val="hu-HU"/>
        </w:rPr>
        <w:tab/>
        <w:t>60×</w:t>
      </w:r>
      <w:r>
        <w:rPr>
          <w:lang w:val="hu-HU"/>
        </w:rPr>
        <w:tab/>
        <w:t>PVC/PVDC//Al nem perforált buborékcsomagolásban</w:t>
      </w:r>
    </w:p>
    <w:p w:rsidR="008B5166" w:rsidRDefault="00226345">
      <w:pPr>
        <w:widowControl w:val="0"/>
        <w:spacing w:line="240" w:lineRule="auto"/>
        <w:rPr>
          <w:lang w:val="hu-HU"/>
        </w:rPr>
      </w:pPr>
      <w:r>
        <w:rPr>
          <w:lang w:val="hu-HU"/>
        </w:rPr>
        <w:t>OGYI-T-24364/39</w:t>
      </w:r>
      <w:r>
        <w:rPr>
          <w:lang w:val="hu-HU"/>
        </w:rPr>
        <w:tab/>
        <w:t>90×</w:t>
      </w:r>
      <w:r>
        <w:rPr>
          <w:lang w:val="hu-HU"/>
        </w:rPr>
        <w:tab/>
        <w:t>PVC/PVDC//Al perforált buborékcsomagolásban</w:t>
      </w:r>
    </w:p>
    <w:p w:rsidR="008B5166" w:rsidRDefault="00226345">
      <w:pPr>
        <w:widowControl w:val="0"/>
        <w:spacing w:line="240" w:lineRule="auto"/>
        <w:rPr>
          <w:lang w:val="hu-HU"/>
        </w:rPr>
      </w:pPr>
      <w:r>
        <w:rPr>
          <w:lang w:val="hu-HU"/>
        </w:rPr>
        <w:t>OGYI-T-24364/40</w:t>
      </w:r>
      <w:r>
        <w:rPr>
          <w:lang w:val="hu-HU"/>
        </w:rPr>
        <w:tab/>
        <w:t>90×</w:t>
      </w:r>
      <w:r>
        <w:rPr>
          <w:lang w:val="hu-HU"/>
        </w:rPr>
        <w:tab/>
        <w:t>PVC/PVDC//Al nem perforált buborékcsomagolásban</w:t>
      </w:r>
    </w:p>
    <w:p w:rsidR="008B5166" w:rsidRDefault="00226345">
      <w:pPr>
        <w:widowControl w:val="0"/>
        <w:spacing w:line="240" w:lineRule="auto"/>
        <w:rPr>
          <w:lang w:val="hu-HU"/>
        </w:rPr>
      </w:pPr>
      <w:r>
        <w:rPr>
          <w:lang w:val="hu-HU"/>
        </w:rPr>
        <w:t>OGYI-T-24364/41</w:t>
      </w:r>
      <w:r>
        <w:rPr>
          <w:lang w:val="hu-HU"/>
        </w:rPr>
        <w:tab/>
        <w:t>98×</w:t>
      </w:r>
      <w:r>
        <w:rPr>
          <w:lang w:val="hu-HU"/>
        </w:rPr>
        <w:tab/>
        <w:t>PVC/PVDC//Al perforált buborékcsomagolásban</w:t>
      </w:r>
    </w:p>
    <w:p w:rsidR="008B5166" w:rsidRDefault="00226345">
      <w:pPr>
        <w:widowControl w:val="0"/>
        <w:spacing w:line="240" w:lineRule="auto"/>
        <w:rPr>
          <w:lang w:val="hu-HU"/>
        </w:rPr>
      </w:pPr>
      <w:r>
        <w:rPr>
          <w:lang w:val="hu-HU"/>
        </w:rPr>
        <w:t>OGYI-T-24364/42</w:t>
      </w:r>
      <w:r>
        <w:rPr>
          <w:lang w:val="hu-HU"/>
        </w:rPr>
        <w:tab/>
        <w:t>98×</w:t>
      </w:r>
      <w:r>
        <w:rPr>
          <w:lang w:val="hu-HU"/>
        </w:rPr>
        <w:tab/>
        <w:t>PVC/PVDC//Al nem perforált buborékcsomagolásban</w:t>
      </w:r>
    </w:p>
    <w:p w:rsidR="008B5166" w:rsidRDefault="008B5166">
      <w:pPr>
        <w:widowControl w:val="0"/>
        <w:spacing w:line="240" w:lineRule="auto"/>
        <w:rPr>
          <w:lang w:val="hu-HU"/>
        </w:rPr>
      </w:pPr>
    </w:p>
    <w:p w:rsidR="008B5166" w:rsidRDefault="00226345">
      <w:pPr>
        <w:widowControl w:val="0"/>
        <w:spacing w:line="240" w:lineRule="auto"/>
        <w:rPr>
          <w:noProof/>
          <w:u w:val="single"/>
        </w:rPr>
      </w:pPr>
      <w:r>
        <w:rPr>
          <w:u w:val="single"/>
          <w:lang w:val="hu-HU"/>
        </w:rPr>
        <w:t xml:space="preserve">Varesta </w:t>
      </w:r>
      <w:r>
        <w:rPr>
          <w:noProof/>
          <w:u w:val="single"/>
        </w:rPr>
        <w:t>20 mg filmtabletta</w:t>
      </w:r>
    </w:p>
    <w:p w:rsidR="008B5166" w:rsidRDefault="00226345">
      <w:pPr>
        <w:spacing w:line="240" w:lineRule="auto"/>
        <w:ind w:left="567" w:hanging="567"/>
        <w:outlineLvl w:val="0"/>
        <w:rPr>
          <w:bCs/>
          <w:lang w:val="hu-HU"/>
        </w:rPr>
      </w:pPr>
      <w:r>
        <w:rPr>
          <w:bCs/>
          <w:lang w:val="hu-HU"/>
        </w:rPr>
        <w:t>OGYI-T-24364/43</w:t>
      </w:r>
      <w:r>
        <w:rPr>
          <w:bCs/>
          <w:lang w:val="hu-HU"/>
        </w:rPr>
        <w:tab/>
        <w:t>14×</w:t>
      </w:r>
      <w:r>
        <w:rPr>
          <w:bCs/>
          <w:lang w:val="hu-HU"/>
        </w:rPr>
        <w:tab/>
        <w:t>PVC/PVDC//Al perforált buborékcsomagolásban</w:t>
      </w:r>
    </w:p>
    <w:p w:rsidR="008B5166" w:rsidRDefault="00226345">
      <w:pPr>
        <w:spacing w:line="240" w:lineRule="auto"/>
        <w:ind w:left="567" w:hanging="567"/>
        <w:outlineLvl w:val="0"/>
        <w:rPr>
          <w:bCs/>
          <w:lang w:val="hu-HU"/>
        </w:rPr>
      </w:pPr>
      <w:r>
        <w:rPr>
          <w:bCs/>
          <w:lang w:val="hu-HU"/>
        </w:rPr>
        <w:t>OGYI-T-24364/44</w:t>
      </w:r>
      <w:r>
        <w:rPr>
          <w:bCs/>
          <w:lang w:val="hu-HU"/>
        </w:rPr>
        <w:tab/>
        <w:t>14×</w:t>
      </w:r>
      <w:r>
        <w:rPr>
          <w:bCs/>
          <w:lang w:val="hu-HU"/>
        </w:rPr>
        <w:tab/>
        <w:t>PVC/PVDC//Al nem perforált buborékcsomagolásban</w:t>
      </w:r>
    </w:p>
    <w:p w:rsidR="008B5166" w:rsidRDefault="00226345">
      <w:pPr>
        <w:spacing w:line="240" w:lineRule="auto"/>
        <w:ind w:left="567" w:hanging="567"/>
        <w:outlineLvl w:val="0"/>
        <w:rPr>
          <w:bCs/>
          <w:lang w:val="hu-HU"/>
        </w:rPr>
      </w:pPr>
      <w:r>
        <w:rPr>
          <w:bCs/>
          <w:lang w:val="hu-HU"/>
        </w:rPr>
        <w:t>OGYI-T-24364/45</w:t>
      </w:r>
      <w:r>
        <w:rPr>
          <w:bCs/>
          <w:lang w:val="hu-HU"/>
        </w:rPr>
        <w:tab/>
        <w:t>28×</w:t>
      </w:r>
      <w:r>
        <w:rPr>
          <w:bCs/>
          <w:lang w:val="hu-HU"/>
        </w:rPr>
        <w:tab/>
        <w:t>PVC/PVDC//Al perforált buborékcsomagolásban</w:t>
      </w:r>
    </w:p>
    <w:p w:rsidR="008B5166" w:rsidRDefault="00226345">
      <w:pPr>
        <w:spacing w:line="240" w:lineRule="auto"/>
        <w:ind w:left="567" w:hanging="567"/>
        <w:outlineLvl w:val="0"/>
        <w:rPr>
          <w:bCs/>
          <w:lang w:val="hu-HU"/>
        </w:rPr>
      </w:pPr>
      <w:r>
        <w:rPr>
          <w:bCs/>
          <w:lang w:val="hu-HU"/>
        </w:rPr>
        <w:t>OGYI-T-24364/46</w:t>
      </w:r>
      <w:r>
        <w:rPr>
          <w:bCs/>
          <w:lang w:val="hu-HU"/>
        </w:rPr>
        <w:tab/>
        <w:t>28×</w:t>
      </w:r>
      <w:r>
        <w:rPr>
          <w:bCs/>
          <w:lang w:val="hu-HU"/>
        </w:rPr>
        <w:tab/>
        <w:t>PVC/PVDC//Al nem perforált buborékcsomagolásban</w:t>
      </w:r>
    </w:p>
    <w:p w:rsidR="008B5166" w:rsidRDefault="00226345">
      <w:pPr>
        <w:spacing w:line="240" w:lineRule="auto"/>
        <w:ind w:left="567" w:hanging="567"/>
        <w:outlineLvl w:val="0"/>
        <w:rPr>
          <w:bCs/>
          <w:lang w:val="hu-HU"/>
        </w:rPr>
      </w:pPr>
      <w:r>
        <w:rPr>
          <w:bCs/>
          <w:lang w:val="hu-HU"/>
        </w:rPr>
        <w:t>OGYI-T-24364/47</w:t>
      </w:r>
      <w:r>
        <w:rPr>
          <w:bCs/>
          <w:lang w:val="hu-HU"/>
        </w:rPr>
        <w:tab/>
        <w:t>30×</w:t>
      </w:r>
      <w:r>
        <w:rPr>
          <w:bCs/>
          <w:lang w:val="hu-HU"/>
        </w:rPr>
        <w:tab/>
        <w:t>PVC/PVDC//Al perforált buborékcsomagolásban</w:t>
      </w:r>
    </w:p>
    <w:p w:rsidR="008B5166" w:rsidRDefault="00226345">
      <w:pPr>
        <w:spacing w:line="240" w:lineRule="auto"/>
        <w:ind w:left="567" w:hanging="567"/>
        <w:outlineLvl w:val="0"/>
        <w:rPr>
          <w:bCs/>
          <w:lang w:val="hu-HU"/>
        </w:rPr>
      </w:pPr>
      <w:r>
        <w:rPr>
          <w:bCs/>
          <w:lang w:val="hu-HU"/>
        </w:rPr>
        <w:t>OGYI-T-24364/48</w:t>
      </w:r>
      <w:r>
        <w:rPr>
          <w:bCs/>
          <w:lang w:val="hu-HU"/>
        </w:rPr>
        <w:tab/>
        <w:t>30×</w:t>
      </w:r>
      <w:r>
        <w:rPr>
          <w:bCs/>
          <w:lang w:val="hu-HU"/>
        </w:rPr>
        <w:tab/>
        <w:t>PVC/PVDC//Al nem perforált buborékcsomagolásban</w:t>
      </w:r>
    </w:p>
    <w:p w:rsidR="008B5166" w:rsidRDefault="00226345">
      <w:pPr>
        <w:spacing w:line="240" w:lineRule="auto"/>
        <w:ind w:left="567" w:hanging="567"/>
        <w:outlineLvl w:val="0"/>
        <w:rPr>
          <w:bCs/>
          <w:lang w:val="hu-HU"/>
        </w:rPr>
      </w:pPr>
      <w:r>
        <w:rPr>
          <w:bCs/>
          <w:lang w:val="hu-HU"/>
        </w:rPr>
        <w:t>OGYI-T-24364/49</w:t>
      </w:r>
      <w:r>
        <w:rPr>
          <w:bCs/>
          <w:lang w:val="hu-HU"/>
        </w:rPr>
        <w:tab/>
        <w:t>56×</w:t>
      </w:r>
      <w:r>
        <w:rPr>
          <w:bCs/>
          <w:lang w:val="hu-HU"/>
        </w:rPr>
        <w:tab/>
        <w:t>PVC/PVDC//Al perforált buborékcsomagolásban</w:t>
      </w:r>
    </w:p>
    <w:p w:rsidR="008B5166" w:rsidRDefault="00226345">
      <w:pPr>
        <w:spacing w:line="240" w:lineRule="auto"/>
        <w:ind w:left="567" w:hanging="567"/>
        <w:outlineLvl w:val="0"/>
        <w:rPr>
          <w:bCs/>
          <w:lang w:val="hu-HU"/>
        </w:rPr>
      </w:pPr>
      <w:r>
        <w:rPr>
          <w:bCs/>
          <w:lang w:val="hu-HU"/>
        </w:rPr>
        <w:t>OGYI-T-24364/50</w:t>
      </w:r>
      <w:r>
        <w:rPr>
          <w:bCs/>
          <w:lang w:val="hu-HU"/>
        </w:rPr>
        <w:tab/>
        <w:t>56×</w:t>
      </w:r>
      <w:r>
        <w:rPr>
          <w:bCs/>
          <w:lang w:val="hu-HU"/>
        </w:rPr>
        <w:tab/>
        <w:t>PVC/PVDC//Al nem perforált buborékcsomagolásban</w:t>
      </w:r>
    </w:p>
    <w:p w:rsidR="008B5166" w:rsidRDefault="00226345">
      <w:pPr>
        <w:spacing w:line="240" w:lineRule="auto"/>
        <w:ind w:left="567" w:hanging="567"/>
        <w:outlineLvl w:val="0"/>
        <w:rPr>
          <w:bCs/>
          <w:lang w:val="hu-HU"/>
        </w:rPr>
      </w:pPr>
      <w:r>
        <w:rPr>
          <w:bCs/>
          <w:lang w:val="hu-HU"/>
        </w:rPr>
        <w:t>OGYI-T-24364/51</w:t>
      </w:r>
      <w:r>
        <w:rPr>
          <w:bCs/>
          <w:lang w:val="hu-HU"/>
        </w:rPr>
        <w:tab/>
        <w:t>60×</w:t>
      </w:r>
      <w:r>
        <w:rPr>
          <w:bCs/>
          <w:lang w:val="hu-HU"/>
        </w:rPr>
        <w:tab/>
        <w:t>PVC/PVDC//Al perforált buborékcsomagolásban</w:t>
      </w:r>
    </w:p>
    <w:p w:rsidR="008B5166" w:rsidRDefault="00226345">
      <w:pPr>
        <w:spacing w:line="240" w:lineRule="auto"/>
        <w:ind w:left="567" w:hanging="567"/>
        <w:outlineLvl w:val="0"/>
        <w:rPr>
          <w:bCs/>
          <w:lang w:val="hu-HU"/>
        </w:rPr>
      </w:pPr>
      <w:r>
        <w:rPr>
          <w:bCs/>
          <w:lang w:val="hu-HU"/>
        </w:rPr>
        <w:t>OGYI-T-24364/52</w:t>
      </w:r>
      <w:r>
        <w:rPr>
          <w:bCs/>
          <w:lang w:val="hu-HU"/>
        </w:rPr>
        <w:tab/>
        <w:t>60×</w:t>
      </w:r>
      <w:r>
        <w:rPr>
          <w:bCs/>
          <w:lang w:val="hu-HU"/>
        </w:rPr>
        <w:tab/>
        <w:t>PVC/PVDC//Al nem perforált buborékcsomagolásban</w:t>
      </w:r>
    </w:p>
    <w:p w:rsidR="008B5166" w:rsidRDefault="00226345">
      <w:pPr>
        <w:spacing w:line="240" w:lineRule="auto"/>
        <w:ind w:left="567" w:hanging="567"/>
        <w:outlineLvl w:val="0"/>
        <w:rPr>
          <w:bCs/>
          <w:lang w:val="hu-HU"/>
        </w:rPr>
      </w:pPr>
      <w:r>
        <w:rPr>
          <w:bCs/>
          <w:lang w:val="hu-HU"/>
        </w:rPr>
        <w:t>OGYI-T-24364/53</w:t>
      </w:r>
      <w:r>
        <w:rPr>
          <w:bCs/>
          <w:lang w:val="hu-HU"/>
        </w:rPr>
        <w:tab/>
        <w:t>90×</w:t>
      </w:r>
      <w:r>
        <w:rPr>
          <w:bCs/>
          <w:lang w:val="hu-HU"/>
        </w:rPr>
        <w:tab/>
        <w:t>PVC/PVDC//Al perforált buborékcsomagolásban</w:t>
      </w:r>
    </w:p>
    <w:p w:rsidR="008B5166" w:rsidRDefault="00226345">
      <w:pPr>
        <w:spacing w:line="240" w:lineRule="auto"/>
        <w:ind w:left="567" w:hanging="567"/>
        <w:outlineLvl w:val="0"/>
        <w:rPr>
          <w:bCs/>
          <w:lang w:val="hu-HU"/>
        </w:rPr>
      </w:pPr>
      <w:r>
        <w:rPr>
          <w:bCs/>
          <w:lang w:val="hu-HU"/>
        </w:rPr>
        <w:t>OGYI-T-24364/54</w:t>
      </w:r>
      <w:r>
        <w:rPr>
          <w:bCs/>
          <w:lang w:val="hu-HU"/>
        </w:rPr>
        <w:tab/>
        <w:t>90×</w:t>
      </w:r>
      <w:r>
        <w:rPr>
          <w:bCs/>
          <w:lang w:val="hu-HU"/>
        </w:rPr>
        <w:tab/>
        <w:t>PVC/PVDC//Al nem perforált buborékcsomagolásban</w:t>
      </w:r>
    </w:p>
    <w:p w:rsidR="008B5166" w:rsidRDefault="00226345">
      <w:pPr>
        <w:spacing w:line="240" w:lineRule="auto"/>
        <w:ind w:left="567" w:hanging="567"/>
        <w:outlineLvl w:val="0"/>
        <w:rPr>
          <w:bCs/>
          <w:lang w:val="hu-HU"/>
        </w:rPr>
      </w:pPr>
      <w:r>
        <w:rPr>
          <w:bCs/>
          <w:lang w:val="hu-HU"/>
        </w:rPr>
        <w:t>OGYI-T-24364/55</w:t>
      </w:r>
      <w:r>
        <w:rPr>
          <w:bCs/>
          <w:lang w:val="hu-HU"/>
        </w:rPr>
        <w:tab/>
        <w:t>98×</w:t>
      </w:r>
      <w:r>
        <w:rPr>
          <w:bCs/>
          <w:lang w:val="hu-HU"/>
        </w:rPr>
        <w:tab/>
        <w:t>PVC/PVDC//Al perforált buborékcsomagolásban</w:t>
      </w:r>
    </w:p>
    <w:p w:rsidR="008B5166" w:rsidRDefault="00226345">
      <w:pPr>
        <w:spacing w:line="240" w:lineRule="auto"/>
        <w:ind w:left="567" w:hanging="567"/>
        <w:outlineLvl w:val="0"/>
        <w:rPr>
          <w:bCs/>
          <w:lang w:val="hu-HU"/>
        </w:rPr>
      </w:pPr>
      <w:r>
        <w:rPr>
          <w:bCs/>
          <w:lang w:val="hu-HU"/>
        </w:rPr>
        <w:t>OGYI-T-24364/56</w:t>
      </w:r>
      <w:r>
        <w:rPr>
          <w:bCs/>
          <w:lang w:val="hu-HU"/>
        </w:rPr>
        <w:tab/>
        <w:t>98×</w:t>
      </w:r>
      <w:r>
        <w:rPr>
          <w:bCs/>
          <w:lang w:val="hu-HU"/>
        </w:rPr>
        <w:tab/>
        <w:t>PVC/PVDC//Al nem perforált buborékcsomagolásban</w:t>
      </w:r>
    </w:p>
    <w:p w:rsidR="008B5166" w:rsidRDefault="008B5166">
      <w:pPr>
        <w:spacing w:line="240" w:lineRule="auto"/>
        <w:ind w:left="567" w:hanging="567"/>
        <w:outlineLvl w:val="0"/>
        <w:rPr>
          <w:bCs/>
          <w:lang w:val="hu-HU"/>
        </w:rPr>
      </w:pPr>
    </w:p>
    <w:p w:rsidR="008B5166" w:rsidRDefault="008B5166">
      <w:pPr>
        <w:spacing w:line="240" w:lineRule="auto"/>
        <w:ind w:left="567" w:hanging="567"/>
        <w:outlineLvl w:val="0"/>
        <w:rPr>
          <w:b/>
          <w:bCs/>
          <w:lang w:val="hu-HU"/>
        </w:rPr>
      </w:pPr>
    </w:p>
    <w:p w:rsidR="008B5166" w:rsidRDefault="00226345">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rsidR="008B5166" w:rsidRDefault="008B5166">
      <w:pPr>
        <w:spacing w:line="240" w:lineRule="auto"/>
        <w:rPr>
          <w:lang w:val="hu-HU"/>
        </w:rPr>
      </w:pPr>
    </w:p>
    <w:p w:rsidR="008B5166" w:rsidRDefault="00226345">
      <w:pPr>
        <w:spacing w:line="240" w:lineRule="auto"/>
        <w:rPr>
          <w:lang w:val="hu-HU"/>
        </w:rPr>
      </w:pPr>
      <w:r>
        <w:rPr>
          <w:lang w:val="hu-HU"/>
        </w:rPr>
        <w:t>A forgalomba hozatali engedély első kiadásának dátuma: 2024. április 4.</w:t>
      </w:r>
    </w:p>
    <w:p w:rsidR="008B5166" w:rsidRDefault="008B5166">
      <w:pPr>
        <w:spacing w:line="240" w:lineRule="auto"/>
        <w:rPr>
          <w:lang w:val="hu-HU"/>
        </w:rPr>
      </w:pPr>
    </w:p>
    <w:p w:rsidR="008B5166" w:rsidRDefault="008B5166">
      <w:pPr>
        <w:spacing w:line="240" w:lineRule="auto"/>
        <w:rPr>
          <w:lang w:val="hu-HU"/>
        </w:rPr>
      </w:pPr>
    </w:p>
    <w:p w:rsidR="008B5166" w:rsidRDefault="00226345">
      <w:pPr>
        <w:spacing w:line="240" w:lineRule="auto"/>
        <w:ind w:left="567" w:hanging="567"/>
        <w:outlineLvl w:val="0"/>
        <w:rPr>
          <w:b/>
          <w:bCs/>
          <w:lang w:val="hu-HU"/>
        </w:rPr>
      </w:pPr>
      <w:r>
        <w:rPr>
          <w:b/>
          <w:bCs/>
          <w:lang w:val="hu-HU"/>
        </w:rPr>
        <w:t>10.</w:t>
      </w:r>
      <w:r>
        <w:rPr>
          <w:b/>
          <w:bCs/>
          <w:lang w:val="hu-HU"/>
        </w:rPr>
        <w:tab/>
        <w:t>A SZÖVEG ELLENŐRZÉSÉNEK DÁTUMA</w:t>
      </w:r>
    </w:p>
    <w:p w:rsidR="008B5166" w:rsidRDefault="008B5166">
      <w:pPr>
        <w:spacing w:line="240" w:lineRule="auto"/>
        <w:ind w:left="567" w:hanging="567"/>
        <w:outlineLvl w:val="0"/>
        <w:rPr>
          <w:b/>
          <w:bCs/>
          <w:lang w:val="hu-HU"/>
        </w:rPr>
      </w:pPr>
    </w:p>
    <w:p w:rsidR="008B5166" w:rsidRDefault="00226345">
      <w:r>
        <w:t>2025. augusztus 20.</w:t>
      </w:r>
    </w:p>
    <w:sectPr w:rsidR="008B5166">
      <w:headerReference w:type="default" r:id="rId9"/>
      <w:footerReference w:type="first" r:id="rId10"/>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166" w:rsidRDefault="00226345">
      <w:pPr>
        <w:spacing w:line="240" w:lineRule="auto"/>
      </w:pPr>
      <w:r>
        <w:separator/>
      </w:r>
    </w:p>
  </w:endnote>
  <w:endnote w:type="continuationSeparator" w:id="0">
    <w:p w:rsidR="008B5166" w:rsidRDefault="002263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TimesNewRoman,Italic">
    <w:altName w:val="Times New Roman"/>
    <w:panose1 w:val="00000000000000000000"/>
    <w:charset w:val="00"/>
    <w:family w:val="auto"/>
    <w:notTrueType/>
    <w:pitch w:val="default"/>
    <w:sig w:usb0="00000005"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345" w:rsidRPr="00226345" w:rsidRDefault="00226345" w:rsidP="00226345">
    <w:pPr>
      <w:pStyle w:val="llb"/>
      <w:spacing w:line="240" w:lineRule="auto"/>
      <w:rPr>
        <w:sz w:val="18"/>
        <w:szCs w:val="18"/>
      </w:rPr>
    </w:pPr>
    <w:r w:rsidRPr="00226345">
      <w:rPr>
        <w:sz w:val="18"/>
        <w:szCs w:val="18"/>
      </w:rPr>
      <w:t>NNGYK/ETGY/24186/2025</w:t>
    </w:r>
  </w:p>
  <w:p w:rsidR="00226345" w:rsidRPr="00226345" w:rsidRDefault="00226345" w:rsidP="00226345">
    <w:pPr>
      <w:pStyle w:val="llb"/>
      <w:spacing w:line="240" w:lineRule="auto"/>
      <w:rPr>
        <w:sz w:val="18"/>
        <w:szCs w:val="18"/>
      </w:rPr>
    </w:pPr>
    <w:r w:rsidRPr="00226345">
      <w:rPr>
        <w:sz w:val="18"/>
        <w:szCs w:val="18"/>
      </w:rPr>
      <w:t>NNGYK/ETGY/24187/2025</w:t>
    </w:r>
  </w:p>
  <w:p w:rsidR="00226345" w:rsidRPr="00226345" w:rsidRDefault="00226345" w:rsidP="00226345">
    <w:pPr>
      <w:pStyle w:val="llb"/>
      <w:spacing w:line="240" w:lineRule="auto"/>
      <w:rPr>
        <w:sz w:val="18"/>
        <w:szCs w:val="18"/>
      </w:rPr>
    </w:pPr>
    <w:r w:rsidRPr="00226345">
      <w:rPr>
        <w:sz w:val="18"/>
        <w:szCs w:val="18"/>
      </w:rPr>
      <w:t>NNGYK/ETGY/24188/2025</w:t>
    </w:r>
  </w:p>
  <w:p w:rsidR="008B5166" w:rsidRDefault="00226345">
    <w:pPr>
      <w:pStyle w:val="llb"/>
      <w:spacing w:line="240" w:lineRule="auto"/>
      <w:rPr>
        <w:sz w:val="18"/>
        <w:szCs w:val="18"/>
        <w:lang w:val="hu-HU"/>
      </w:rPr>
    </w:pPr>
    <w:r w:rsidRPr="00226345">
      <w:rPr>
        <w:sz w:val="18"/>
        <w:szCs w:val="18"/>
      </w:rPr>
      <w:t>NNGYK/ETGY/24190/2025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166" w:rsidRDefault="00226345">
      <w:pPr>
        <w:spacing w:line="240" w:lineRule="auto"/>
      </w:pPr>
      <w:r>
        <w:separator/>
      </w:r>
    </w:p>
  </w:footnote>
  <w:footnote w:type="continuationSeparator" w:id="0">
    <w:p w:rsidR="008B5166" w:rsidRDefault="002263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382294"/>
      <w:docPartObj>
        <w:docPartGallery w:val="Page Numbers (Top of Page)"/>
        <w:docPartUnique/>
      </w:docPartObj>
    </w:sdtPr>
    <w:sdtEndPr>
      <w:rPr>
        <w:sz w:val="18"/>
        <w:szCs w:val="18"/>
      </w:rPr>
    </w:sdtEndPr>
    <w:sdtContent>
      <w:p w:rsidR="008B5166" w:rsidRDefault="00226345">
        <w:pPr>
          <w:pStyle w:val="lfej"/>
          <w:jc w:val="center"/>
        </w:pPr>
        <w:r>
          <w:rPr>
            <w:sz w:val="18"/>
            <w:szCs w:val="18"/>
          </w:rPr>
          <w:fldChar w:fldCharType="begin"/>
        </w:r>
        <w:r>
          <w:rPr>
            <w:sz w:val="18"/>
            <w:szCs w:val="18"/>
          </w:rPr>
          <w:instrText>PAGE   \* MERGEFORMAT</w:instrText>
        </w:r>
        <w:r>
          <w:rPr>
            <w:sz w:val="18"/>
            <w:szCs w:val="18"/>
          </w:rPr>
          <w:fldChar w:fldCharType="separate"/>
        </w:r>
        <w:r w:rsidR="00987CD4" w:rsidRPr="00987CD4">
          <w:rPr>
            <w:noProof/>
            <w:sz w:val="18"/>
            <w:szCs w:val="18"/>
            <w:lang w:val="hu-HU"/>
          </w:rPr>
          <w:t>2</w:t>
        </w:r>
        <w:r>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0"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1" w15:restartNumberingAfterBreak="0">
    <w:nsid w:val="20C309B1"/>
    <w:multiLevelType w:val="hybridMultilevel"/>
    <w:tmpl w:val="E7B0F242"/>
    <w:lvl w:ilvl="0" w:tplc="1C16D8C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286B5A75"/>
    <w:multiLevelType w:val="hybridMultilevel"/>
    <w:tmpl w:val="08BED846"/>
    <w:lvl w:ilvl="0" w:tplc="54BAF2BC">
      <w:start w:val="2"/>
      <w:numFmt w:val="bullet"/>
      <w:lvlText w:val="-"/>
      <w:lvlJc w:val="left"/>
      <w:pPr>
        <w:ind w:left="720" w:hanging="360"/>
      </w:pPr>
      <w:rPr>
        <w:rFonts w:ascii="Calibri" w:eastAsiaTheme="minorHAns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3" w15:restartNumberingAfterBreak="0">
    <w:nsid w:val="2B8D7F58"/>
    <w:multiLevelType w:val="hybridMultilevel"/>
    <w:tmpl w:val="34284BA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5" w15:restartNumberingAfterBreak="0">
    <w:nsid w:val="36367D75"/>
    <w:multiLevelType w:val="hybridMultilevel"/>
    <w:tmpl w:val="9C30458C"/>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6F7FD7"/>
    <w:multiLevelType w:val="hybridMultilevel"/>
    <w:tmpl w:val="48425F16"/>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832636"/>
    <w:multiLevelType w:val="hybridMultilevel"/>
    <w:tmpl w:val="07129D9E"/>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9" w15:restartNumberingAfterBreak="0">
    <w:nsid w:val="4C2B5733"/>
    <w:multiLevelType w:val="hybridMultilevel"/>
    <w:tmpl w:val="04F6C008"/>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1" w15:restartNumberingAfterBreak="0">
    <w:nsid w:val="6000297B"/>
    <w:multiLevelType w:val="hybridMultilevel"/>
    <w:tmpl w:val="FB92B99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3" w15:restartNumberingAfterBreak="0">
    <w:nsid w:val="6D006E46"/>
    <w:multiLevelType w:val="hybridMultilevel"/>
    <w:tmpl w:val="A52ACF8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105224A"/>
    <w:multiLevelType w:val="hybridMultilevel"/>
    <w:tmpl w:val="323A26FA"/>
    <w:lvl w:ilvl="0" w:tplc="330A4FBC">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2"/>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lvlOverride w:ilvl="0">
      <w:lvl w:ilvl="0">
        <w:numFmt w:val="bullet"/>
        <w:lvlText w:val="-"/>
        <w:lvlJc w:val="left"/>
        <w:pPr>
          <w:ind w:left="360" w:hanging="360"/>
        </w:pPr>
      </w:lvl>
    </w:lvlOverride>
  </w:num>
  <w:num w:numId="15">
    <w:abstractNumId w:val="10"/>
  </w:num>
  <w:num w:numId="16">
    <w:abstractNumId w:val="25"/>
  </w:num>
  <w:num w:numId="17">
    <w:abstractNumId w:val="18"/>
  </w:num>
  <w:num w:numId="18">
    <w:abstractNumId w:val="9"/>
  </w:num>
  <w:num w:numId="19">
    <w:abstractNumId w:val="13"/>
  </w:num>
  <w:num w:numId="20">
    <w:abstractNumId w:val="23"/>
  </w:num>
  <w:num w:numId="21">
    <w:abstractNumId w:val="11"/>
  </w:num>
  <w:num w:numId="22">
    <w:abstractNumId w:val="12"/>
  </w:num>
  <w:num w:numId="23">
    <w:abstractNumId w:val="24"/>
  </w:num>
  <w:num w:numId="24">
    <w:abstractNumId w:val="19"/>
  </w:num>
  <w:num w:numId="25">
    <w:abstractNumId w:val="16"/>
  </w:num>
  <w:num w:numId="26">
    <w:abstractNumId w:val="17"/>
  </w:num>
  <w:num w:numId="27">
    <w:abstractNumId w:val="2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166"/>
    <w:rsid w:val="00226345"/>
    <w:rsid w:val="008B5166"/>
    <w:rsid w:val="00987CD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chartTrackingRefBased/>
  <w15:docId w15:val="{289D858A-9D67-487B-B380-E9A87377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Times New Roman" w:hAnsi="Times New Roman" w:cs="Times New Roman"/>
      <w:lang w:val="en-GB"/>
    </w:rPr>
  </w:style>
  <w:style w:type="paragraph" w:styleId="Cmsor4">
    <w:name w:val="heading 4"/>
    <w:basedOn w:val="Norml"/>
    <w:next w:val="Norml"/>
    <w:link w:val="Cmsor4Char"/>
    <w:semiHidden/>
    <w:unhideWhenUsed/>
    <w:qFormat/>
    <w:pPr>
      <w:keepNext/>
      <w:tabs>
        <w:tab w:val="clear" w:pos="567"/>
        <w:tab w:val="num" w:pos="0"/>
      </w:tabs>
      <w:suppressAutoHyphens/>
      <w:jc w:val="both"/>
      <w:outlineLvl w:val="3"/>
    </w:pPr>
    <w:rPr>
      <w:b/>
      <w:szCs w:val="20"/>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4Char">
    <w:name w:val="Címsor 4 Char"/>
    <w:basedOn w:val="Bekezdsalapbettpusa"/>
    <w:link w:val="Cmsor4"/>
    <w:semiHidden/>
    <w:rPr>
      <w:rFonts w:ascii="Times New Roman" w:eastAsia="Times New Roman" w:hAnsi="Times New Roman" w:cs="Times New Roman"/>
      <w:b/>
      <w:szCs w:val="20"/>
      <w:lang w:eastAsia="hu-HU"/>
    </w:rPr>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eastAsia="Times New Roman" w:hAnsi="Times New Roman" w:cs="Times New Roman"/>
      <w:lang w:val="en-GB" w:eastAsia="hu-HU"/>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rFonts w:ascii="Times New Roman" w:eastAsia="Times New Roman" w:hAnsi="Times New Roman" w:cs="Times New Roman"/>
      <w:lang w:val="en-GB" w:eastAsia="hu-HU"/>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semiHidden/>
    <w:locked/>
    <w:rPr>
      <w:rFonts w:ascii="Tahoma" w:eastAsia="Times New Roman" w:hAnsi="Tahoma" w:cs="Tahoma"/>
      <w:sz w:val="16"/>
      <w:szCs w:val="16"/>
      <w:lang w:val="en-GB"/>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rFonts w:ascii="Times New Roman" w:eastAsia="Times New Roma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rFonts w:ascii="Times New Roman" w:eastAsia="Times New Roman" w:hAnsi="Times New Roman" w:cs="Times New Roman"/>
      <w:b/>
      <w:bCs/>
      <w:sz w:val="20"/>
      <w:szCs w:val="20"/>
      <w:lang w:val="en-GB"/>
    </w:rPr>
  </w:style>
  <w:style w:type="paragraph" w:customStyle="1" w:styleId="Vltozat1">
    <w:name w:val="Változat1"/>
    <w:hidden/>
    <w:uiPriority w:val="99"/>
    <w:semiHidden/>
    <w:pPr>
      <w:spacing w:after="0" w:line="240" w:lineRule="auto"/>
    </w:pPr>
    <w:rPr>
      <w:rFonts w:ascii="Times New Roman" w:eastAsia="Times New Roman" w:hAnsi="Times New Roman" w:cs="Times New Roman"/>
      <w:lang w:val="en-GB"/>
    </w:rPr>
  </w:style>
  <w:style w:type="paragraph" w:styleId="lfej">
    <w:name w:val="header"/>
    <w:basedOn w:val="Norml"/>
    <w:link w:val="lfejChar1"/>
    <w:uiPriority w:val="99"/>
    <w:pPr>
      <w:tabs>
        <w:tab w:val="clear" w:pos="567"/>
        <w:tab w:val="center" w:pos="4513"/>
        <w:tab w:val="right" w:pos="9026"/>
      </w:tabs>
    </w:pPr>
  </w:style>
  <w:style w:type="character" w:customStyle="1" w:styleId="lfejChar1">
    <w:name w:val="Élőfej Char1"/>
    <w:basedOn w:val="Bekezdsalapbettpusa"/>
    <w:link w:val="lfej"/>
    <w:rPr>
      <w:rFonts w:ascii="Times New Roman" w:eastAsia="Times New Roman" w:hAnsi="Times New Roman" w:cs="Times New Roman"/>
      <w:lang w:val="en-GB"/>
    </w:rPr>
  </w:style>
  <w:style w:type="paragraph" w:styleId="llb">
    <w:name w:val="footer"/>
    <w:basedOn w:val="Norml"/>
    <w:link w:val="llbChar1"/>
    <w:uiPriority w:val="99"/>
    <w:pPr>
      <w:tabs>
        <w:tab w:val="clear" w:pos="567"/>
        <w:tab w:val="center" w:pos="4513"/>
        <w:tab w:val="right" w:pos="9026"/>
      </w:tabs>
    </w:pPr>
  </w:style>
  <w:style w:type="character" w:customStyle="1" w:styleId="llbChar1">
    <w:name w:val="Élőláb Char1"/>
    <w:basedOn w:val="Bekezdsalapbettpusa"/>
    <w:link w:val="llb"/>
    <w:uiPriority w:val="99"/>
    <w:rPr>
      <w:rFonts w:ascii="Times New Roman" w:eastAsia="Times New Roman" w:hAnsi="Times New Roman" w:cs="Times New Roman"/>
      <w:lang w:val="en-GB"/>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Pr>
      <w:rFonts w:ascii="Segoe UI" w:eastAsia="Times New Roman" w:hAnsi="Segoe UI" w:cs="Segoe UI"/>
      <w:sz w:val="18"/>
      <w:szCs w:val="18"/>
      <w:lang w:val="en-GB"/>
    </w:rPr>
  </w:style>
  <w:style w:type="paragraph" w:styleId="Vltozat">
    <w:name w:val="Revision"/>
    <w:hidden/>
    <w:uiPriority w:val="99"/>
    <w:semiHidden/>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basedOn w:val="Bekezdsalapbettpusa"/>
    <w:link w:val="Jegyzetszveg"/>
    <w:uiPriority w:val="99"/>
    <w:rPr>
      <w:rFonts w:ascii="Times New Roman" w:eastAsia="Times New Roman" w:hAnsi="Times New Roman" w:cs="Times New Roman"/>
      <w:sz w:val="20"/>
      <w:szCs w:val="20"/>
      <w:lang w:val="en-GB"/>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34"/>
    <w:qFormat/>
    <w:pPr>
      <w:ind w:left="720"/>
      <w:contextualSpacing/>
    </w:pPr>
  </w:style>
  <w:style w:type="character" w:customStyle="1" w:styleId="SzvegtrzsChar">
    <w:name w:val="Szövegtörzs Char"/>
    <w:aliases w:val="Body Text PP Char"/>
    <w:basedOn w:val="Bekezdsalapbettpusa"/>
    <w:link w:val="Szvegtrzs"/>
    <w:semiHidden/>
    <w:locked/>
    <w:rPr>
      <w:rFonts w:ascii="HG Mincho Light J" w:eastAsia="HG Mincho Light J" w:hAnsi="HG Mincho Light J"/>
      <w:color w:val="000000"/>
      <w:sz w:val="24"/>
      <w:szCs w:val="24"/>
      <w:lang w:eastAsia="ar-SA"/>
    </w:rPr>
  </w:style>
  <w:style w:type="paragraph" w:styleId="Szvegtrzs">
    <w:name w:val="Body Text"/>
    <w:aliases w:val="Body Text PP"/>
    <w:basedOn w:val="Norml"/>
    <w:link w:val="SzvegtrzsChar"/>
    <w:semiHidden/>
    <w:unhideWhenUsed/>
    <w:pPr>
      <w:widowControl w:val="0"/>
      <w:tabs>
        <w:tab w:val="clear" w:pos="567"/>
      </w:tabs>
      <w:suppressAutoHyphens/>
      <w:spacing w:after="120" w:line="240" w:lineRule="auto"/>
    </w:pPr>
    <w:rPr>
      <w:rFonts w:ascii="HG Mincho Light J" w:eastAsia="HG Mincho Light J" w:hAnsi="HG Mincho Light J" w:cstheme="minorBidi"/>
      <w:color w:val="000000"/>
      <w:sz w:val="24"/>
      <w:szCs w:val="24"/>
      <w:lang w:val="hu-HU" w:eastAsia="ar-SA"/>
    </w:rPr>
  </w:style>
  <w:style w:type="character" w:customStyle="1" w:styleId="SzvegtrzsChar1">
    <w:name w:val="Szövegtörzs Char1"/>
    <w:basedOn w:val="Bekezdsalapbettpusa"/>
    <w:uiPriority w:val="99"/>
    <w:semiHidden/>
    <w:rPr>
      <w:rFonts w:ascii="Times New Roman" w:eastAsia="Times New Roman" w:hAnsi="Times New Roman" w:cs="Times New Roman"/>
      <w:lang w:val="en-GB"/>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sl-SI" w:eastAsia="sl-SI"/>
    </w:rPr>
  </w:style>
  <w:style w:type="character" w:styleId="Hiperhivatkozs">
    <w:name w:val="Hyperlink"/>
    <w:unhideWhenUsed/>
    <w:rPr>
      <w:color w:val="0000FF"/>
      <w:u w:val="single"/>
    </w:rPr>
  </w:style>
  <w:style w:type="paragraph" w:customStyle="1" w:styleId="NoSpacing1">
    <w:name w:val="No Spacing1"/>
    <w:uiPriority w:val="1"/>
    <w:qFormat/>
    <w:pPr>
      <w:spacing w:after="0" w:line="240" w:lineRule="auto"/>
    </w:pPr>
    <w:rPr>
      <w:rFonts w:ascii="Calibri" w:eastAsia="Calibri" w:hAnsi="Calibri" w:cs="Times New Roman"/>
      <w:lang w:val="en-GB"/>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basedOn w:val="JegyzetszvegChar1"/>
    <w:link w:val="Megjegyzstrgya"/>
    <w:uiPriority w:val="99"/>
    <w:semiHidden/>
    <w:rPr>
      <w:rFonts w:ascii="Times New Roman" w:eastAsia="Times New Roman" w:hAnsi="Times New Roman" w:cs="Times New Roman"/>
      <w:b/>
      <w:bCs/>
      <w:sz w:val="20"/>
      <w:szCs w:val="20"/>
      <w:lang w:val="en-GB"/>
    </w:rPr>
  </w:style>
  <w:style w:type="character" w:styleId="Mrltotthiperhivatkozs">
    <w:name w:val="FollowedHyperlink"/>
    <w:basedOn w:val="Bekezdsalapbettpusa"/>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816">
      <w:bodyDiv w:val="1"/>
      <w:marLeft w:val="0"/>
      <w:marRight w:val="0"/>
      <w:marTop w:val="0"/>
      <w:marBottom w:val="0"/>
      <w:divBdr>
        <w:top w:val="none" w:sz="0" w:space="0" w:color="auto"/>
        <w:left w:val="none" w:sz="0" w:space="0" w:color="auto"/>
        <w:bottom w:val="none" w:sz="0" w:space="0" w:color="auto"/>
        <w:right w:val="none" w:sz="0" w:space="0" w:color="auto"/>
      </w:divBdr>
    </w:div>
    <w:div w:id="226965189">
      <w:bodyDiv w:val="1"/>
      <w:marLeft w:val="0"/>
      <w:marRight w:val="0"/>
      <w:marTop w:val="0"/>
      <w:marBottom w:val="0"/>
      <w:divBdr>
        <w:top w:val="none" w:sz="0" w:space="0" w:color="auto"/>
        <w:left w:val="none" w:sz="0" w:space="0" w:color="auto"/>
        <w:bottom w:val="none" w:sz="0" w:space="0" w:color="auto"/>
        <w:right w:val="none" w:sz="0" w:space="0" w:color="auto"/>
      </w:divBdr>
    </w:div>
    <w:div w:id="1122580028">
      <w:bodyDiv w:val="1"/>
      <w:marLeft w:val="0"/>
      <w:marRight w:val="0"/>
      <w:marTop w:val="0"/>
      <w:marBottom w:val="0"/>
      <w:divBdr>
        <w:top w:val="none" w:sz="0" w:space="0" w:color="auto"/>
        <w:left w:val="none" w:sz="0" w:space="0" w:color="auto"/>
        <w:bottom w:val="none" w:sz="0" w:space="0" w:color="auto"/>
        <w:right w:val="none" w:sz="0" w:space="0" w:color="auto"/>
      </w:divBdr>
    </w:div>
    <w:div w:id="1268386488">
      <w:bodyDiv w:val="1"/>
      <w:marLeft w:val="0"/>
      <w:marRight w:val="0"/>
      <w:marTop w:val="0"/>
      <w:marBottom w:val="0"/>
      <w:divBdr>
        <w:top w:val="none" w:sz="0" w:space="0" w:color="auto"/>
        <w:left w:val="none" w:sz="0" w:space="0" w:color="auto"/>
        <w:bottom w:val="none" w:sz="0" w:space="0" w:color="auto"/>
        <w:right w:val="none" w:sz="0" w:space="0" w:color="auto"/>
      </w:divBdr>
    </w:div>
    <w:div w:id="1754085017">
      <w:bodyDiv w:val="1"/>
      <w:marLeft w:val="0"/>
      <w:marRight w:val="0"/>
      <w:marTop w:val="0"/>
      <w:marBottom w:val="0"/>
      <w:divBdr>
        <w:top w:val="none" w:sz="0" w:space="0" w:color="auto"/>
        <w:left w:val="none" w:sz="0" w:space="0" w:color="auto"/>
        <w:bottom w:val="none" w:sz="0" w:space="0" w:color="auto"/>
        <w:right w:val="none" w:sz="0" w:space="0" w:color="auto"/>
      </w:divBdr>
    </w:div>
    <w:div w:id="1952668911">
      <w:bodyDiv w:val="1"/>
      <w:marLeft w:val="0"/>
      <w:marRight w:val="0"/>
      <w:marTop w:val="0"/>
      <w:marBottom w:val="0"/>
      <w:divBdr>
        <w:top w:val="none" w:sz="0" w:space="0" w:color="auto"/>
        <w:left w:val="none" w:sz="0" w:space="0" w:color="auto"/>
        <w:bottom w:val="none" w:sz="0" w:space="0" w:color="auto"/>
        <w:right w:val="none" w:sz="0" w:space="0" w:color="auto"/>
      </w:divBdr>
    </w:div>
    <w:div w:id="212299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F546B-4FA2-4CB5-B0CB-7D5C08B72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7537</Words>
  <Characters>52012</Characters>
  <Application>Microsoft Office Word</Application>
  <DocSecurity>0</DocSecurity>
  <Lines>433</Lines>
  <Paragraphs>118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HU_OGYI_50.1</cp:lastModifiedBy>
  <cp:revision>2</cp:revision>
  <dcterms:created xsi:type="dcterms:W3CDTF">2025-10-02T05:47:00Z</dcterms:created>
  <dcterms:modified xsi:type="dcterms:W3CDTF">2025-10-02T05:47:00Z</dcterms:modified>
</cp:coreProperties>
</file>