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1F290" w14:textId="37C82E6A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1.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 GYÓGYSZER NEVE</w:t>
      </w:r>
    </w:p>
    <w:p w14:paraId="0C4375E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130ECE80" w14:textId="77777777" w:rsidR="00592C80" w:rsidRPr="00742C16" w:rsidRDefault="00592C80" w:rsidP="00742C1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Clindamycin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Kalceks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150 mg/ml </w:t>
      </w:r>
      <w:proofErr w:type="spellStart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>oldatos</w:t>
      </w:r>
      <w:proofErr w:type="spellEnd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injekció vagy infúzió</w:t>
      </w:r>
    </w:p>
    <w:p w14:paraId="3A14C51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9D9CCD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394F507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2.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MINŐSÉGI ÉS MENNYISÉGI ÖSSZETÉTEL</w:t>
      </w:r>
    </w:p>
    <w:p w14:paraId="4488F6F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5577515F" w14:textId="3BECA9EC" w:rsidR="00592C80" w:rsidRPr="00742C16" w:rsidRDefault="00821FCF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oldat </w:t>
      </w:r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150 mg 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tartalmaz (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-foszfát formájában) milliliterenként.</w:t>
      </w:r>
    </w:p>
    <w:p w14:paraId="5D799C13" w14:textId="10C96A9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300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tartalmaz 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-foszfát formájában) 2 ml</w:t>
      </w:r>
      <w:r w:rsidR="00821FC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oldatot tartalmazó 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mpullánként.</w:t>
      </w:r>
    </w:p>
    <w:p w14:paraId="1D657AB1" w14:textId="1A0AECF6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600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tartalmaz 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-foszfát formájában) 4 ml</w:t>
      </w:r>
      <w:r w:rsidR="00821FC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oldatot tartalmazó 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mpullánként.</w:t>
      </w:r>
    </w:p>
    <w:p w14:paraId="5920A07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53B87F45" w14:textId="3031657F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Ismert hatású segédanyag</w:t>
      </w:r>
    </w:p>
    <w:p w14:paraId="67F760F1" w14:textId="34E677EB" w:rsidR="00592C80" w:rsidRPr="00742C16" w:rsidRDefault="00821FCF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oldat </w:t>
      </w:r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6,5 mg nátriumot tartalmaz milliliterenként.</w:t>
      </w:r>
    </w:p>
    <w:p w14:paraId="184EE67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5EBAF0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14:ligatures w14:val="none"/>
        </w:rPr>
        <w:t>A segédanyagok teljes listáját lásd a 6.1 pontban.</w:t>
      </w:r>
    </w:p>
    <w:p w14:paraId="5DA5A26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3654894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64247C81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3.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GYÓGYSZERFORMA</w:t>
      </w:r>
    </w:p>
    <w:p w14:paraId="66C954C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54C630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>Oldatos</w:t>
      </w:r>
      <w:proofErr w:type="spellEnd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injekció vagy infúzió.</w:t>
      </w:r>
    </w:p>
    <w:p w14:paraId="522E7A27" w14:textId="09B3BA2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Tiszta, színtelen vagy csaknem színtelen, </w:t>
      </w:r>
      <w:r w:rsidR="00C25A96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látható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részecskéktől mentes oldat.</w:t>
      </w:r>
    </w:p>
    <w:p w14:paraId="5C1107A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pH: 5,5–7,0.</w:t>
      </w:r>
    </w:p>
    <w:p w14:paraId="14606C1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Ozmolalitás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: 700–830 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mOsmol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/kg.</w:t>
      </w:r>
    </w:p>
    <w:p w14:paraId="521E711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74E5399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18DE9B6A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KLINIKAI JELLEMZŐK</w:t>
      </w:r>
    </w:p>
    <w:p w14:paraId="2EFCF14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38C0D403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4.1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Terápiás javallatok</w:t>
      </w:r>
    </w:p>
    <w:p w14:paraId="589238C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7C99F5C6" w14:textId="0C095981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Clindamycin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Kalceks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150 mg/ml </w:t>
      </w:r>
      <w:proofErr w:type="spellStart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>oldatos</w:t>
      </w:r>
      <w:proofErr w:type="spellEnd"/>
      <w:r w:rsidRPr="00742C1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injekció vagy infúzió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F779D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r w:rsidR="00821FCF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 alábbi,</w:t>
      </w:r>
      <w:r w:rsidR="00F779D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="00F779D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klindamicinre</w:t>
      </w:r>
      <w:proofErr w:type="spellEnd"/>
      <w:r w:rsidR="00F779D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érzékeny baktériumok által okozott súlyos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fertőzések kezelésére javallott felnőttek, serdülők és 1 hónaposnál idősebb gyermekek számára</w:t>
      </w:r>
      <w:r w:rsidR="00C3503B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(lásd </w:t>
      </w:r>
      <w:r w:rsidR="00C145C1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4.2 és </w:t>
      </w:r>
      <w:r w:rsidR="00C3503B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5.1 pont)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:</w:t>
      </w:r>
    </w:p>
    <w:p w14:paraId="39769CF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66FDF09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csont- és ízületi 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fertőzés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ek;</w:t>
      </w:r>
    </w:p>
    <w:p w14:paraId="5CCC1E0E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anaerob mikroorganizmusok által okozott krónikus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sinusitis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;</w:t>
      </w:r>
    </w:p>
    <w:p w14:paraId="1DA9EB5C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alsó légúti fertőzések;</w:t>
      </w:r>
    </w:p>
    <w:p w14:paraId="1AB6EDF5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szövődményes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intraabdominalis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fertőzések;</w:t>
      </w:r>
    </w:p>
    <w:p w14:paraId="76D3990E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kismedencei és a női nemi szerveket érintő fertőzések;</w:t>
      </w:r>
    </w:p>
    <w:p w14:paraId="2EA3B21C" w14:textId="77777777" w:rsidR="00592C80" w:rsidRPr="00742C16" w:rsidRDefault="00592C80" w:rsidP="00742C16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szövődményes bőr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- és lágyrészfertőzések.</w:t>
      </w:r>
    </w:p>
    <w:p w14:paraId="5D08F3A1" w14:textId="77777777" w:rsidR="00F779D2" w:rsidRPr="00742C16" w:rsidRDefault="00F779D2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6FFBCB75" w14:textId="57EB707F" w:rsidR="00F779D2" w:rsidRPr="00742C16" w:rsidRDefault="00F779D2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Béta-laktám</w:t>
      </w:r>
      <w:r w:rsidR="00C428E2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típusú 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antibiotikumokra allergiás betegeknél a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Clindamycin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Kalceks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műtétek után kialakuló fertőzések </w:t>
      </w:r>
      <w:r w:rsidR="00821FCF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profilaxisára</w:t>
      </w:r>
      <w:r w:rsidR="00821FCF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alkalmazható.</w:t>
      </w:r>
    </w:p>
    <w:p w14:paraId="5C6AB23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0444BA6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Figyelembe kell venni az antibakteriális szerek megfelelő alkalmazására vonatkozó hivatalos irányelveket.</w:t>
      </w:r>
    </w:p>
    <w:p w14:paraId="5BB0F9D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</w:p>
    <w:p w14:paraId="2F6E35FA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4.2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Adagolás és alkalmazás</w:t>
      </w:r>
    </w:p>
    <w:p w14:paraId="3219957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</w:p>
    <w:p w14:paraId="1A886B79" w14:textId="1A397B2F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Az adagolást és az alkalmazás módját a fertőzés súlyossága, a beteg állapota és a </w:t>
      </w:r>
      <w:r w:rsidR="00821FCF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betegséget okozó 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mikroorganizmus érzékenysége alapján kell meghatározni.</w:t>
      </w:r>
      <w:r w:rsidR="007862F9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Figyelembe kell venni a</w:t>
      </w:r>
      <w:r w:rsidR="00AD4E30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helyi</w:t>
      </w:r>
      <w:r w:rsidR="007862F9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irányelveket.</w:t>
      </w:r>
    </w:p>
    <w:p w14:paraId="7E8FC7F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</w:p>
    <w:p w14:paraId="6CF8163D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lastRenderedPageBreak/>
        <w:t>Adagolás</w:t>
      </w:r>
    </w:p>
    <w:p w14:paraId="047A2091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</w:pPr>
    </w:p>
    <w:p w14:paraId="5C401EA2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i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kern w:val="0"/>
          <w:lang w:eastAsia="de-DE"/>
          <w14:ligatures w14:val="none"/>
        </w:rPr>
        <w:t>Felnőttek</w:t>
      </w:r>
    </w:p>
    <w:p w14:paraId="22E42364" w14:textId="46C0A04E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Napi 1200–2700 mg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(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im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.) injekció vagy intravénás (iv.) infúzió formájában, 2</w:t>
      </w:r>
      <w:r w:rsidR="007862F9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–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4 részletre elosztva.</w:t>
      </w:r>
    </w:p>
    <w:p w14:paraId="252E747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0235E6F9" w14:textId="1BFE119B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Intraabdominalis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fertőzések, kismedencei és a női nemi szerveket érintő fertőzések</w:t>
      </w:r>
      <w:r w:rsidR="007862F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más súlyos fertőzések esetében a szokásos dózis napi 2400–2700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ntravénásan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vagy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ntramuscularisan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2, 3 vagy 4 egyenlő részletre elosztva (az ajánlott maximális egyszeri dózis nem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 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haladhatja meg az 1200 mg-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énásan,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vagy a 600 mg-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uscularisan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).</w:t>
      </w:r>
    </w:p>
    <w:p w14:paraId="68EAA2B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0C713288" w14:textId="085483DC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Kevésbé súlyos fertőzések esetében, amelyeknél a mikroorganizmusok nagyobb érzékenysége miatt kisebb dózisok is elegendők, a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napi dózisa 1200–1800 mg 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énásan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vagy </w:t>
      </w:r>
      <w:proofErr w:type="spellStart"/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uscularisan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, 3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noBreakHyphen/>
        <w:t>4 egyenlő részletre elosztva.</w:t>
      </w:r>
    </w:p>
    <w:p w14:paraId="6DAC530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06FA72F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Életveszélyes fertőzés esetén az intravénás dózis legfeljebb napi 4800 mg-ig emelhető.</w:t>
      </w:r>
    </w:p>
    <w:p w14:paraId="511A0AF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F242C6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Műtéti profilaxis</w:t>
      </w:r>
    </w:p>
    <w:p w14:paraId="59C94B5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 adagolást a műtéti eljárás típusa és időtartama alapján kell meghatározni.</w:t>
      </w:r>
    </w:p>
    <w:p w14:paraId="1A5CC258" w14:textId="0A8DF152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szokásos dózis 600–900 mg</w:t>
      </w:r>
      <w:r w:rsidR="007862F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4</w:t>
      </w:r>
      <w:r w:rsidR="007862F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–8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 óránként</w:t>
      </w:r>
      <w:r w:rsidR="007862F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alkalmazva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műtéti eljárás végéig.</w:t>
      </w:r>
    </w:p>
    <w:p w14:paraId="0EFD889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2F6E791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kern w:val="0"/>
          <w:lang w:eastAsia="de-DE"/>
          <w14:ligatures w14:val="none"/>
        </w:rPr>
        <w:t>Gyermekek és serdülők</w:t>
      </w:r>
    </w:p>
    <w:p w14:paraId="3C27B4C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5A4F1F3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Cs/>
          <w:i/>
          <w:iCs/>
          <w:kern w:val="0"/>
          <w:lang w:eastAsia="de-DE"/>
          <w14:ligatures w14:val="none"/>
        </w:rPr>
        <w:t>1 hónapos–12 éves gyermekek</w:t>
      </w:r>
    </w:p>
    <w:p w14:paraId="286C8008" w14:textId="2D5340C0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A dózis napi 20–40 mg/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ttkg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énásan</w:t>
      </w:r>
      <w:r w:rsidR="00AD4E30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vagy </w:t>
      </w:r>
      <w:proofErr w:type="spellStart"/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="00AD4E3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uscularisan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, 3–4 egyenlő részletre elosztva (lásd 4.4 pont).</w:t>
      </w:r>
    </w:p>
    <w:p w14:paraId="65787597" w14:textId="7245E35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Gyermekeknél a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dózisát a teljes testtömeg alapján kell kiszámítani, </w:t>
      </w:r>
      <w:r w:rsidR="00142B3E"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függetlenül </w:t>
      </w:r>
      <w:r w:rsidR="00142B3E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attól, hogy fennáll-e </w:t>
      </w: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elhízás (lásd 5.2 pont). </w:t>
      </w:r>
      <w:r w:rsidR="0045068E"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Súlyos fertőzések kezelésére</w:t>
      </w:r>
      <w:r w:rsidR="00142B3E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gyermekeknél</w:t>
      </w:r>
      <w:r w:rsidR="0045068E"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a javasolt napi dózis legalább 300 mg, a testtömegtől függetlenül. </w:t>
      </w: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A teljes napi dózis nem haladhatja meg a felnőtteknél javasolt maximális napi dózist.</w:t>
      </w:r>
    </w:p>
    <w:p w14:paraId="5944150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23E741A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12 évesnél idősebb gyermekek és serdülők</w:t>
      </w:r>
    </w:p>
    <w:p w14:paraId="79CD64AC" w14:textId="511CCEE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12 évesnél idősebb gyermekeknél és serdülőknél a felnőtteknél javasolt dózis alkalmazandó, figyelembe véve, hogy a májműködéstől függően szükség lehet dózismódosításra. </w:t>
      </w:r>
      <w:r w:rsidR="0045068E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A</w:t>
      </w:r>
      <w:r w:rsidR="00142B3E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sovány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r w:rsidR="0045068E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12–18 éves 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gyermekeknél és serdülőknél </w:t>
      </w:r>
      <w:r w:rsidR="00142B3E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nem 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javasolt 40 mg/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ttkg-</w:t>
      </w:r>
      <w:r w:rsidR="00142B3E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nál</w:t>
      </w:r>
      <w:proofErr w:type="spellEnd"/>
      <w:r w:rsidR="00142B3E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nagyobb </w:t>
      </w:r>
      <w:r w:rsidR="00142B3E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napi dózis </w:t>
      </w:r>
      <w:r w:rsidR="00142B3E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alkalmazása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.</w:t>
      </w:r>
      <w:r w:rsidR="0045068E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r w:rsidR="0045068E"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A teljes napi dózis nem haladhatja meg a felnőtteknél javasolt maximális napi dózist.</w:t>
      </w:r>
    </w:p>
    <w:p w14:paraId="579C1A9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</w:p>
    <w:p w14:paraId="1AB5C3E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1 hónaposnál fiatalabb csecsemők</w:t>
      </w:r>
    </w:p>
    <w:p w14:paraId="4A28C6E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biztonságosságát és hatásosságát 1 hónaposnál fiatalabb csecsemőknél nem igazolták. Nem állnak rendelkezésre adatok.</w:t>
      </w:r>
    </w:p>
    <w:p w14:paraId="1963C49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237AB16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kern w:val="0"/>
          <w:lang w:eastAsia="de-DE"/>
          <w14:ligatures w14:val="none"/>
        </w:rPr>
        <w:t>Idősek</w:t>
      </w:r>
    </w:p>
    <w:p w14:paraId="34F555C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Egészséges vese- és májműködésű időseknél nincs szükség dózismódosításra (lásd 5.2 pont).</w:t>
      </w:r>
    </w:p>
    <w:p w14:paraId="42E8691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914813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Májkárosodás</w:t>
      </w:r>
    </w:p>
    <w:p w14:paraId="52AE8129" w14:textId="0828D11C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Közepesen súlyos és súlyos fokú májkárosodásban szenvedő betegeknél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eliminációs felezési ideje meghosszabbodik (lásd 4.4 és 5.2 pont).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8 óránkénti adagolása esetén azonban akkumuláció ritkán fordul elő. Súlyos fokú májkárosodásban szenvedő betegeknél azonban</w:t>
      </w:r>
      <w:r w:rsidR="0087330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ajánlott a májfunkció</w:t>
      </w:r>
      <w:r w:rsidR="006E3E3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</w:t>
      </w:r>
      <w:r w:rsidR="0087330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beteg állapotának, valamint </w:t>
      </w:r>
      <w:r w:rsidR="006E3E3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lehetőség szerint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plazmakoncentrációjá</w:t>
      </w:r>
      <w:r w:rsidR="0087330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nak </w:t>
      </w:r>
      <w:proofErr w:type="spellStart"/>
      <w:r w:rsidR="00873302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monitorozása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 A kapott eredmények alapján szükségessé válhat a dózis vagy az adagolások közötti időtartam módosítása.</w:t>
      </w:r>
    </w:p>
    <w:p w14:paraId="0B9DDBB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42038CF8" w14:textId="77777777" w:rsidR="00592C80" w:rsidRPr="00742C16" w:rsidRDefault="00592C80" w:rsidP="00742C1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Vesekárosodás</w:t>
      </w:r>
    </w:p>
    <w:p w14:paraId="1D43DF7C" w14:textId="593B417F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Vesekárosodásban szenvedő betegeknél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eliminációs felezési ideje meghosszabbodik (lásd 4.4 és 5.2 pont). Enyhe vagy közepesen súlyos fokú vesekárosodás esetén azonban dózismódosítás nem szükséges. Súlyos fokú vesekárosodásban szenvedő betegeknél javasolt a vesefunkció és a </w:t>
      </w:r>
      <w:r w:rsidR="00142B3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beteg állapotának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monitorozása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FE1664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51D572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hemodialízisel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nem távolítható el, ezért nem szükséges kiegészítő dózist beadni sem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hemodialízis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-kezelés előtt, sem azt követően.</w:t>
      </w:r>
    </w:p>
    <w:p w14:paraId="21A672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9723D9C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Az alkalmazás módja</w:t>
      </w:r>
    </w:p>
    <w:p w14:paraId="7EB237D3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</w:p>
    <w:p w14:paraId="161495A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injekcióban 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im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.) vagy intravénás infúzióban (iv.) történő alkalmazásra.</w:t>
      </w:r>
    </w:p>
    <w:p w14:paraId="2EBE3F8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5398BED1" w14:textId="158AAE7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injekció formájában történő beadás esetén a </w:t>
      </w:r>
      <w:proofErr w:type="spellStart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Clindamycin</w:t>
      </w:r>
      <w:proofErr w:type="spellEnd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proofErr w:type="spellStart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Kalceks</w:t>
      </w:r>
      <w:proofErr w:type="spellEnd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-et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hígítatlanul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kell alkalmazni. 600 mg-nál nagyobb egyszeri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dózis alkalmazása nem ajánlott.</w:t>
      </w:r>
    </w:p>
    <w:p w14:paraId="25DD336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injekcióban történő alkalmazás akkor indokolt, amikor az intravénás infúzió alkalmazására bármilyen okból nincs lehetőség.</w:t>
      </w:r>
    </w:p>
    <w:p w14:paraId="320A3B0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</w:pPr>
    </w:p>
    <w:p w14:paraId="4D876D5C" w14:textId="514C9873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Intravénás infúzióban történő alkalmazás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esetén a </w:t>
      </w:r>
      <w:proofErr w:type="spellStart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Clindamycin</w:t>
      </w:r>
      <w:proofErr w:type="spellEnd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</w:t>
      </w:r>
      <w:proofErr w:type="spellStart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Kalceks</w:t>
      </w:r>
      <w:proofErr w:type="spellEnd"/>
      <w:r w:rsidR="00F30BDA"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-et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fel kell hígítani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és az infúzió beadásának legalább 10–60 percen át</w:t>
      </w:r>
      <w:r w:rsidR="00142B3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kell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történnie.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koncentrációja nem</w:t>
      </w:r>
      <w:r w:rsidR="00E000F8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 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haladhatja meg a 18 mg/ml-t, az infúzió sebessége pedig nem haladhatja meg a 30 mg/percet. Ezt a gyógyszert </w:t>
      </w: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tilos intravénás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bolus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 injekcióban beadni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(súlyos mellékhatások fordulhatnak elő, lásd 4.8 pont). Egyetlen infúzióban óránként legfeljebb 1200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ajánlott beadni.</w:t>
      </w:r>
    </w:p>
    <w:p w14:paraId="5F7B38E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5424DD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1. táblázat</w:t>
      </w: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ab/>
        <w:t>Az infúzió szokásos sebessége</w:t>
      </w:r>
    </w:p>
    <w:p w14:paraId="2BB0B76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548"/>
        <w:gridCol w:w="3074"/>
        <w:gridCol w:w="2789"/>
      </w:tblGrid>
      <w:tr w:rsidR="00592C80" w:rsidRPr="00742C16" w14:paraId="6166463B" w14:textId="77777777" w:rsidTr="00AD4E30">
        <w:trPr>
          <w:trHeight w:val="283"/>
        </w:trPr>
        <w:tc>
          <w:tcPr>
            <w:tcW w:w="1543" w:type="dxa"/>
            <w:shd w:val="clear" w:color="auto" w:fill="auto"/>
          </w:tcPr>
          <w:p w14:paraId="3578A7C9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Dózis</w:t>
            </w:r>
          </w:p>
        </w:tc>
        <w:tc>
          <w:tcPr>
            <w:tcW w:w="1548" w:type="dxa"/>
            <w:shd w:val="clear" w:color="auto" w:fill="auto"/>
          </w:tcPr>
          <w:p w14:paraId="70C99ACA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Az oldószer mennyisége</w:t>
            </w:r>
          </w:p>
        </w:tc>
        <w:tc>
          <w:tcPr>
            <w:tcW w:w="3074" w:type="dxa"/>
            <w:shd w:val="clear" w:color="auto" w:fill="auto"/>
          </w:tcPr>
          <w:p w14:paraId="0144303F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A </w:t>
            </w:r>
            <w:proofErr w:type="spellStart"/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klindamicin</w:t>
            </w:r>
            <w:proofErr w:type="spellEnd"/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koncentrációja</w:t>
            </w:r>
          </w:p>
        </w:tc>
        <w:tc>
          <w:tcPr>
            <w:tcW w:w="2789" w:type="dxa"/>
            <w:shd w:val="clear" w:color="auto" w:fill="auto"/>
          </w:tcPr>
          <w:p w14:paraId="2FFB93EA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Minimális infúziós idő</w:t>
            </w:r>
          </w:p>
        </w:tc>
      </w:tr>
      <w:tr w:rsidR="00592C80" w:rsidRPr="00742C16" w14:paraId="4CDBDFA5" w14:textId="77777777" w:rsidTr="00AD4E30">
        <w:trPr>
          <w:trHeight w:val="283"/>
        </w:trPr>
        <w:tc>
          <w:tcPr>
            <w:tcW w:w="1543" w:type="dxa"/>
            <w:shd w:val="clear" w:color="auto" w:fill="auto"/>
          </w:tcPr>
          <w:p w14:paraId="2BA1430D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300 mg</w:t>
            </w:r>
          </w:p>
        </w:tc>
        <w:tc>
          <w:tcPr>
            <w:tcW w:w="1548" w:type="dxa"/>
            <w:shd w:val="clear" w:color="auto" w:fill="auto"/>
          </w:tcPr>
          <w:p w14:paraId="64962462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50 ml</w:t>
            </w:r>
          </w:p>
        </w:tc>
        <w:tc>
          <w:tcPr>
            <w:tcW w:w="3074" w:type="dxa"/>
            <w:shd w:val="clear" w:color="auto" w:fill="auto"/>
          </w:tcPr>
          <w:p w14:paraId="6EFEBB8F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 mg/ml</w:t>
            </w:r>
          </w:p>
        </w:tc>
        <w:tc>
          <w:tcPr>
            <w:tcW w:w="2789" w:type="dxa"/>
            <w:shd w:val="clear" w:color="auto" w:fill="auto"/>
          </w:tcPr>
          <w:p w14:paraId="3D6E55BC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 perc</w:t>
            </w:r>
          </w:p>
        </w:tc>
      </w:tr>
      <w:tr w:rsidR="00592C80" w:rsidRPr="00742C16" w14:paraId="378681D7" w14:textId="77777777" w:rsidTr="00AD4E30">
        <w:trPr>
          <w:trHeight w:val="283"/>
        </w:trPr>
        <w:tc>
          <w:tcPr>
            <w:tcW w:w="1543" w:type="dxa"/>
            <w:shd w:val="clear" w:color="auto" w:fill="auto"/>
          </w:tcPr>
          <w:p w14:paraId="2A1F8852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600 mg</w:t>
            </w:r>
          </w:p>
        </w:tc>
        <w:tc>
          <w:tcPr>
            <w:tcW w:w="1548" w:type="dxa"/>
            <w:shd w:val="clear" w:color="auto" w:fill="auto"/>
          </w:tcPr>
          <w:p w14:paraId="16BD814A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50 ml</w:t>
            </w:r>
          </w:p>
        </w:tc>
        <w:tc>
          <w:tcPr>
            <w:tcW w:w="3074" w:type="dxa"/>
            <w:shd w:val="clear" w:color="auto" w:fill="auto"/>
          </w:tcPr>
          <w:p w14:paraId="7F15C301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 mg/ml</w:t>
            </w:r>
          </w:p>
        </w:tc>
        <w:tc>
          <w:tcPr>
            <w:tcW w:w="2789" w:type="dxa"/>
            <w:shd w:val="clear" w:color="auto" w:fill="auto"/>
          </w:tcPr>
          <w:p w14:paraId="00E6F660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 perc</w:t>
            </w:r>
          </w:p>
        </w:tc>
      </w:tr>
      <w:tr w:rsidR="00592C80" w:rsidRPr="00742C16" w14:paraId="51F6BE82" w14:textId="77777777" w:rsidTr="00AD4E30">
        <w:trPr>
          <w:trHeight w:val="283"/>
        </w:trPr>
        <w:tc>
          <w:tcPr>
            <w:tcW w:w="1543" w:type="dxa"/>
            <w:shd w:val="clear" w:color="auto" w:fill="auto"/>
          </w:tcPr>
          <w:p w14:paraId="3E2FDB17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900 mg</w:t>
            </w:r>
          </w:p>
        </w:tc>
        <w:tc>
          <w:tcPr>
            <w:tcW w:w="1548" w:type="dxa"/>
            <w:shd w:val="clear" w:color="auto" w:fill="auto"/>
          </w:tcPr>
          <w:p w14:paraId="4CF4D952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50–100 ml</w:t>
            </w:r>
          </w:p>
        </w:tc>
        <w:tc>
          <w:tcPr>
            <w:tcW w:w="3074" w:type="dxa"/>
            <w:shd w:val="clear" w:color="auto" w:fill="auto"/>
          </w:tcPr>
          <w:p w14:paraId="68420211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9–18 mg/ml</w:t>
            </w:r>
          </w:p>
        </w:tc>
        <w:tc>
          <w:tcPr>
            <w:tcW w:w="2789" w:type="dxa"/>
            <w:shd w:val="clear" w:color="auto" w:fill="auto"/>
          </w:tcPr>
          <w:p w14:paraId="475639DD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30 perc</w:t>
            </w:r>
          </w:p>
        </w:tc>
      </w:tr>
      <w:tr w:rsidR="00592C80" w:rsidRPr="00742C16" w14:paraId="51BC7A35" w14:textId="77777777" w:rsidTr="00AD4E30">
        <w:trPr>
          <w:trHeight w:val="283"/>
        </w:trPr>
        <w:tc>
          <w:tcPr>
            <w:tcW w:w="1543" w:type="dxa"/>
            <w:shd w:val="clear" w:color="auto" w:fill="auto"/>
          </w:tcPr>
          <w:p w14:paraId="01F7584C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1200 mg</w:t>
            </w:r>
          </w:p>
        </w:tc>
        <w:tc>
          <w:tcPr>
            <w:tcW w:w="1548" w:type="dxa"/>
            <w:shd w:val="clear" w:color="auto" w:fill="auto"/>
          </w:tcPr>
          <w:p w14:paraId="090311A3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100 ml</w:t>
            </w:r>
          </w:p>
        </w:tc>
        <w:tc>
          <w:tcPr>
            <w:tcW w:w="3074" w:type="dxa"/>
            <w:shd w:val="clear" w:color="auto" w:fill="auto"/>
          </w:tcPr>
          <w:p w14:paraId="55C84C45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 mg/ml</w:t>
            </w:r>
          </w:p>
        </w:tc>
        <w:tc>
          <w:tcPr>
            <w:tcW w:w="2789" w:type="dxa"/>
            <w:shd w:val="clear" w:color="auto" w:fill="auto"/>
          </w:tcPr>
          <w:p w14:paraId="0022CA6D" w14:textId="77777777" w:rsidR="00592C80" w:rsidRPr="00742C16" w:rsidRDefault="00592C80" w:rsidP="00742C16">
            <w:pPr>
              <w:spacing w:after="0" w:line="240" w:lineRule="auto"/>
              <w:ind w:left="10" w:hanging="1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42C1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 perc</w:t>
            </w:r>
          </w:p>
        </w:tc>
      </w:tr>
    </w:tbl>
    <w:p w14:paraId="46A92F7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38E4217" w14:textId="0FE731C0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r w:rsidR="00E000F8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hígításhoz alkalmazható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kompatibilis oldószerek listáját lásd a 6.6 pontban.</w:t>
      </w:r>
    </w:p>
    <w:p w14:paraId="638A5B1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DD5B9C1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4.3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Ellenjavallatok</w:t>
      </w:r>
    </w:p>
    <w:p w14:paraId="1B43FBA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1A19132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A készítmény hatóanyagával vagy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linkomicinnel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vagy a 6.1 pontban felsorolt bármely segédanyagával szembeni túlérzékenység.</w:t>
      </w:r>
    </w:p>
    <w:p w14:paraId="4F00737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5F5A9430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4.4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Különleges figyelmeztetések és az alkalmazással kapcsolatos óvintézkedések</w:t>
      </w:r>
    </w:p>
    <w:p w14:paraId="30F3EE3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highlight w:val="yellow"/>
          <w:lang w:eastAsia="de-DE"/>
          <w14:ligatures w14:val="none"/>
        </w:rPr>
      </w:pPr>
    </w:p>
    <w:p w14:paraId="1906D3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Túlérzékenységi reakciók</w:t>
      </w:r>
    </w:p>
    <w:p w14:paraId="35DB8B77" w14:textId="0281628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Súlyos túlérzékenységi reakciók már a gyógyszer első alkalmazása után felléphetnek. Ebben az esetben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-kezelést azonnal le kell állítani, és meg kell tenni a 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megfelelő standard</w:t>
      </w:r>
      <w:r w:rsidR="00B210B5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sürgősségi intézkedéseket (lásd 4.3 és 4.8 pont).</w:t>
      </w:r>
    </w:p>
    <w:p w14:paraId="428223B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5A18C10" w14:textId="38AD73F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Bizonyos körülmények között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alternatív kezelésként alkalmazható penicillin-allergiában szenvedő (penicillinre túlérzékeny) betegeknél. Nem számoltak be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penicillin közötti keresztallergiáról, és a két hatóanyag strukturális különbözőségét figyelembe véve ez nem is várható. Egyedi esetekben azonban előfordult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szembeni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naphy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laxiás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reakció (túlérzékenység) olyan személyeknél, akiknél a penicillin-allergia már fennállt. A penicillin-allergiás betegek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történő kezelése során ezt figyelembe kell venni.</w:t>
      </w:r>
    </w:p>
    <w:p w14:paraId="7186EE1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highlight w:val="yellow"/>
          <w:lang w:eastAsia="de-DE"/>
          <w14:ligatures w14:val="none"/>
        </w:rPr>
      </w:pPr>
    </w:p>
    <w:p w14:paraId="6068F5F8" w14:textId="77777777" w:rsidR="00592C80" w:rsidRPr="00742C16" w:rsidRDefault="00592C80" w:rsidP="00742C16">
      <w:pPr>
        <w:widowControl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  <w:t>Bőrt érintő, súlyos mellékhatások</w:t>
      </w:r>
    </w:p>
    <w:p w14:paraId="35B1109F" w14:textId="71478B6C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kezelt betegeknél beszámoltak bőrt érintő, súlyos mellékhatásokról, köztük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eosinophiliával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szisztémás tünetekkel járó gyógyszerreakcióról (DRESS-szindróma),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Stevens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–Johnson-szindrómáról (SJS),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to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xic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epidermalis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necrolysisről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(TEN) és akut generalizált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exanthemás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pustulosisról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(AGEP), amelyek életveszélyesek vagy halálos kimenetelűek is lehetnek. Ezek a mellékhatások akár a gyógyszer első alkalmazása után is kialakulhatnak. Ha súlyos bőrreakciók jelei és tünetei jelentkeznek,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alkalmazását azonnal le kell állítani, 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és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megfelelő 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standard</w:t>
      </w:r>
      <w:r w:rsidR="00B210B5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lastRenderedPageBreak/>
        <w:t>sürgősségi intézkedéseket</w:t>
      </w:r>
      <w:r w:rsidRPr="00742C16" w:rsidDel="00F3278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meg kell kezdeni. Ha a betegnél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alkalmazásakor súlyos reakció, például DRESS, SJS, TEN vagy AGEP alakult ki, akkor ez a beteg </w:t>
      </w:r>
      <w:r w:rsidR="00B210B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soha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többé nem kezelhető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(lásd 4.3 és 4.8 pont).</w:t>
      </w:r>
    </w:p>
    <w:p w14:paraId="64D78252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3AAF6678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  <w:t>Gastrointestinalis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u w:val="single"/>
          <w:lang w:eastAsia="de-DE"/>
          <w14:ligatures w14:val="none"/>
        </w:rPr>
        <w:t xml:space="preserve"> zavarok</w:t>
      </w:r>
    </w:p>
    <w:p w14:paraId="75FAEBE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antibakteriális szerekkel történő kezelés megváltoztatja a vastagbél normál bélflóráját, és a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Clostridioides</w:t>
      </w:r>
      <w:proofErr w:type="spellEnd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 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difficile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túlszaporodásához vezethet. Erről csaknem minden antibakteriális szer alkalmazásával kapcsolatban beszámoltak, beleértve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is. A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Clostridioides</w:t>
      </w:r>
      <w:proofErr w:type="spellEnd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 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difficile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 és B toxinokat termel, amelyek hozzájárulnak a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Clostridioides</w:t>
      </w:r>
      <w:proofErr w:type="spellEnd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difficile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-vel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összefüggő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diarrhoea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(CDAD) kialakulásához, és ami az antibiotikum-kezeléssel összefüggő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elsődleges okai közé tartozik.</w:t>
      </w:r>
    </w:p>
    <w:p w14:paraId="3638BC6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Fontos a CDAD diagnózisának lehetőségére gondolni azoknál a betegeknél, akiknél antibakteriális szerekkel történő kezelést követően hasmenés alakul ki, ami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 beleértve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pseudomembranosus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is – kialakulásáig súlyosbodhat, és ami az enyhe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colitistől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halálos kimenetelű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colitisig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terjedhet.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Ha antibakteriális szerrel – így a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– végzett kezelés során antibiotikum-kezeléssel összefüggő hasmenés vagy antibiotikum-kezeléssel összefüggő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diagnózisa felmerül vagy igazolódik, a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alkalmazását azonnal le kell állítani, és meg kell kezdeni a megfelelő terápiás intézkedéseket. Ilyen esetben perisztaltikát gátló gyógyszer adása ellenjavallt.</w:t>
      </w:r>
    </w:p>
    <w:p w14:paraId="399FCFB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2F1AB8D" w14:textId="419C6F16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alkalmazását összefüggésbe hozták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pseudomembranosus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kialakulásával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-kezelés alatt, vagy akár két-három héttel a kezelést követően, ami halálos kimenetelű lehet, valamint súlyos és tartós hasmenéssel járhat. Körültekintően kell eljárni, ha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olyan betegeknek írják fel, akiknél emésztőrendszeri betegségek</w:t>
      </w:r>
      <w:r w:rsid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különösen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–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kialakulására</w:t>
      </w:r>
      <w:r w:rsidR="002D1A59" w:rsidRP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2D1A5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ha</w:t>
      </w:r>
      <w:r w:rsid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jlamosító tényezők állnak fenn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. Az antibiotikum-kezeléssel összefüggő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colitis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hasmenés gyakrabban fordul elő és súlyosabb lefolyású legyengült és/vagy idős (˃ 60 éves) betegeknél.</w:t>
      </w:r>
    </w:p>
    <w:p w14:paraId="4C4F1FE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1287DF66" w14:textId="295E7F5A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A </w:t>
      </w:r>
      <w:proofErr w:type="spellStart"/>
      <w:r w:rsidR="002D1A59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neuromuscularis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 ingerületátvitel zavarai</w:t>
      </w:r>
    </w:p>
    <w:p w14:paraId="019216EA" w14:textId="25EA4167" w:rsidR="00592C80" w:rsidRPr="00742C16" w:rsidRDefault="00294C74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Elővigyázatosságra</w:t>
      </w:r>
      <w:r w:rsidR="002D1A5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van szükség azoknál a betegeknél, akik a </w:t>
      </w:r>
      <w:proofErr w:type="spellStart"/>
      <w:r w:rsid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neuromuscularis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transzmisszió zavaraival összefüggő betegségben (pl. 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myasthenia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gravis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Parkinson-kór) szenvednek, mivel a 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alkalmazása </w:t>
      </w:r>
      <w:proofErr w:type="spellStart"/>
      <w:r w:rsidR="002D1A5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neuromuscularis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blokád kialakulásával és a blokád idejének meghosszabbodásával járhat (lásd 4.5 és 4.8 pont). </w:t>
      </w:r>
      <w:r w:rsidR="00592C80"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In vitro</w:t>
      </w:r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kimutatták, hogy a 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gátolja a nikotinos </w:t>
      </w:r>
      <w:proofErr w:type="spellStart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acetilkolin</w:t>
      </w:r>
      <w:proofErr w:type="spellEnd"/>
      <w:r w:rsidR="00592C8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-receptorokat.</w:t>
      </w:r>
    </w:p>
    <w:p w14:paraId="5C85ADBA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F66A48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Máj-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vesekárodás</w:t>
      </w:r>
      <w:proofErr w:type="spellEnd"/>
    </w:p>
    <w:p w14:paraId="6FC343F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Tartós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-kezelés esetén a máj- és vesefunkciót rendszeresen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monitorozni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kell.</w:t>
      </w:r>
    </w:p>
    <w:p w14:paraId="3113EC1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Vesekárosodásban, valamint közepesen súlyos és súlyos fokú májkárosodásban szenvedő betegeknél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eliminációs felezés ideje meghosszabbodik (lásd 4.2 és 5.2 pont).</w:t>
      </w:r>
    </w:p>
    <w:p w14:paraId="645439FD" w14:textId="0D60649C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Ritka előfordulással beszámoltak akut vesekárosodásról, beleértve az akut veseelégtelenséget is. Azo</w:t>
      </w:r>
      <w:r w:rsidR="00F30BD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betegek</w:t>
      </w:r>
      <w:r w:rsidR="00F30BD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esetében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akik</w:t>
      </w:r>
      <w:r w:rsidR="00F30BD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nél már eleve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vese</w:t>
      </w:r>
      <w:r w:rsidR="00F30BD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működési zavar áll fenn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vagy akik egyidejűleg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nephrotoxicus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gyógyszereket szednek, mérlegelni kell a vesefunkció monitorozását (lásd 4.8 pont).</w:t>
      </w:r>
    </w:p>
    <w:p w14:paraId="0E419BB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6009308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A nem érzékeny mikroorganizmusok túlszaporodása</w:t>
      </w:r>
    </w:p>
    <w:p w14:paraId="5F154690" w14:textId="4EF0327C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alkalmazása a nem érzékeny organizmusok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különösen az élesztőgombák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túlszaporodását is 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okozhatja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E40E60B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AC604C5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Koncentráció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cerebrospinális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 folyadékban</w:t>
      </w:r>
    </w:p>
    <w:p w14:paraId="09B1CC11" w14:textId="6FCD9630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cerebrospinalis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folyadékban elért koncentrációja nem elegendő, ezért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meningitis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kezelésére nem alkalma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zható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4EE5B22" w14:textId="77777777" w:rsidR="00592C80" w:rsidRPr="00742C16" w:rsidRDefault="00592C80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FA026BD" w14:textId="2BC90F97" w:rsidR="00F30BDA" w:rsidRPr="00742C16" w:rsidRDefault="00F30BDA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Egyéb</w:t>
      </w:r>
    </w:p>
    <w:p w14:paraId="3386C902" w14:textId="66974A30" w:rsidR="00F30BDA" w:rsidRPr="00742C16" w:rsidRDefault="00F30BDA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At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piás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betegségben szenvedő betegek kezelésekor 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elővigyázatosságra</w:t>
      </w:r>
      <w:r w:rsidR="00294C74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van szükség.</w:t>
      </w:r>
    </w:p>
    <w:p w14:paraId="3B7C01A2" w14:textId="77777777" w:rsidR="00F30BDA" w:rsidRPr="00742C16" w:rsidRDefault="00F30BDA" w:rsidP="00742C16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72AC83F" w14:textId="77777777" w:rsidR="00592C80" w:rsidRPr="00742C16" w:rsidRDefault="00592C80" w:rsidP="00742C16">
      <w:pPr>
        <w:widowControl w:val="0"/>
        <w:tabs>
          <w:tab w:val="left" w:pos="-1440"/>
          <w:tab w:val="left" w:pos="-720"/>
          <w:tab w:val="left" w:pos="0"/>
          <w:tab w:val="left" w:pos="720"/>
          <w:tab w:val="left" w:pos="2160"/>
          <w:tab w:val="left" w:pos="3690"/>
          <w:tab w:val="left" w:pos="432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Nátrium</w:t>
      </w:r>
    </w:p>
    <w:p w14:paraId="4F50E8C2" w14:textId="20D18B99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Ez a gyógyszer 6,5 mg nátriumot tartalmaz milliliterenként, ami megfelel a WHO által ajánlott maximális napi 2 g nátriumbevitel 0,33%</w:t>
      </w:r>
      <w:r w:rsidR="0078079B" w:rsidRPr="00742C16">
        <w:rPr>
          <w:rFonts w:ascii="Times New Roman" w:eastAsia="Times New Roman" w:hAnsi="Times New Roman" w:cs="Times New Roman"/>
          <w:kern w:val="0"/>
          <w:lang w:eastAsia="hu-HU"/>
        </w:rPr>
        <w:t>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ának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felnőtteknél.</w:t>
      </w:r>
    </w:p>
    <w:p w14:paraId="6DFE4C7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FC76F74" w14:textId="77777777" w:rsidR="00592C80" w:rsidRPr="00742C16" w:rsidRDefault="00592C80" w:rsidP="00742C16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lastRenderedPageBreak/>
        <w:t>4.5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Gyógyszerkölcsönhatások és egyéb interakciók</w:t>
      </w:r>
    </w:p>
    <w:p w14:paraId="310B9E44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25C36A7A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Neuromuscularis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blokkolók</w:t>
      </w:r>
    </w:p>
    <w:p w14:paraId="54D880A4" w14:textId="407A6AEE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fokozhatja a </w:t>
      </w:r>
      <w:proofErr w:type="spellStart"/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neuromuscularis</w:t>
      </w:r>
      <w:proofErr w:type="spellEnd"/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blokkoló gyógyszerek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hatását, ezért </w:t>
      </w:r>
      <w:proofErr w:type="spellStart"/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neuromuscularis</w:t>
      </w:r>
      <w:proofErr w:type="spellEnd"/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blokkoló gyógyszereket</w:t>
      </w:r>
      <w:r w:rsidR="00294C74" w:rsidRPr="00742C16" w:rsidDel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kapó betegeknél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csak elővigyázatossággal alkalmazandó.</w:t>
      </w:r>
    </w:p>
    <w:p w14:paraId="10CC07D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7E56A5E3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K-vitamin-antagonisták</w:t>
      </w:r>
    </w:p>
    <w:p w14:paraId="5D26F84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bookmarkStart w:id="0" w:name="Figyelemeztetés"/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K-vitamin-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antagonistával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(pl.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warfarin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acenokumarol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fluindion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) egyidejűleg kezelt betegeknél a koagulációs értékek (PT/INR) növekedéséről és/vagy vérzésről számoltak be. 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noBreakHyphen/>
        <w:t xml:space="preserve">vitamin-antagonisták egyidejű alkalmazása esetén ezért a koagulációs értékeket szorosan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monitorozni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kell.</w:t>
      </w:r>
      <w:bookmarkEnd w:id="0"/>
    </w:p>
    <w:p w14:paraId="3B100E6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205E90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Más antibiotikumok</w:t>
      </w:r>
    </w:p>
    <w:p w14:paraId="67CA6AD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 xml:space="preserve"> és az </w:t>
      </w:r>
      <w:proofErr w:type="spellStart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>eritromicin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 xml:space="preserve"> között antagonista hatást mutattak ki</w:t>
      </w:r>
      <w:r w:rsidRPr="00742C16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in vitro</w:t>
      </w:r>
      <w:r w:rsidRPr="00742C16">
        <w:rPr>
          <w:rFonts w:ascii="Times New Roman" w:eastAsia="Times New Roman" w:hAnsi="Times New Roman" w:cs="Times New Roman"/>
          <w:kern w:val="0"/>
          <w14:ligatures w14:val="none"/>
        </w:rPr>
        <w:t>. Ezen kölcsönhatás klinikai jelentőségének lehetősége miatt a két gyógyszer nem alkalmazható egyidejűleg.</w:t>
      </w:r>
    </w:p>
    <w:p w14:paraId="5B70BEB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F50ACA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CYP-enzim-inhibitorok</w:t>
      </w:r>
      <w:r w:rsidRPr="00742C16" w:rsidDel="00C43994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és -induktorok</w:t>
      </w:r>
    </w:p>
    <w:p w14:paraId="24FC2B0E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elsősorban a CYP3A4, kisebb mértékben a CYP3A5 révén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metabolizálódik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klindamicin-szulfoxid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metabolittá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és a kevésbé jelentős N-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dezmetil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metabolittá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. Ezért a CYP3A4 és a CYP3A5 inhibitorai csökkenthetik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clearance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-ét.</w:t>
      </w:r>
    </w:p>
    <w:p w14:paraId="790C8E40" w14:textId="4713F99C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CYP3A4- és a CYP3A5-induktorok növelhetik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clearance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-ét. Ha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erős CYP3A4-induktorokkal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például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rifampicinnel</w:t>
      </w:r>
      <w:proofErr w:type="spellEnd"/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–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együtt alkalmazzák, a betegnél figyelni kell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-kezelés hatásosságának esetleges csökkenését.</w:t>
      </w:r>
    </w:p>
    <w:p w14:paraId="71BA291B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DC7D464" w14:textId="270406D3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In vitro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 azt mutatják, hogy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nem gátolja a CYP1A2, a CYP2C9, a CYP2C19, a CYP2E1 vagy a CYP2D6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enzimeket, és csak 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közepes mértékben</w:t>
      </w:r>
      <w:r w:rsidR="00C660B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gátolja a CYP3A4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enzimet. Ezért nem valószínű, hogy klinikailag jelentős kölcsönhatások lépnének fel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C660B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egyidejűleg alkalmazott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a</w:t>
      </w:r>
      <w:r w:rsidR="00C660B9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felsorolt CYP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enzimek által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metabolizált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gyógyszerek között.</w:t>
      </w:r>
    </w:p>
    <w:p w14:paraId="462BC33D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7EDDCD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Immunszuppresszánsok</w:t>
      </w:r>
      <w:proofErr w:type="spellEnd"/>
    </w:p>
    <w:p w14:paraId="1B3F0518" w14:textId="584C9F0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B708E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befolyásolhatja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ciklosporin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takrolimusz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koncentrációját a vérben. A </w:t>
      </w:r>
      <w:proofErr w:type="spellStart"/>
      <w:r w:rsidR="00B708E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="00B708E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történő kezelés alatt javasolt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ciklosporin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/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takrolimusz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szérumszintjé</w:t>
      </w:r>
      <w:r w:rsidR="00B708E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monitoroz</w:t>
      </w:r>
      <w:r w:rsidR="00B708EF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ása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5BB3386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58749E5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4.6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Termékenység, terhesség és szoptatás</w:t>
      </w:r>
    </w:p>
    <w:p w14:paraId="322A897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4E7972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Terhesség</w:t>
      </w:r>
    </w:p>
    <w:p w14:paraId="7E9B9354" w14:textId="619112D8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klinikai vizsgálatokban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terhes nőknél történő szisztémás alkalmazása a második és a harmadik trimeszterben nem járt a veleszületett rendellenességek 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nagyobb </w:t>
      </w:r>
      <w:proofErr w:type="spellStart"/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incidenciájával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 Az első trimeszterben járó terhes nők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kel végzett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megfelelő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kontrollos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at nem végeztek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316FFA3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embereknél átjut a placentán.</w:t>
      </w:r>
    </w:p>
    <w:p w14:paraId="7A6E297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terhesség alatt csak akkor szabad alkalmazni, ha erre egyértelműen szükség van.</w:t>
      </w:r>
    </w:p>
    <w:p w14:paraId="6F3A36A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74FEFA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Szoptatás</w:t>
      </w:r>
    </w:p>
    <w:p w14:paraId="43FA51B7" w14:textId="158CC336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beszámolók szerint szisztémás alkalmazást követően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&lt; 0,5–3,8 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mikrogramm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/ml mennyiségben 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volt jelen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emberi anyatejben.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potenciálisan káros hatással lehet az anyatejjel táplált csecsemő bélflórájára, amelynek tünetei a hasmenés, a véres széklet vagy a bőrkiütés lehetnek. Szoptatás alatt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alkalmazása nem javasolt, és a kezelés megkezdése előtt el kell dönteni, hogy a szoptatást függesztik fel, vagy más kezelési lehetőséget választanak, figyelembe véve a szoptatás előnyét a gyermek, valamint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alkalmazásának szükségességét az anya szempontjából.</w:t>
      </w:r>
    </w:p>
    <w:p w14:paraId="751DC03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1638C3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Termékenység</w:t>
      </w:r>
    </w:p>
    <w:p w14:paraId="3307079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 állatokkal végzett vizsgálatok nem mutatnak közvetlen vagy közvetett káros hatásokat a reprodukcióra kifejtett toxicitás tekintetében (lásd 5.3 pont).</w:t>
      </w:r>
    </w:p>
    <w:p w14:paraId="2FBB6ED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449739E4" w14:textId="77777777" w:rsidR="00592C80" w:rsidRPr="00742C16" w:rsidRDefault="00592C80" w:rsidP="00E40BD1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lastRenderedPageBreak/>
        <w:t>4.7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</w: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 készítmény hatásai a gépjárművezetéshez és a gépek kezeléséhez szükséges képességekre</w:t>
      </w:r>
    </w:p>
    <w:p w14:paraId="7894C43B" w14:textId="77777777" w:rsidR="00592C80" w:rsidRPr="00742C16" w:rsidRDefault="00592C80" w:rsidP="00E40BD1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E38F48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nem, vagy csak elhanyagolható mértékben befolyásolja a gépjárművezetéshez és a gépek kezeléséhez szükséges képességeket.</w:t>
      </w:r>
    </w:p>
    <w:p w14:paraId="6A0AE5C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3F1E807A" w14:textId="77777777" w:rsidR="00592C80" w:rsidRPr="00742C16" w:rsidRDefault="00592C80" w:rsidP="00742C16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4.8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Nemkívánatos hatások, mellékhatások</w:t>
      </w:r>
    </w:p>
    <w:p w14:paraId="10339919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6850037" w14:textId="524ACAA6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 alábbi</w:t>
      </w:r>
      <w:r w:rsidR="00C660B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2. táblázatban a klinikai vizsgálatok során, valamint a forgalomba hozatalt követően azonosított mellékhatások kerülnek felsorolásra. </w:t>
      </w:r>
      <w:proofErr w:type="gram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mellékhatások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MedDRA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szervrendszeri kategóriák és a következő előfordulási gyakoriságok szerint kerülnek bemutatásra: gyakori (≥ 1/100 – &lt; 1/10), nem gyakori (≥ 1/1000 – &lt; 1/100), ritka (≥ 1/10 000 – &lt; 1/1000), nagyon ritka (&lt; 1/10 000), nem ismert (a gyakoriság a rendelkezésre álló adatokból nem állapítható meg).</w:t>
      </w:r>
      <w:proofErr w:type="gramEnd"/>
    </w:p>
    <w:p w14:paraId="5766174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29885D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 egyes gyakorisági kategóriákon belül a mellékhatások csökkenő súlyosság szerint kerülnek megadásra.</w:t>
      </w:r>
    </w:p>
    <w:p w14:paraId="3054658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30C7914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leggyakrabban előforduló mellékhatások emésztőrendszeri eredetűek, elsősorban hasmenés. Az emésztőrendszeri mellékhatások a betegek kb. 8%-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ánál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fordulnak elő.</w:t>
      </w:r>
    </w:p>
    <w:p w14:paraId="731D728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BC0DE5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2. táblázat</w:t>
      </w:r>
      <w:r w:rsidRPr="00742C1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ab/>
        <w:t>Mellékhatások</w:t>
      </w:r>
    </w:p>
    <w:p w14:paraId="411FB74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tbl>
      <w:tblPr>
        <w:tblStyle w:val="Rcsostblzat"/>
        <w:tblW w:w="10637" w:type="dxa"/>
        <w:tblInd w:w="-431" w:type="dxa"/>
        <w:tblLook w:val="04A0" w:firstRow="1" w:lastRow="0" w:firstColumn="1" w:lastColumn="0" w:noHBand="0" w:noVBand="1"/>
      </w:tblPr>
      <w:tblGrid>
        <w:gridCol w:w="1650"/>
        <w:gridCol w:w="1705"/>
        <w:gridCol w:w="1605"/>
        <w:gridCol w:w="1283"/>
        <w:gridCol w:w="2172"/>
        <w:gridCol w:w="2222"/>
      </w:tblGrid>
      <w:tr w:rsidR="00592C80" w:rsidRPr="00C660B9" w14:paraId="2A242F42" w14:textId="77777777" w:rsidTr="00FD4FB3">
        <w:trPr>
          <w:tblHeader/>
        </w:trPr>
        <w:tc>
          <w:tcPr>
            <w:tcW w:w="1650" w:type="dxa"/>
          </w:tcPr>
          <w:p w14:paraId="78C62328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Szervrendszeri kategória</w:t>
            </w:r>
          </w:p>
        </w:tc>
        <w:tc>
          <w:tcPr>
            <w:tcW w:w="1705" w:type="dxa"/>
          </w:tcPr>
          <w:p w14:paraId="643FC0F9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Gyakori</w:t>
            </w:r>
          </w:p>
        </w:tc>
        <w:tc>
          <w:tcPr>
            <w:tcW w:w="1605" w:type="dxa"/>
          </w:tcPr>
          <w:p w14:paraId="7CDAEBA4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Nem gyakori</w:t>
            </w:r>
          </w:p>
        </w:tc>
        <w:tc>
          <w:tcPr>
            <w:tcW w:w="1283" w:type="dxa"/>
          </w:tcPr>
          <w:p w14:paraId="758EF4F3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Ritka</w:t>
            </w:r>
          </w:p>
        </w:tc>
        <w:tc>
          <w:tcPr>
            <w:tcW w:w="2172" w:type="dxa"/>
          </w:tcPr>
          <w:p w14:paraId="08581095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Nagyon ritka</w:t>
            </w:r>
          </w:p>
        </w:tc>
        <w:tc>
          <w:tcPr>
            <w:tcW w:w="2222" w:type="dxa"/>
          </w:tcPr>
          <w:p w14:paraId="3580D2CF" w14:textId="77777777" w:rsidR="00592C80" w:rsidRPr="00C660B9" w:rsidRDefault="00592C80" w:rsidP="00742C16">
            <w:pPr>
              <w:rPr>
                <w:b/>
                <w:bCs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Nem ismert</w:t>
            </w:r>
          </w:p>
        </w:tc>
      </w:tr>
      <w:tr w:rsidR="00592C80" w:rsidRPr="00C660B9" w14:paraId="520184EF" w14:textId="77777777" w:rsidTr="00FD4FB3">
        <w:tc>
          <w:tcPr>
            <w:tcW w:w="1650" w:type="dxa"/>
          </w:tcPr>
          <w:p w14:paraId="4935CB92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Fertőző betegségek és parazita-fertőzések</w:t>
            </w:r>
          </w:p>
        </w:tc>
        <w:tc>
          <w:tcPr>
            <w:tcW w:w="1705" w:type="dxa"/>
          </w:tcPr>
          <w:p w14:paraId="2FCF7CA7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pseudomembrano-sus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colitis</w:t>
            </w:r>
            <w:proofErr w:type="spellEnd"/>
            <w:r w:rsidRPr="00C660B9">
              <w:rPr>
                <w:lang w:val="hu-HU" w:eastAsia="de-DE"/>
              </w:rPr>
              <w:t>*</w:t>
            </w:r>
            <w:r w:rsidRPr="00C660B9">
              <w:rPr>
                <w:vertAlign w:val="superscript"/>
                <w:lang w:val="hu-HU" w:eastAsia="de-DE"/>
              </w:rPr>
              <w:t>#</w:t>
            </w:r>
          </w:p>
        </w:tc>
        <w:tc>
          <w:tcPr>
            <w:tcW w:w="1605" w:type="dxa"/>
          </w:tcPr>
          <w:p w14:paraId="45EDD9A0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1283" w:type="dxa"/>
          </w:tcPr>
          <w:p w14:paraId="50C2A97D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56ECFC7F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5C9F770A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i/>
                <w:lang w:val="hu-HU" w:eastAsia="de-DE"/>
              </w:rPr>
              <w:t>Clostridioides</w:t>
            </w:r>
            <w:proofErr w:type="spellEnd"/>
            <w:r w:rsidRPr="00C660B9">
              <w:rPr>
                <w:i/>
                <w:lang w:val="hu-HU" w:eastAsia="de-DE"/>
              </w:rPr>
              <w:t xml:space="preserve"> </w:t>
            </w:r>
            <w:proofErr w:type="spellStart"/>
            <w:r w:rsidRPr="00C660B9">
              <w:rPr>
                <w:i/>
                <w:lang w:val="hu-HU" w:eastAsia="de-DE"/>
              </w:rPr>
              <w:t>difficile</w:t>
            </w:r>
            <w:proofErr w:type="spellEnd"/>
            <w:r w:rsidRPr="00C660B9">
              <w:rPr>
                <w:lang w:val="hu-HU" w:eastAsia="de-DE"/>
              </w:rPr>
              <w:t xml:space="preserve"> okozta </w:t>
            </w:r>
            <w:proofErr w:type="spellStart"/>
            <w:r w:rsidRPr="00C660B9">
              <w:rPr>
                <w:lang w:val="hu-HU" w:eastAsia="de-DE"/>
              </w:rPr>
              <w:t>colitis</w:t>
            </w:r>
            <w:proofErr w:type="spellEnd"/>
            <w:r w:rsidRPr="00C660B9">
              <w:rPr>
                <w:lang w:val="hu-HU" w:eastAsia="de-DE"/>
              </w:rPr>
              <w:t>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>,</w:t>
            </w:r>
          </w:p>
          <w:p w14:paraId="6CA6B1D7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hüvelyi fertőzés*</w:t>
            </w:r>
          </w:p>
        </w:tc>
      </w:tr>
      <w:tr w:rsidR="00592C80" w:rsidRPr="00C660B9" w14:paraId="4C61DCE1" w14:textId="77777777" w:rsidTr="00FD4FB3">
        <w:tc>
          <w:tcPr>
            <w:tcW w:w="1650" w:type="dxa"/>
          </w:tcPr>
          <w:p w14:paraId="1F559A2B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Vérképzőszervi és nyirok-rendszeri betegségek és tünetek</w:t>
            </w:r>
          </w:p>
        </w:tc>
        <w:tc>
          <w:tcPr>
            <w:tcW w:w="1705" w:type="dxa"/>
          </w:tcPr>
          <w:p w14:paraId="32083931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eosinophilia</w:t>
            </w:r>
            <w:proofErr w:type="spellEnd"/>
          </w:p>
        </w:tc>
        <w:tc>
          <w:tcPr>
            <w:tcW w:w="1605" w:type="dxa"/>
          </w:tcPr>
          <w:p w14:paraId="0086D0EA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granulocytopenia</w:t>
            </w:r>
            <w:proofErr w:type="spellEnd"/>
          </w:p>
        </w:tc>
        <w:tc>
          <w:tcPr>
            <w:tcW w:w="1283" w:type="dxa"/>
          </w:tcPr>
          <w:p w14:paraId="4F0958C1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349EC359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49B90D77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agranulocytosis</w:t>
            </w:r>
            <w:proofErr w:type="spellEnd"/>
            <w:r w:rsidRPr="00C660B9">
              <w:rPr>
                <w:lang w:val="hu-HU" w:eastAsia="de-DE"/>
              </w:rPr>
              <w:t>*,</w:t>
            </w:r>
          </w:p>
          <w:p w14:paraId="5B4669CB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neutropenia</w:t>
            </w:r>
            <w:proofErr w:type="spellEnd"/>
            <w:r w:rsidRPr="00C660B9">
              <w:rPr>
                <w:lang w:val="hu-HU" w:eastAsia="de-DE"/>
              </w:rPr>
              <w:t xml:space="preserve">*, </w:t>
            </w:r>
          </w:p>
          <w:p w14:paraId="3755693D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thrombocytopenia</w:t>
            </w:r>
            <w:proofErr w:type="spellEnd"/>
            <w:r w:rsidRPr="00C660B9">
              <w:rPr>
                <w:lang w:val="hu-HU" w:eastAsia="de-DE"/>
              </w:rPr>
              <w:t>*,</w:t>
            </w:r>
          </w:p>
          <w:p w14:paraId="535160A1" w14:textId="1195D118" w:rsidR="00B708EF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leukopenia</w:t>
            </w:r>
            <w:proofErr w:type="spellEnd"/>
            <w:r w:rsidRPr="00C660B9">
              <w:rPr>
                <w:lang w:val="hu-HU" w:eastAsia="de-DE"/>
              </w:rPr>
              <w:t>*</w:t>
            </w:r>
            <w:r w:rsidR="00B708EF" w:rsidRPr="00C660B9">
              <w:rPr>
                <w:lang w:val="hu-HU" w:eastAsia="de-DE"/>
              </w:rPr>
              <w:t>,</w:t>
            </w:r>
          </w:p>
          <w:p w14:paraId="0A8C889E" w14:textId="56AE0911" w:rsidR="00592C80" w:rsidRPr="00C660B9" w:rsidRDefault="00B708EF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thrombocytopeniás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purpura</w:t>
            </w:r>
            <w:proofErr w:type="spellEnd"/>
          </w:p>
        </w:tc>
      </w:tr>
      <w:tr w:rsidR="00592C80" w:rsidRPr="00C660B9" w14:paraId="1900ACFD" w14:textId="77777777" w:rsidTr="00FD4FB3">
        <w:tc>
          <w:tcPr>
            <w:tcW w:w="1650" w:type="dxa"/>
          </w:tcPr>
          <w:p w14:paraId="61638884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Immunrendszeri betegségek és tünetek</w:t>
            </w:r>
          </w:p>
        </w:tc>
        <w:tc>
          <w:tcPr>
            <w:tcW w:w="1705" w:type="dxa"/>
          </w:tcPr>
          <w:p w14:paraId="4279158E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1605" w:type="dxa"/>
          </w:tcPr>
          <w:p w14:paraId="3A3CCE1D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1283" w:type="dxa"/>
          </w:tcPr>
          <w:p w14:paraId="49BC0D18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angiooedema</w:t>
            </w:r>
            <w:proofErr w:type="spellEnd"/>
          </w:p>
        </w:tc>
        <w:tc>
          <w:tcPr>
            <w:tcW w:w="2172" w:type="dxa"/>
          </w:tcPr>
          <w:p w14:paraId="4E4F3466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4F9A0F5C" w14:textId="5C0B6696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a</w:t>
            </w:r>
            <w:r w:rsidR="00B210B5" w:rsidRPr="00C660B9">
              <w:rPr>
                <w:lang w:val="hu-HU" w:eastAsia="de-DE"/>
              </w:rPr>
              <w:t>naphy</w:t>
            </w:r>
            <w:r w:rsidRPr="00C660B9">
              <w:rPr>
                <w:lang w:val="hu-HU" w:eastAsia="de-DE"/>
              </w:rPr>
              <w:t>laxiás</w:t>
            </w:r>
            <w:proofErr w:type="spellEnd"/>
            <w:r w:rsidRPr="00C660B9">
              <w:rPr>
                <w:lang w:val="hu-HU" w:eastAsia="de-DE"/>
              </w:rPr>
              <w:t xml:space="preserve"> sokk*, </w:t>
            </w:r>
            <w:proofErr w:type="spellStart"/>
            <w:r w:rsidRPr="00C660B9">
              <w:rPr>
                <w:lang w:val="hu-HU" w:eastAsia="de-DE"/>
              </w:rPr>
              <w:t>ana</w:t>
            </w:r>
            <w:r w:rsidR="00B210B5" w:rsidRPr="00C660B9">
              <w:rPr>
                <w:lang w:val="hu-HU" w:eastAsia="de-DE"/>
              </w:rPr>
              <w:t>phylac</w:t>
            </w:r>
            <w:r w:rsidRPr="00C660B9">
              <w:rPr>
                <w:lang w:val="hu-HU" w:eastAsia="de-DE"/>
              </w:rPr>
              <w:t>toid</w:t>
            </w:r>
            <w:proofErr w:type="spellEnd"/>
            <w:r w:rsidRPr="00C660B9">
              <w:rPr>
                <w:lang w:val="hu-HU" w:eastAsia="de-DE"/>
              </w:rPr>
              <w:t xml:space="preserve"> reakció*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>,</w:t>
            </w:r>
          </w:p>
          <w:p w14:paraId="644C223F" w14:textId="3C6B8194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a</w:t>
            </w:r>
            <w:r w:rsidR="00B210B5" w:rsidRPr="00C660B9">
              <w:rPr>
                <w:lang w:val="hu-HU" w:eastAsia="de-DE"/>
              </w:rPr>
              <w:t>naphy</w:t>
            </w:r>
            <w:r w:rsidRPr="00C660B9">
              <w:rPr>
                <w:lang w:val="hu-HU" w:eastAsia="de-DE"/>
              </w:rPr>
              <w:t>laxiás</w:t>
            </w:r>
            <w:proofErr w:type="spellEnd"/>
            <w:r w:rsidRPr="00C660B9">
              <w:rPr>
                <w:lang w:val="hu-HU" w:eastAsia="de-DE"/>
              </w:rPr>
              <w:t xml:space="preserve"> reakció*,</w:t>
            </w:r>
          </w:p>
          <w:p w14:paraId="57CAC552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túlérzékenység*+</w:t>
            </w:r>
          </w:p>
        </w:tc>
      </w:tr>
      <w:tr w:rsidR="00592C80" w:rsidRPr="00C660B9" w14:paraId="44DCD1C1" w14:textId="77777777" w:rsidTr="00FD4FB3">
        <w:tc>
          <w:tcPr>
            <w:tcW w:w="1650" w:type="dxa"/>
          </w:tcPr>
          <w:p w14:paraId="49F9235A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Idegrendszeri betegségek és tünetek</w:t>
            </w:r>
          </w:p>
        </w:tc>
        <w:tc>
          <w:tcPr>
            <w:tcW w:w="1705" w:type="dxa"/>
          </w:tcPr>
          <w:p w14:paraId="75CE0B6F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1605" w:type="dxa"/>
          </w:tcPr>
          <w:p w14:paraId="7C99960F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dysgeusia</w:t>
            </w:r>
            <w:proofErr w:type="spellEnd"/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neuromuscularis</w:t>
            </w:r>
            <w:proofErr w:type="spellEnd"/>
            <w:r w:rsidRPr="00C660B9">
              <w:rPr>
                <w:lang w:val="hu-HU" w:eastAsia="de-DE"/>
              </w:rPr>
              <w:t xml:space="preserve"> blokk</w:t>
            </w:r>
          </w:p>
        </w:tc>
        <w:tc>
          <w:tcPr>
            <w:tcW w:w="1283" w:type="dxa"/>
          </w:tcPr>
          <w:p w14:paraId="2B1EBDA7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555E816A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25979FDE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a szaglás megváltozása</w:t>
            </w:r>
          </w:p>
        </w:tc>
      </w:tr>
      <w:tr w:rsidR="00592C80" w:rsidRPr="00C660B9" w14:paraId="5A4865E2" w14:textId="77777777" w:rsidTr="00FD4FB3">
        <w:tc>
          <w:tcPr>
            <w:tcW w:w="1650" w:type="dxa"/>
          </w:tcPr>
          <w:p w14:paraId="6667A53D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Szívbetegségek és a szívvel kapcsolatos tünetek</w:t>
            </w:r>
          </w:p>
        </w:tc>
        <w:tc>
          <w:tcPr>
            <w:tcW w:w="1705" w:type="dxa"/>
          </w:tcPr>
          <w:p w14:paraId="313B03FB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1605" w:type="dxa"/>
          </w:tcPr>
          <w:p w14:paraId="40148076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keringés- és légzésleállás§</w:t>
            </w:r>
          </w:p>
        </w:tc>
        <w:tc>
          <w:tcPr>
            <w:tcW w:w="1283" w:type="dxa"/>
          </w:tcPr>
          <w:p w14:paraId="6D910542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6F839F5F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2785FD05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</w:tr>
      <w:tr w:rsidR="00592C80" w:rsidRPr="00C660B9" w14:paraId="797ED17E" w14:textId="77777777" w:rsidTr="00FD4FB3">
        <w:tc>
          <w:tcPr>
            <w:tcW w:w="1650" w:type="dxa"/>
          </w:tcPr>
          <w:p w14:paraId="26796A5E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Érbetegségek és tünetek</w:t>
            </w:r>
          </w:p>
        </w:tc>
        <w:tc>
          <w:tcPr>
            <w:tcW w:w="1705" w:type="dxa"/>
          </w:tcPr>
          <w:p w14:paraId="1AF254C5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thrombophlebitis</w:t>
            </w:r>
            <w:proofErr w:type="spellEnd"/>
          </w:p>
          <w:p w14:paraId="5DAABB05" w14:textId="77777777" w:rsidR="00592C80" w:rsidRPr="00C660B9" w:rsidRDefault="00592C80" w:rsidP="00742C16">
            <w:pPr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****</w:t>
            </w:r>
          </w:p>
        </w:tc>
        <w:tc>
          <w:tcPr>
            <w:tcW w:w="1605" w:type="dxa"/>
          </w:tcPr>
          <w:p w14:paraId="79D58428" w14:textId="77777777" w:rsidR="00592C80" w:rsidRPr="00C660B9" w:rsidRDefault="00592C80" w:rsidP="00742C16">
            <w:pPr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hypotensio</w:t>
            </w:r>
            <w:proofErr w:type="spellEnd"/>
            <w:r w:rsidRPr="00C660B9">
              <w:rPr>
                <w:lang w:val="hu-HU" w:eastAsia="de-DE"/>
              </w:rPr>
              <w:t>§</w:t>
            </w:r>
          </w:p>
        </w:tc>
        <w:tc>
          <w:tcPr>
            <w:tcW w:w="1283" w:type="dxa"/>
          </w:tcPr>
          <w:p w14:paraId="0F3BEE77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09380F7E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  <w:tc>
          <w:tcPr>
            <w:tcW w:w="2222" w:type="dxa"/>
          </w:tcPr>
          <w:p w14:paraId="46B71A75" w14:textId="77777777" w:rsidR="00592C80" w:rsidRPr="00C660B9" w:rsidRDefault="00592C80" w:rsidP="00742C16">
            <w:pPr>
              <w:rPr>
                <w:lang w:val="hu-HU" w:eastAsia="de-DE"/>
              </w:rPr>
            </w:pPr>
          </w:p>
        </w:tc>
      </w:tr>
      <w:tr w:rsidR="00592C80" w:rsidRPr="00C660B9" w14:paraId="02D17F71" w14:textId="77777777" w:rsidTr="00FD4FB3">
        <w:tc>
          <w:tcPr>
            <w:tcW w:w="1650" w:type="dxa"/>
          </w:tcPr>
          <w:p w14:paraId="1137CA8F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Emésztő-rendszeri betegségek és tünetek</w:t>
            </w:r>
          </w:p>
        </w:tc>
        <w:tc>
          <w:tcPr>
            <w:tcW w:w="1705" w:type="dxa"/>
          </w:tcPr>
          <w:p w14:paraId="24628620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>szájnyálkahártya-gyulladás, hasmenés**</w:t>
            </w:r>
          </w:p>
        </w:tc>
        <w:tc>
          <w:tcPr>
            <w:tcW w:w="1605" w:type="dxa"/>
          </w:tcPr>
          <w:p w14:paraId="72C0399C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  <w:r w:rsidRPr="00C660B9">
              <w:rPr>
                <w:lang w:val="hu-HU" w:eastAsia="de-DE"/>
              </w:rPr>
              <w:t xml:space="preserve">hasi fájdalom, </w:t>
            </w:r>
            <w:proofErr w:type="spellStart"/>
            <w:r w:rsidRPr="00C660B9">
              <w:rPr>
                <w:lang w:val="hu-HU" w:eastAsia="de-DE"/>
              </w:rPr>
              <w:t>oesophagitis</w:t>
            </w:r>
            <w:proofErr w:type="spellEnd"/>
            <w:r w:rsidRPr="00C660B9">
              <w:rPr>
                <w:lang w:val="hu-HU" w:eastAsia="de-DE"/>
              </w:rPr>
              <w:t>, hányinger, hányás</w:t>
            </w:r>
          </w:p>
        </w:tc>
        <w:tc>
          <w:tcPr>
            <w:tcW w:w="1283" w:type="dxa"/>
          </w:tcPr>
          <w:p w14:paraId="536F1A85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</w:p>
        </w:tc>
        <w:tc>
          <w:tcPr>
            <w:tcW w:w="2172" w:type="dxa"/>
          </w:tcPr>
          <w:p w14:paraId="68593C1A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dyspepsia</w:t>
            </w:r>
            <w:proofErr w:type="spellEnd"/>
          </w:p>
        </w:tc>
        <w:tc>
          <w:tcPr>
            <w:tcW w:w="2222" w:type="dxa"/>
          </w:tcPr>
          <w:p w14:paraId="42639ED7" w14:textId="77777777" w:rsidR="00592C80" w:rsidRPr="00C660B9" w:rsidRDefault="00592C80" w:rsidP="00742C16">
            <w:pPr>
              <w:keepNext/>
              <w:rPr>
                <w:lang w:val="hu-HU" w:eastAsia="de-DE"/>
              </w:rPr>
            </w:pPr>
          </w:p>
        </w:tc>
      </w:tr>
      <w:tr w:rsidR="00592C80" w:rsidRPr="00C660B9" w14:paraId="3C7694CB" w14:textId="77777777" w:rsidTr="00FD4FB3">
        <w:tc>
          <w:tcPr>
            <w:tcW w:w="1650" w:type="dxa"/>
          </w:tcPr>
          <w:p w14:paraId="3A12C3A7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Máj- és epebetegségek, illetve tünetek</w:t>
            </w:r>
          </w:p>
        </w:tc>
        <w:tc>
          <w:tcPr>
            <w:tcW w:w="1705" w:type="dxa"/>
          </w:tcPr>
          <w:p w14:paraId="7CE8C0F2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1605" w:type="dxa"/>
          </w:tcPr>
          <w:p w14:paraId="083F0E9C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1283" w:type="dxa"/>
          </w:tcPr>
          <w:p w14:paraId="76203289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172" w:type="dxa"/>
          </w:tcPr>
          <w:p w14:paraId="4C3FB6FE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222" w:type="dxa"/>
          </w:tcPr>
          <w:p w14:paraId="435C069D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>sárgaság*</w:t>
            </w:r>
          </w:p>
        </w:tc>
      </w:tr>
      <w:tr w:rsidR="00592C80" w:rsidRPr="00C660B9" w14:paraId="544B29BB" w14:textId="77777777" w:rsidTr="00FD4FB3">
        <w:tc>
          <w:tcPr>
            <w:tcW w:w="1650" w:type="dxa"/>
          </w:tcPr>
          <w:p w14:paraId="2C370ED5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A bőr és a bőr alatti szövet betegségei és tünetei</w:t>
            </w:r>
          </w:p>
        </w:tc>
        <w:tc>
          <w:tcPr>
            <w:tcW w:w="1705" w:type="dxa"/>
          </w:tcPr>
          <w:p w14:paraId="5740C81C" w14:textId="77777777" w:rsidR="00592C80" w:rsidRPr="00C660B9" w:rsidRDefault="00592C80" w:rsidP="00742C16">
            <w:pPr>
              <w:widowControl w:val="0"/>
              <w:rPr>
                <w:highlight w:val="yellow"/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maculopapularis</w:t>
            </w:r>
            <w:proofErr w:type="spellEnd"/>
            <w:r w:rsidRPr="00C660B9">
              <w:rPr>
                <w:lang w:val="hu-HU" w:eastAsia="de-DE"/>
              </w:rPr>
              <w:t xml:space="preserve"> bőrkiütés</w:t>
            </w:r>
          </w:p>
        </w:tc>
        <w:tc>
          <w:tcPr>
            <w:tcW w:w="1605" w:type="dxa"/>
          </w:tcPr>
          <w:p w14:paraId="6B49C5FE" w14:textId="77777777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urticaria</w:t>
            </w:r>
            <w:proofErr w:type="spellEnd"/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erythema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multiforme</w:t>
            </w:r>
            <w:proofErr w:type="spellEnd"/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pruritus</w:t>
            </w:r>
            <w:proofErr w:type="spellEnd"/>
          </w:p>
        </w:tc>
        <w:tc>
          <w:tcPr>
            <w:tcW w:w="1283" w:type="dxa"/>
          </w:tcPr>
          <w:p w14:paraId="083D89BA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172" w:type="dxa"/>
          </w:tcPr>
          <w:p w14:paraId="3BD96024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222" w:type="dxa"/>
          </w:tcPr>
          <w:p w14:paraId="1D4A0811" w14:textId="0356D2A0" w:rsidR="00592C80" w:rsidRPr="00C660B9" w:rsidRDefault="00592C80" w:rsidP="00742C16">
            <w:pPr>
              <w:widowControl w:val="0"/>
              <w:rPr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to</w:t>
            </w:r>
            <w:r w:rsidR="00B210B5" w:rsidRPr="00C660B9">
              <w:rPr>
                <w:lang w:val="hu-HU" w:eastAsia="de-DE"/>
              </w:rPr>
              <w:t>xic</w:t>
            </w:r>
            <w:r w:rsidRPr="00C660B9">
              <w:rPr>
                <w:lang w:val="hu-HU" w:eastAsia="de-DE"/>
              </w:rPr>
              <w:t>us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epidermalis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necrolysis</w:t>
            </w:r>
            <w:proofErr w:type="spellEnd"/>
            <w:r w:rsidRPr="00C660B9">
              <w:rPr>
                <w:lang w:val="hu-HU" w:eastAsia="de-DE"/>
              </w:rPr>
              <w:t xml:space="preserve"> (TEN)*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Stevens</w:t>
            </w:r>
            <w:proofErr w:type="spellEnd"/>
            <w:r w:rsidRPr="00C660B9">
              <w:rPr>
                <w:lang w:val="hu-HU" w:eastAsia="de-DE"/>
              </w:rPr>
              <w:t>–Johnson-szindróma (SJS)*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eosinophiliával</w:t>
            </w:r>
            <w:proofErr w:type="spellEnd"/>
            <w:r w:rsidRPr="00C660B9">
              <w:rPr>
                <w:lang w:val="hu-HU" w:eastAsia="de-DE"/>
              </w:rPr>
              <w:t xml:space="preserve"> és szisztémás tünetekkel </w:t>
            </w:r>
            <w:r w:rsidRPr="00C660B9">
              <w:rPr>
                <w:lang w:val="hu-HU" w:eastAsia="de-DE"/>
              </w:rPr>
              <w:lastRenderedPageBreak/>
              <w:t>járó gyógyszerreakció (DRESS)*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>,</w:t>
            </w:r>
          </w:p>
          <w:p w14:paraId="3C24367D" w14:textId="77777777" w:rsidR="00592C80" w:rsidRPr="00C660B9" w:rsidRDefault="00592C80" w:rsidP="00742C16">
            <w:pPr>
              <w:widowControl w:val="0"/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 xml:space="preserve">akut generalizált </w:t>
            </w:r>
            <w:proofErr w:type="spellStart"/>
            <w:r w:rsidRPr="00C660B9">
              <w:rPr>
                <w:lang w:val="hu-HU" w:eastAsia="de-DE"/>
              </w:rPr>
              <w:t>exanthemás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pustulosis</w:t>
            </w:r>
            <w:proofErr w:type="spellEnd"/>
            <w:r w:rsidRPr="00C660B9">
              <w:rPr>
                <w:lang w:val="hu-HU" w:eastAsia="de-DE"/>
              </w:rPr>
              <w:t xml:space="preserve"> (AGEP)*</w:t>
            </w:r>
            <w:r w:rsidRPr="00C660B9">
              <w:rPr>
                <w:vertAlign w:val="superscript"/>
                <w:lang w:val="hu-HU" w:eastAsia="de-DE"/>
              </w:rPr>
              <w:t>#</w:t>
            </w:r>
            <w:r w:rsidRPr="00C660B9">
              <w:rPr>
                <w:lang w:val="hu-HU" w:eastAsia="de-DE"/>
              </w:rPr>
              <w:t xml:space="preserve">, </w:t>
            </w:r>
            <w:proofErr w:type="spellStart"/>
            <w:r w:rsidRPr="00C660B9">
              <w:rPr>
                <w:lang w:val="hu-HU" w:eastAsia="de-DE"/>
              </w:rPr>
              <w:t>exfoliatív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dermatitis</w:t>
            </w:r>
            <w:proofErr w:type="spellEnd"/>
            <w:r w:rsidRPr="00C660B9">
              <w:rPr>
                <w:lang w:val="hu-HU" w:eastAsia="de-DE"/>
              </w:rPr>
              <w:t xml:space="preserve">*, </w:t>
            </w:r>
            <w:proofErr w:type="spellStart"/>
            <w:r w:rsidRPr="00C660B9">
              <w:rPr>
                <w:lang w:val="hu-HU" w:eastAsia="de-DE"/>
              </w:rPr>
              <w:t>bullosus</w:t>
            </w:r>
            <w:proofErr w:type="spellEnd"/>
            <w:r w:rsidRPr="00C660B9">
              <w:rPr>
                <w:lang w:val="hu-HU" w:eastAsia="de-DE"/>
              </w:rPr>
              <w:t xml:space="preserve"> </w:t>
            </w:r>
            <w:proofErr w:type="spellStart"/>
            <w:r w:rsidRPr="00C660B9">
              <w:rPr>
                <w:lang w:val="hu-HU" w:eastAsia="de-DE"/>
              </w:rPr>
              <w:t>dermatitis</w:t>
            </w:r>
            <w:proofErr w:type="spellEnd"/>
            <w:r w:rsidRPr="00C660B9">
              <w:rPr>
                <w:lang w:val="hu-HU" w:eastAsia="de-DE"/>
              </w:rPr>
              <w:t xml:space="preserve">*, </w:t>
            </w:r>
            <w:proofErr w:type="spellStart"/>
            <w:r w:rsidRPr="00C660B9">
              <w:rPr>
                <w:lang w:val="hu-HU" w:eastAsia="de-DE"/>
              </w:rPr>
              <w:t>morbilliform</w:t>
            </w:r>
            <w:proofErr w:type="spellEnd"/>
            <w:r w:rsidRPr="00C660B9">
              <w:rPr>
                <w:lang w:val="hu-HU" w:eastAsia="de-DE"/>
              </w:rPr>
              <w:t xml:space="preserve"> bőrkiütés*</w:t>
            </w:r>
          </w:p>
        </w:tc>
      </w:tr>
      <w:tr w:rsidR="00592C80" w:rsidRPr="00C660B9" w14:paraId="229F3559" w14:textId="77777777" w:rsidTr="00FD4FB3">
        <w:tc>
          <w:tcPr>
            <w:tcW w:w="1650" w:type="dxa"/>
          </w:tcPr>
          <w:p w14:paraId="4E04693D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lastRenderedPageBreak/>
              <w:t>Vese- és húgyúti betegségek és tünetek</w:t>
            </w:r>
          </w:p>
        </w:tc>
        <w:tc>
          <w:tcPr>
            <w:tcW w:w="1705" w:type="dxa"/>
          </w:tcPr>
          <w:p w14:paraId="1A463AC1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1605" w:type="dxa"/>
          </w:tcPr>
          <w:p w14:paraId="1348BFAE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1283" w:type="dxa"/>
          </w:tcPr>
          <w:p w14:paraId="68EE2736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172" w:type="dxa"/>
          </w:tcPr>
          <w:p w14:paraId="13633AE1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222" w:type="dxa"/>
          </w:tcPr>
          <w:p w14:paraId="60D691AB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>akut vesekárosodás</w:t>
            </w:r>
            <w:r w:rsidRPr="00C660B9">
              <w:rPr>
                <w:vertAlign w:val="superscript"/>
                <w:lang w:val="hu-HU" w:eastAsia="de-DE"/>
              </w:rPr>
              <w:t>#</w:t>
            </w:r>
          </w:p>
        </w:tc>
      </w:tr>
      <w:tr w:rsidR="00592C80" w:rsidRPr="00C660B9" w14:paraId="690C64B6" w14:textId="77777777" w:rsidTr="00FD4FB3">
        <w:tc>
          <w:tcPr>
            <w:tcW w:w="1650" w:type="dxa"/>
          </w:tcPr>
          <w:p w14:paraId="50CE6435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Általános tünetek, az alkalmazás helyén fellépő reakciók</w:t>
            </w:r>
          </w:p>
        </w:tc>
        <w:tc>
          <w:tcPr>
            <w:tcW w:w="1705" w:type="dxa"/>
          </w:tcPr>
          <w:p w14:paraId="18E72D08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proofErr w:type="spellStart"/>
            <w:r w:rsidRPr="00C660B9">
              <w:rPr>
                <w:lang w:val="hu-HU" w:eastAsia="de-DE"/>
              </w:rPr>
              <w:t>induratio</w:t>
            </w:r>
            <w:proofErr w:type="spellEnd"/>
            <w:r w:rsidRPr="00C660B9">
              <w:rPr>
                <w:lang w:val="hu-HU" w:eastAsia="de-DE"/>
              </w:rPr>
              <w:t xml:space="preserve"> a tű beszúrásának helyén***</w:t>
            </w:r>
          </w:p>
        </w:tc>
        <w:tc>
          <w:tcPr>
            <w:tcW w:w="1605" w:type="dxa"/>
          </w:tcPr>
          <w:p w14:paraId="77B75555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>fájdalom, steril tályog a tű beszúrásának helyén***</w:t>
            </w:r>
          </w:p>
        </w:tc>
        <w:tc>
          <w:tcPr>
            <w:tcW w:w="1283" w:type="dxa"/>
          </w:tcPr>
          <w:p w14:paraId="4F519E61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172" w:type="dxa"/>
          </w:tcPr>
          <w:p w14:paraId="0935DCDD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222" w:type="dxa"/>
          </w:tcPr>
          <w:p w14:paraId="7266B3CB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>irritáció a tű beszúrásának helyén*</w:t>
            </w:r>
          </w:p>
        </w:tc>
      </w:tr>
      <w:tr w:rsidR="00592C80" w:rsidRPr="00C660B9" w14:paraId="7961011A" w14:textId="77777777" w:rsidTr="00FD4FB3">
        <w:tc>
          <w:tcPr>
            <w:tcW w:w="1650" w:type="dxa"/>
          </w:tcPr>
          <w:p w14:paraId="1B807E99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b/>
                <w:bCs/>
                <w:lang w:val="hu-HU" w:eastAsia="de-DE"/>
              </w:rPr>
              <w:t>Laboratóriumi és egyéb vizsgálatok eredményei</w:t>
            </w:r>
          </w:p>
        </w:tc>
        <w:tc>
          <w:tcPr>
            <w:tcW w:w="1705" w:type="dxa"/>
          </w:tcPr>
          <w:p w14:paraId="2B857D50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  <w:r w:rsidRPr="00C660B9">
              <w:rPr>
                <w:lang w:val="hu-HU" w:eastAsia="de-DE"/>
              </w:rPr>
              <w:t>kóros májfunkciós eredmények, emelkedett szérum-</w:t>
            </w:r>
            <w:proofErr w:type="spellStart"/>
            <w:r w:rsidRPr="00C660B9">
              <w:rPr>
                <w:lang w:val="hu-HU" w:eastAsia="de-DE"/>
              </w:rPr>
              <w:t>transzamináz</w:t>
            </w:r>
            <w:proofErr w:type="spellEnd"/>
            <w:r w:rsidRPr="00C660B9">
              <w:rPr>
                <w:lang w:val="hu-HU" w:eastAsia="de-DE"/>
              </w:rPr>
              <w:t>-szintek</w:t>
            </w:r>
          </w:p>
        </w:tc>
        <w:tc>
          <w:tcPr>
            <w:tcW w:w="1605" w:type="dxa"/>
          </w:tcPr>
          <w:p w14:paraId="3B2535B6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1283" w:type="dxa"/>
          </w:tcPr>
          <w:p w14:paraId="1D8A642E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172" w:type="dxa"/>
          </w:tcPr>
          <w:p w14:paraId="6132031D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  <w:tc>
          <w:tcPr>
            <w:tcW w:w="2222" w:type="dxa"/>
          </w:tcPr>
          <w:p w14:paraId="56AE5789" w14:textId="77777777" w:rsidR="00592C80" w:rsidRPr="00C660B9" w:rsidRDefault="00592C80" w:rsidP="00742C16">
            <w:pPr>
              <w:rPr>
                <w:highlight w:val="yellow"/>
                <w:lang w:val="hu-HU" w:eastAsia="de-DE"/>
              </w:rPr>
            </w:pPr>
          </w:p>
        </w:tc>
      </w:tr>
    </w:tbl>
    <w:p w14:paraId="1974369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szCs w:val="20"/>
          <w:lang w:eastAsia="de-DE"/>
          <w14:ligatures w14:val="none"/>
        </w:rPr>
        <w:t>*</w:t>
      </w:r>
      <w:r w:rsidRPr="00742C16">
        <w:rPr>
          <w:rFonts w:ascii="Times New Roman" w:eastAsia="Times New Roman" w:hAnsi="Times New Roman" w:cs="Times New Roman"/>
          <w:kern w:val="0"/>
          <w:szCs w:val="20"/>
          <w:lang w:eastAsia="de-DE"/>
          <w14:ligatures w14:val="none"/>
        </w:rPr>
        <w:tab/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forgalomba hozatalt követően azonosított mellékhatás.</w:t>
      </w:r>
    </w:p>
    <w:p w14:paraId="1A5EE0F3" w14:textId="34DAFF05" w:rsidR="00592C80" w:rsidRPr="00742C16" w:rsidRDefault="00592C80" w:rsidP="00742C16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**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="0076530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Gyakran</w:t>
      </w:r>
      <w:r w:rsidR="00765306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enyhe fokú és gyakran a kezelés leállítása után megszűnik. Ezen mellékhatások megjelenése az alkalmazás módjától és az alkalmazott dózis nagyságától függ.</w:t>
      </w:r>
    </w:p>
    <w:p w14:paraId="44E8968E" w14:textId="507633D0" w:rsidR="00592C80" w:rsidRPr="00742C16" w:rsidRDefault="00592C80" w:rsidP="00742C16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***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  <w:t xml:space="preserve">Helyi reakció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injekcióban történő beadást követően.</w:t>
      </w:r>
    </w:p>
    <w:p w14:paraId="29E49BFB" w14:textId="61AE99F6" w:rsidR="00592C80" w:rsidRPr="00742C16" w:rsidRDefault="00592C80" w:rsidP="00742C16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****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  <w:t>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ntravénás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beadást követően jelentkező mellékhatás.</w:t>
      </w:r>
    </w:p>
    <w:p w14:paraId="4240B038" w14:textId="025565B0" w:rsidR="00592C80" w:rsidRPr="00742C16" w:rsidRDefault="00592C80" w:rsidP="00742C16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+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  <w:t>Gyors 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ntravénás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beadást követően kipirulás és hányinger formájában megnyilvánuló túlérzékenységi reakció fordulhat elő.</w:t>
      </w:r>
    </w:p>
    <w:p w14:paraId="46B52B7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de-DE"/>
          <w14:ligatures w14:val="none"/>
        </w:rPr>
        <w:t>#</w:t>
      </w: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de-DE"/>
          <w14:ligatures w14:val="none"/>
        </w:rPr>
        <w:tab/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Lásd 4.4 pont.</w:t>
      </w:r>
    </w:p>
    <w:p w14:paraId="2F521767" w14:textId="7E202650" w:rsidR="00592C80" w:rsidRPr="00742C16" w:rsidRDefault="00592C80" w:rsidP="00742C16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§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  <w:t>Túl gyors i</w:t>
      </w:r>
      <w:r w:rsidR="00AD4E30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ntravénás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beadást követően keringés- és </w:t>
      </w:r>
      <w:r w:rsidR="0076530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légzés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leállás, valamint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hypotensio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eseteiről számoltak be.</w:t>
      </w:r>
    </w:p>
    <w:p w14:paraId="7B589EB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</w:p>
    <w:p w14:paraId="11CD9339" w14:textId="77777777" w:rsidR="00592C80" w:rsidRPr="00742C16" w:rsidRDefault="00592C80" w:rsidP="00742C1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Feltételezett mellékhatások bejelentése</w:t>
      </w:r>
    </w:p>
    <w:p w14:paraId="1695A2CA" w14:textId="510D2CA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</w:t>
      </w:r>
      <w:r w:rsidR="004643ED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az</w:t>
      </w:r>
      <w:r w:rsidRPr="00742C16">
        <w:rPr>
          <w:rFonts w:ascii="Times New Roman" w:eastAsia="Times New Roman" w:hAnsi="Times New Roman" w:cs="Times New Roman"/>
          <w:kern w:val="0"/>
          <w:highlight w:val="lightGray"/>
          <w:lang w:eastAsia="de-DE"/>
          <w14:ligatures w14:val="none"/>
        </w:rPr>
        <w:t xml:space="preserve"> </w:t>
      </w:r>
      <w:hyperlink r:id="rId7" w:history="1">
        <w:r w:rsidRPr="00742C16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V. füg</w:t>
        </w:r>
        <w:bookmarkStart w:id="1" w:name="_Hlt352075914"/>
        <w:bookmarkStart w:id="2" w:name="_Hlt352075915"/>
        <w:r w:rsidRPr="00742C16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g</w:t>
        </w:r>
        <w:bookmarkEnd w:id="1"/>
        <w:bookmarkEnd w:id="2"/>
        <w:r w:rsidRPr="00742C16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elékben</w:t>
        </w:r>
      </w:hyperlink>
      <w:r w:rsidRPr="00742C16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 xml:space="preserve"> található elérhetőségek valamelyikén keresztül</w:t>
      </w:r>
      <w:r w:rsidRPr="00742C16">
        <w:rPr>
          <w:rFonts w:ascii="Times New Roman" w:eastAsia="Times New Roman" w:hAnsi="Times New Roman" w:cs="Times New Roman"/>
          <w:kern w:val="0"/>
          <w:highlight w:val="lightGray"/>
          <w:lang w:eastAsia="de-DE"/>
          <w14:ligatures w14:val="none"/>
        </w:rPr>
        <w:t>.</w:t>
      </w:r>
    </w:p>
    <w:p w14:paraId="0592D1E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6C8AB546" w14:textId="77777777" w:rsidR="00592C80" w:rsidRPr="00742C16" w:rsidRDefault="00592C80" w:rsidP="00742C16">
      <w:pPr>
        <w:widowControl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4.9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Túladagolás</w:t>
      </w:r>
    </w:p>
    <w:p w14:paraId="20592708" w14:textId="77777777" w:rsidR="00592C80" w:rsidRPr="00742C16" w:rsidRDefault="00592C80" w:rsidP="00742C16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</w:p>
    <w:p w14:paraId="173B2744" w14:textId="77777777" w:rsidR="00592C80" w:rsidRPr="00742C16" w:rsidRDefault="00592C80" w:rsidP="00742C1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túladagolás tünetei a hányinger, a hányás és a hasmenés.</w:t>
      </w:r>
    </w:p>
    <w:p w14:paraId="597954E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hemodialízis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peritoneális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dialízis nem alkalmas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szérumból való eltávolítására.</w:t>
      </w:r>
    </w:p>
    <w:p w14:paraId="1EBA9DB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7841957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70F556A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5.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FARMAKOLÓGIAI TULAJDONSÁGOK</w:t>
      </w:r>
    </w:p>
    <w:p w14:paraId="724C881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D0CD5BB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5.1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</w:r>
      <w:proofErr w:type="spellStart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Farmakodinámiás</w:t>
      </w:r>
      <w:proofErr w:type="spellEnd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 xml:space="preserve"> tulajdonságok</w:t>
      </w:r>
    </w:p>
    <w:p w14:paraId="707053F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</w:p>
    <w:p w14:paraId="20519C92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Farmakoterápiás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csoport: Szisztémás antibakteriális szerek;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linkózamidok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>, ATC kód: J01FF01</w:t>
      </w:r>
    </w:p>
    <w:p w14:paraId="75F05A4A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:highlight w:val="yellow"/>
          <w14:ligatures w14:val="none"/>
        </w:rPr>
      </w:pPr>
    </w:p>
    <w:p w14:paraId="20C4AD24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:u w:val="single"/>
          <w14:ligatures w14:val="none"/>
        </w:rPr>
      </w:pPr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>Hatásmechanizmus</w:t>
      </w:r>
    </w:p>
    <w:p w14:paraId="3432F3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egy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linkózamid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antibiotikum, amely gátolja a bakteriális fehérjeszintézist.</w:t>
      </w:r>
    </w:p>
    <w:p w14:paraId="21A323AC" w14:textId="61F55613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bakteriális riboszóma 50S alegységéhez kötődik, és a riboszómá</w:t>
      </w:r>
      <w:r w:rsidR="00183FF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kban zajló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szintézisre és transzlációs folyamatra</w:t>
      </w:r>
      <w:r w:rsidR="00183FF4" w:rsidRPr="00183FF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183FF4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egyaránt hatással van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. Bár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-foszfát </w:t>
      </w: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in vitro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inaktív, a gyors </w:t>
      </w: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in vivo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hidrolízis révén antibakteriálisan aktív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klindamicinné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alakul.</w:t>
      </w:r>
    </w:p>
    <w:p w14:paraId="0A9C512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szokásos dózisokban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bakteriosztatikus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hatást fejt ki</w:t>
      </w: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in vitro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29E3276E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:highlight w:val="yellow"/>
          <w:u w:val="single"/>
          <w14:ligatures w14:val="none"/>
        </w:rPr>
      </w:pPr>
    </w:p>
    <w:p w14:paraId="0A6C7903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:u w:val="single"/>
          <w14:ligatures w14:val="none"/>
        </w:rPr>
      </w:pPr>
      <w:proofErr w:type="spellStart"/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>Farmakokinetikai</w:t>
      </w:r>
      <w:proofErr w:type="spellEnd"/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>/</w:t>
      </w:r>
      <w:proofErr w:type="spellStart"/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>farmakodinámiás</w:t>
      </w:r>
      <w:proofErr w:type="spellEnd"/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 xml:space="preserve"> összefüggés</w:t>
      </w:r>
    </w:p>
    <w:p w14:paraId="7E6B1797" w14:textId="1BF40918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  <w:r w:rsidRPr="00742C16">
        <w:rPr>
          <w:rFonts w:ascii="Times New Roman" w:eastAsia="MS Mincho" w:hAnsi="Times New Roman" w:cs="Times New Roman"/>
          <w:kern w:val="0"/>
          <w14:ligatures w14:val="none"/>
        </w:rPr>
        <w:t>A hatásosság a szabad antibiotikum koncentráció-idő görb</w:t>
      </w:r>
      <w:r w:rsidR="00183FF4">
        <w:rPr>
          <w:rFonts w:ascii="Times New Roman" w:eastAsia="MS Mincho" w:hAnsi="Times New Roman" w:cs="Times New Roman"/>
          <w:kern w:val="0"/>
          <w14:ligatures w14:val="none"/>
        </w:rPr>
        <w:t>éje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alatti területnek és a kórokozó minimális gátló koncentrációja (</w:t>
      </w:r>
      <w:r w:rsidRPr="00742C16">
        <w:rPr>
          <w:rFonts w:ascii="Times New Roman" w:eastAsia="MS Mincho" w:hAnsi="Times New Roman" w:cs="Times New Roman"/>
          <w:i/>
          <w:kern w:val="0"/>
          <w14:ligatures w14:val="none"/>
        </w:rPr>
        <w:t xml:space="preserve">Minimum </w:t>
      </w:r>
      <w:proofErr w:type="spellStart"/>
      <w:r w:rsidRPr="00742C16">
        <w:rPr>
          <w:rFonts w:ascii="Times New Roman" w:eastAsia="MS Mincho" w:hAnsi="Times New Roman" w:cs="Times New Roman"/>
          <w:i/>
          <w:kern w:val="0"/>
          <w14:ligatures w14:val="none"/>
        </w:rPr>
        <w:t>Inhibitory</w:t>
      </w:r>
      <w:proofErr w:type="spellEnd"/>
      <w:r w:rsidRPr="00742C16">
        <w:rPr>
          <w:rFonts w:ascii="Times New Roman" w:eastAsia="MS Mincho" w:hAnsi="Times New Roman" w:cs="Times New Roman"/>
          <w:i/>
          <w:kern w:val="0"/>
          <w14:ligatures w14:val="none"/>
        </w:rPr>
        <w:t xml:space="preserve"> Concentration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t>, MIC) hányadosának (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fAUC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>/MIC) függvénye.</w:t>
      </w:r>
    </w:p>
    <w:p w14:paraId="6D750233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</w:p>
    <w:p w14:paraId="3CE25297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  <w:r w:rsidRPr="00742C16">
        <w:rPr>
          <w:rFonts w:ascii="Times New Roman" w:eastAsia="MS Mincho" w:hAnsi="Times New Roman" w:cs="Times New Roman"/>
          <w:kern w:val="0"/>
          <w:u w:val="single"/>
          <w14:ligatures w14:val="none"/>
        </w:rPr>
        <w:t>A rezisztencia kialakulásának mechanizmusa(i)</w:t>
      </w:r>
    </w:p>
    <w:p w14:paraId="518752A1" w14:textId="77777777" w:rsidR="00592C80" w:rsidRPr="00742C16" w:rsidRDefault="00592C80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A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klindamicinnel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szembeni rezisztencia leggyakrabban az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rRNS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antibiotikum-kötőhelyének mutációiból, vagy az 50S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riboszomális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alegység 23S RNS-ében jelen lévő specifikus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nukleotidok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metilációjából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adódik. Ezek a módosulások meghatározhatják a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makrolidokkal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és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sztreptogramin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> B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noBreakHyphen/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vel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szembeni </w:t>
      </w:r>
      <w:r w:rsidRPr="00742C16">
        <w:rPr>
          <w:rFonts w:ascii="Times New Roman" w:eastAsia="MS Mincho" w:hAnsi="Times New Roman" w:cs="Times New Roman"/>
          <w:i/>
          <w:iCs/>
          <w:kern w:val="0"/>
          <w14:ligatures w14:val="none"/>
        </w:rPr>
        <w:t>in vitro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keresztrezisztenciát (MLS</w:t>
      </w:r>
      <w:r w:rsidRPr="00E40BD1">
        <w:rPr>
          <w:rFonts w:ascii="Times New Roman" w:eastAsia="MS Mincho" w:hAnsi="Times New Roman" w:cs="Times New Roman"/>
          <w:kern w:val="0"/>
          <w:vertAlign w:val="subscript"/>
          <w14:ligatures w14:val="none"/>
        </w:rPr>
        <w:t>B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rezisztencia). A rezisztencia esetenként a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riboszomális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fehérjék megváltozásának köszönhető.</w:t>
      </w:r>
    </w:p>
    <w:p w14:paraId="4F79DA48" w14:textId="0881216E" w:rsidR="00592C80" w:rsidRPr="00742C16" w:rsidRDefault="00183FF4" w:rsidP="00742C16">
      <w:pPr>
        <w:spacing w:after="0" w:line="240" w:lineRule="auto"/>
        <w:rPr>
          <w:rFonts w:ascii="Times New Roman" w:eastAsia="MS Mincho" w:hAnsi="Times New Roman" w:cs="Times New Roman"/>
          <w:kern w:val="0"/>
          <w14:ligatures w14:val="none"/>
        </w:rPr>
      </w:pPr>
      <w:proofErr w:type="spellStart"/>
      <w:r>
        <w:rPr>
          <w:rFonts w:ascii="Times New Roman" w:eastAsia="MS Mincho" w:hAnsi="Times New Roman" w:cs="Times New Roman"/>
          <w:kern w:val="0"/>
          <w14:ligatures w14:val="none"/>
        </w:rPr>
        <w:t>M</w:t>
      </w:r>
      <w:r w:rsidRPr="00742C16">
        <w:rPr>
          <w:rFonts w:ascii="Times New Roman" w:eastAsia="MS Mincho" w:hAnsi="Times New Roman" w:cs="Times New Roman"/>
          <w:kern w:val="0"/>
          <w14:ligatures w14:val="none"/>
        </w:rPr>
        <w:t>akrolid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-rezisztens </w:t>
      </w:r>
      <w:proofErr w:type="spellStart"/>
      <w:r w:rsidRPr="00742C16">
        <w:rPr>
          <w:rFonts w:ascii="Times New Roman" w:eastAsia="MS Mincho" w:hAnsi="Times New Roman" w:cs="Times New Roman"/>
          <w:kern w:val="0"/>
          <w14:ligatures w14:val="none"/>
        </w:rPr>
        <w:t>baktériumizolátumokban</w:t>
      </w:r>
      <w:proofErr w:type="spellEnd"/>
      <w:r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MS Mincho" w:hAnsi="Times New Roman" w:cs="Times New Roman"/>
          <w:kern w:val="0"/>
          <w14:ligatures w14:val="none"/>
        </w:rPr>
        <w:t>a</w:t>
      </w:r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klindamicinnel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szembeni rezisztencia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makrolidokkal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indukálható</w:t>
      </w:r>
      <w:r>
        <w:rPr>
          <w:rFonts w:ascii="Times New Roman" w:eastAsia="MS Mincho" w:hAnsi="Times New Roman" w:cs="Times New Roman"/>
          <w:kern w:val="0"/>
          <w14:ligatures w14:val="none"/>
        </w:rPr>
        <w:t xml:space="preserve"> lehet</w:t>
      </w:r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. Az indukálható rezisztenciát korongteszttel (D-zóna teszt) vagy baktérium-táptalajon lehet kimutatni. A kevésbé gyakran előforduló rezisztenciamechanizmusok közé tartozik az antibiotikum módosítása és az aktív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efflux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. A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klindamicin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és a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linkomicin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teljes keresztrezisztenciát mutat. Sok antibiotikumhoz hasonlóan a rezisztencia előfordulása a baktériumfajtól és a földrajzi területtől függően változik. A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klindamicinnel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szembeni rezisztencia </w:t>
      </w:r>
      <w:proofErr w:type="spellStart"/>
      <w:r w:rsidR="00147255">
        <w:rPr>
          <w:rFonts w:ascii="Times New Roman" w:eastAsia="MS Mincho" w:hAnsi="Times New Roman" w:cs="Times New Roman"/>
          <w:kern w:val="0"/>
          <w14:ligatures w14:val="none"/>
        </w:rPr>
        <w:t>prevalenciája</w:t>
      </w:r>
      <w:proofErr w:type="spellEnd"/>
      <w:r w:rsidR="00147255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nagyobb a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meticillin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-rezisztens </w:t>
      </w:r>
      <w:proofErr w:type="spellStart"/>
      <w:r w:rsidR="00592C80" w:rsidRPr="00742C16">
        <w:rPr>
          <w:rFonts w:ascii="Times New Roman" w:eastAsia="MS Mincho" w:hAnsi="Times New Roman" w:cs="Times New Roman"/>
          <w:i/>
          <w:iCs/>
          <w:kern w:val="0"/>
          <w14:ligatures w14:val="none"/>
        </w:rPr>
        <w:t>Staphylococcus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izolátumok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és a penicillin-rezisztens </w:t>
      </w:r>
      <w:proofErr w:type="spellStart"/>
      <w:r w:rsidR="00147255">
        <w:rPr>
          <w:rFonts w:ascii="Times New Roman" w:eastAsia="MS Mincho" w:hAnsi="Times New Roman" w:cs="Times New Roman"/>
          <w:i/>
          <w:iCs/>
          <w:kern w:val="0"/>
          <w14:ligatures w14:val="none"/>
        </w:rPr>
        <w:t>Streptococcus</w:t>
      </w:r>
      <w:proofErr w:type="spellEnd"/>
      <w:r w:rsidR="00147255">
        <w:rPr>
          <w:rFonts w:ascii="Times New Roman" w:eastAsia="MS Mincho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="00147255">
        <w:rPr>
          <w:rFonts w:ascii="Times New Roman" w:eastAsia="MS Mincho" w:hAnsi="Times New Roman" w:cs="Times New Roman"/>
          <w:i/>
          <w:iCs/>
          <w:kern w:val="0"/>
          <w14:ligatures w14:val="none"/>
        </w:rPr>
        <w:t>pneumoniae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</w:t>
      </w:r>
      <w:proofErr w:type="spellStart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>izolátumok</w:t>
      </w:r>
      <w:proofErr w:type="spellEnd"/>
      <w:r w:rsidR="00592C80" w:rsidRPr="00742C16">
        <w:rPr>
          <w:rFonts w:ascii="Times New Roman" w:eastAsia="MS Mincho" w:hAnsi="Times New Roman" w:cs="Times New Roman"/>
          <w:kern w:val="0"/>
          <w14:ligatures w14:val="none"/>
        </w:rPr>
        <w:t xml:space="preserve"> esetében, mint az ezekre a hatóanyagokra érzékeny organizmusok esetében.</w:t>
      </w:r>
    </w:p>
    <w:p w14:paraId="77A4E8C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meticillin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-rezisztens </w:t>
      </w: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 xml:space="preserve">S.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auerus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(MRSA) baktériumok többségénél fennáll a konstitutív MLS</w:t>
      </w:r>
      <w:r w:rsidRPr="00E40BD1">
        <w:rPr>
          <w:rFonts w:ascii="Times New Roman" w:eastAsia="Times New Roman" w:hAnsi="Times New Roman" w:cs="Times New Roman"/>
          <w:kern w:val="0"/>
          <w:vertAlign w:val="subscript"/>
          <w:lang w:eastAsia="de-DE"/>
          <w14:ligatures w14:val="none"/>
        </w:rPr>
        <w:t>B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típusú rezisztencia, így rezisztensek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klindamicinre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nem alkalmazható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makrolidokkal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szemben rezisztens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Staphylococcus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által okozott fertőzések kezelésére, még igazolt </w:t>
      </w: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in vitro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érzékenység esetén sem, mert a kezelés a konstitutív MLS</w:t>
      </w:r>
      <w:r w:rsidRPr="00E40BD1">
        <w:rPr>
          <w:rFonts w:ascii="Times New Roman" w:eastAsia="Times New Roman" w:hAnsi="Times New Roman" w:cs="Times New Roman"/>
          <w:kern w:val="0"/>
          <w:vertAlign w:val="subscript"/>
          <w:lang w:eastAsia="de-DE"/>
          <w14:ligatures w14:val="none"/>
        </w:rPr>
        <w:t>B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típusú mutánsok kiszelektálódásához vezethet.</w:t>
      </w:r>
    </w:p>
    <w:p w14:paraId="0C837CA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konstitutív MLS</w:t>
      </w:r>
      <w:r w:rsidRPr="00E40BD1">
        <w:rPr>
          <w:rFonts w:ascii="Times New Roman" w:eastAsia="Times New Roman" w:hAnsi="Times New Roman" w:cs="Times New Roman"/>
          <w:kern w:val="0"/>
          <w:vertAlign w:val="subscript"/>
          <w:lang w:eastAsia="de-DE"/>
          <w14:ligatures w14:val="none"/>
        </w:rPr>
        <w:t>B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típusú rezisztenciát mutató törzsek teljes keresztrezisztenciát mutatnak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linkomicin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makrolidok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(pl.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azitromicin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klaritromicin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eritromicin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roxitromicin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spiramicin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), valamint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sztreptogramin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 B között.</w:t>
      </w:r>
    </w:p>
    <w:p w14:paraId="2B51E278" w14:textId="77777777" w:rsidR="00592C80" w:rsidRPr="00742C16" w:rsidRDefault="00592C80" w:rsidP="00742C16">
      <w:pPr>
        <w:spacing w:after="0" w:line="240" w:lineRule="auto"/>
        <w:outlineLvl w:val="4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7F69DA39" w14:textId="77777777" w:rsidR="00592C80" w:rsidRPr="00742C16" w:rsidRDefault="00592C80" w:rsidP="00742C16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Érzékenységi vizsgálat határértékei</w:t>
      </w:r>
    </w:p>
    <w:p w14:paraId="1AE5CB9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Antibiotikum-érzékenységi Vizsgálatok Európai Bizottsága (EUCAST)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vonatkozásában megállapította a MIC (minimális gátló koncentráció) érzékenységi vizsgálatának értelmezési kritériumait, amelyek felsorolása itt található: </w:t>
      </w:r>
      <w:hyperlink r:id="rId8" w:history="1">
        <w:r w:rsidRPr="00742C16">
          <w:rPr>
            <w:rFonts w:ascii="Times New Roman" w:eastAsia="Times New Roman" w:hAnsi="Times New Roman" w:cs="Times New Roman"/>
            <w:kern w:val="0"/>
            <w:u w:val="single"/>
            <w:lang w:eastAsia="de-DE"/>
            <w14:ligatures w14:val="none"/>
          </w:rPr>
          <w:t>https://www.ema.europa.eu/documents/other/minimum-inhibitory-concentration-mic-breakpoints_en.xlsx</w:t>
        </w:r>
      </w:hyperlink>
    </w:p>
    <w:p w14:paraId="7CC06F0A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D70D741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 xml:space="preserve">A szerzett rezisztencia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prevalenciája</w:t>
      </w:r>
      <w:proofErr w:type="spellEnd"/>
    </w:p>
    <w:p w14:paraId="6CFEC5EE" w14:textId="77777777" w:rsidR="00592C80" w:rsidRPr="00742C16" w:rsidRDefault="00592C80" w:rsidP="00742C16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szerzett rezisztencia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prevalenciája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az egyes fajok esetén földrajzi elhelyezkedés szerint és időben is változhat, így a rezisztenciára vonatkozóan ajánlott beszerezni helyi információkat, különösen súlyos fertőzések kezelése esetén. Szükség esetén szakértői segítséget kell kérni, ha a rezisztencia lokális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prevalenciája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olyan, hogy a hatóanyag alkalmazhatósága legalábbis bizonyos fertőzések esetén megkérdőjelezhető.</w:t>
      </w:r>
    </w:p>
    <w:p w14:paraId="04FC3C44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Súlyos fertőzés és eredménytelen kezelés esetén különösen javasolt mikrobiológiai diagnózis felállítása, mely tartalmazza a kórokozó azonosítását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klindamicinnel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szembeni érzékenységének megállapítását.</w:t>
      </w:r>
    </w:p>
    <w:p w14:paraId="5BA0B978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3FF81659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u w:val="single"/>
          <w:lang w:eastAsia="de-DE"/>
          <w14:ligatures w14:val="none"/>
        </w:rPr>
        <w:t>Általában érzékeny fajok</w:t>
      </w:r>
    </w:p>
    <w:p w14:paraId="2B7E216F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</w:pPr>
    </w:p>
    <w:p w14:paraId="20D575A5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-pozitív mikroorganizmusok</w:t>
      </w:r>
    </w:p>
    <w:p w14:paraId="380EF802" w14:textId="064B917A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aureus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meticillin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-érzékeny</w:t>
      </w:r>
      <w:r w:rsidR="00CA289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CA2894" w:rsidRPr="00E40BD1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 xml:space="preserve">S. </w:t>
      </w:r>
      <w:proofErr w:type="spellStart"/>
      <w:r w:rsidR="00CA2894" w:rsidRPr="00E40BD1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aureus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meticillin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-érzékeny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koaguláz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-negatív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-ok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)</w:t>
      </w:r>
    </w:p>
    <w:p w14:paraId="314D3FFE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Streptococcus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A, B, C és G csoport</w:t>
      </w:r>
    </w:p>
    <w:p w14:paraId="7B9CAFE3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Streptococcus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pneumoniae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(penicillin-érzékeny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izolátumok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</w:t>
      </w:r>
    </w:p>
    <w:p w14:paraId="451495A5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Streptococcus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pyogenes</w:t>
      </w:r>
      <w:proofErr w:type="spellEnd"/>
    </w:p>
    <w:p w14:paraId="41BDB049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Streptococcus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viridans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csoport</w:t>
      </w:r>
    </w:p>
    <w:p w14:paraId="2520B617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2F65476" w14:textId="77777777" w:rsidR="00592C80" w:rsidRPr="00742C16" w:rsidRDefault="00592C80" w:rsidP="00E40BD1">
      <w:pPr>
        <w:keepNext/>
        <w:spacing w:after="0" w:line="240" w:lineRule="auto"/>
        <w:ind w:hanging="2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lastRenderedPageBreak/>
        <w:t xml:space="preserve">Anaerob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-pozitív mikroorganizmusok</w:t>
      </w:r>
    </w:p>
    <w:p w14:paraId="6F133756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Clostridium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perfringens</w:t>
      </w:r>
      <w:proofErr w:type="spellEnd"/>
    </w:p>
    <w:p w14:paraId="4F3EE3D7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Peptostreptococcus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 (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Finegoldia</w:t>
      </w:r>
      <w:proofErr w:type="spellEnd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magna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Micromonas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micros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)</w:t>
      </w:r>
    </w:p>
    <w:p w14:paraId="3AB783DA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Actinomyces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israelii</w:t>
      </w:r>
      <w:proofErr w:type="spellEnd"/>
    </w:p>
    <w:p w14:paraId="2D4A0662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Cutibacterium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acnes</w:t>
      </w:r>
      <w:proofErr w:type="spellEnd"/>
    </w:p>
    <w:p w14:paraId="0BE39C52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Peptoniphilus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spp.</w:t>
      </w:r>
      <w:r w:rsidRPr="00742C16">
        <w:rPr>
          <w:rFonts w:ascii="Times New Roman" w:eastAsia="Times New Roman" w:hAnsi="Times New Roman" w:cs="Times New Roman"/>
          <w:iCs/>
          <w:kern w:val="0"/>
          <w:vertAlign w:val="superscript"/>
          <w:lang w:eastAsia="pl-PL"/>
          <w14:ligatures w14:val="none"/>
        </w:rPr>
        <w:t>1</w:t>
      </w:r>
    </w:p>
    <w:p w14:paraId="35F0AA8A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Propionibacterium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spp.</w:t>
      </w: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</w:p>
    <w:p w14:paraId="6CCB452D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</w:p>
    <w:p w14:paraId="4D29AF68" w14:textId="77777777" w:rsidR="00592C80" w:rsidRPr="00742C16" w:rsidRDefault="00592C80" w:rsidP="00742C16">
      <w:pPr>
        <w:keepNext/>
        <w:spacing w:after="0" w:line="240" w:lineRule="auto"/>
        <w:ind w:hanging="28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Anaerob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-negatív mikroorganizmusok</w:t>
      </w:r>
    </w:p>
    <w:p w14:paraId="533AFD86" w14:textId="77777777" w:rsidR="00592C80" w:rsidRPr="00742C16" w:rsidRDefault="00592C80" w:rsidP="00742C16">
      <w:pPr>
        <w:keepNext/>
        <w:spacing w:after="0" w:line="240" w:lineRule="auto"/>
        <w:ind w:hanging="28"/>
        <w:rPr>
          <w:rFonts w:ascii="Times New Roman" w:eastAsia="Times New Roman" w:hAnsi="Times New Roman" w:cs="Times New Roman"/>
          <w:b/>
          <w:bCs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Fusobacterium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 (kivéve </w:t>
      </w:r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F. 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varium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)</w:t>
      </w:r>
    </w:p>
    <w:p w14:paraId="191CE83B" w14:textId="77777777" w:rsidR="00592C80" w:rsidRPr="00742C16" w:rsidRDefault="00592C80" w:rsidP="00742C16">
      <w:pPr>
        <w:keepNext/>
        <w:spacing w:after="0" w:line="240" w:lineRule="auto"/>
        <w:ind w:hanging="28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Prevotella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</w:t>
      </w:r>
    </w:p>
    <w:p w14:paraId="0505DE27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Veillonella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spp.</w:t>
      </w: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</w:p>
    <w:p w14:paraId="4D2832EB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</w:p>
    <w:p w14:paraId="1A36366B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 xml:space="preserve">Egyéb </w:t>
      </w: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mikroorganizmusok</w:t>
      </w:r>
    </w:p>
    <w:p w14:paraId="2CD26091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Chlamydia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trachomatis</w:t>
      </w:r>
      <w:proofErr w:type="spellEnd"/>
    </w:p>
    <w:p w14:paraId="1DCF6F46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Gardnerella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vaginalis</w:t>
      </w:r>
      <w:proofErr w:type="spellEnd"/>
    </w:p>
    <w:p w14:paraId="39EC86AE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Chlamydophila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pneumoniae</w:t>
      </w: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</w:p>
    <w:p w14:paraId="41F7882B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Mycoplasma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hominis</w:t>
      </w:r>
      <w:r w:rsidRPr="00742C16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</w:p>
    <w:p w14:paraId="502FB3FC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</w:p>
    <w:p w14:paraId="5118A6A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highlight w:val="yellow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vertAlign w:val="superscript"/>
          <w:lang w:eastAsia="de-DE"/>
          <w14:ligatures w14:val="none"/>
        </w:rPr>
        <w:t>1</w:t>
      </w: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 xml:space="preserve"> A táblázatok közzétételekor nem álltak rendelkezésre frissített adatok. Az érzékenység becsléséhez az elsődleges szakirodalmat, a standard tudományos szakirodalmat és terápiás ajánlásokat vették alapul.</w:t>
      </w:r>
    </w:p>
    <w:p w14:paraId="39BD77C2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b/>
          <w:bCs/>
          <w:kern w:val="0"/>
          <w:u w:val="single"/>
          <w:lang w:eastAsia="de-DE"/>
          <w14:ligatures w14:val="none"/>
        </w:rPr>
      </w:pPr>
    </w:p>
    <w:p w14:paraId="34A81E53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u w:val="single"/>
          <w:lang w:eastAsia="de-DE"/>
          <w14:ligatures w14:val="none"/>
        </w:rPr>
        <w:t>Fajok, melyek esetén a szerzett rezisztencia problémát jelenthet</w:t>
      </w:r>
    </w:p>
    <w:p w14:paraId="30A02F9E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</w:pPr>
    </w:p>
    <w:p w14:paraId="0C4F9598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-pozitív mikroorganizmusok</w:t>
      </w:r>
    </w:p>
    <w:p w14:paraId="642AAFD9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aureus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meticillin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-rezisztens)</w:t>
      </w:r>
    </w:p>
    <w:p w14:paraId="54A90A8C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epidermidis</w:t>
      </w:r>
      <w:proofErr w:type="spellEnd"/>
    </w:p>
    <w:p w14:paraId="74067A38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haemolyticus</w:t>
      </w:r>
      <w:proofErr w:type="spellEnd"/>
    </w:p>
    <w:p w14:paraId="378B9C9F" w14:textId="77777777" w:rsidR="00592C80" w:rsidRPr="00742C16" w:rsidRDefault="00592C80" w:rsidP="00742C16">
      <w:pPr>
        <w:spacing w:after="0" w:line="240" w:lineRule="auto"/>
        <w:ind w:hanging="27"/>
        <w:rPr>
          <w:rFonts w:ascii="Times New Roman" w:eastAsia="Times New Roman" w:hAnsi="Times New Roman" w:cs="Times New Roman"/>
          <w:kern w:val="0"/>
          <w:highlight w:val="yellow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Staphylococcus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hominis</w:t>
      </w:r>
      <w:proofErr w:type="spellEnd"/>
    </w:p>
    <w:p w14:paraId="0204575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Streptococcus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agalactiae</w:t>
      </w:r>
      <w:proofErr w:type="spellEnd"/>
    </w:p>
    <w:p w14:paraId="7B97FE7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Corynebacterium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10B301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53FFC8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-negatív mikroorganizmusok</w:t>
      </w:r>
    </w:p>
    <w:p w14:paraId="32C7A6A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Moraxella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catarrhalis</w:t>
      </w:r>
      <w:proofErr w:type="spellEnd"/>
    </w:p>
    <w:p w14:paraId="305125D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342491E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Anaerob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-pozitív mikroorganizmusok</w:t>
      </w:r>
    </w:p>
    <w:p w14:paraId="79FE0FA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Clostridioides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difficile</w:t>
      </w:r>
      <w:proofErr w:type="spellEnd"/>
    </w:p>
    <w:p w14:paraId="22AA5C9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7CAFFE0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Anaerob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-negatív mikroorganizmusok</w:t>
      </w:r>
    </w:p>
    <w:p w14:paraId="06B12A3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Bacteroides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.</w:t>
      </w:r>
    </w:p>
    <w:p w14:paraId="55AD212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6DDE80B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kern w:val="0"/>
          <w:u w:val="single"/>
          <w:lang w:eastAsia="de-DE"/>
          <w14:ligatures w14:val="none"/>
        </w:rPr>
        <w:t>Eredendően rezisztens mikroorganizmusok</w:t>
      </w:r>
    </w:p>
    <w:p w14:paraId="0BFD676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1375337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-pozitív mikroorganizmusok</w:t>
      </w:r>
    </w:p>
    <w:p w14:paraId="1244FE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Enterococcus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</w:t>
      </w:r>
    </w:p>
    <w:p w14:paraId="7BD3290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Listeria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monocytogenes</w:t>
      </w:r>
      <w:proofErr w:type="spellEnd"/>
    </w:p>
    <w:p w14:paraId="6EDA492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4736874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 xml:space="preserve">Aerob </w:t>
      </w:r>
      <w:proofErr w:type="spellStart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Gram</w:t>
      </w:r>
      <w:proofErr w:type="spellEnd"/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-negatív mikroorganizmusok</w:t>
      </w:r>
    </w:p>
    <w:p w14:paraId="11F0D51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Escherichia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coli</w:t>
      </w:r>
    </w:p>
    <w:p w14:paraId="5F2A7C9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Haemophilus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influenzae</w:t>
      </w:r>
      <w:proofErr w:type="spellEnd"/>
    </w:p>
    <w:p w14:paraId="7BFB568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Klebsiella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spp</w:t>
      </w:r>
      <w:proofErr w:type="spellEnd"/>
      <w:r w:rsidRPr="00742C16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</w:t>
      </w:r>
    </w:p>
    <w:p w14:paraId="7434059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Pseudomonas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aeruginosa</w:t>
      </w:r>
      <w:proofErr w:type="spellEnd"/>
    </w:p>
    <w:p w14:paraId="0AC7255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14EFFFA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bCs/>
          <w:i/>
          <w:iCs/>
          <w:kern w:val="0"/>
          <w:lang w:eastAsia="de-DE"/>
          <w14:ligatures w14:val="none"/>
        </w:rPr>
        <w:t>Egyéb mikroorganizmusok</w:t>
      </w:r>
    </w:p>
    <w:p w14:paraId="562E7D7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Ureaplasma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urealyticum</w:t>
      </w:r>
      <w:proofErr w:type="spellEnd"/>
    </w:p>
    <w:p w14:paraId="5090C82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Mycoplasma</w:t>
      </w:r>
      <w:proofErr w:type="spellEnd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pneumoniae</w:t>
      </w:r>
      <w:proofErr w:type="spellEnd"/>
    </w:p>
    <w:p w14:paraId="5D5B4C4B" w14:textId="77777777" w:rsidR="00592C80" w:rsidRPr="00742C16" w:rsidRDefault="00592C80" w:rsidP="00742C16">
      <w:pPr>
        <w:tabs>
          <w:tab w:val="left" w:pos="426"/>
        </w:tabs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28AC811" w14:textId="77777777" w:rsidR="00592C80" w:rsidRPr="00742C16" w:rsidRDefault="00592C80" w:rsidP="00742C16">
      <w:pPr>
        <w:spacing w:after="0" w:line="240" w:lineRule="auto"/>
        <w:ind w:left="567" w:righ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lastRenderedPageBreak/>
        <w:t>5.2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</w:r>
      <w:proofErr w:type="spellStart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Farmakokinetikai</w:t>
      </w:r>
      <w:proofErr w:type="spellEnd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 xml:space="preserve"> tulajdonságok</w:t>
      </w:r>
    </w:p>
    <w:p w14:paraId="712A0073" w14:textId="77777777" w:rsidR="00592C80" w:rsidRPr="00742C16" w:rsidRDefault="00592C80" w:rsidP="00742C16">
      <w:pPr>
        <w:tabs>
          <w:tab w:val="left" w:pos="426"/>
        </w:tabs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360388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Felszívódás</w:t>
      </w:r>
    </w:p>
    <w:p w14:paraId="4D65A3E1" w14:textId="3041C1A1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600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-foszfát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intramuscularis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alkalmazását követően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maximális szérumkoncentrációja 5–10 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mikrogramm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/ml, a beadást követő 1–4 órán belül. 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Az i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ntravénás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infúzió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ban beadott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300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10 perc alatt</w:t>
      </w:r>
      <w:r w:rsidR="00D423BA" w:rsidRP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történő alkalmazását követően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7 </w:t>
      </w:r>
      <w:proofErr w:type="spellStart"/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mikrogramm</w:t>
      </w:r>
      <w:proofErr w:type="spellEnd"/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/ml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;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600 mg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20 perc alatt történő alkalmazását követően 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10 </w:t>
      </w:r>
      <w:proofErr w:type="spellStart"/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mikrogramm</w:t>
      </w:r>
      <w:proofErr w:type="spellEnd"/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/ml 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volt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maximális szérumkoncentráció az infúzió beadásának befejezése után.</w:t>
      </w:r>
    </w:p>
    <w:p w14:paraId="4F4CCCE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505E5FF0" w14:textId="3119A562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szérumszintje a</w:t>
      </w:r>
      <w:r w:rsidR="00D423BA" w:rsidRP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legtöbb érzékeny mikroorganizmus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in vitro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mért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minimális gátló koncentráció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felett tartható, ha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-foszfátot felnőtteknél 8–12 óránként, 3 </w:t>
      </w:r>
      <w:proofErr w:type="gram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évesnél</w:t>
      </w:r>
      <w:proofErr w:type="gram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idősebb gyermekeknél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serdülőknél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pedig 6–8 óránként intravénás infúzióban alkalmazzák. A harmadik dózis beadása után állandó szint érhető el.</w:t>
      </w:r>
    </w:p>
    <w:p w14:paraId="4F934AB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0A6F24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Eloszlás</w:t>
      </w:r>
    </w:p>
    <w:p w14:paraId="7FA866ED" w14:textId="4DF6FCA2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40–94%-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ban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kötődik a fehérjékhez.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könnyen be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jut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legtöbb testfolyadékba és szövetbe (beleértve a csontokat is), és így alkalmas a nehezen elérhető fertőzési gócok, például a lágyszöveti fertőzések és az akut és krónikus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osteomyelitis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kezelésére. A hatóanyag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koncentrációja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szérumkoncentráció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kb. 40%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(20–75%) a csontszövetben, 50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noBreakHyphen/>
        <w:t>100%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</w:t>
      </w:r>
      <w:proofErr w:type="gramStart"/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gram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az anyatejben, 50%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az ízületi folyadékban, 30–75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köpetben, 50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peritoneális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folyadékban, 40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magzati vérben, 30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gennyben, 50–90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pleurális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folyadékban.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azonban nem 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jut</w:t>
      </w:r>
      <w:r w:rsidR="00D423BA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be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cerebrospinális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folyadékba, még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meningitis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D423B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fennállásakor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sem. Többszöri adagolás után a magzatvíz koncentrációja az anyai vérkoncentráció körülbelül 30%-a volt.</w:t>
      </w:r>
    </w:p>
    <w:p w14:paraId="7A817E9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54E267A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Biotranszformáció</w:t>
      </w:r>
      <w:proofErr w:type="spellEnd"/>
    </w:p>
    <w:p w14:paraId="0CAF7B2A" w14:textId="77777777" w:rsidR="00592C80" w:rsidRPr="00742C16" w:rsidRDefault="00592C80" w:rsidP="00742C16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Humán máj-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intestinalis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mikroszómákkal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végzett </w:t>
      </w: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in vitro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 arra utalnak, hogy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elsősorban a CYP3A4 oxidálja, kisebb mértékben pedig a CYP3A5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metabolizálja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klindamicin-szulfoxid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fő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metabolittá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kevésbé jelentős N-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dezmetil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metabolittá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D22E26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plazmafelezési ideje 2,4 óra. Vesekárosodás, és közepesen súlyos vagy súlyos fokú májkárosodás esetén a felezési idő megnyúlik.</w:t>
      </w:r>
    </w:p>
    <w:p w14:paraId="0E54861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5BA9508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Elimináció</w:t>
      </w:r>
    </w:p>
    <w:p w14:paraId="09828CDB" w14:textId="607FD7A4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Parenterális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beadást követően a beadott dózis körülbelül 15%-a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választódik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ki a vizelettel. A kiválasztás főként az epén keresztül és a széklettel történik</w:t>
      </w:r>
      <w:r w:rsidR="00460E3E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biológiailag inaktív </w:t>
      </w:r>
      <w:proofErr w:type="spellStart"/>
      <w:r w:rsidR="00460E3E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metabolitok</w:t>
      </w:r>
      <w:proofErr w:type="spellEnd"/>
      <w:r w:rsidR="00460E3E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formájában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70626A2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hemodialízis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peritoneális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dialízis nem hatékony kezelési módszerek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szérumból történő eltávolítására.</w:t>
      </w:r>
    </w:p>
    <w:p w14:paraId="0A90182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54FBD89A" w14:textId="1746B5FC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Linearitás/</w:t>
      </w: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n</w:t>
      </w:r>
      <w:r w:rsidR="00AC46FA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on</w:t>
      </w: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linearitás</w:t>
      </w:r>
      <w:proofErr w:type="spellEnd"/>
    </w:p>
    <w:p w14:paraId="5CB1618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szérumkoncentrációja a dózis növelésével lineárisan nő.</w:t>
      </w:r>
    </w:p>
    <w:p w14:paraId="1BF6C91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58C48E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Különleges betegcsoportok</w:t>
      </w:r>
    </w:p>
    <w:p w14:paraId="51D664F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2–˂18 éves elhízott gyermekek és serdülők, valamint 18–20 éves elhízott felnőttek</w:t>
      </w:r>
    </w:p>
    <w:p w14:paraId="28EC52C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Elhízott gyermekekkel és serdülőkkel (2–˂18 éves) és 18–20 éves elhízott felnőttekkel végzett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farmakokinetikai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 azt mutatják, hogy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clearance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-e és eloszlási térfogata, a teljes testtömegre normalizálva, hasonló az elhízott és nem elhízott betegeknél.</w:t>
      </w:r>
    </w:p>
    <w:p w14:paraId="0D2FE66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1A7801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Idősek</w:t>
      </w:r>
    </w:p>
    <w:p w14:paraId="11E90D4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Idősebb (61–79 éves) és fiatalabb (18–39 éves) felnőttekkel végzett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farmakokinetikai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 azt mutatják, hogy az életkor önmagában nem változtatja meg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farmakokinetikáját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clearance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eliminációs felezési idő, eloszlási térfogat és AUC,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intravénás beadása után).</w:t>
      </w:r>
    </w:p>
    <w:p w14:paraId="34AF355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09EE43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  <w:t>Vesekárosodás</w:t>
      </w:r>
    </w:p>
    <w:p w14:paraId="2AA6401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Súlyos fokú vesekárosodásban szenvedő betegeknél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szérumfelezési ideje kissé megnövekedett (lásd 4.2 pont).</w:t>
      </w:r>
    </w:p>
    <w:p w14:paraId="46F5077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12D70DF" w14:textId="77777777" w:rsidR="00592C80" w:rsidRPr="00742C16" w:rsidRDefault="00592C80" w:rsidP="00E40BD1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lastRenderedPageBreak/>
        <w:t>5.3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preklinikai</w:t>
      </w:r>
      <w:proofErr w:type="spellEnd"/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 xml:space="preserve"> biztonságossági vizsgálatok eredményei</w:t>
      </w:r>
    </w:p>
    <w:p w14:paraId="074FFDC5" w14:textId="77777777" w:rsidR="00592C80" w:rsidRPr="00742C16" w:rsidRDefault="00592C80" w:rsidP="00E40BD1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2C7317B" w14:textId="67BA519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hagyományos – farmakológiai biztonságossági, ismételt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adagolású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dózistoxicitási,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genotoxicitási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4EC1F70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022E9BFE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Karcinogenitás</w:t>
      </w:r>
      <w:proofErr w:type="spellEnd"/>
    </w:p>
    <w:p w14:paraId="5123079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Hosszú távú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karcinogenitási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vizsgálatokat állatokkal nem végeztek.</w:t>
      </w:r>
    </w:p>
    <w:p w14:paraId="47E6D4B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green"/>
          <w:lang w:eastAsia="de-DE"/>
          <w14:ligatures w14:val="none"/>
        </w:rPr>
      </w:pPr>
    </w:p>
    <w:p w14:paraId="7D7A7AE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Mutagenitás</w:t>
      </w:r>
      <w:proofErr w:type="spellEnd"/>
    </w:p>
    <w:p w14:paraId="5ECA636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Genotoxicitás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tekintetében patkány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micronucleus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-tesztet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Ames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-féle </w:t>
      </w: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Salmonella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-tesztet végeztek. Mindkettő negatív eredményt adott.</w:t>
      </w:r>
    </w:p>
    <w:p w14:paraId="155580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</w:p>
    <w:p w14:paraId="0C1E4DB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Reprodukcióra kifejtett toxicitás</w:t>
      </w:r>
    </w:p>
    <w:p w14:paraId="0197200C" w14:textId="0EC043F1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per </w:t>
      </w:r>
      <w:proofErr w:type="spellStart"/>
      <w:r w:rsidRPr="00742C16"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  <w:t>os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alkalmazását követően patkányokkal, valamint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subcutan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beadását követően patkányokkal és nyulakkal végzett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embryo-foetalis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fejlődési vizsgálatokban csak olyan dózisoknál figyeltek meg fejlődésre kifejtett toxicitást, amelyek anyai toxicitást </w:t>
      </w:r>
      <w:r w:rsidR="00294C74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okoztak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1DB52E4C" w14:textId="00FB1B4B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állatoknál végzett reprodukciós vizsgálatok nem mindig jelzik előre a humán </w:t>
      </w:r>
      <w:r w:rsidR="00AC46F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szervezetre kifejtett hatást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ABDED7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34B6A4B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F39BE07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GYÓGYSZERÉSZETI JELLEMZŐK</w:t>
      </w:r>
    </w:p>
    <w:p w14:paraId="553BD2E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7316E93E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6.1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Segédanyagok felsorolása</w:t>
      </w:r>
    </w:p>
    <w:p w14:paraId="50FEDCF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5C70E4A6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dinátrium-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edetát</w:t>
      </w:r>
      <w:proofErr w:type="spellEnd"/>
    </w:p>
    <w:p w14:paraId="72008F1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nátrium-hidroxid (a pH beállításához)</w:t>
      </w:r>
    </w:p>
    <w:p w14:paraId="1A7F516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injekcióhoz való víz</w:t>
      </w:r>
    </w:p>
    <w:p w14:paraId="2163D99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E9EDCD5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6.2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Inkompatibilitások</w:t>
      </w:r>
    </w:p>
    <w:p w14:paraId="7F8A979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02E66F4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Ez a gyógyszer kizárólag a 6.6 pontban felsorolt gyógyszerekkel keverhető.</w:t>
      </w:r>
    </w:p>
    <w:p w14:paraId="5D46933C" w14:textId="3C52BC33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alábbi hatóanyagok fizikailag </w:t>
      </w:r>
      <w:r w:rsidR="00C7280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kompatibilisek a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-foszfáttal: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ampicillin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fenitoin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noBreakHyphen/>
        <w:t xml:space="preserve">nátrium, barbiturátok,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aminofillin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, kalcium-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glükonát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, magnézium-szulfát,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ceftriaxon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-nátrium,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ciprofloxacin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idarubicin-hidroklorid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 xml:space="preserve"> és </w:t>
      </w:r>
      <w:proofErr w:type="spellStart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ranitidin-hidroklorid</w:t>
      </w:r>
      <w:proofErr w:type="spellEnd"/>
      <w:r w:rsidRPr="00742C16"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  <w:t>.</w:t>
      </w:r>
    </w:p>
    <w:p w14:paraId="778B4C5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35FCE439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6.3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Felhasználhatósági időtartam</w:t>
      </w:r>
    </w:p>
    <w:p w14:paraId="41CC3C2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de-DE"/>
          <w14:ligatures w14:val="none"/>
        </w:rPr>
      </w:pPr>
    </w:p>
    <w:p w14:paraId="532C1E5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18 hónap</w:t>
      </w:r>
    </w:p>
    <w:p w14:paraId="5E94298C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</w:p>
    <w:p w14:paraId="750AC010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Felhasználhatósági időtartam az ampulla felnyitása után:</w:t>
      </w:r>
      <w:r w:rsidRPr="00742C16"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  <w:t xml:space="preserve"> A készítményt felnyitás után azonnal fel kell használni.</w:t>
      </w:r>
    </w:p>
    <w:p w14:paraId="38772EB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</w:p>
    <w:p w14:paraId="4F47AA33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u w:val="single"/>
          <w:lang w:eastAsia="de-DE"/>
          <w14:ligatures w14:val="none"/>
        </w:rPr>
        <w:t>Felhasználhatósági időtartam hígítás után</w:t>
      </w:r>
    </w:p>
    <w:p w14:paraId="0B593535" w14:textId="77777777" w:rsidR="00592C80" w:rsidRPr="00742C16" w:rsidRDefault="00592C80" w:rsidP="00742C1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hígított oldat kémiai és fizikai stabilitása 25 °C-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és 2–8 °C-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tárolva 48 órán át igazolt.</w:t>
      </w:r>
    </w:p>
    <w:p w14:paraId="785ADB16" w14:textId="3113CFBC" w:rsidR="00592C80" w:rsidRPr="00742C16" w:rsidRDefault="00592C80" w:rsidP="00742C1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Mikrobiológiai szempontból a hígított oldatot azonnal fel kell használni. Amennyiben nem használják fel azonnal, a felhasználásig az eltartási idő és a tárolási körülmények a felhasználó felelőssége, amely általános esetben 2–8 °C közötti hőmérsékleten tárolva nem haladhatja meg a 24 órát, kivéve, ha a hígítás ellenőrzött és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validált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aszeptikus körülmények között történt.</w:t>
      </w:r>
    </w:p>
    <w:p w14:paraId="5093DAF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53443F39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6.4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Különleges tárolási előírások</w:t>
      </w:r>
    </w:p>
    <w:p w14:paraId="7C3A5375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64A0A2F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Legfeljebb 25 °C-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tárolandó. Hűtőszekrényben nem tárolható! Nem fagyasztható!</w:t>
      </w:r>
    </w:p>
    <w:p w14:paraId="0198DA7D" w14:textId="77777777" w:rsidR="00592C80" w:rsidRPr="00742C16" w:rsidRDefault="00592C80" w:rsidP="00742C1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fénytől való védelem érdekében az ampullákat tartsa a dobozban.</w:t>
      </w:r>
    </w:p>
    <w:p w14:paraId="6002B17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strike/>
          <w:kern w:val="0"/>
          <w:lang w:eastAsia="de-DE"/>
          <w14:ligatures w14:val="none"/>
        </w:rPr>
      </w:pPr>
    </w:p>
    <w:p w14:paraId="625E398E" w14:textId="77777777" w:rsidR="00592C80" w:rsidRPr="00742C16" w:rsidRDefault="00592C80" w:rsidP="00742C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gyógyszer első felbontás és hígítás utáni tárolására vonatkozó előírásokat lásd a 6.3 pontban.</w:t>
      </w:r>
    </w:p>
    <w:p w14:paraId="53D2EB6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5D9DC10F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6.5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Csomagolás típusa és kiszerelése</w:t>
      </w:r>
    </w:p>
    <w:p w14:paraId="080432D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241F4C8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2 ml vagy 4 ml oldat átlátszó, törőponttal ellátott üvegampullában és dobozban.</w:t>
      </w:r>
    </w:p>
    <w:p w14:paraId="5FC6C801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u w:val="single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 db, 5 db vagy 10 db ampulla dobozonként.</w:t>
      </w:r>
    </w:p>
    <w:p w14:paraId="67F3B1B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de-DE"/>
          <w14:ligatures w14:val="none"/>
        </w:rPr>
      </w:pPr>
    </w:p>
    <w:p w14:paraId="0AF5B424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Nem feltétlenül mindegyik kiszerelés kerül kereskedelmi forgalomba.</w:t>
      </w:r>
    </w:p>
    <w:p w14:paraId="0F0C89D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F0FEE5D" w14:textId="77777777" w:rsidR="00592C80" w:rsidRPr="00742C16" w:rsidRDefault="00592C80" w:rsidP="00742C16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6.6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 megsemmisítésre vonatkozó különleges óvintézkedések és egyéb, a készítmény kezelésével kapcsolatos információk</w:t>
      </w:r>
    </w:p>
    <w:p w14:paraId="51386503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B880E6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Kizárólag egyszeri alkalmazásra. A megmaradt oldatot meg kell semmisíteni.</w:t>
      </w:r>
    </w:p>
    <w:p w14:paraId="2D9DC8A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1928A2D7" w14:textId="634F40D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Az oldatot alkalmazás előtt szabad szemmel meg kell vizsgálni. Az oldat nem használható fel, ha bomlás látható jelei észlelhetők rajta (pl. </w:t>
      </w:r>
      <w:r w:rsidR="00C7280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látható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részecskék). Kizárólag tiszta, látható részecskéktől mentes oldat használható fel.</w:t>
      </w:r>
    </w:p>
    <w:p w14:paraId="46FBCD9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50B48F7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 készítmény az alábbi infúziós oldatokkal hígítható:</w:t>
      </w:r>
    </w:p>
    <w:p w14:paraId="5CFAF229" w14:textId="77777777" w:rsidR="00592C80" w:rsidRPr="00742C16" w:rsidRDefault="00592C80" w:rsidP="00742C16">
      <w:pPr>
        <w:numPr>
          <w:ilvl w:val="0"/>
          <w:numId w:val="2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9 mg/ml-es (0,9%-os) nátrium-klorid-oldat;</w:t>
      </w:r>
    </w:p>
    <w:p w14:paraId="22290535" w14:textId="5EF5EDEE" w:rsidR="00592C80" w:rsidRPr="00742C16" w:rsidRDefault="00592C80" w:rsidP="00742C16">
      <w:pPr>
        <w:numPr>
          <w:ilvl w:val="0"/>
          <w:numId w:val="2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50 mg/ml-es (5%-os) glükózoldat</w:t>
      </w:r>
      <w:r w:rsidR="009F6654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5C8F42EF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4168BF48" w14:textId="41C394E6" w:rsidR="00460E3E" w:rsidRPr="00742C16" w:rsidRDefault="00460E3E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</w:t>
      </w:r>
      <w:r w:rsidR="00C7280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hígított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oldat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klindamicin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-koncentrációja nem haladhatja meg a 18 mg</w:t>
      </w:r>
      <w:r w:rsidR="00C7280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/ml-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t. Az alkalmazás előtti hígításra vonatkozó további ajánlásokat lásd a 4.2 pontban.</w:t>
      </w:r>
    </w:p>
    <w:p w14:paraId="6D58EBA8" w14:textId="77777777" w:rsidR="00460E3E" w:rsidRPr="00742C16" w:rsidRDefault="00460E3E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7F07B45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Bármilyen fel nem használt gyógyszer, illetve hulladékanyag megsemmisítését a gyógyszerekre vonatkozó előírások szerint kell végrehajtani.</w:t>
      </w:r>
    </w:p>
    <w:p w14:paraId="659DA466" w14:textId="676CD401" w:rsidR="00592C80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275AE670" w14:textId="77777777" w:rsidR="009216EC" w:rsidRPr="009216EC" w:rsidRDefault="009216EC" w:rsidP="009216EC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216E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Megjegyzés: </w:t>
      </w:r>
      <w:r w:rsidRPr="009216EC">
        <w:rPr>
          <w:rFonts w:ascii="Times New Roman" w:eastAsia="Times New Roman" w:hAnsi="Times New Roman" w:cs="Times New Roman"/>
          <w:kern w:val="0"/>
          <w14:ligatures w14:val="none"/>
        </w:rPr>
        <w:sym w:font="Wingdings" w:char="F058"/>
      </w:r>
      <w:r w:rsidRPr="009216EC">
        <w:rPr>
          <w:rFonts w:ascii="Times New Roman" w:eastAsia="Times New Roman" w:hAnsi="Times New Roman" w:cs="Times New Roman"/>
          <w:kern w:val="0"/>
          <w14:ligatures w14:val="none"/>
        </w:rPr>
        <w:sym w:font="Wingdings" w:char="F058"/>
      </w:r>
      <w:r w:rsidRPr="009216EC">
        <w:rPr>
          <w:rFonts w:ascii="Times New Roman" w:eastAsia="Wingdings" w:hAnsi="Times New Roman" w:cs="Times New Roman"/>
          <w:kern w:val="0"/>
          <w14:ligatures w14:val="none"/>
        </w:rPr>
        <w:t xml:space="preserve"> </w:t>
      </w:r>
      <w:r w:rsidRPr="009216EC">
        <w:rPr>
          <w:rFonts w:ascii="Times New Roman" w:eastAsia="Times New Roman" w:hAnsi="Times New Roman" w:cs="Times New Roman"/>
          <w:kern w:val="0"/>
          <w14:ligatures w14:val="none"/>
        </w:rPr>
        <w:t>(két keresztes)</w:t>
      </w:r>
    </w:p>
    <w:p w14:paraId="65472822" w14:textId="77777777" w:rsidR="009216EC" w:rsidRPr="009216EC" w:rsidRDefault="009216EC" w:rsidP="009216EC">
      <w:pPr>
        <w:tabs>
          <w:tab w:val="left" w:pos="7098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216E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Osztályozás: </w:t>
      </w:r>
      <w:r w:rsidRPr="009216EC">
        <w:rPr>
          <w:rFonts w:ascii="Times New Roman" w:eastAsia="Times New Roman" w:hAnsi="Times New Roman" w:cs="Times New Roman"/>
          <w:b/>
          <w:kern w:val="0"/>
          <w14:ligatures w14:val="none"/>
        </w:rPr>
        <w:t>II./3 csoport</w:t>
      </w:r>
    </w:p>
    <w:p w14:paraId="550E15A9" w14:textId="073402AA" w:rsidR="009216EC" w:rsidRDefault="009216EC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9216EC">
        <w:rPr>
          <w:rFonts w:ascii="Times New Roman" w:eastAsia="Times New Roman" w:hAnsi="Times New Roman" w:cs="Times New Roman"/>
          <w:kern w:val="0"/>
          <w14:ligatures w14:val="none"/>
        </w:rPr>
        <w:t>Korlátozott érvényű orvosi rendelvényhez kötött, az egészségügyről szóló 1997. évi CLIV. törvény 3. §-</w:t>
      </w:r>
      <w:proofErr w:type="spellStart"/>
      <w:r w:rsidRPr="009216EC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9216E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9216EC">
        <w:rPr>
          <w:rFonts w:ascii="Times New Roman" w:eastAsia="Times New Roman" w:hAnsi="Times New Roman" w:cs="Times New Roman"/>
          <w:kern w:val="0"/>
          <w14:ligatures w14:val="none"/>
        </w:rPr>
        <w:t>ga</w:t>
      </w:r>
      <w:proofErr w:type="spellEnd"/>
      <w:r w:rsidRPr="009216EC">
        <w:rPr>
          <w:rFonts w:ascii="Times New Roman" w:eastAsia="Times New Roman" w:hAnsi="Times New Roman" w:cs="Times New Roman"/>
          <w:kern w:val="0"/>
          <w14:ligatures w14:val="none"/>
        </w:rPr>
        <w:t>) pontja szerinti rendelőintézeti járóbeteg-szakellátást vagy fekvőbeteg-szakellátást nyújtó szolgáltatók által biztosított körülmények között alkalmazható gyógyszer</w:t>
      </w:r>
      <w:r w:rsidRPr="009216E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(I).</w:t>
      </w:r>
    </w:p>
    <w:p w14:paraId="082F7D85" w14:textId="77777777" w:rsidR="009216EC" w:rsidRPr="00742C16" w:rsidRDefault="009216EC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6BB8CB92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2B669D2C" w14:textId="77777777" w:rsidR="00592C80" w:rsidRPr="00742C16" w:rsidRDefault="00592C80" w:rsidP="00742C16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aps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7.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</w:r>
      <w:r w:rsidRPr="00742C16">
        <w:rPr>
          <w:rFonts w:ascii="Times New Roman" w:eastAsia="Times New Roman" w:hAnsi="Times New Roman" w:cs="Times New Roman"/>
          <w:b/>
          <w:caps/>
          <w:kern w:val="0"/>
          <w:lang w:eastAsia="de-DE"/>
          <w14:ligatures w14:val="none"/>
        </w:rPr>
        <w:t>A forgalomba hozatali engedély jogosultja</w:t>
      </w:r>
    </w:p>
    <w:p w14:paraId="1AA861A6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b/>
          <w:kern w:val="0"/>
          <w:highlight w:val="yellow"/>
          <w:lang w:eastAsia="de-DE"/>
          <w14:ligatures w14:val="none"/>
        </w:rPr>
      </w:pPr>
    </w:p>
    <w:p w14:paraId="48B6EDC7" w14:textId="77777777" w:rsidR="00592C80" w:rsidRPr="00742C16" w:rsidRDefault="00592C80" w:rsidP="00742C16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AS KALCEKS</w:t>
      </w:r>
    </w:p>
    <w:p w14:paraId="0610CDFB" w14:textId="01A5FA73" w:rsidR="00592C80" w:rsidRPr="00742C16" w:rsidRDefault="00592C80" w:rsidP="00742C16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Krustpils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iela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71E</w:t>
      </w:r>
      <w:r w:rsidR="006024E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proofErr w:type="spellStart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Rīga</w:t>
      </w:r>
      <w:proofErr w:type="spellEnd"/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LV-1057</w:t>
      </w:r>
      <w:r w:rsidR="006024E0"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, </w:t>
      </w: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Lettország</w:t>
      </w:r>
    </w:p>
    <w:p w14:paraId="4DBACDC8" w14:textId="77777777" w:rsidR="00592C80" w:rsidRPr="00742C16" w:rsidRDefault="00592C80" w:rsidP="00742C16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Tel.: +371 67083320</w:t>
      </w:r>
    </w:p>
    <w:p w14:paraId="127542F5" w14:textId="77777777" w:rsidR="00592C80" w:rsidRPr="00742C16" w:rsidRDefault="00592C80" w:rsidP="00742C16">
      <w:pPr>
        <w:widowControl w:val="0"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E-mail: </w:t>
      </w:r>
      <w:hyperlink r:id="rId9" w:history="1">
        <w:r w:rsidRPr="00742C16">
          <w:rPr>
            <w:rFonts w:ascii="Times New Roman" w:eastAsia="Times New Roman" w:hAnsi="Times New Roman" w:cs="Times New Roman"/>
            <w:kern w:val="0"/>
            <w:u w:val="single"/>
            <w:lang w:eastAsia="de-DE"/>
            <w14:ligatures w14:val="none"/>
          </w:rPr>
          <w:t>kalceks@kalceks.lv</w:t>
        </w:r>
      </w:hyperlink>
    </w:p>
    <w:p w14:paraId="3796678D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highlight w:val="yellow"/>
          <w:lang w:eastAsia="de-DE"/>
          <w14:ligatures w14:val="none"/>
        </w:rPr>
      </w:pPr>
    </w:p>
    <w:p w14:paraId="200F6F0E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de-DE"/>
          <w14:ligatures w14:val="none"/>
        </w:rPr>
      </w:pPr>
    </w:p>
    <w:p w14:paraId="0B2435F8" w14:textId="77777777" w:rsidR="00592C80" w:rsidRPr="00742C16" w:rsidRDefault="00592C80" w:rsidP="00742C16">
      <w:pPr>
        <w:keepNext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8.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 FORGALOMBA HOZATALI ENGEDÉLY SZÁMA(I)</w:t>
      </w:r>
    </w:p>
    <w:p w14:paraId="07372252" w14:textId="77777777" w:rsidR="00592C80" w:rsidRPr="00742C16" w:rsidRDefault="00592C80" w:rsidP="00742C16">
      <w:pPr>
        <w:keepNext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2F61986E" w14:textId="5727571C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OGYI-T-24431/01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2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7832C42D" w14:textId="4B1FE991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OGYI-T-24431/02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2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7531A70E" w14:textId="3522D8CA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OGYI-T-24431/03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10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2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6FF91A6D" w14:textId="309EA7F2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OGYI-T-24431/04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4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0716825C" w14:textId="6F6FE2F5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OGYI-T-24431/05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4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100479E9" w14:textId="52E86590" w:rsidR="00A519F9" w:rsidRDefault="00A519F9" w:rsidP="00A519F9">
      <w:pPr>
        <w:tabs>
          <w:tab w:val="left" w:pos="2268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OGYI-T-24431/06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10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×</w:t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4 ml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ab/>
      </w:r>
      <w:r w:rsidRPr="00A519F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átlátszó üvegampullában</w:t>
      </w:r>
    </w:p>
    <w:p w14:paraId="0A672738" w14:textId="0DB9B79C" w:rsidR="00592C80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28C5899B" w14:textId="77777777" w:rsidR="00A519F9" w:rsidRPr="00742C16" w:rsidRDefault="00A519F9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325839E7" w14:textId="77777777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9.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 FORGALOMBA HOZATALI ENGEDÉLY ELSŐ KIADÁSÁNAK/ MEGÚJÍTÁSÁNAK DÁTUMA</w:t>
      </w:r>
    </w:p>
    <w:p w14:paraId="7DB2335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</w:p>
    <w:p w14:paraId="3868D4C5" w14:textId="10C2E64D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kern w:val="0"/>
          <w14:ligatures w14:val="none"/>
        </w:rPr>
        <w:t xml:space="preserve">A forgalomba hozatali engedély első kiadásának </w:t>
      </w:r>
      <w:proofErr w:type="gramStart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>dátuma</w:t>
      </w:r>
      <w:proofErr w:type="gramEnd"/>
      <w:r w:rsidRPr="00742C16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742C16">
        <w:rPr>
          <w:rFonts w:ascii="Times New Roman" w:eastAsia="Times New Roman" w:hAnsi="Times New Roman" w:cs="Times New Roman"/>
          <w:kern w:val="0"/>
          <w14:ligatures w14:val="none"/>
        </w:rPr>
        <w:t xml:space="preserve"> 2024. július </w:t>
      </w:r>
      <w:r w:rsidR="00A519F9">
        <w:rPr>
          <w:rFonts w:ascii="Times New Roman" w:eastAsia="Times New Roman" w:hAnsi="Times New Roman" w:cs="Times New Roman"/>
          <w:kern w:val="0"/>
          <w14:ligatures w14:val="none"/>
        </w:rPr>
        <w:t>29</w:t>
      </w:r>
      <w:r w:rsidR="00742C1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8B751B9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BC6FCFA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3BE3C356" w14:textId="068FA3E8" w:rsidR="00592C80" w:rsidRPr="00742C16" w:rsidRDefault="00592C80" w:rsidP="00742C16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</w:pP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>10.</w:t>
      </w:r>
      <w:r w:rsidRPr="00742C16">
        <w:rPr>
          <w:rFonts w:ascii="Times New Roman" w:eastAsia="Times New Roman" w:hAnsi="Times New Roman" w:cs="Times New Roman"/>
          <w:b/>
          <w:kern w:val="0"/>
          <w:lang w:eastAsia="de-DE"/>
          <w14:ligatures w14:val="none"/>
        </w:rPr>
        <w:tab/>
        <w:t>A SZÖVEG ELLENŐRZÉSÉNEK DÁTUMA</w:t>
      </w:r>
    </w:p>
    <w:p w14:paraId="2BC97CC8" w14:textId="77777777" w:rsidR="00592C80" w:rsidRPr="00742C16" w:rsidRDefault="00592C80" w:rsidP="00742C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</w:p>
    <w:p w14:paraId="5952DF76" w14:textId="5617D637" w:rsidR="00145300" w:rsidRDefault="00742C16" w:rsidP="00742C16">
      <w:pPr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2024. július </w:t>
      </w:r>
      <w:r w:rsidR="00A519F9">
        <w:rPr>
          <w:rFonts w:ascii="Times New Roman" w:hAnsi="Times New Roman" w:cs="Times New Roman"/>
          <w:kern w:val="0"/>
        </w:rPr>
        <w:t>29</w:t>
      </w:r>
      <w:bookmarkStart w:id="3" w:name="_GoBack"/>
      <w:bookmarkEnd w:id="3"/>
      <w:r>
        <w:rPr>
          <w:rFonts w:ascii="Times New Roman" w:hAnsi="Times New Roman" w:cs="Times New Roman"/>
          <w:kern w:val="0"/>
        </w:rPr>
        <w:t>.</w:t>
      </w:r>
    </w:p>
    <w:p w14:paraId="50EA9C62" w14:textId="3429F445" w:rsidR="00742C16" w:rsidRDefault="00742C16" w:rsidP="00742C16">
      <w:pPr>
        <w:spacing w:after="0" w:line="240" w:lineRule="auto"/>
        <w:rPr>
          <w:rFonts w:ascii="Times New Roman" w:hAnsi="Times New Roman" w:cs="Times New Roman"/>
          <w:kern w:val="0"/>
        </w:rPr>
      </w:pPr>
    </w:p>
    <w:p w14:paraId="488CD1C2" w14:textId="77777777" w:rsidR="00742C16" w:rsidRPr="00742C16" w:rsidRDefault="00742C16" w:rsidP="00742C16">
      <w:pPr>
        <w:spacing w:after="0" w:line="240" w:lineRule="auto"/>
        <w:rPr>
          <w:rFonts w:ascii="Times New Roman" w:hAnsi="Times New Roman" w:cs="Times New Roman"/>
          <w:kern w:val="0"/>
        </w:rPr>
      </w:pPr>
    </w:p>
    <w:sectPr w:rsidR="00742C16" w:rsidRPr="00742C16" w:rsidSect="00742C16">
      <w:headerReference w:type="even" r:id="rId10"/>
      <w:headerReference w:type="default" r:id="rId11"/>
      <w:footerReference w:type="first" r:id="rId12"/>
      <w:pgSz w:w="11906" w:h="16838" w:code="9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7C88E" w14:textId="77777777" w:rsidR="008D5BD7" w:rsidRDefault="008D5BD7">
      <w:pPr>
        <w:spacing w:after="0" w:line="240" w:lineRule="auto"/>
      </w:pPr>
      <w:r>
        <w:separator/>
      </w:r>
    </w:p>
  </w:endnote>
  <w:endnote w:type="continuationSeparator" w:id="0">
    <w:p w14:paraId="10F957E5" w14:textId="77777777" w:rsidR="008D5BD7" w:rsidRDefault="008D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628B5" w14:textId="3C407A65" w:rsidR="00AD4E30" w:rsidRPr="00D63AE3" w:rsidRDefault="00AD4E30" w:rsidP="00AD4E30">
    <w:pPr>
      <w:pStyle w:val="llb"/>
      <w:tabs>
        <w:tab w:val="right" w:pos="9072"/>
      </w:tabs>
      <w:jc w:val="left"/>
      <w:rPr>
        <w:rFonts w:ascii="Times New Roman" w:hAnsi="Times New Roman"/>
        <w:sz w:val="18"/>
        <w:szCs w:val="18"/>
      </w:rPr>
    </w:pPr>
    <w:r w:rsidRPr="00410842">
      <w:rPr>
        <w:rFonts w:ascii="Times New Roman" w:hAnsi="Times New Roman"/>
        <w:sz w:val="18"/>
        <w:szCs w:val="18"/>
      </w:rPr>
      <w:t>OGYÉI/81847/2021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08E9B" w14:textId="77777777" w:rsidR="008D5BD7" w:rsidRDefault="008D5BD7">
      <w:pPr>
        <w:spacing w:after="0" w:line="240" w:lineRule="auto"/>
      </w:pPr>
      <w:r>
        <w:separator/>
      </w:r>
    </w:p>
  </w:footnote>
  <w:footnote w:type="continuationSeparator" w:id="0">
    <w:p w14:paraId="2CED0FE3" w14:textId="77777777" w:rsidR="008D5BD7" w:rsidRDefault="008D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4C385" w14:textId="77777777" w:rsidR="00AD4E30" w:rsidRDefault="00AD4E30" w:rsidP="00AD4E3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68DAE5D" w14:textId="77777777" w:rsidR="00AD4E30" w:rsidRDefault="00AD4E3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AC2E6" w14:textId="44A35814" w:rsidR="00AD4E30" w:rsidRPr="006D6A48" w:rsidRDefault="00AD4E30" w:rsidP="00AD4E30">
    <w:pPr>
      <w:pStyle w:val="lfej"/>
      <w:jc w:val="center"/>
      <w:rPr>
        <w:rFonts w:ascii="Times New Roman" w:hAnsi="Times New Roman"/>
        <w:sz w:val="22"/>
        <w:szCs w:val="22"/>
        <w:lang w:val="en-GB"/>
      </w:rPr>
    </w:pPr>
    <w:r w:rsidRPr="00CE6DB3">
      <w:rPr>
        <w:rFonts w:ascii="Times New Roman" w:hAnsi="Times New Roman"/>
        <w:sz w:val="18"/>
      </w:rPr>
      <w:fldChar w:fldCharType="begin"/>
    </w:r>
    <w:r w:rsidRPr="00CE6DB3">
      <w:rPr>
        <w:rFonts w:ascii="Times New Roman" w:hAnsi="Times New Roman"/>
        <w:sz w:val="18"/>
      </w:rPr>
      <w:instrText>PAGE   \* MERGEFORMAT</w:instrText>
    </w:r>
    <w:r w:rsidRPr="00CE6DB3">
      <w:rPr>
        <w:rFonts w:ascii="Times New Roman" w:hAnsi="Times New Roman"/>
        <w:sz w:val="18"/>
      </w:rPr>
      <w:fldChar w:fldCharType="separate"/>
    </w:r>
    <w:r w:rsidR="00A519F9" w:rsidRPr="00A519F9">
      <w:rPr>
        <w:rFonts w:ascii="Times New Roman" w:hAnsi="Times New Roman"/>
        <w:noProof/>
        <w:sz w:val="18"/>
        <w:lang w:val="hu-HU"/>
      </w:rPr>
      <w:t>13</w:t>
    </w:r>
    <w:r w:rsidRPr="00CE6DB3">
      <w:rPr>
        <w:rFonts w:ascii="Times New Roman" w:hAnsi="Times New Roman"/>
        <w:sz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3287"/>
    <w:multiLevelType w:val="hybridMultilevel"/>
    <w:tmpl w:val="689219D4"/>
    <w:lvl w:ilvl="0" w:tplc="A9ACB9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87"/>
        </w:tabs>
        <w:ind w:left="8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5747"/>
        </w:tabs>
        <w:ind w:left="574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1527"/>
        </w:tabs>
        <w:ind w:left="152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247"/>
        </w:tabs>
        <w:ind w:left="224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2967"/>
        </w:tabs>
        <w:ind w:left="296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687"/>
        </w:tabs>
        <w:ind w:left="368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407"/>
        </w:tabs>
        <w:ind w:left="440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127"/>
        </w:tabs>
        <w:ind w:left="5127" w:hanging="360"/>
      </w:pPr>
      <w:rPr>
        <w:rFonts w:ascii="Wingdings" w:hAnsi="Wingdings" w:hint="default"/>
      </w:rPr>
    </w:lvl>
  </w:abstractNum>
  <w:abstractNum w:abstractNumId="1" w15:restartNumberingAfterBreak="0">
    <w:nsid w:val="13BE256E"/>
    <w:multiLevelType w:val="hybridMultilevel"/>
    <w:tmpl w:val="0980CEC6"/>
    <w:lvl w:ilvl="0" w:tplc="C464C5B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40F46"/>
    <w:multiLevelType w:val="hybridMultilevel"/>
    <w:tmpl w:val="2250B140"/>
    <w:lvl w:ilvl="0" w:tplc="7E7283BA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1" w:tplc="E3A4A476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2" w:tplc="D06EA0AE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3" w:tplc="D9D450CC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4" w:tplc="3302360C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5" w:tplc="F4E214AA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6" w:tplc="017A03D8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7" w:tplc="E8743236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  <w:lvl w:ilvl="8" w:tplc="950C6922">
      <w:start w:val="1"/>
      <w:numFmt w:val="bullet"/>
      <w:lvlText w:val=""/>
      <w:lvlJc w:val="left"/>
      <w:pPr>
        <w:ind w:left="128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80"/>
    <w:rsid w:val="0000657C"/>
    <w:rsid w:val="000C12EB"/>
    <w:rsid w:val="000C13B4"/>
    <w:rsid w:val="00102183"/>
    <w:rsid w:val="001231D7"/>
    <w:rsid w:val="00131CDB"/>
    <w:rsid w:val="00142B3E"/>
    <w:rsid w:val="00145300"/>
    <w:rsid w:val="00147255"/>
    <w:rsid w:val="00183FF4"/>
    <w:rsid w:val="001E610B"/>
    <w:rsid w:val="001E6EDE"/>
    <w:rsid w:val="00202A41"/>
    <w:rsid w:val="002449B5"/>
    <w:rsid w:val="00256696"/>
    <w:rsid w:val="00294C74"/>
    <w:rsid w:val="002A2F1A"/>
    <w:rsid w:val="002B3703"/>
    <w:rsid w:val="002D1A59"/>
    <w:rsid w:val="00325F97"/>
    <w:rsid w:val="00410842"/>
    <w:rsid w:val="00425A25"/>
    <w:rsid w:val="00446705"/>
    <w:rsid w:val="0045068E"/>
    <w:rsid w:val="00460E3E"/>
    <w:rsid w:val="004643ED"/>
    <w:rsid w:val="00470FDB"/>
    <w:rsid w:val="005331D1"/>
    <w:rsid w:val="00592C80"/>
    <w:rsid w:val="005B6980"/>
    <w:rsid w:val="005D1B38"/>
    <w:rsid w:val="005D1C78"/>
    <w:rsid w:val="006024E0"/>
    <w:rsid w:val="006E3E3F"/>
    <w:rsid w:val="00735255"/>
    <w:rsid w:val="00742C16"/>
    <w:rsid w:val="00744452"/>
    <w:rsid w:val="00765306"/>
    <w:rsid w:val="00776CD2"/>
    <w:rsid w:val="0078079B"/>
    <w:rsid w:val="007862F9"/>
    <w:rsid w:val="007D46EA"/>
    <w:rsid w:val="00821FCF"/>
    <w:rsid w:val="00825A12"/>
    <w:rsid w:val="00860E56"/>
    <w:rsid w:val="00867244"/>
    <w:rsid w:val="00873302"/>
    <w:rsid w:val="008C623D"/>
    <w:rsid w:val="008D5BD7"/>
    <w:rsid w:val="009216EC"/>
    <w:rsid w:val="009503C4"/>
    <w:rsid w:val="0096432F"/>
    <w:rsid w:val="00990523"/>
    <w:rsid w:val="009F08A5"/>
    <w:rsid w:val="009F6654"/>
    <w:rsid w:val="00A372EC"/>
    <w:rsid w:val="00A519F9"/>
    <w:rsid w:val="00A76378"/>
    <w:rsid w:val="00AC46FA"/>
    <w:rsid w:val="00AD4E30"/>
    <w:rsid w:val="00B210B5"/>
    <w:rsid w:val="00B708EF"/>
    <w:rsid w:val="00BD0401"/>
    <w:rsid w:val="00C145C1"/>
    <w:rsid w:val="00C25A96"/>
    <w:rsid w:val="00C3503B"/>
    <w:rsid w:val="00C428E2"/>
    <w:rsid w:val="00C46496"/>
    <w:rsid w:val="00C51AFF"/>
    <w:rsid w:val="00C660B9"/>
    <w:rsid w:val="00C7058B"/>
    <w:rsid w:val="00C7280E"/>
    <w:rsid w:val="00CA2894"/>
    <w:rsid w:val="00CB3107"/>
    <w:rsid w:val="00D423BA"/>
    <w:rsid w:val="00D53E8F"/>
    <w:rsid w:val="00DA7D61"/>
    <w:rsid w:val="00DB6DCF"/>
    <w:rsid w:val="00E000F8"/>
    <w:rsid w:val="00E40BD1"/>
    <w:rsid w:val="00EB1A78"/>
    <w:rsid w:val="00EB232E"/>
    <w:rsid w:val="00EE3F67"/>
    <w:rsid w:val="00EF1489"/>
    <w:rsid w:val="00F30BDA"/>
    <w:rsid w:val="00F54D96"/>
    <w:rsid w:val="00F7215F"/>
    <w:rsid w:val="00F779D2"/>
    <w:rsid w:val="00F80196"/>
    <w:rsid w:val="00F96B9E"/>
    <w:rsid w:val="00FC47BE"/>
    <w:rsid w:val="00FD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1EF3"/>
  <w15:chartTrackingRefBased/>
  <w15:docId w15:val="{4E226F93-9948-4650-A6DE-7FFABD59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592C80"/>
    <w:pPr>
      <w:keepNext/>
      <w:spacing w:before="360" w:after="120" w:line="240" w:lineRule="auto"/>
      <w:outlineLvl w:val="0"/>
    </w:pPr>
    <w:rPr>
      <w:rFonts w:ascii="Arial" w:eastAsia="Times New Roman" w:hAnsi="Arial" w:cs="Times New Roman"/>
      <w:b/>
      <w:kern w:val="28"/>
      <w:sz w:val="24"/>
      <w:szCs w:val="20"/>
      <w:lang w:val="de-DE" w:eastAsia="de-DE"/>
      <w14:ligatures w14:val="none"/>
    </w:rPr>
  </w:style>
  <w:style w:type="paragraph" w:styleId="Cmsor2">
    <w:name w:val="heading 2"/>
    <w:basedOn w:val="Norml"/>
    <w:next w:val="Norml"/>
    <w:link w:val="Cmsor2Char"/>
    <w:qFormat/>
    <w:rsid w:val="00592C80"/>
    <w:pPr>
      <w:keepNext/>
      <w:spacing w:before="240" w:after="120" w:line="340" w:lineRule="exact"/>
      <w:ind w:left="709" w:hanging="709"/>
      <w:outlineLvl w:val="1"/>
    </w:pPr>
    <w:rPr>
      <w:rFonts w:ascii="Arial" w:eastAsia="Times New Roman" w:hAnsi="Arial" w:cs="Times New Roman"/>
      <w:b/>
      <w:kern w:val="0"/>
      <w:szCs w:val="20"/>
      <w:lang w:val="de-DE" w:eastAsia="de-DE"/>
      <w14:ligatures w14:val="none"/>
    </w:rPr>
  </w:style>
  <w:style w:type="paragraph" w:styleId="Cmsor3">
    <w:name w:val="heading 3"/>
    <w:basedOn w:val="Norml"/>
    <w:next w:val="Norml"/>
    <w:link w:val="Cmsor3Char"/>
    <w:qFormat/>
    <w:rsid w:val="00592C80"/>
    <w:pPr>
      <w:keepNext/>
      <w:spacing w:before="120" w:after="60" w:line="340" w:lineRule="exact"/>
      <w:jc w:val="both"/>
      <w:outlineLvl w:val="2"/>
    </w:pPr>
    <w:rPr>
      <w:rFonts w:ascii="Arial" w:eastAsia="Times New Roman" w:hAnsi="Arial" w:cs="Times New Roman"/>
      <w:b/>
      <w:kern w:val="0"/>
      <w:sz w:val="20"/>
      <w:szCs w:val="20"/>
      <w:lang w:val="de-DE" w:eastAsia="de-DE"/>
      <w14:ligatures w14:val="none"/>
    </w:rPr>
  </w:style>
  <w:style w:type="paragraph" w:styleId="Cmsor4">
    <w:name w:val="heading 4"/>
    <w:basedOn w:val="Norml"/>
    <w:next w:val="Norml"/>
    <w:link w:val="Cmsor4Char"/>
    <w:qFormat/>
    <w:rsid w:val="00592C80"/>
    <w:pPr>
      <w:keepNext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i/>
      <w:kern w:val="0"/>
      <w:sz w:val="20"/>
      <w:szCs w:val="20"/>
      <w:lang w:val="de-DE" w:eastAsia="de-DE"/>
      <w14:ligatures w14:val="none"/>
    </w:rPr>
  </w:style>
  <w:style w:type="paragraph" w:styleId="Cmsor5">
    <w:name w:val="heading 5"/>
    <w:basedOn w:val="Norml"/>
    <w:next w:val="Norml"/>
    <w:link w:val="Cmsor5Char"/>
    <w:qFormat/>
    <w:rsid w:val="00592C80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Cmsor6">
    <w:name w:val="heading 6"/>
    <w:basedOn w:val="Norml"/>
    <w:next w:val="Norml"/>
    <w:link w:val="Cmsor6Char"/>
    <w:qFormat/>
    <w:rsid w:val="00592C80"/>
    <w:pPr>
      <w:spacing w:before="240" w:after="60" w:line="240" w:lineRule="auto"/>
      <w:jc w:val="both"/>
      <w:outlineLvl w:val="5"/>
    </w:pPr>
    <w:rPr>
      <w:rFonts w:ascii="Arial" w:eastAsia="Times New Roman" w:hAnsi="Arial" w:cs="Times New Roman"/>
      <w:i/>
      <w:kern w:val="0"/>
      <w:sz w:val="20"/>
      <w:szCs w:val="20"/>
      <w:lang w:val="de-DE" w:eastAsia="de-DE"/>
      <w14:ligatures w14:val="none"/>
    </w:rPr>
  </w:style>
  <w:style w:type="paragraph" w:styleId="Cmsor7">
    <w:name w:val="heading 7"/>
    <w:basedOn w:val="Norml"/>
    <w:next w:val="Norml"/>
    <w:link w:val="Cmsor7Char"/>
    <w:qFormat/>
    <w:rsid w:val="00592C80"/>
    <w:pPr>
      <w:spacing w:before="240" w:after="60" w:line="240" w:lineRule="auto"/>
      <w:jc w:val="both"/>
      <w:outlineLvl w:val="6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Cmsor8">
    <w:name w:val="heading 8"/>
    <w:basedOn w:val="Norml"/>
    <w:next w:val="Norml"/>
    <w:link w:val="Cmsor8Char"/>
    <w:qFormat/>
    <w:rsid w:val="00592C80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kern w:val="0"/>
      <w:sz w:val="20"/>
      <w:szCs w:val="20"/>
      <w:lang w:val="de-DE" w:eastAsia="de-DE"/>
      <w14:ligatures w14:val="none"/>
    </w:rPr>
  </w:style>
  <w:style w:type="paragraph" w:styleId="Cmsor9">
    <w:name w:val="heading 9"/>
    <w:basedOn w:val="Norml"/>
    <w:next w:val="Norml"/>
    <w:link w:val="Cmsor9Char"/>
    <w:qFormat/>
    <w:rsid w:val="00592C80"/>
    <w:pPr>
      <w:spacing w:before="240" w:after="60" w:line="240" w:lineRule="auto"/>
      <w:jc w:val="both"/>
      <w:outlineLvl w:val="8"/>
    </w:pPr>
    <w:rPr>
      <w:rFonts w:ascii="Arial" w:eastAsia="Times New Roman" w:hAnsi="Arial" w:cs="Times New Roman"/>
      <w:i/>
      <w:kern w:val="0"/>
      <w:sz w:val="18"/>
      <w:szCs w:val="20"/>
      <w:lang w:val="de-DE" w:eastAsia="de-DE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92C80"/>
    <w:rPr>
      <w:rFonts w:ascii="Arial" w:eastAsia="Times New Roman" w:hAnsi="Arial" w:cs="Times New Roman"/>
      <w:b/>
      <w:kern w:val="28"/>
      <w:sz w:val="24"/>
      <w:szCs w:val="20"/>
      <w:lang w:val="de-DE" w:eastAsia="de-DE"/>
      <w14:ligatures w14:val="none"/>
    </w:rPr>
  </w:style>
  <w:style w:type="character" w:customStyle="1" w:styleId="Cmsor2Char">
    <w:name w:val="Címsor 2 Char"/>
    <w:basedOn w:val="Bekezdsalapbettpusa"/>
    <w:link w:val="Cmsor2"/>
    <w:rsid w:val="00592C80"/>
    <w:rPr>
      <w:rFonts w:ascii="Arial" w:eastAsia="Times New Roman" w:hAnsi="Arial" w:cs="Times New Roman"/>
      <w:b/>
      <w:kern w:val="0"/>
      <w:szCs w:val="20"/>
      <w:lang w:val="de-DE" w:eastAsia="de-DE"/>
      <w14:ligatures w14:val="none"/>
    </w:rPr>
  </w:style>
  <w:style w:type="character" w:customStyle="1" w:styleId="Cmsor3Char">
    <w:name w:val="Címsor 3 Char"/>
    <w:basedOn w:val="Bekezdsalapbettpusa"/>
    <w:link w:val="Cmsor3"/>
    <w:rsid w:val="00592C80"/>
    <w:rPr>
      <w:rFonts w:ascii="Arial" w:eastAsia="Times New Roman" w:hAnsi="Arial" w:cs="Times New Roman"/>
      <w:b/>
      <w:kern w:val="0"/>
      <w:sz w:val="20"/>
      <w:szCs w:val="20"/>
      <w:lang w:val="de-DE" w:eastAsia="de-DE"/>
      <w14:ligatures w14:val="none"/>
    </w:rPr>
  </w:style>
  <w:style w:type="character" w:customStyle="1" w:styleId="Cmsor4Char">
    <w:name w:val="Címsor 4 Char"/>
    <w:basedOn w:val="Bekezdsalapbettpusa"/>
    <w:link w:val="Cmsor4"/>
    <w:rsid w:val="00592C80"/>
    <w:rPr>
      <w:rFonts w:ascii="Arial" w:eastAsia="Times New Roman" w:hAnsi="Arial" w:cs="Times New Roman"/>
      <w:b/>
      <w:i/>
      <w:kern w:val="0"/>
      <w:sz w:val="20"/>
      <w:szCs w:val="20"/>
      <w:lang w:val="de-DE" w:eastAsia="de-DE"/>
      <w14:ligatures w14:val="none"/>
    </w:rPr>
  </w:style>
  <w:style w:type="character" w:customStyle="1" w:styleId="Cmsor5Char">
    <w:name w:val="Címsor 5 Char"/>
    <w:basedOn w:val="Bekezdsalapbettpusa"/>
    <w:link w:val="Cmsor5"/>
    <w:rsid w:val="00592C80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customStyle="1" w:styleId="Cmsor6Char">
    <w:name w:val="Címsor 6 Char"/>
    <w:basedOn w:val="Bekezdsalapbettpusa"/>
    <w:link w:val="Cmsor6"/>
    <w:rsid w:val="00592C80"/>
    <w:rPr>
      <w:rFonts w:ascii="Arial" w:eastAsia="Times New Roman" w:hAnsi="Arial" w:cs="Times New Roman"/>
      <w:i/>
      <w:kern w:val="0"/>
      <w:sz w:val="20"/>
      <w:szCs w:val="20"/>
      <w:lang w:val="de-DE" w:eastAsia="de-DE"/>
      <w14:ligatures w14:val="none"/>
    </w:rPr>
  </w:style>
  <w:style w:type="character" w:customStyle="1" w:styleId="Cmsor7Char">
    <w:name w:val="Címsor 7 Char"/>
    <w:basedOn w:val="Bekezdsalapbettpusa"/>
    <w:link w:val="Cmsor7"/>
    <w:rsid w:val="00592C80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customStyle="1" w:styleId="Cmsor8Char">
    <w:name w:val="Címsor 8 Char"/>
    <w:basedOn w:val="Bekezdsalapbettpusa"/>
    <w:link w:val="Cmsor8"/>
    <w:rsid w:val="00592C80"/>
    <w:rPr>
      <w:rFonts w:ascii="Arial" w:eastAsia="Times New Roman" w:hAnsi="Arial" w:cs="Times New Roman"/>
      <w:i/>
      <w:kern w:val="0"/>
      <w:sz w:val="20"/>
      <w:szCs w:val="20"/>
      <w:lang w:val="de-DE" w:eastAsia="de-DE"/>
      <w14:ligatures w14:val="none"/>
    </w:rPr>
  </w:style>
  <w:style w:type="character" w:customStyle="1" w:styleId="Cmsor9Char">
    <w:name w:val="Címsor 9 Char"/>
    <w:basedOn w:val="Bekezdsalapbettpusa"/>
    <w:link w:val="Cmsor9"/>
    <w:rsid w:val="00592C80"/>
    <w:rPr>
      <w:rFonts w:ascii="Arial" w:eastAsia="Times New Roman" w:hAnsi="Arial" w:cs="Times New Roman"/>
      <w:i/>
      <w:kern w:val="0"/>
      <w:sz w:val="18"/>
      <w:szCs w:val="20"/>
      <w:lang w:val="de-DE" w:eastAsia="de-DE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592C80"/>
  </w:style>
  <w:style w:type="paragraph" w:styleId="Lbjegyzetszveg">
    <w:name w:val="footnote text"/>
    <w:basedOn w:val="Norml"/>
    <w:link w:val="LbjegyzetszvegChar"/>
    <w:semiHidden/>
    <w:rsid w:val="00592C80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en-US" w:eastAsia="de-DE"/>
      <w14:ligatures w14:val="none"/>
    </w:rPr>
  </w:style>
  <w:style w:type="character" w:customStyle="1" w:styleId="LbjegyzetszvegChar">
    <w:name w:val="Lábjegyzetszöveg Char"/>
    <w:basedOn w:val="Bekezdsalapbettpusa"/>
    <w:link w:val="Lbjegyzetszveg"/>
    <w:semiHidden/>
    <w:rsid w:val="00592C80"/>
    <w:rPr>
      <w:rFonts w:ascii="Arial" w:eastAsia="Times New Roman" w:hAnsi="Arial" w:cs="Times New Roman"/>
      <w:kern w:val="0"/>
      <w:szCs w:val="20"/>
      <w:lang w:val="en-US" w:eastAsia="de-DE"/>
      <w14:ligatures w14:val="none"/>
    </w:rPr>
  </w:style>
  <w:style w:type="character" w:styleId="Lbjegyzet-hivatkozs">
    <w:name w:val="footnote reference"/>
    <w:semiHidden/>
    <w:rsid w:val="00592C80"/>
    <w:rPr>
      <w:position w:val="6"/>
      <w:sz w:val="16"/>
    </w:rPr>
  </w:style>
  <w:style w:type="paragraph" w:styleId="llb">
    <w:name w:val="footer"/>
    <w:basedOn w:val="Norml"/>
    <w:link w:val="llbChar"/>
    <w:rsid w:val="00592C80"/>
    <w:pPr>
      <w:spacing w:after="0" w:line="240" w:lineRule="auto"/>
      <w:jc w:val="right"/>
    </w:pPr>
    <w:rPr>
      <w:rFonts w:ascii="Helvetica" w:eastAsia="Times New Roman" w:hAnsi="Helvetica" w:cs="Times New Roman"/>
      <w:kern w:val="0"/>
      <w:sz w:val="16"/>
      <w:szCs w:val="20"/>
      <w:lang w:val="de-DE" w:eastAsia="de-DE"/>
      <w14:ligatures w14:val="none"/>
    </w:rPr>
  </w:style>
  <w:style w:type="character" w:customStyle="1" w:styleId="llbChar">
    <w:name w:val="Élőláb Char"/>
    <w:basedOn w:val="Bekezdsalapbettpusa"/>
    <w:link w:val="llb"/>
    <w:rsid w:val="00592C80"/>
    <w:rPr>
      <w:rFonts w:ascii="Helvetica" w:eastAsia="Times New Roman" w:hAnsi="Helvetica" w:cs="Times New Roman"/>
      <w:kern w:val="0"/>
      <w:sz w:val="16"/>
      <w:szCs w:val="20"/>
      <w:lang w:val="de-DE" w:eastAsia="de-DE"/>
      <w14:ligatures w14:val="none"/>
    </w:rPr>
  </w:style>
  <w:style w:type="paragraph" w:styleId="lfej">
    <w:name w:val="header"/>
    <w:basedOn w:val="Norml"/>
    <w:link w:val="lfejChar"/>
    <w:uiPriority w:val="99"/>
    <w:rsid w:val="00592C80"/>
    <w:pPr>
      <w:spacing w:after="0" w:line="240" w:lineRule="auto"/>
      <w:jc w:val="right"/>
    </w:pPr>
    <w:rPr>
      <w:rFonts w:ascii="Helvetica" w:eastAsia="Times New Roman" w:hAnsi="Helvetica" w:cs="Times New Roman"/>
      <w:kern w:val="0"/>
      <w:sz w:val="16"/>
      <w:szCs w:val="20"/>
      <w:lang w:val="de-DE" w:eastAsia="de-DE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592C80"/>
    <w:rPr>
      <w:rFonts w:ascii="Helvetica" w:eastAsia="Times New Roman" w:hAnsi="Helvetica" w:cs="Times New Roman"/>
      <w:kern w:val="0"/>
      <w:sz w:val="16"/>
      <w:szCs w:val="20"/>
      <w:lang w:val="de-DE" w:eastAsia="de-DE"/>
      <w14:ligatures w14:val="none"/>
    </w:rPr>
  </w:style>
  <w:style w:type="character" w:styleId="Oldalszm">
    <w:name w:val="page number"/>
    <w:basedOn w:val="Bekezdsalapbettpusa"/>
    <w:rsid w:val="00592C80"/>
  </w:style>
  <w:style w:type="paragraph" w:customStyle="1" w:styleId="TI">
    <w:name w:val="TI"/>
    <w:basedOn w:val="Norml"/>
    <w:rsid w:val="00592C80"/>
    <w:pPr>
      <w:spacing w:before="240" w:after="240" w:line="360" w:lineRule="auto"/>
      <w:jc w:val="center"/>
    </w:pPr>
    <w:rPr>
      <w:rFonts w:ascii="Helvetica" w:eastAsia="Times New Roman" w:hAnsi="Helvetica" w:cs="Times New Roman"/>
      <w:b/>
      <w:kern w:val="0"/>
      <w:sz w:val="28"/>
      <w:szCs w:val="20"/>
      <w:lang w:val="de-DE" w:eastAsia="de-DE"/>
      <w14:ligatures w14:val="none"/>
    </w:rPr>
  </w:style>
  <w:style w:type="paragraph" w:customStyle="1" w:styleId="berschrift-3">
    <w:name w:val="Überschrift-3"/>
    <w:basedOn w:val="Norml"/>
    <w:rsid w:val="00592C80"/>
    <w:pPr>
      <w:keepNext/>
      <w:tabs>
        <w:tab w:val="left" w:pos="483"/>
        <w:tab w:val="left" w:pos="993"/>
      </w:tabs>
      <w:spacing w:after="320" w:line="360" w:lineRule="atLeast"/>
      <w:ind w:left="992" w:hanging="992"/>
    </w:pPr>
    <w:rPr>
      <w:rFonts w:ascii="Univers (W1)" w:eastAsia="Times New Roman" w:hAnsi="Univers (W1)" w:cs="Times New Roman"/>
      <w:b/>
      <w:kern w:val="0"/>
      <w:sz w:val="20"/>
      <w:szCs w:val="20"/>
      <w:lang w:val="de-DE" w:eastAsia="de-DE"/>
      <w14:ligatures w14:val="none"/>
    </w:rPr>
  </w:style>
  <w:style w:type="paragraph" w:styleId="TJ1">
    <w:name w:val="toc 1"/>
    <w:basedOn w:val="Norml"/>
    <w:next w:val="Norml"/>
    <w:autoRedefine/>
    <w:semiHidden/>
    <w:rsid w:val="00592C80"/>
    <w:pPr>
      <w:tabs>
        <w:tab w:val="left" w:pos="851"/>
        <w:tab w:val="right" w:leader="dot" w:pos="9072"/>
      </w:tabs>
      <w:spacing w:after="0" w:line="240" w:lineRule="auto"/>
    </w:pPr>
    <w:rPr>
      <w:rFonts w:ascii="Arial" w:eastAsia="Times New Roman" w:hAnsi="Arial" w:cs="Times New Roman"/>
      <w:b/>
      <w:noProof/>
      <w:kern w:val="0"/>
      <w:sz w:val="20"/>
      <w:szCs w:val="20"/>
      <w:lang w:val="de-DE" w:eastAsia="de-DE"/>
      <w14:ligatures w14:val="none"/>
    </w:rPr>
  </w:style>
  <w:style w:type="paragraph" w:styleId="TJ2">
    <w:name w:val="toc 2"/>
    <w:basedOn w:val="TJ1"/>
    <w:next w:val="Norml"/>
    <w:autoRedefine/>
    <w:semiHidden/>
    <w:rsid w:val="00592C80"/>
    <w:pPr>
      <w:ind w:left="851" w:right="567" w:hanging="851"/>
    </w:pPr>
  </w:style>
  <w:style w:type="paragraph" w:styleId="TJ3">
    <w:name w:val="toc 3"/>
    <w:basedOn w:val="Cmsor2"/>
    <w:next w:val="Norml"/>
    <w:autoRedefine/>
    <w:semiHidden/>
    <w:rsid w:val="00592C80"/>
    <w:pPr>
      <w:keepNext w:val="0"/>
      <w:tabs>
        <w:tab w:val="left" w:pos="851"/>
        <w:tab w:val="right" w:leader="dot" w:pos="9072"/>
      </w:tabs>
      <w:spacing w:before="0"/>
      <w:ind w:left="851" w:hanging="851"/>
      <w:outlineLvl w:val="9"/>
    </w:pPr>
    <w:rPr>
      <w:noProof/>
    </w:rPr>
  </w:style>
  <w:style w:type="paragraph" w:styleId="TJ4">
    <w:name w:val="toc 4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44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TJ5">
    <w:name w:val="toc 5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66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TJ6">
    <w:name w:val="toc 6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88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TJ7">
    <w:name w:val="toc 7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110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TJ8">
    <w:name w:val="toc 8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132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TJ9">
    <w:name w:val="toc 9"/>
    <w:basedOn w:val="Norml"/>
    <w:next w:val="Norml"/>
    <w:autoRedefine/>
    <w:semiHidden/>
    <w:rsid w:val="00592C80"/>
    <w:pPr>
      <w:tabs>
        <w:tab w:val="right" w:leader="dot" w:pos="9072"/>
      </w:tabs>
      <w:spacing w:after="0" w:line="240" w:lineRule="auto"/>
      <w:ind w:left="1540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customStyle="1" w:styleId="Einrckung1">
    <w:name w:val="Einrückung1"/>
    <w:basedOn w:val="Norml"/>
    <w:rsid w:val="00592C80"/>
    <w:pPr>
      <w:spacing w:after="0" w:line="240" w:lineRule="auto"/>
      <w:ind w:left="709"/>
    </w:pPr>
    <w:rPr>
      <w:rFonts w:ascii="Futura Bk BT" w:eastAsia="Times New Roman" w:hAnsi="Futura Bk BT" w:cs="Times New Roman"/>
      <w:noProof/>
      <w:kern w:val="0"/>
      <w:sz w:val="24"/>
      <w:szCs w:val="20"/>
      <w:lang w:val="de-DE" w:eastAsia="de-DE"/>
      <w14:ligatures w14:val="none"/>
    </w:rPr>
  </w:style>
  <w:style w:type="paragraph" w:styleId="Szvegtrzs">
    <w:name w:val="Body Text"/>
    <w:basedOn w:val="Norml"/>
    <w:link w:val="SzvegtrzsChar"/>
    <w:rsid w:val="00592C80"/>
    <w:pPr>
      <w:spacing w:after="0" w:line="240" w:lineRule="auto"/>
    </w:pPr>
    <w:rPr>
      <w:rFonts w:ascii="Arial" w:eastAsia="Times New Roman" w:hAnsi="Arial" w:cs="Times New Roman"/>
      <w:kern w:val="0"/>
      <w:szCs w:val="20"/>
      <w:lang w:val="en-GB" w:eastAsia="de-DE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592C80"/>
    <w:rPr>
      <w:rFonts w:ascii="Arial" w:eastAsia="Times New Roman" w:hAnsi="Arial" w:cs="Times New Roman"/>
      <w:kern w:val="0"/>
      <w:szCs w:val="20"/>
      <w:lang w:val="en-GB" w:eastAsia="de-DE"/>
      <w14:ligatures w14:val="none"/>
    </w:rPr>
  </w:style>
  <w:style w:type="paragraph" w:customStyle="1" w:styleId="Strich1">
    <w:name w:val="Strich1"/>
    <w:rsid w:val="00592C80"/>
    <w:pPr>
      <w:tabs>
        <w:tab w:val="left" w:pos="456"/>
      </w:tabs>
      <w:spacing w:after="0" w:line="240" w:lineRule="auto"/>
      <w:ind w:left="453" w:hanging="113"/>
    </w:pPr>
    <w:rPr>
      <w:rFonts w:ascii="Futura Bk BT" w:eastAsia="Times New Roman" w:hAnsi="Futura Bk BT" w:cs="Times New Roman"/>
      <w:color w:val="000000"/>
      <w:kern w:val="0"/>
      <w:sz w:val="24"/>
      <w:szCs w:val="20"/>
      <w:lang w:val="de-DE" w:eastAsia="de-DE"/>
      <w14:ligatures w14:val="none"/>
    </w:rPr>
  </w:style>
  <w:style w:type="paragraph" w:customStyle="1" w:styleId="Trennung">
    <w:name w:val="Trennung"/>
    <w:basedOn w:val="Cmsor1"/>
    <w:rsid w:val="00592C80"/>
    <w:pPr>
      <w:tabs>
        <w:tab w:val="left" w:pos="709"/>
      </w:tabs>
      <w:spacing w:before="0" w:after="0"/>
      <w:outlineLvl w:val="9"/>
    </w:pPr>
    <w:rPr>
      <w:rFonts w:ascii="Futura Bk BT" w:hAnsi="Futura Bk BT"/>
      <w:b w:val="0"/>
      <w:kern w:val="0"/>
      <w:sz w:val="6"/>
    </w:rPr>
  </w:style>
  <w:style w:type="paragraph" w:customStyle="1" w:styleId="knZulassung02">
    <w:name w:val="knZulassung02"/>
    <w:basedOn w:val="Norml"/>
    <w:rsid w:val="00592C80"/>
    <w:pPr>
      <w:spacing w:after="0" w:line="240" w:lineRule="auto"/>
      <w:ind w:left="1843" w:right="284"/>
    </w:pPr>
    <w:rPr>
      <w:rFonts w:ascii="Courier" w:eastAsia="Times New Roman" w:hAnsi="Courier" w:cs="Times New Roman"/>
      <w:kern w:val="0"/>
      <w:sz w:val="24"/>
      <w:szCs w:val="20"/>
      <w:lang w:val="de-DE" w:eastAsia="de-DE"/>
      <w14:ligatures w14:val="none"/>
    </w:rPr>
  </w:style>
  <w:style w:type="paragraph" w:styleId="Szvegtrzsbehzssal3">
    <w:name w:val="Body Text Indent 3"/>
    <w:basedOn w:val="Norml"/>
    <w:link w:val="Szvegtrzsbehzssal3Char"/>
    <w:rsid w:val="00592C80"/>
    <w:pPr>
      <w:spacing w:after="0" w:line="240" w:lineRule="auto"/>
      <w:ind w:left="709"/>
    </w:pPr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character" w:customStyle="1" w:styleId="Szvegtrzsbehzssal3Char">
    <w:name w:val="Szövegtörzs behúzással 3 Char"/>
    <w:basedOn w:val="Bekezdsalapbettpusa"/>
    <w:link w:val="Szvegtrzsbehzssal3"/>
    <w:rsid w:val="00592C80"/>
    <w:rPr>
      <w:rFonts w:ascii="Arial" w:eastAsia="Times New Roman" w:hAnsi="Arial" w:cs="Times New Roman"/>
      <w:kern w:val="0"/>
      <w:sz w:val="18"/>
      <w:szCs w:val="20"/>
      <w:lang w:val="de-DE" w:eastAsia="de-DE"/>
      <w14:ligatures w14:val="none"/>
    </w:rPr>
  </w:style>
  <w:style w:type="paragraph" w:styleId="Szvegtrzsbehzssal">
    <w:name w:val="Body Text Indent"/>
    <w:basedOn w:val="Norml"/>
    <w:link w:val="SzvegtrzsbehzssalChar"/>
    <w:rsid w:val="00592C80"/>
    <w:pPr>
      <w:spacing w:after="0" w:line="240" w:lineRule="auto"/>
      <w:ind w:left="720" w:hanging="720"/>
      <w:jc w:val="both"/>
    </w:pPr>
    <w:rPr>
      <w:rFonts w:ascii="Arial" w:eastAsia="Times New Roman" w:hAnsi="Arial" w:cs="Times New Roman"/>
      <w:kern w:val="0"/>
      <w:sz w:val="20"/>
      <w:szCs w:val="20"/>
      <w:lang w:val="en-US" w:eastAsia="de-DE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rsid w:val="00592C80"/>
    <w:rPr>
      <w:rFonts w:ascii="Arial" w:eastAsia="Times New Roman" w:hAnsi="Arial" w:cs="Times New Roman"/>
      <w:kern w:val="0"/>
      <w:sz w:val="20"/>
      <w:szCs w:val="20"/>
      <w:lang w:val="en-US" w:eastAsia="de-DE"/>
      <w14:ligatures w14:val="none"/>
    </w:rPr>
  </w:style>
  <w:style w:type="paragraph" w:styleId="Szvegtrzsbehzssal2">
    <w:name w:val="Body Text Indent 2"/>
    <w:basedOn w:val="Norml"/>
    <w:link w:val="Szvegtrzsbehzssal2Char"/>
    <w:rsid w:val="00592C80"/>
    <w:pPr>
      <w:spacing w:after="0" w:line="240" w:lineRule="auto"/>
      <w:ind w:left="709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customStyle="1" w:styleId="Szvegtrzsbehzssal2Char">
    <w:name w:val="Szövegtörzs behúzással 2 Char"/>
    <w:basedOn w:val="Bekezdsalapbettpusa"/>
    <w:link w:val="Szvegtrzsbehzssal2"/>
    <w:rsid w:val="00592C80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styleId="Jegyzethivatkozs">
    <w:name w:val="annotation reference"/>
    <w:semiHidden/>
    <w:rsid w:val="00592C80"/>
    <w:rPr>
      <w:sz w:val="16"/>
    </w:rPr>
  </w:style>
  <w:style w:type="paragraph" w:styleId="Jegyzetszveg">
    <w:name w:val="annotation text"/>
    <w:basedOn w:val="Norml"/>
    <w:link w:val="JegyzetszvegChar"/>
    <w:semiHidden/>
    <w:rsid w:val="00592C80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customStyle="1" w:styleId="JegyzetszvegChar">
    <w:name w:val="Jegyzetszöveg Char"/>
    <w:basedOn w:val="Bekezdsalapbettpusa"/>
    <w:link w:val="Jegyzetszveg"/>
    <w:semiHidden/>
    <w:rsid w:val="00592C80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Buborkszveg">
    <w:name w:val="Balloon Text"/>
    <w:basedOn w:val="Norml"/>
    <w:link w:val="BuborkszvegChar"/>
    <w:semiHidden/>
    <w:rsid w:val="00592C80"/>
    <w:pPr>
      <w:spacing w:after="0" w:line="240" w:lineRule="auto"/>
      <w:jc w:val="both"/>
    </w:pPr>
    <w:rPr>
      <w:rFonts w:ascii="Tahoma" w:eastAsia="Times New Roman" w:hAnsi="Tahoma" w:cs="Tahoma"/>
      <w:kern w:val="0"/>
      <w:sz w:val="16"/>
      <w:szCs w:val="16"/>
      <w:lang w:val="de-DE" w:eastAsia="de-DE"/>
      <w14:ligatures w14:val="none"/>
    </w:rPr>
  </w:style>
  <w:style w:type="character" w:customStyle="1" w:styleId="BuborkszvegChar">
    <w:name w:val="Buborékszöveg Char"/>
    <w:basedOn w:val="Bekezdsalapbettpusa"/>
    <w:link w:val="Buborkszveg"/>
    <w:semiHidden/>
    <w:rsid w:val="00592C80"/>
    <w:rPr>
      <w:rFonts w:ascii="Tahoma" w:eastAsia="Times New Roman" w:hAnsi="Tahoma" w:cs="Tahoma"/>
      <w:kern w:val="0"/>
      <w:sz w:val="16"/>
      <w:szCs w:val="16"/>
      <w:lang w:val="de-DE" w:eastAsia="de-DE"/>
      <w14:ligatures w14:val="none"/>
    </w:rPr>
  </w:style>
  <w:style w:type="paragraph" w:customStyle="1" w:styleId="Absatz06">
    <w:name w:val="_Absatz /06"/>
    <w:basedOn w:val="Norml"/>
    <w:rsid w:val="00592C80"/>
    <w:pPr>
      <w:spacing w:after="120" w:line="260" w:lineRule="atLeast"/>
      <w:ind w:left="567"/>
      <w:jc w:val="both"/>
    </w:pPr>
    <w:rPr>
      <w:rFonts w:ascii="Arial" w:eastAsia="MS Mincho" w:hAnsi="Arial" w:cs="Arial"/>
      <w:kern w:val="0"/>
      <w:sz w:val="20"/>
      <w:szCs w:val="20"/>
      <w:lang w:val="de-DE"/>
      <w14:ligatures w14:val="none"/>
    </w:rPr>
  </w:style>
  <w:style w:type="paragraph" w:customStyle="1" w:styleId="Abs06">
    <w:name w:val="_Abs. /06"/>
    <w:rsid w:val="00592C80"/>
    <w:pPr>
      <w:spacing w:after="120" w:line="260" w:lineRule="exact"/>
      <w:ind w:left="567"/>
      <w:jc w:val="both"/>
    </w:pPr>
    <w:rPr>
      <w:rFonts w:ascii="Arial" w:eastAsia="MS Mincho" w:hAnsi="Arial" w:cs="Arial"/>
      <w:kern w:val="0"/>
      <w:sz w:val="20"/>
      <w:szCs w:val="20"/>
      <w:lang w:val="de-DE"/>
      <w14:ligatures w14:val="none"/>
    </w:rPr>
  </w:style>
  <w:style w:type="character" w:customStyle="1" w:styleId="hit1">
    <w:name w:val="hit1"/>
    <w:basedOn w:val="Bekezdsalapbettpusa"/>
    <w:rsid w:val="00592C80"/>
  </w:style>
  <w:style w:type="paragraph" w:customStyle="1" w:styleId="Revzia1">
    <w:name w:val="Revízia1"/>
    <w:hidden/>
    <w:uiPriority w:val="99"/>
    <w:semiHidden/>
    <w:rsid w:val="00592C80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92C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92C80"/>
    <w:rPr>
      <w:rFonts w:ascii="Arial" w:eastAsia="Times New Roman" w:hAnsi="Arial" w:cs="Times New Roman"/>
      <w:b/>
      <w:bCs/>
      <w:kern w:val="0"/>
      <w:sz w:val="20"/>
      <w:szCs w:val="20"/>
      <w:lang w:val="de-DE" w:eastAsia="de-DE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592C80"/>
    <w:pPr>
      <w:suppressAutoHyphens/>
      <w:spacing w:after="0" w:line="260" w:lineRule="atLeast"/>
    </w:pPr>
    <w:rPr>
      <w:rFonts w:ascii="Times New Roman" w:eastAsia="Times New Roman" w:hAnsi="Times New Roman" w:cs="Times New Roman"/>
      <w:kern w:val="0"/>
      <w:szCs w:val="20"/>
      <w:lang w:eastAsia="de-DE"/>
      <w14:ligatures w14:val="none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592C80"/>
    <w:rPr>
      <w:rFonts w:ascii="Times New Roman" w:eastAsia="Times New Roman" w:hAnsi="Times New Roman" w:cs="Times New Roman"/>
      <w:kern w:val="0"/>
      <w:szCs w:val="20"/>
      <w:lang w:eastAsia="de-DE"/>
      <w14:ligatures w14:val="none"/>
    </w:rPr>
  </w:style>
  <w:style w:type="paragraph" w:customStyle="1" w:styleId="EMEAEnBodyText">
    <w:name w:val="EMEA En Body Text"/>
    <w:basedOn w:val="Norml"/>
    <w:rsid w:val="00592C80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Hiperhivatkozs">
    <w:name w:val="Hyperlink"/>
    <w:rsid w:val="00592C80"/>
    <w:rPr>
      <w:rFonts w:cs="Times New Roman"/>
      <w:color w:val="0000FF"/>
      <w:u w:val="single"/>
    </w:rPr>
  </w:style>
  <w:style w:type="paragraph" w:customStyle="1" w:styleId="TableTextColHead">
    <w:name w:val="TableText Col Head"/>
    <w:next w:val="Norml"/>
    <w:rsid w:val="00592C80"/>
    <w:pPr>
      <w:spacing w:after="0" w:line="240" w:lineRule="auto"/>
      <w:jc w:val="center"/>
    </w:pPr>
    <w:rPr>
      <w:rFonts w:ascii="Times New Roman Bold" w:eastAsia="Times New Roman" w:hAnsi="Times New Roman Bold" w:cs="Times New Roman"/>
      <w:b/>
      <w:kern w:val="0"/>
      <w:sz w:val="20"/>
      <w:szCs w:val="20"/>
      <w:lang w:val="en-US"/>
      <w14:ligatures w14:val="none"/>
    </w:rPr>
  </w:style>
  <w:style w:type="character" w:customStyle="1" w:styleId="TableTextChar">
    <w:name w:val="TableText Char"/>
    <w:link w:val="TableText"/>
    <w:locked/>
    <w:rsid w:val="00592C80"/>
    <w:rPr>
      <w:rFonts w:ascii="Arial" w:hAnsi="Arial" w:cs="Arial"/>
      <w:lang w:val="en-US"/>
    </w:rPr>
  </w:style>
  <w:style w:type="paragraph" w:customStyle="1" w:styleId="TableText">
    <w:name w:val="TableText"/>
    <w:link w:val="TableTextChar"/>
    <w:rsid w:val="00592C80"/>
    <w:pPr>
      <w:spacing w:after="0" w:line="240" w:lineRule="auto"/>
    </w:pPr>
    <w:rPr>
      <w:rFonts w:ascii="Arial" w:hAnsi="Arial" w:cs="Arial"/>
      <w:lang w:val="en-US"/>
    </w:rPr>
  </w:style>
  <w:style w:type="character" w:customStyle="1" w:styleId="TableText9">
    <w:name w:val="TableText 9"/>
    <w:rsid w:val="00592C80"/>
    <w:rPr>
      <w:rFonts w:ascii="Times New Roman" w:hAnsi="Times New Roman" w:cs="Times New Roman" w:hint="default"/>
      <w:sz w:val="18"/>
    </w:rPr>
  </w:style>
  <w:style w:type="paragraph" w:styleId="Vltozat">
    <w:name w:val="Revision"/>
    <w:hidden/>
    <w:uiPriority w:val="99"/>
    <w:semiHidden/>
    <w:rsid w:val="00592C80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Listaszerbekezds">
    <w:name w:val="List Paragraph"/>
    <w:basedOn w:val="Norml"/>
    <w:uiPriority w:val="34"/>
    <w:qFormat/>
    <w:rsid w:val="00592C80"/>
    <w:pPr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paragraph" w:styleId="Nincstrkz">
    <w:name w:val="No Spacing"/>
    <w:aliases w:val="Heading3"/>
    <w:uiPriority w:val="1"/>
    <w:qFormat/>
    <w:rsid w:val="00592C80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table" w:styleId="Rcsostblzat">
    <w:name w:val="Table Grid"/>
    <w:basedOn w:val="Normltblzat"/>
    <w:rsid w:val="00592C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sk-SK"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92C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other/minimum-inhibitory-concentration-mic-breakpoints_en.xls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lceks@kalceks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13</Pages>
  <Words>4078</Words>
  <Characters>28144</Characters>
  <Application>Microsoft Office Word</Application>
  <DocSecurity>0</DocSecurity>
  <Lines>234</Lines>
  <Paragraphs>64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RKV-VV-2</dc:creator>
  <cp:keywords/>
  <dc:description/>
  <cp:lastModifiedBy>HU_OGYI_56.1</cp:lastModifiedBy>
  <cp:revision>21</cp:revision>
  <dcterms:created xsi:type="dcterms:W3CDTF">2024-06-20T08:51:00Z</dcterms:created>
  <dcterms:modified xsi:type="dcterms:W3CDTF">2024-07-29T14:26:00Z</dcterms:modified>
</cp:coreProperties>
</file>