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BD293F" w14:textId="77777777" w:rsidR="00F45C51" w:rsidRPr="00F06234" w:rsidRDefault="00192777" w:rsidP="00B16A88">
      <w:pPr>
        <w:widowControl w:val="0"/>
        <w:spacing w:line="240" w:lineRule="auto"/>
        <w:rPr>
          <w:color w:val="008000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5E42278" w14:textId="77777777" w:rsidR="00F45C51" w:rsidRPr="00F06234" w:rsidRDefault="00F45C51" w:rsidP="00B16A88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C0AFB23" w14:textId="30C5ECA3" w:rsidR="008A53A7" w:rsidRDefault="007C7939" w:rsidP="00B16A8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Dimetil-fumarát Sandoz 120</w:t>
      </w:r>
      <w:r w:rsidR="00973EC6" w:rsidRPr="00687BC3">
        <w:t> </w:t>
      </w:r>
      <w:r>
        <w:rPr>
          <w:rFonts w:eastAsia="Times New Roman"/>
          <w:noProof/>
          <w:snapToGrid/>
          <w:szCs w:val="22"/>
          <w:lang w:eastAsia="en-US"/>
        </w:rPr>
        <w:t>mg gyomornedv-ellenálló kemény kapszula</w:t>
      </w:r>
    </w:p>
    <w:p w14:paraId="6C512143" w14:textId="3413F14C" w:rsidR="007C7939" w:rsidRDefault="007C7939" w:rsidP="00B16A8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Dimetil-fumarát Sandoz 240</w:t>
      </w:r>
      <w:r w:rsidR="00973EC6" w:rsidRPr="00687BC3">
        <w:t> </w:t>
      </w:r>
      <w:r>
        <w:rPr>
          <w:rFonts w:eastAsia="Times New Roman"/>
          <w:noProof/>
          <w:snapToGrid/>
          <w:szCs w:val="22"/>
          <w:lang w:eastAsia="en-US"/>
        </w:rPr>
        <w:t>mg gyomornedv-ellenálló kemény kapszula</w:t>
      </w:r>
    </w:p>
    <w:p w14:paraId="7F760657" w14:textId="77777777" w:rsidR="007C7939" w:rsidRPr="00F06234" w:rsidRDefault="007C7939" w:rsidP="00B16A88">
      <w:pPr>
        <w:spacing w:line="240" w:lineRule="auto"/>
      </w:pPr>
    </w:p>
    <w:p w14:paraId="6DDE334F" w14:textId="77777777" w:rsidR="00F45C51" w:rsidRPr="00F06234" w:rsidRDefault="00F45C51" w:rsidP="00B16A88">
      <w:pPr>
        <w:widowControl w:val="0"/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06359B6" w14:textId="77777777" w:rsidR="00F45C51" w:rsidRPr="00F06234" w:rsidRDefault="00192777" w:rsidP="00B16A88">
      <w:pPr>
        <w:widowControl w:val="0"/>
        <w:spacing w:line="240" w:lineRule="auto"/>
        <w:rPr>
          <w:b/>
        </w:rPr>
      </w:pPr>
      <w:r w:rsidRPr="00F06234">
        <w:rPr>
          <w:b/>
        </w:rPr>
        <w:t>2.</w:t>
      </w:r>
      <w:r w:rsidRPr="00F06234">
        <w:rPr>
          <w:b/>
        </w:rPr>
        <w:tab/>
        <w:t>MINŐSÉGI ÉS MENNYISÉGI ÖSSZETÉTEL</w:t>
      </w:r>
    </w:p>
    <w:p w14:paraId="7E753FE7" w14:textId="77777777" w:rsidR="007471D2" w:rsidRDefault="007471D2" w:rsidP="00B16A88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321883D" w14:textId="7C1CC068" w:rsidR="00FB3363" w:rsidRDefault="00FB3363" w:rsidP="00B16A88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Sandoz </w:t>
      </w:r>
      <w:r w:rsidRPr="00B41B3B">
        <w:rPr>
          <w:rFonts w:eastAsia="Times New Roman"/>
          <w:noProof/>
          <w:snapToGrid/>
          <w:szCs w:val="22"/>
          <w:u w:val="single"/>
          <w:lang w:eastAsia="en-US"/>
        </w:rPr>
        <w:t>120</w:t>
      </w:r>
      <w:r w:rsidR="00973EC6" w:rsidRPr="00F827EA">
        <w:rPr>
          <w:u w:val="single"/>
        </w:rPr>
        <w:t> </w:t>
      </w:r>
      <w:r w:rsidRPr="00287B8C">
        <w:rPr>
          <w:rFonts w:eastAsia="Times New Roman"/>
          <w:noProof/>
          <w:snapToGrid/>
          <w:szCs w:val="22"/>
          <w:u w:val="single"/>
          <w:lang w:eastAsia="en-US"/>
        </w:rPr>
        <w:t>mg gyomornedv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>-ellenálló kemény kapszula</w:t>
      </w:r>
    </w:p>
    <w:p w14:paraId="56E10412" w14:textId="760E40C7" w:rsidR="00FB3363" w:rsidRDefault="00BA7F9C" w:rsidP="00B16A88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>
        <w:rPr>
          <w:szCs w:val="22"/>
        </w:rPr>
        <w:t>120</w:t>
      </w:r>
      <w:r w:rsidR="00973EC6" w:rsidRPr="00687BC3">
        <w:t> </w:t>
      </w:r>
      <w:r>
        <w:rPr>
          <w:szCs w:val="22"/>
        </w:rPr>
        <w:t>mg dimetil-fumarátot tartalmaz gyomornedv-ellenálló kemény kapszulánként.</w:t>
      </w:r>
    </w:p>
    <w:p w14:paraId="11660759" w14:textId="77777777" w:rsidR="00FB3363" w:rsidRPr="00FB3363" w:rsidRDefault="00FB3363" w:rsidP="00FE2742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</w:p>
    <w:p w14:paraId="1234AEE3" w14:textId="1BD7FAD2" w:rsidR="00FB3363" w:rsidRPr="00FB3363" w:rsidRDefault="00FB3363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Pr="00B41B3B">
        <w:rPr>
          <w:rFonts w:eastAsia="Times New Roman"/>
          <w:noProof/>
          <w:snapToGrid/>
          <w:szCs w:val="22"/>
          <w:u w:val="single"/>
          <w:lang w:eastAsia="en-US"/>
        </w:rPr>
        <w:t>Sandoz 240</w:t>
      </w:r>
      <w:r w:rsidR="00973EC6" w:rsidRPr="00F827EA">
        <w:rPr>
          <w:u w:val="single"/>
        </w:rPr>
        <w:t> </w:t>
      </w:r>
      <w:r w:rsidRPr="00287B8C">
        <w:rPr>
          <w:rFonts w:eastAsia="Times New Roman"/>
          <w:noProof/>
          <w:snapToGrid/>
          <w:szCs w:val="22"/>
          <w:u w:val="single"/>
          <w:lang w:eastAsia="en-US"/>
        </w:rPr>
        <w:t>mg gyomornedv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>-ellenálló kemény kapszula</w:t>
      </w:r>
    </w:p>
    <w:p w14:paraId="6C232859" w14:textId="47BE0CC0" w:rsidR="00BA7F9C" w:rsidRDefault="00BA7F9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>
        <w:rPr>
          <w:szCs w:val="22"/>
        </w:rPr>
        <w:t>240</w:t>
      </w:r>
      <w:r w:rsidR="00973EC6" w:rsidRPr="00687BC3">
        <w:t> </w:t>
      </w:r>
      <w:r>
        <w:rPr>
          <w:szCs w:val="22"/>
        </w:rPr>
        <w:t>mg dimetil-fumarátot tartalmaz gyomornedv-ellenálló kemény kapszulánként.</w:t>
      </w:r>
    </w:p>
    <w:p w14:paraId="1BCFE235" w14:textId="77777777" w:rsidR="00BA7F9C" w:rsidRPr="00F06234" w:rsidRDefault="00BA7F9C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1125D91C" w14:textId="1387EF9F" w:rsidR="008A53A7" w:rsidRDefault="00111AC4" w:rsidP="00F0442C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F06234">
        <w:rPr>
          <w:lang w:val="hu-HU"/>
        </w:rPr>
        <w:t xml:space="preserve">A segédanyagok teljes </w:t>
      </w:r>
      <w:r w:rsidR="00127C1D" w:rsidRPr="00F06234">
        <w:rPr>
          <w:bCs/>
          <w:noProof/>
          <w:szCs w:val="22"/>
          <w:lang w:val="hu-HU"/>
        </w:rPr>
        <w:t>list</w:t>
      </w:r>
      <w:r w:rsidRPr="00F06234">
        <w:rPr>
          <w:bCs/>
          <w:noProof/>
          <w:szCs w:val="22"/>
          <w:lang w:val="hu-HU"/>
        </w:rPr>
        <w:t>á</w:t>
      </w:r>
      <w:r w:rsidR="00127C1D" w:rsidRPr="00F06234">
        <w:rPr>
          <w:bCs/>
          <w:noProof/>
          <w:szCs w:val="22"/>
          <w:lang w:val="hu-HU"/>
        </w:rPr>
        <w:t>j</w:t>
      </w:r>
      <w:r w:rsidRPr="00F06234">
        <w:rPr>
          <w:bCs/>
          <w:noProof/>
          <w:szCs w:val="22"/>
          <w:lang w:val="hu-HU"/>
        </w:rPr>
        <w:t>át</w:t>
      </w:r>
      <w:r w:rsidRPr="00F06234">
        <w:rPr>
          <w:lang w:val="hu-HU"/>
        </w:rPr>
        <w:t xml:space="preserve"> lásd a 6.1</w:t>
      </w:r>
      <w:r w:rsidR="00973EC6" w:rsidRPr="00687BC3">
        <w:t> </w:t>
      </w:r>
      <w:r w:rsidRPr="00F06234">
        <w:rPr>
          <w:lang w:val="hu-HU"/>
        </w:rPr>
        <w:t>pontban</w:t>
      </w:r>
      <w:r w:rsidRPr="00F06234">
        <w:rPr>
          <w:bCs/>
          <w:noProof/>
          <w:szCs w:val="22"/>
          <w:lang w:val="hu-HU"/>
        </w:rPr>
        <w:t>.</w:t>
      </w:r>
    </w:p>
    <w:p w14:paraId="7406B014" w14:textId="77777777" w:rsidR="00BA7F9C" w:rsidRPr="00F06234" w:rsidRDefault="00BA7F9C" w:rsidP="00F0442C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3F9DF636" w14:textId="77777777" w:rsidR="00F45C51" w:rsidRPr="00F06234" w:rsidRDefault="00F45C51" w:rsidP="00B16A88">
      <w:pPr>
        <w:widowControl w:val="0"/>
        <w:spacing w:line="240" w:lineRule="auto"/>
        <w:rPr>
          <w:b/>
        </w:rPr>
      </w:pPr>
    </w:p>
    <w:p w14:paraId="29FB54B4" w14:textId="1CF5288D" w:rsidR="00F45C51" w:rsidRDefault="00192777" w:rsidP="00FE2742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</w:t>
      </w:r>
    </w:p>
    <w:p w14:paraId="04215FED" w14:textId="77777777" w:rsidR="00D64386" w:rsidRPr="00F06234" w:rsidRDefault="00D64386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29ED4420" w14:textId="3BBC3373" w:rsidR="00F45C51" w:rsidRDefault="00D64386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gyomornedv-ellenálló kemény kapszula</w:t>
      </w:r>
      <w:r w:rsidR="00312FFD">
        <w:rPr>
          <w:rFonts w:eastAsia="Times New Roman"/>
          <w:noProof/>
          <w:snapToGrid/>
          <w:szCs w:val="22"/>
          <w:lang w:eastAsia="en-US"/>
        </w:rPr>
        <w:t xml:space="preserve"> (gyomornedv-ellenálló kapszula)</w:t>
      </w:r>
    </w:p>
    <w:p w14:paraId="40C12EB4" w14:textId="77777777" w:rsidR="00D64386" w:rsidRPr="00F06234" w:rsidRDefault="00D64386">
      <w:pPr>
        <w:spacing w:line="240" w:lineRule="auto"/>
        <w:ind w:left="567" w:hanging="567"/>
        <w:rPr>
          <w:b/>
        </w:rPr>
      </w:pPr>
    </w:p>
    <w:p w14:paraId="0E5B4516" w14:textId="3E9939E6" w:rsidR="00BA7F9C" w:rsidRDefault="00BA7F9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</w:t>
      </w:r>
      <w:r w:rsidRPr="00B41B3B">
        <w:rPr>
          <w:rFonts w:eastAsia="Times New Roman"/>
          <w:noProof/>
          <w:snapToGrid/>
          <w:szCs w:val="22"/>
          <w:u w:val="single"/>
          <w:lang w:eastAsia="en-US"/>
        </w:rPr>
        <w:t>Sandoz 120</w:t>
      </w:r>
      <w:r w:rsidR="00973EC6" w:rsidRPr="00F827EA">
        <w:rPr>
          <w:u w:val="single"/>
        </w:rPr>
        <w:t> </w:t>
      </w:r>
      <w:r w:rsidRPr="00287B8C">
        <w:rPr>
          <w:rFonts w:eastAsia="Times New Roman"/>
          <w:noProof/>
          <w:snapToGrid/>
          <w:szCs w:val="22"/>
          <w:u w:val="single"/>
          <w:lang w:eastAsia="en-US"/>
        </w:rPr>
        <w:t>mg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 gyomornedv-ellenálló kemény kapszula</w:t>
      </w:r>
    </w:p>
    <w:p w14:paraId="5E761F14" w14:textId="1DB818C0" w:rsidR="00BA7F9C" w:rsidRDefault="00BA7F9C">
      <w:pPr>
        <w:spacing w:line="240" w:lineRule="auto"/>
        <w:rPr>
          <w:szCs w:val="22"/>
        </w:rPr>
      </w:pPr>
      <w:r>
        <w:rPr>
          <w:szCs w:val="22"/>
        </w:rPr>
        <w:t>1-es méretű, fehér és világoszöld színű</w:t>
      </w:r>
      <w:r w:rsidR="00D64386">
        <w:rPr>
          <w:szCs w:val="22"/>
        </w:rPr>
        <w:t>, kb. 19,4</w:t>
      </w:r>
      <w:r w:rsidR="00973EC6" w:rsidRPr="00687BC3">
        <w:t> </w:t>
      </w:r>
      <w:r w:rsidR="00D64386">
        <w:rPr>
          <w:szCs w:val="22"/>
        </w:rPr>
        <w:t>mm hosszú és 8,53</w:t>
      </w:r>
      <w:r w:rsidR="00973EC6" w:rsidRPr="00687BC3">
        <w:t> </w:t>
      </w:r>
      <w:r w:rsidR="00D64386">
        <w:rPr>
          <w:szCs w:val="22"/>
        </w:rPr>
        <w:t>mm széles</w:t>
      </w:r>
      <w:r>
        <w:rPr>
          <w:szCs w:val="22"/>
        </w:rPr>
        <w:t xml:space="preserve"> </w:t>
      </w:r>
      <w:r w:rsidR="00D64386">
        <w:rPr>
          <w:szCs w:val="22"/>
        </w:rPr>
        <w:t xml:space="preserve">kemény zselatin kapszulák </w:t>
      </w:r>
      <w:r>
        <w:rPr>
          <w:szCs w:val="22"/>
        </w:rPr>
        <w:t>“120</w:t>
      </w:r>
      <w:r w:rsidR="00973EC6" w:rsidRPr="00687BC3">
        <w:t> </w:t>
      </w:r>
      <w:r>
        <w:rPr>
          <w:szCs w:val="22"/>
        </w:rPr>
        <w:t>mg” jelöléssel.</w:t>
      </w:r>
    </w:p>
    <w:p w14:paraId="7493240B" w14:textId="77777777" w:rsidR="00BA7F9C" w:rsidRPr="00FB3363" w:rsidRDefault="00BA7F9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</w:p>
    <w:p w14:paraId="4BDABBC6" w14:textId="3A9A2F47" w:rsidR="00BA7F9C" w:rsidRPr="00FB3363" w:rsidRDefault="00BA7F9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Sandoz </w:t>
      </w:r>
      <w:r w:rsidRPr="00B41B3B">
        <w:rPr>
          <w:rFonts w:eastAsia="Times New Roman"/>
          <w:noProof/>
          <w:snapToGrid/>
          <w:szCs w:val="22"/>
          <w:u w:val="single"/>
          <w:lang w:eastAsia="en-US"/>
        </w:rPr>
        <w:t>240</w:t>
      </w:r>
      <w:r w:rsidR="00973EC6" w:rsidRPr="00F827EA">
        <w:rPr>
          <w:u w:val="single"/>
        </w:rPr>
        <w:t> </w:t>
      </w:r>
      <w:r w:rsidRPr="00287B8C">
        <w:rPr>
          <w:rFonts w:eastAsia="Times New Roman"/>
          <w:noProof/>
          <w:snapToGrid/>
          <w:szCs w:val="22"/>
          <w:u w:val="single"/>
          <w:lang w:eastAsia="en-US"/>
        </w:rPr>
        <w:t>mg gyomornedv</w:t>
      </w:r>
      <w:r w:rsidRPr="00FB3363">
        <w:rPr>
          <w:rFonts w:eastAsia="Times New Roman"/>
          <w:noProof/>
          <w:snapToGrid/>
          <w:szCs w:val="22"/>
          <w:u w:val="single"/>
          <w:lang w:eastAsia="en-US"/>
        </w:rPr>
        <w:t>-ellenálló kemény kapszula</w:t>
      </w:r>
    </w:p>
    <w:p w14:paraId="2162657C" w14:textId="67DA2D94" w:rsidR="00BA7F9C" w:rsidRDefault="00BA7F9C">
      <w:pPr>
        <w:spacing w:line="240" w:lineRule="auto"/>
        <w:rPr>
          <w:szCs w:val="22"/>
        </w:rPr>
      </w:pPr>
      <w:r>
        <w:rPr>
          <w:szCs w:val="22"/>
        </w:rPr>
        <w:t>0-ás méretű, világoszöld színű</w:t>
      </w:r>
      <w:r w:rsidR="00D64386">
        <w:rPr>
          <w:szCs w:val="22"/>
        </w:rPr>
        <w:t>, kb. 23,3</w:t>
      </w:r>
      <w:r w:rsidR="00B16A88">
        <w:rPr>
          <w:szCs w:val="22"/>
        </w:rPr>
        <w:t> </w:t>
      </w:r>
      <w:r w:rsidR="00D64386">
        <w:rPr>
          <w:szCs w:val="22"/>
        </w:rPr>
        <w:t>mm hosszú és 8,53</w:t>
      </w:r>
      <w:r w:rsidR="00973EC6" w:rsidRPr="00687BC3">
        <w:t> </w:t>
      </w:r>
      <w:r w:rsidR="00D64386">
        <w:rPr>
          <w:szCs w:val="22"/>
        </w:rPr>
        <w:t>mm széles</w:t>
      </w:r>
      <w:r>
        <w:rPr>
          <w:szCs w:val="22"/>
        </w:rPr>
        <w:t xml:space="preserve"> kemény zselatin kapszulák “240</w:t>
      </w:r>
      <w:r w:rsidR="00973EC6" w:rsidRPr="00687BC3">
        <w:t> </w:t>
      </w:r>
      <w:r>
        <w:rPr>
          <w:szCs w:val="22"/>
        </w:rPr>
        <w:t>mg” jelöléssel.</w:t>
      </w:r>
    </w:p>
    <w:p w14:paraId="56DC159F" w14:textId="77777777" w:rsidR="00BA7F9C" w:rsidRDefault="00BA7F9C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54364ADA" w14:textId="77777777" w:rsidR="00F45C51" w:rsidRPr="00F06234" w:rsidRDefault="00F45C51" w:rsidP="00F0442C">
      <w:pPr>
        <w:autoSpaceDE w:val="0"/>
        <w:autoSpaceDN w:val="0"/>
        <w:adjustRightInd w:val="0"/>
        <w:spacing w:line="240" w:lineRule="auto"/>
      </w:pPr>
    </w:p>
    <w:p w14:paraId="41E28215" w14:textId="77777777" w:rsidR="00F45C51" w:rsidRPr="00F06234" w:rsidRDefault="00192777" w:rsidP="00B16A88">
      <w:pPr>
        <w:spacing w:line="240" w:lineRule="auto"/>
        <w:ind w:left="567" w:hanging="567"/>
        <w:outlineLvl w:val="0"/>
        <w:rPr>
          <w:b/>
        </w:rPr>
      </w:pPr>
      <w:r w:rsidRPr="00F06234">
        <w:rPr>
          <w:b/>
        </w:rPr>
        <w:t>4.</w:t>
      </w:r>
      <w:r w:rsidRPr="00F06234">
        <w:rPr>
          <w:b/>
        </w:rPr>
        <w:tab/>
        <w:t>KLINIKAI JELLEMZŐK</w:t>
      </w:r>
    </w:p>
    <w:p w14:paraId="29A54742" w14:textId="77777777" w:rsidR="00F45C51" w:rsidRPr="00F06234" w:rsidRDefault="00F45C51" w:rsidP="00FE2742">
      <w:pPr>
        <w:spacing w:line="240" w:lineRule="auto"/>
        <w:ind w:left="567" w:hanging="567"/>
        <w:outlineLvl w:val="0"/>
        <w:rPr>
          <w:b/>
        </w:rPr>
      </w:pPr>
    </w:p>
    <w:p w14:paraId="44AB6A78" w14:textId="77777777" w:rsidR="00F45C51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4.1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Terápiás javallatok</w:t>
      </w:r>
    </w:p>
    <w:p w14:paraId="7F205FF9" w14:textId="77777777" w:rsidR="00424F4E" w:rsidRPr="00F06234" w:rsidRDefault="00424F4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180EC041" w14:textId="38136793" w:rsidR="00F45C51" w:rsidRPr="00F06234" w:rsidRDefault="00424F4E">
      <w:pPr>
        <w:tabs>
          <w:tab w:val="clear" w:pos="567"/>
        </w:tabs>
        <w:spacing w:line="240" w:lineRule="auto"/>
        <w:outlineLvl w:val="0"/>
        <w:rPr>
          <w:b/>
        </w:rPr>
      </w:pPr>
      <w:r>
        <w:rPr>
          <w:szCs w:val="22"/>
        </w:rPr>
        <w:t xml:space="preserve">A Dimetil-fumarát Sandoz a </w:t>
      </w:r>
      <w:r w:rsidR="00B16A88">
        <w:rPr>
          <w:szCs w:val="22"/>
        </w:rPr>
        <w:t>relabáló</w:t>
      </w:r>
      <w:r>
        <w:rPr>
          <w:szCs w:val="22"/>
        </w:rPr>
        <w:t>-remittáló sclerosis multiplexben (RRSM) szenvedő felnőttek és 13</w:t>
      </w:r>
      <w:r w:rsidR="00973EC6" w:rsidRPr="00687BC3">
        <w:t> </w:t>
      </w:r>
      <w:r>
        <w:rPr>
          <w:szCs w:val="22"/>
        </w:rPr>
        <w:t xml:space="preserve">éves vagy annál idősebb gyermekek és serdülők kezelésére </w:t>
      </w:r>
      <w:r w:rsidRPr="00424F4E">
        <w:rPr>
          <w:szCs w:val="22"/>
        </w:rPr>
        <w:t>javallott</w:t>
      </w:r>
      <w:r>
        <w:rPr>
          <w:szCs w:val="22"/>
        </w:rPr>
        <w:t>.</w:t>
      </w:r>
    </w:p>
    <w:p w14:paraId="08F24D91" w14:textId="77777777" w:rsidR="00F45C51" w:rsidRPr="00F06234" w:rsidRDefault="00F45C51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2965FE2" w14:textId="77777777" w:rsidR="00F45C51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4.2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Adagolás és alkalmazás</w:t>
      </w:r>
    </w:p>
    <w:p w14:paraId="6DE94162" w14:textId="77777777" w:rsidR="00C4519A" w:rsidRDefault="00C4519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287E361A" w14:textId="77777777" w:rsidR="00C4519A" w:rsidRPr="00F06234" w:rsidRDefault="00C4519A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szCs w:val="22"/>
        </w:rPr>
        <w:t>A kezelést a sclerosis multiplex kezelésében tapasztalattal rendelkező orvos felügyelete mellett kell megkezdeni.</w:t>
      </w:r>
    </w:p>
    <w:p w14:paraId="0CEE53B2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2E0D9BBF" w14:textId="77777777" w:rsidR="00F45C51" w:rsidRPr="00F06234" w:rsidRDefault="00192777">
      <w:pPr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r w:rsidRPr="00F06234">
        <w:rPr>
          <w:rFonts w:eastAsia="Times New Roman"/>
          <w:snapToGrid/>
          <w:szCs w:val="22"/>
          <w:u w:val="single"/>
          <w:lang w:eastAsia="en-US"/>
        </w:rPr>
        <w:t>Adagolás</w:t>
      </w:r>
    </w:p>
    <w:p w14:paraId="5B1CBE2F" w14:textId="77777777" w:rsidR="00F45C51" w:rsidRDefault="00F45C51" w:rsidP="00F0442C">
      <w:pPr>
        <w:autoSpaceDE w:val="0"/>
        <w:autoSpaceDN w:val="0"/>
        <w:adjustRightInd w:val="0"/>
        <w:spacing w:line="240" w:lineRule="auto"/>
      </w:pPr>
    </w:p>
    <w:p w14:paraId="78B8FC12" w14:textId="09EEF576" w:rsidR="00C4519A" w:rsidRDefault="00C4519A" w:rsidP="00B16A88">
      <w:pPr>
        <w:pStyle w:val="Default"/>
        <w:rPr>
          <w:sz w:val="22"/>
          <w:szCs w:val="22"/>
          <w:lang w:val="hu-HU"/>
        </w:rPr>
      </w:pPr>
      <w:r w:rsidRPr="00C4519A">
        <w:rPr>
          <w:sz w:val="22"/>
          <w:szCs w:val="22"/>
          <w:lang w:val="hu-HU"/>
        </w:rPr>
        <w:t>A kezdő adag naponta kétszer 120</w:t>
      </w:r>
      <w:r w:rsidR="00973EC6" w:rsidRPr="00687BC3">
        <w:t> </w:t>
      </w:r>
      <w:r w:rsidRPr="00C4519A">
        <w:rPr>
          <w:sz w:val="22"/>
          <w:szCs w:val="22"/>
          <w:lang w:val="hu-HU"/>
        </w:rPr>
        <w:t>mg. Hét nap után az adagot a naponta kétszer 240</w:t>
      </w:r>
      <w:r w:rsidR="00973EC6" w:rsidRPr="00687BC3">
        <w:t> </w:t>
      </w:r>
      <w:r w:rsidRPr="00C4519A">
        <w:rPr>
          <w:sz w:val="22"/>
          <w:szCs w:val="22"/>
          <w:lang w:val="hu-HU"/>
        </w:rPr>
        <w:t xml:space="preserve">mg-os ajánlott fenntartó dózisra kell emelni (lásd 4.4 pont). </w:t>
      </w:r>
    </w:p>
    <w:p w14:paraId="6BAB2710" w14:textId="77777777" w:rsidR="00C4519A" w:rsidRPr="00C4519A" w:rsidRDefault="00C4519A" w:rsidP="00FE2742">
      <w:pPr>
        <w:pStyle w:val="Default"/>
        <w:rPr>
          <w:sz w:val="22"/>
          <w:szCs w:val="22"/>
          <w:lang w:val="hu-HU"/>
        </w:rPr>
      </w:pPr>
    </w:p>
    <w:p w14:paraId="200679A4" w14:textId="2F4B5422" w:rsidR="00C4519A" w:rsidRDefault="00C4519A">
      <w:pPr>
        <w:pStyle w:val="Default"/>
        <w:rPr>
          <w:sz w:val="22"/>
          <w:szCs w:val="22"/>
          <w:lang w:val="hu-HU"/>
        </w:rPr>
      </w:pPr>
      <w:r w:rsidRPr="00C4519A">
        <w:rPr>
          <w:sz w:val="22"/>
          <w:szCs w:val="22"/>
          <w:lang w:val="hu-HU"/>
        </w:rPr>
        <w:t>Ha a beteg kihagy egy adagot, nem szabad kétszeres adagot bevennie. A beteg csak abban az esetben veheti be a kihagyott adagot, ha az adagok bevétele között eltelik 4</w:t>
      </w:r>
      <w:r w:rsidR="00973EC6" w:rsidRPr="00687BC3">
        <w:t> </w:t>
      </w:r>
      <w:r w:rsidRPr="00C4519A">
        <w:rPr>
          <w:sz w:val="22"/>
          <w:szCs w:val="22"/>
          <w:lang w:val="hu-HU"/>
        </w:rPr>
        <w:t xml:space="preserve">óra. Ellenkező esetben a betegnek meg kell várnia a következő adag esedékes időpontját. </w:t>
      </w:r>
    </w:p>
    <w:p w14:paraId="3375408D" w14:textId="77777777" w:rsidR="00C4519A" w:rsidRPr="00C4519A" w:rsidRDefault="00C4519A">
      <w:pPr>
        <w:pStyle w:val="Default"/>
        <w:rPr>
          <w:sz w:val="22"/>
          <w:szCs w:val="22"/>
          <w:lang w:val="hu-HU"/>
        </w:rPr>
      </w:pPr>
    </w:p>
    <w:p w14:paraId="343A2F00" w14:textId="0C475350" w:rsidR="00C4519A" w:rsidRDefault="00C4519A" w:rsidP="00F0442C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C4519A">
        <w:rPr>
          <w:szCs w:val="22"/>
        </w:rPr>
        <w:t>Az adag naponta kétszer 120</w:t>
      </w:r>
      <w:r w:rsidR="00973EC6" w:rsidRPr="00687BC3">
        <w:t> </w:t>
      </w:r>
      <w:r w:rsidRPr="00C4519A">
        <w:rPr>
          <w:szCs w:val="22"/>
        </w:rPr>
        <w:t>mg-ra történő ideiglenes csökkentése mérsékelheti a kipirulás és az emésztőrendszert érintő mellékhatások előfordulását. Az ajánlott naponta kétszer 240</w:t>
      </w:r>
      <w:r w:rsidR="00973EC6" w:rsidRPr="00687BC3">
        <w:t> </w:t>
      </w:r>
      <w:r w:rsidRPr="00C4519A">
        <w:rPr>
          <w:szCs w:val="22"/>
        </w:rPr>
        <w:t>mg-os fenntartó adagra 1</w:t>
      </w:r>
      <w:r w:rsidR="00973EC6" w:rsidRPr="00687BC3">
        <w:t> </w:t>
      </w:r>
      <w:r w:rsidRPr="00C4519A">
        <w:rPr>
          <w:szCs w:val="22"/>
        </w:rPr>
        <w:t>hónapon belül vissza kell állni.</w:t>
      </w:r>
    </w:p>
    <w:p w14:paraId="3729DB4F" w14:textId="77777777" w:rsidR="00C4519A" w:rsidRDefault="00C4519A" w:rsidP="00F0442C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BCF240A" w14:textId="5461533F" w:rsidR="00C4519A" w:rsidRPr="00C4519A" w:rsidRDefault="00C4519A" w:rsidP="00B16A88">
      <w:pPr>
        <w:pStyle w:val="Default"/>
        <w:rPr>
          <w:snapToGrid w:val="0"/>
          <w:color w:val="auto"/>
          <w:sz w:val="22"/>
          <w:szCs w:val="22"/>
          <w:lang w:val="hu-HU" w:eastAsia="zh-CN"/>
        </w:rPr>
      </w:pPr>
      <w:r w:rsidRPr="00C4519A">
        <w:rPr>
          <w:snapToGrid w:val="0"/>
          <w:color w:val="auto"/>
          <w:sz w:val="22"/>
          <w:szCs w:val="22"/>
          <w:lang w:val="hu-HU" w:eastAsia="zh-CN"/>
        </w:rPr>
        <w:lastRenderedPageBreak/>
        <w:t>A Dimetil-fumarát Sandoz-t étkezés közben kell bevenni (lásd 5.2</w:t>
      </w:r>
      <w:r w:rsidR="00973EC6" w:rsidRPr="00687BC3">
        <w:t> </w:t>
      </w:r>
      <w:r w:rsidRPr="00C4519A">
        <w:rPr>
          <w:snapToGrid w:val="0"/>
          <w:color w:val="auto"/>
          <w:sz w:val="22"/>
          <w:szCs w:val="22"/>
          <w:lang w:val="hu-HU" w:eastAsia="zh-CN"/>
        </w:rPr>
        <w:t>pont). Azoknál a betegeknél, akik kipirulást vagy az emésztőrendszert érintő mellékhatásokat tapasztalnak, a Dimetil-fumarát Sandoz étkezés közben történő bevétele javíthatja a tolerálhatóságot (lásd 4.4, 4.5 és 4.8</w:t>
      </w:r>
      <w:r w:rsidR="00973EC6" w:rsidRPr="00687BC3">
        <w:t> </w:t>
      </w:r>
      <w:r w:rsidRPr="00C4519A">
        <w:rPr>
          <w:snapToGrid w:val="0"/>
          <w:color w:val="auto"/>
          <w:sz w:val="22"/>
          <w:szCs w:val="22"/>
          <w:lang w:val="hu-HU" w:eastAsia="zh-CN"/>
        </w:rPr>
        <w:t xml:space="preserve">pont). </w:t>
      </w:r>
    </w:p>
    <w:p w14:paraId="34A67245" w14:textId="77777777" w:rsidR="00C4519A" w:rsidRPr="00C4519A" w:rsidRDefault="00C4519A" w:rsidP="00FE2742">
      <w:pPr>
        <w:pStyle w:val="Default"/>
        <w:rPr>
          <w:snapToGrid w:val="0"/>
          <w:color w:val="auto"/>
          <w:sz w:val="22"/>
          <w:szCs w:val="22"/>
          <w:lang w:val="hu-HU" w:eastAsia="zh-CN"/>
        </w:rPr>
      </w:pPr>
    </w:p>
    <w:p w14:paraId="707A8459" w14:textId="0A4E6A34" w:rsidR="00C4519A" w:rsidRDefault="00C4519A">
      <w:pPr>
        <w:pStyle w:val="Default"/>
        <w:rPr>
          <w:i/>
          <w:iCs/>
          <w:sz w:val="22"/>
          <w:szCs w:val="22"/>
          <w:lang w:val="hu-HU"/>
        </w:rPr>
      </w:pPr>
      <w:r w:rsidRPr="00C4519A">
        <w:rPr>
          <w:i/>
          <w:iCs/>
          <w:sz w:val="22"/>
          <w:szCs w:val="22"/>
          <w:lang w:val="hu-HU"/>
        </w:rPr>
        <w:t xml:space="preserve">Különleges betegcsoportok </w:t>
      </w:r>
    </w:p>
    <w:p w14:paraId="7D4CF32D" w14:textId="77777777" w:rsidR="007049C2" w:rsidRPr="00C4519A" w:rsidRDefault="007049C2">
      <w:pPr>
        <w:pStyle w:val="Default"/>
        <w:rPr>
          <w:i/>
          <w:iCs/>
          <w:sz w:val="22"/>
          <w:szCs w:val="22"/>
          <w:lang w:val="hu-HU"/>
        </w:rPr>
      </w:pPr>
    </w:p>
    <w:p w14:paraId="1CC2F405" w14:textId="77777777" w:rsidR="00C4519A" w:rsidRPr="00C4519A" w:rsidRDefault="00C4519A" w:rsidP="00F0442C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C4519A">
        <w:rPr>
          <w:i/>
          <w:iCs/>
          <w:szCs w:val="22"/>
        </w:rPr>
        <w:t>Idősek</w:t>
      </w:r>
    </w:p>
    <w:p w14:paraId="7E1814F7" w14:textId="3900CB9F" w:rsidR="00C4519A" w:rsidRPr="00C4519A" w:rsidRDefault="00C4519A" w:rsidP="00B16A88">
      <w:pPr>
        <w:pStyle w:val="Default"/>
        <w:rPr>
          <w:sz w:val="22"/>
          <w:szCs w:val="22"/>
          <w:lang w:val="hu-HU"/>
        </w:rPr>
      </w:pPr>
      <w:r w:rsidRPr="00C4519A">
        <w:rPr>
          <w:sz w:val="22"/>
          <w:szCs w:val="22"/>
          <w:lang w:val="hu-HU"/>
        </w:rPr>
        <w:t>A Dimetil-fumarát Sandoz-zal végzett klinikai vizsgálatokban korlátozott volt az 55</w:t>
      </w:r>
      <w:r w:rsidR="00973EC6" w:rsidRPr="00687BC3">
        <w:t> </w:t>
      </w:r>
      <w:r w:rsidRPr="00C4519A">
        <w:rPr>
          <w:sz w:val="22"/>
          <w:szCs w:val="22"/>
          <w:lang w:val="hu-HU"/>
        </w:rPr>
        <w:t>éves vagy ennél idősebb betegek expozíciója, és a vizsgálatokba bevont 65</w:t>
      </w:r>
      <w:r w:rsidR="00973EC6" w:rsidRPr="00687BC3">
        <w:t> </w:t>
      </w:r>
      <w:r w:rsidRPr="00C4519A">
        <w:rPr>
          <w:sz w:val="22"/>
          <w:szCs w:val="22"/>
          <w:lang w:val="hu-HU"/>
        </w:rPr>
        <w:t>éves vagy ennél idősebb betegek száma nem volt elegendő annak megállapításához, hogy a fiatalabb betegektől eltérően reagálnak-e (lásd 5.2</w:t>
      </w:r>
      <w:r w:rsidR="00973EC6" w:rsidRPr="00687BC3">
        <w:t> </w:t>
      </w:r>
      <w:r w:rsidRPr="00C4519A">
        <w:rPr>
          <w:sz w:val="22"/>
          <w:szCs w:val="22"/>
          <w:lang w:val="hu-HU"/>
        </w:rPr>
        <w:t xml:space="preserve">pont). A hatóanyag hatásmechanizmusát alapul véve, elméletileg semmi sem indokolja az adagolás módosítását időseknél. </w:t>
      </w:r>
    </w:p>
    <w:p w14:paraId="7CE94DEC" w14:textId="77777777" w:rsidR="00C4519A" w:rsidRPr="00C4519A" w:rsidRDefault="00C4519A" w:rsidP="00FE2742">
      <w:pPr>
        <w:pStyle w:val="Default"/>
        <w:rPr>
          <w:sz w:val="22"/>
          <w:szCs w:val="22"/>
          <w:lang w:val="hu-HU"/>
        </w:rPr>
      </w:pPr>
    </w:p>
    <w:p w14:paraId="1D5F633A" w14:textId="77777777" w:rsidR="00C4519A" w:rsidRPr="00C4519A" w:rsidRDefault="00C4519A">
      <w:pPr>
        <w:pStyle w:val="Default"/>
        <w:rPr>
          <w:sz w:val="22"/>
          <w:szCs w:val="22"/>
          <w:lang w:val="hu-HU"/>
        </w:rPr>
      </w:pPr>
      <w:r w:rsidRPr="00C4519A">
        <w:rPr>
          <w:i/>
          <w:iCs/>
          <w:sz w:val="22"/>
          <w:szCs w:val="22"/>
          <w:lang w:val="hu-HU"/>
        </w:rPr>
        <w:t xml:space="preserve">Vese- és májkárosodás </w:t>
      </w:r>
    </w:p>
    <w:p w14:paraId="6F6E71B9" w14:textId="5591B903" w:rsidR="00C4519A" w:rsidRPr="00C4519A" w:rsidRDefault="00C4519A">
      <w:pPr>
        <w:pStyle w:val="Default"/>
        <w:rPr>
          <w:sz w:val="22"/>
          <w:szCs w:val="22"/>
          <w:lang w:val="hu-HU"/>
        </w:rPr>
      </w:pPr>
      <w:r w:rsidRPr="00C4519A">
        <w:rPr>
          <w:sz w:val="22"/>
          <w:szCs w:val="22"/>
          <w:lang w:val="hu-HU"/>
        </w:rPr>
        <w:t>A Dimetil-fumarát Sandoz-t nem vizsgálták vese- vagy májkárosodásban szenvedő betegek esetében. A klinikai farmakológiai vizsgálatok alapján nincs szükség az adagolás módosítására (lásd 5.2</w:t>
      </w:r>
      <w:r w:rsidR="00973EC6" w:rsidRPr="00687BC3">
        <w:t> </w:t>
      </w:r>
      <w:r w:rsidRPr="00C4519A">
        <w:rPr>
          <w:sz w:val="22"/>
          <w:szCs w:val="22"/>
          <w:lang w:val="hu-HU"/>
        </w:rPr>
        <w:t>pont). A súlyos vese- vagy májkárosodásban szenvedő betegek kezelésekor elővigyázatosság szükséges (lásd 4.4</w:t>
      </w:r>
      <w:r w:rsidR="00FE2742">
        <w:rPr>
          <w:sz w:val="22"/>
          <w:szCs w:val="22"/>
          <w:lang w:val="hu-HU"/>
        </w:rPr>
        <w:t xml:space="preserve"> </w:t>
      </w:r>
      <w:r w:rsidRPr="00C4519A">
        <w:rPr>
          <w:sz w:val="22"/>
          <w:szCs w:val="22"/>
          <w:lang w:val="hu-HU"/>
        </w:rPr>
        <w:t xml:space="preserve">pont). </w:t>
      </w:r>
    </w:p>
    <w:p w14:paraId="7B0DB53F" w14:textId="77777777" w:rsidR="00C4519A" w:rsidRPr="00C4519A" w:rsidRDefault="00C4519A">
      <w:pPr>
        <w:pStyle w:val="Default"/>
        <w:rPr>
          <w:sz w:val="22"/>
          <w:szCs w:val="22"/>
          <w:lang w:val="hu-HU"/>
        </w:rPr>
      </w:pPr>
    </w:p>
    <w:p w14:paraId="57EF3995" w14:textId="77777777" w:rsidR="00C4519A" w:rsidRPr="00C4519A" w:rsidRDefault="00C4519A">
      <w:pPr>
        <w:pStyle w:val="Default"/>
        <w:rPr>
          <w:sz w:val="22"/>
          <w:szCs w:val="22"/>
          <w:lang w:val="hu-HU"/>
        </w:rPr>
      </w:pPr>
      <w:r w:rsidRPr="00C4519A">
        <w:rPr>
          <w:i/>
          <w:iCs/>
          <w:sz w:val="22"/>
          <w:szCs w:val="22"/>
          <w:lang w:val="hu-HU"/>
        </w:rPr>
        <w:t xml:space="preserve">Gyermekek és serdülők </w:t>
      </w:r>
    </w:p>
    <w:p w14:paraId="14C7DA7B" w14:textId="431F5C04" w:rsidR="007D01FD" w:rsidRPr="00FD54EE" w:rsidRDefault="001F0C83">
      <w:pPr>
        <w:spacing w:line="240" w:lineRule="auto"/>
      </w:pPr>
      <w:r w:rsidRPr="00FD54EE">
        <w:t>Az adagolás felnőtteknél és 13</w:t>
      </w:r>
      <w:r w:rsidR="003E0BFC" w:rsidRPr="00687BC3">
        <w:t> </w:t>
      </w:r>
      <w:r w:rsidRPr="00FD54EE">
        <w:t xml:space="preserve">éves vagy </w:t>
      </w:r>
      <w:proofErr w:type="gramStart"/>
      <w:r w:rsidRPr="00FD54EE">
        <w:t>annál</w:t>
      </w:r>
      <w:proofErr w:type="gramEnd"/>
      <w:r w:rsidRPr="00FD54EE">
        <w:t xml:space="preserve"> idősebb gyermekeknél és serdülőknél azonos. </w:t>
      </w:r>
    </w:p>
    <w:p w14:paraId="041B4412" w14:textId="440A12A9" w:rsidR="001F0C83" w:rsidRPr="00FD54EE" w:rsidRDefault="001F0C83">
      <w:pPr>
        <w:spacing w:line="240" w:lineRule="auto"/>
      </w:pPr>
    </w:p>
    <w:p w14:paraId="5EB0A046" w14:textId="517AA759" w:rsidR="007D01FD" w:rsidRDefault="007D01FD">
      <w:pPr>
        <w:spacing w:line="240" w:lineRule="auto"/>
      </w:pPr>
      <w:r>
        <w:t>A 10-12 éves gyermekekre vonatkozóan rendelkezésre álló adatok korlátozottak. A jelenleg rendelkezésre álló adatok leírása a 4.8 és az 5.1</w:t>
      </w:r>
      <w:r w:rsidR="00302EC5" w:rsidRPr="00687BC3">
        <w:t> </w:t>
      </w:r>
      <w:r>
        <w:t>pontban található, de az adagolásra vonatkozóan nem adható ajánlás.</w:t>
      </w:r>
    </w:p>
    <w:p w14:paraId="53F10576" w14:textId="77777777" w:rsidR="007D01FD" w:rsidRDefault="007D01FD">
      <w:pPr>
        <w:spacing w:line="240" w:lineRule="auto"/>
      </w:pPr>
    </w:p>
    <w:p w14:paraId="250F26AE" w14:textId="6972E5E2" w:rsidR="001F0C83" w:rsidRDefault="001F0C83">
      <w:pPr>
        <w:spacing w:line="240" w:lineRule="auto"/>
      </w:pPr>
      <w:r w:rsidRPr="00FD54EE">
        <w:t>A dimetil-fumarát</w:t>
      </w:r>
      <w:r>
        <w:t xml:space="preserve"> </w:t>
      </w:r>
      <w:r w:rsidRPr="00FD54EE">
        <w:t>biztonságosságát és hatásosságát 10</w:t>
      </w:r>
      <w:r w:rsidR="003E0BFC" w:rsidRPr="00687BC3">
        <w:t> </w:t>
      </w:r>
      <w:r w:rsidRPr="00FD54EE">
        <w:t>évesnél fiatalabb gyermekeknél nem igazolták.</w:t>
      </w:r>
    </w:p>
    <w:p w14:paraId="10C2B7BF" w14:textId="1AF7BF09" w:rsidR="007D01FD" w:rsidRDefault="007D01FD">
      <w:pPr>
        <w:spacing w:line="240" w:lineRule="auto"/>
      </w:pPr>
      <w:r>
        <w:t>Nincsenek rendelkezésre álló adatok.</w:t>
      </w:r>
    </w:p>
    <w:p w14:paraId="622E58BC" w14:textId="77777777" w:rsidR="001F0C83" w:rsidRDefault="001F0C83" w:rsidP="00F0442C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15605D9" w14:textId="77777777" w:rsidR="00F45C51" w:rsidRDefault="00192777" w:rsidP="00B16A88">
      <w:pPr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r w:rsidRPr="00F06234">
        <w:rPr>
          <w:rFonts w:eastAsia="Times New Roman"/>
          <w:snapToGrid/>
          <w:szCs w:val="22"/>
          <w:u w:val="single"/>
          <w:lang w:eastAsia="en-US"/>
        </w:rPr>
        <w:t>Az alkalmazás módja</w:t>
      </w:r>
    </w:p>
    <w:p w14:paraId="4E861A07" w14:textId="77777777" w:rsidR="00C4519A" w:rsidRDefault="00C4519A" w:rsidP="00FE2742">
      <w:pPr>
        <w:pStyle w:val="Default"/>
        <w:rPr>
          <w:sz w:val="22"/>
          <w:szCs w:val="22"/>
          <w:lang w:val="hu-HU"/>
        </w:rPr>
      </w:pPr>
      <w:r w:rsidRPr="00C4519A">
        <w:rPr>
          <w:sz w:val="22"/>
          <w:szCs w:val="22"/>
          <w:lang w:val="hu-HU"/>
        </w:rPr>
        <w:t>Szájon át történő</w:t>
      </w:r>
      <w:r>
        <w:rPr>
          <w:sz w:val="22"/>
          <w:szCs w:val="22"/>
          <w:lang w:val="hu-HU"/>
        </w:rPr>
        <w:t xml:space="preserve"> alkalmazásra.</w:t>
      </w:r>
    </w:p>
    <w:p w14:paraId="0FC26284" w14:textId="3CA03F63" w:rsidR="00F45C51" w:rsidRPr="00C4519A" w:rsidRDefault="00C4519A">
      <w:pPr>
        <w:spacing w:line="240" w:lineRule="auto"/>
        <w:rPr>
          <w:u w:val="single"/>
        </w:rPr>
      </w:pPr>
      <w:r w:rsidRPr="00C4519A">
        <w:rPr>
          <w:szCs w:val="22"/>
        </w:rPr>
        <w:t>A kapszulát egészben kell lenyelni. A kapszulát vagy annak tartalmát nem szabad összetörni, szétválasztani, feloldani, elszopogatni vagy elrágni</w:t>
      </w:r>
      <w:r w:rsidR="00A33E2F">
        <w:rPr>
          <w:szCs w:val="22"/>
        </w:rPr>
        <w:t>, mivel a granulátum gyomornedv-ellenálló bevonata védi a</w:t>
      </w:r>
      <w:r w:rsidR="00302EC5">
        <w:rPr>
          <w:szCs w:val="22"/>
        </w:rPr>
        <w:t xml:space="preserve"> gasztrointesztinális rendszer</w:t>
      </w:r>
      <w:r w:rsidR="008E7C71">
        <w:rPr>
          <w:szCs w:val="22"/>
        </w:rPr>
        <w:t>t</w:t>
      </w:r>
      <w:r w:rsidR="00EE0827">
        <w:rPr>
          <w:szCs w:val="22"/>
        </w:rPr>
        <w:t xml:space="preserve"> </w:t>
      </w:r>
      <w:r w:rsidR="00A33E2F">
        <w:rPr>
          <w:szCs w:val="22"/>
        </w:rPr>
        <w:t>a</w:t>
      </w:r>
      <w:r w:rsidR="00302EC5">
        <w:rPr>
          <w:szCs w:val="22"/>
        </w:rPr>
        <w:t xml:space="preserve"> </w:t>
      </w:r>
      <w:r w:rsidR="00A33E2F">
        <w:rPr>
          <w:szCs w:val="22"/>
        </w:rPr>
        <w:t>készítmény irritáló hatásaitól</w:t>
      </w:r>
      <w:r>
        <w:rPr>
          <w:szCs w:val="22"/>
        </w:rPr>
        <w:t>.</w:t>
      </w:r>
    </w:p>
    <w:p w14:paraId="2F4A1894" w14:textId="77777777" w:rsidR="00F45C51" w:rsidRPr="00F06234" w:rsidRDefault="00F45C51">
      <w:pPr>
        <w:spacing w:line="240" w:lineRule="auto"/>
      </w:pPr>
    </w:p>
    <w:p w14:paraId="489DA933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4.3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Ellenjavallatok</w:t>
      </w:r>
    </w:p>
    <w:p w14:paraId="6370F5A6" w14:textId="04372D15" w:rsidR="00F45C51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F8CBF43" w14:textId="278E21DB" w:rsidR="00F45C51" w:rsidRDefault="00526CF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A készítmény hatóanyagával vagy a 6.1</w:t>
      </w:r>
      <w:r w:rsidR="007217D3" w:rsidRPr="00687BC3">
        <w:t> </w:t>
      </w:r>
      <w:r>
        <w:t>pontban felsorolt bármely segédanyagával szembeni túlérzékenység. Feltételezett vagy igazolt progresszív multifokális leukoencephalopathia (PML).</w:t>
      </w:r>
    </w:p>
    <w:p w14:paraId="55926500" w14:textId="77777777" w:rsidR="00526CF5" w:rsidRPr="00F06234" w:rsidRDefault="00526CF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C398DFC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4.4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figyelmeztetések és az alkalmazással kapcsolatos óvintézkedések</w:t>
      </w:r>
    </w:p>
    <w:p w14:paraId="7708E658" w14:textId="77777777" w:rsidR="00F45C51" w:rsidRPr="00F06234" w:rsidRDefault="00F45C51">
      <w:pPr>
        <w:spacing w:line="240" w:lineRule="auto"/>
      </w:pPr>
    </w:p>
    <w:p w14:paraId="2B79AA18" w14:textId="12B58F73" w:rsidR="00031DEB" w:rsidRDefault="00031DEB">
      <w:pPr>
        <w:spacing w:line="240" w:lineRule="auto"/>
      </w:pPr>
      <w:r w:rsidRPr="00031DEB">
        <w:rPr>
          <w:u w:val="single"/>
        </w:rPr>
        <w:t>Vér-/laboratóriumi vizsgálatok</w:t>
      </w:r>
    </w:p>
    <w:p w14:paraId="78DF802B" w14:textId="77777777" w:rsidR="007217D3" w:rsidRDefault="007217D3">
      <w:pPr>
        <w:spacing w:line="240" w:lineRule="auto"/>
      </w:pPr>
    </w:p>
    <w:p w14:paraId="471E4D53" w14:textId="6345EFE4" w:rsidR="000176B9" w:rsidRPr="008B7C45" w:rsidRDefault="000176B9">
      <w:pPr>
        <w:spacing w:line="240" w:lineRule="auto"/>
        <w:rPr>
          <w:i/>
          <w:iCs/>
          <w:u w:val="single"/>
        </w:rPr>
      </w:pPr>
      <w:r w:rsidRPr="008B7C45">
        <w:rPr>
          <w:i/>
          <w:iCs/>
          <w:u w:val="single"/>
        </w:rPr>
        <w:t>Veseműködés</w:t>
      </w:r>
    </w:p>
    <w:p w14:paraId="757F1263" w14:textId="5A4CEDCA" w:rsidR="00031DEB" w:rsidRDefault="00031DEB">
      <w:pPr>
        <w:spacing w:line="240" w:lineRule="auto"/>
      </w:pPr>
      <w:r>
        <w:t>A klinikai vizsgálatokban a dimetil-fumaráttal kezelt betegek vesefunkciós laboratóriumi vizsgálati eredményeinek változásait észlelték (lásd 4.8</w:t>
      </w:r>
      <w:r w:rsidR="007217D3" w:rsidRPr="00687BC3">
        <w:t> </w:t>
      </w:r>
      <w:r>
        <w:t xml:space="preserve">pont). Ezeknek a változásoknak a klinikai jelentősége nem ismert. Javasolt vesefunkciós vizsgálatot (pl. kreatinin, vér urea nitrogén, vizeletvizsgálat) végezni a kezelés megkezdése előtt, 3 és 6 hónappal a kezelés után, ezt követően 6-12 havonta, valamint ha </w:t>
      </w:r>
      <w:r w:rsidR="007217D3">
        <w:t xml:space="preserve">ez </w:t>
      </w:r>
      <w:r>
        <w:t xml:space="preserve">klinikailag indokolt. </w:t>
      </w:r>
    </w:p>
    <w:p w14:paraId="26F15E98" w14:textId="77777777" w:rsidR="00031DEB" w:rsidRDefault="00031DEB">
      <w:pPr>
        <w:spacing w:line="240" w:lineRule="auto"/>
      </w:pPr>
    </w:p>
    <w:p w14:paraId="0EE4B00B" w14:textId="703A8055" w:rsidR="000176B9" w:rsidRPr="008B7C45" w:rsidRDefault="000176B9">
      <w:pPr>
        <w:spacing w:line="240" w:lineRule="auto"/>
        <w:rPr>
          <w:i/>
          <w:iCs/>
          <w:u w:val="single"/>
        </w:rPr>
      </w:pPr>
      <w:r w:rsidRPr="008B7C45">
        <w:rPr>
          <w:i/>
          <w:iCs/>
          <w:u w:val="single"/>
        </w:rPr>
        <w:t>Májműködés</w:t>
      </w:r>
    </w:p>
    <w:p w14:paraId="14C6C629" w14:textId="4A641843" w:rsidR="00031DEB" w:rsidRDefault="00031DEB">
      <w:pPr>
        <w:spacing w:line="240" w:lineRule="auto"/>
      </w:pPr>
      <w:r>
        <w:t xml:space="preserve">A dimetil-fumaráttal végzett kezelés gyógyszer okozta májkárosodást eredményezhet, beleértve a májenzimszint-emelkedést (a normálérték felső határának [upper limit of normal, ULN] legalább </w:t>
      </w:r>
      <w:r w:rsidR="00EE0827">
        <w:t>három</w:t>
      </w:r>
      <w:r w:rsidR="000176B9">
        <w:t>szorosára</w:t>
      </w:r>
      <w:r>
        <w:t xml:space="preserve">), valamint az összbilirubinszint-emelkedést (≥ 2 × ULN) is. </w:t>
      </w:r>
      <w:r w:rsidR="000176B9">
        <w:t>Ez néhány nap alatt is kialakulhat</w:t>
      </w:r>
      <w:r>
        <w:t>, de jelentkezhet több hét vagy hosszabb idő elteltével is. A kezelés abbahagyása után a mellékhatások elmúlását figyelték meg. A szérumaminotranszferázok (</w:t>
      </w:r>
      <w:r w:rsidR="007217D3" w:rsidRPr="009C0B8D">
        <w:t>pl. glutamát</w:t>
      </w:r>
      <w:r w:rsidR="007217D3">
        <w:t>-</w:t>
      </w:r>
      <w:r w:rsidR="007217D3" w:rsidRPr="009C0B8D">
        <w:t>piruvát-</w:t>
      </w:r>
      <w:r w:rsidR="007217D3" w:rsidRPr="009C0B8D">
        <w:lastRenderedPageBreak/>
        <w:t>transzamináz [GPT], más néven alanin-aminotranszferáz [ALAT], illetve a glutamát</w:t>
      </w:r>
      <w:r w:rsidR="006472A2">
        <w:t>-</w:t>
      </w:r>
      <w:r w:rsidR="007217D3" w:rsidRPr="009C0B8D">
        <w:t>oxálacetát-transzamináz [GOT], más néven asz</w:t>
      </w:r>
      <w:r w:rsidR="007217D3">
        <w:t>partát-aminotranszferáz [ASAT])-</w:t>
      </w:r>
      <w:r>
        <w:t xml:space="preserve">szintjét és az összbilirubinszintet javasolt meghatározni a kezelés megkezdése előtt és a kezelés alatt, ha klinikailag indokolt. </w:t>
      </w:r>
    </w:p>
    <w:p w14:paraId="28ACDDAD" w14:textId="77777777" w:rsidR="00031DEB" w:rsidRDefault="00031DEB">
      <w:pPr>
        <w:spacing w:line="240" w:lineRule="auto"/>
      </w:pPr>
    </w:p>
    <w:p w14:paraId="59F97C1A" w14:textId="79F93E69" w:rsidR="00A30A37" w:rsidRPr="008B7C45" w:rsidRDefault="00A30A37">
      <w:pPr>
        <w:spacing w:line="240" w:lineRule="auto"/>
        <w:rPr>
          <w:i/>
          <w:iCs/>
          <w:u w:val="single"/>
        </w:rPr>
      </w:pPr>
      <w:r w:rsidRPr="008B7C45">
        <w:rPr>
          <w:i/>
          <w:iCs/>
          <w:u w:val="single"/>
        </w:rPr>
        <w:t>Ly</w:t>
      </w:r>
      <w:r w:rsidR="00EE669D">
        <w:rPr>
          <w:i/>
          <w:iCs/>
          <w:u w:val="single"/>
        </w:rPr>
        <w:t>m</w:t>
      </w:r>
      <w:r w:rsidRPr="008B7C45">
        <w:rPr>
          <w:i/>
          <w:iCs/>
          <w:u w:val="single"/>
        </w:rPr>
        <w:t>phocyták</w:t>
      </w:r>
    </w:p>
    <w:p w14:paraId="0AC0F3F7" w14:textId="0343C56C" w:rsidR="00031DEB" w:rsidRDefault="00031DEB">
      <w:pPr>
        <w:spacing w:line="240" w:lineRule="auto"/>
      </w:pPr>
      <w:r>
        <w:t>A dimetil-fumaráttal kezelt betegeknél lymphopenia alakulhat ki (lásd 4.8</w:t>
      </w:r>
      <w:r w:rsidR="00253EB6" w:rsidRPr="00687BC3">
        <w:t> </w:t>
      </w:r>
      <w:r>
        <w:t xml:space="preserve">pont). A dimetil-fumarát-kezelés megkezdése előtt a lymphocytaszámot is magában foglaló, teljes vérvizsgálatot kell végezni. </w:t>
      </w:r>
    </w:p>
    <w:p w14:paraId="1289C285" w14:textId="0CDF2CA9" w:rsidR="00031DEB" w:rsidRDefault="00031DEB">
      <w:pPr>
        <w:spacing w:line="240" w:lineRule="auto"/>
      </w:pPr>
      <w:r>
        <w:t xml:space="preserve">Ha az eredmények szerint a lymphocytaszám a normál tartomány alatt van, akkor alaposan ki kell vizsgálni a lehetséges kiváltó okokat a kezelés megkezdése előtt. A dimetil-fumarátot nem vizsgálták a kezelés előtt már alacsony lymphocytaszámmal rendelkező betegek esetében, így körültekintően kell eljárni az ilyen betegek kezelésekor. A </w:t>
      </w:r>
      <w:r w:rsidR="00A30A37">
        <w:t>kezelés</w:t>
      </w:r>
      <w:r>
        <w:t xml:space="preserve"> nem kezdhető el olyan betegeknél, akiknél súlyos lymphopenia áll fenn (a lymphocytaszám alacsonyabb, mint 0,5</w:t>
      </w:r>
      <w:r w:rsidR="00253EB6" w:rsidRPr="00687BC3">
        <w:t> </w:t>
      </w:r>
      <w:r>
        <w:t>×</w:t>
      </w:r>
      <w:r w:rsidR="00253EB6" w:rsidRPr="00687BC3">
        <w:t> </w:t>
      </w:r>
      <w:r>
        <w:t>10</w:t>
      </w:r>
      <w:r w:rsidRPr="00031DEB">
        <w:rPr>
          <w:vertAlign w:val="superscript"/>
        </w:rPr>
        <w:t>9</w:t>
      </w:r>
      <w:r>
        <w:t xml:space="preserve">/l). </w:t>
      </w:r>
    </w:p>
    <w:p w14:paraId="49F81F04" w14:textId="77777777" w:rsidR="00031DEB" w:rsidRDefault="00031DEB">
      <w:pPr>
        <w:spacing w:line="240" w:lineRule="auto"/>
      </w:pPr>
    </w:p>
    <w:p w14:paraId="4ECAA6DB" w14:textId="436B5571" w:rsidR="00F45C51" w:rsidRDefault="00031DEB">
      <w:pPr>
        <w:spacing w:line="240" w:lineRule="auto"/>
      </w:pPr>
      <w:r>
        <w:t>A kezelés megkezdése után 3</w:t>
      </w:r>
      <w:r w:rsidR="00305443" w:rsidRPr="00687BC3">
        <w:t> </w:t>
      </w:r>
      <w:r>
        <w:t>havonta a lymphocytaszámot is magában foglaló, teljes vérvizsgálatot kell végezni.</w:t>
      </w:r>
    </w:p>
    <w:p w14:paraId="4F70078F" w14:textId="77777777" w:rsidR="00526CF5" w:rsidRDefault="00526CF5">
      <w:pPr>
        <w:spacing w:line="240" w:lineRule="auto"/>
      </w:pPr>
    </w:p>
    <w:p w14:paraId="17DED749" w14:textId="29C42686" w:rsidR="00031DEB" w:rsidRDefault="00031DEB">
      <w:pPr>
        <w:spacing w:line="240" w:lineRule="auto"/>
      </w:pPr>
      <w:r>
        <w:t xml:space="preserve">A PML megnövekedett kockázata miatt a lymphopeniás betegeknél fokozott éberség javasolt, az alábbiak szerint: </w:t>
      </w:r>
    </w:p>
    <w:p w14:paraId="5AF5D94B" w14:textId="6506A8D0" w:rsidR="001529E1" w:rsidRDefault="00031DEB">
      <w:pPr>
        <w:tabs>
          <w:tab w:val="clear" w:pos="567"/>
          <w:tab w:val="left" w:pos="426"/>
        </w:tabs>
        <w:spacing w:line="240" w:lineRule="auto"/>
        <w:ind w:left="426" w:hanging="426"/>
      </w:pPr>
      <w:r>
        <w:t xml:space="preserve">• </w:t>
      </w:r>
      <w:r>
        <w:tab/>
        <w:t>A kezelést le kell állítani azoknál a betegeknél, akiknél több mint 6</w:t>
      </w:r>
      <w:r w:rsidR="00305443" w:rsidRPr="00687BC3">
        <w:t> </w:t>
      </w:r>
      <w:r>
        <w:t>hónapon keresztül súlyos lymphopenia áll fenn (a lymphocytaszám alacsonyabb, mint 0,5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031DEB">
        <w:rPr>
          <w:vertAlign w:val="superscript"/>
        </w:rPr>
        <w:t>9</w:t>
      </w:r>
      <w:r>
        <w:t xml:space="preserve">/l). </w:t>
      </w:r>
    </w:p>
    <w:p w14:paraId="249E00EB" w14:textId="4B870E00" w:rsidR="00031DEB" w:rsidRDefault="00031DEB">
      <w:pPr>
        <w:tabs>
          <w:tab w:val="clear" w:pos="567"/>
          <w:tab w:val="left" w:pos="426"/>
        </w:tabs>
        <w:spacing w:line="240" w:lineRule="auto"/>
        <w:ind w:left="426" w:hanging="426"/>
      </w:pPr>
      <w:r>
        <w:t xml:space="preserve">• </w:t>
      </w:r>
      <w:r>
        <w:tab/>
        <w:t>Azoknál a betegeknél, akiknél a</w:t>
      </w:r>
      <w:r w:rsidR="00A30A37">
        <w:t>z abszolút</w:t>
      </w:r>
      <w:r>
        <w:t xml:space="preserve"> lymphocytaszám több mint 6 hónapon keresztül mérsékelt csökkenést mutat (eléri vagy meghaladja a 0,5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031DEB">
        <w:rPr>
          <w:vertAlign w:val="superscript"/>
        </w:rPr>
        <w:t>9</w:t>
      </w:r>
      <w:r>
        <w:t>/l értéket, de alacsonyabb, mint 0,8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031DEB">
        <w:rPr>
          <w:vertAlign w:val="superscript"/>
        </w:rPr>
        <w:t>9</w:t>
      </w:r>
      <w:r>
        <w:t xml:space="preserve">/l), a dimetil-fumarát-kezelés előny/kockázat </w:t>
      </w:r>
      <w:r w:rsidR="00A30A37">
        <w:t xml:space="preserve">egyensúlyát </w:t>
      </w:r>
      <w:r>
        <w:t>újra kell értékelni.</w:t>
      </w:r>
    </w:p>
    <w:p w14:paraId="5C95F5B6" w14:textId="77777777" w:rsidR="001529E1" w:rsidRDefault="00031DEB">
      <w:pPr>
        <w:pStyle w:val="Listaszerbekezds"/>
        <w:numPr>
          <w:ilvl w:val="0"/>
          <w:numId w:val="44"/>
        </w:numPr>
        <w:tabs>
          <w:tab w:val="clear" w:pos="567"/>
          <w:tab w:val="left" w:pos="426"/>
        </w:tabs>
        <w:spacing w:line="240" w:lineRule="auto"/>
      </w:pPr>
      <w:r>
        <w:t xml:space="preserve">Azoknál a beteknél, akiknél a lymphocytaszám alacsonyabb az intézményi laboratóriumi referenciatartomány által meghatározott normál érték alsó határánál (lower limit of normal – LLN), az abszolút lymphocytaszám rendszeres ellenőrzése javasolt. Mérlegelni kell azokat a tényezőket, amelyek a PML kockázatát az egyes betegeknél tovább növelhetik (lásd alább a PML-re vonatkozó alfejezetet). </w:t>
      </w:r>
    </w:p>
    <w:p w14:paraId="000025C1" w14:textId="77777777" w:rsidR="001529E1" w:rsidRDefault="001529E1">
      <w:pPr>
        <w:tabs>
          <w:tab w:val="clear" w:pos="567"/>
          <w:tab w:val="left" w:pos="426"/>
        </w:tabs>
        <w:spacing w:line="240" w:lineRule="auto"/>
        <w:ind w:left="60"/>
      </w:pPr>
    </w:p>
    <w:p w14:paraId="20B52067" w14:textId="2B5A111D" w:rsidR="00526CF5" w:rsidRDefault="00031DEB">
      <w:pPr>
        <w:tabs>
          <w:tab w:val="clear" w:pos="567"/>
          <w:tab w:val="left" w:pos="426"/>
        </w:tabs>
        <w:spacing w:line="240" w:lineRule="auto"/>
        <w:ind w:left="60"/>
      </w:pPr>
      <w:r>
        <w:t>A lymphocytaszámot annak helyreállásáig követni kell (lásd 5.1</w:t>
      </w:r>
      <w:r w:rsidR="00305443" w:rsidRPr="00687BC3">
        <w:t> </w:t>
      </w:r>
      <w:r>
        <w:t>pont). A normál lymphocytaszám helyreállása esetén, illetve ha nem áll rendelkezésre alternatív kezelési mód, a kezelés megszakítását követő dimetil-fumarát-kezelés esetleges újraindításáról a klinikai állapot megítélése alapján kell döntést hozni.</w:t>
      </w:r>
    </w:p>
    <w:p w14:paraId="5FA8C73D" w14:textId="77777777" w:rsidR="00526CF5" w:rsidRDefault="00526CF5">
      <w:pPr>
        <w:spacing w:line="240" w:lineRule="auto"/>
      </w:pPr>
    </w:p>
    <w:p w14:paraId="68F06326" w14:textId="1730F90F" w:rsidR="00872991" w:rsidRDefault="00872991">
      <w:pPr>
        <w:spacing w:line="240" w:lineRule="auto"/>
      </w:pPr>
      <w:r w:rsidRPr="00872991">
        <w:rPr>
          <w:u w:val="single"/>
        </w:rPr>
        <w:t>Mágneses rezonanci</w:t>
      </w:r>
      <w:r w:rsidR="00C23394">
        <w:rPr>
          <w:u w:val="single"/>
        </w:rPr>
        <w:t>ás</w:t>
      </w:r>
      <w:r w:rsidRPr="00872991">
        <w:rPr>
          <w:u w:val="single"/>
        </w:rPr>
        <w:t xml:space="preserve"> képalkotás (MR</w:t>
      </w:r>
      <w:r w:rsidR="00C23394">
        <w:rPr>
          <w:u w:val="single"/>
        </w:rPr>
        <w:t>-vizsgálat</w:t>
      </w:r>
      <w:r w:rsidRPr="00872991">
        <w:rPr>
          <w:u w:val="single"/>
        </w:rPr>
        <w:t>)</w:t>
      </w:r>
      <w:r>
        <w:t xml:space="preserve"> </w:t>
      </w:r>
    </w:p>
    <w:p w14:paraId="69188989" w14:textId="7F78FDD0" w:rsidR="00872991" w:rsidRDefault="00872991">
      <w:pPr>
        <w:spacing w:line="240" w:lineRule="auto"/>
      </w:pPr>
      <w:r>
        <w:t>A dimetl-fumarát-kezelés megkezdése előtt kiindulási (általában 3</w:t>
      </w:r>
      <w:r w:rsidR="00305443" w:rsidRPr="00687BC3">
        <w:t> </w:t>
      </w:r>
      <w:r>
        <w:t>hónapnál nem régebbi) MR</w:t>
      </w:r>
      <w:r w:rsidR="00305443">
        <w:t>-</w:t>
      </w:r>
      <w:r>
        <w:t>felvételnek kell rendelkezésre állnia referenciaként. A további MR</w:t>
      </w:r>
      <w:r w:rsidR="00305443">
        <w:t>-</w:t>
      </w:r>
      <w:r>
        <w:t>felvételek szükségességét a nemzeti és intézményi ajánlások alapján kell megfontolni. Az MR</w:t>
      </w:r>
      <w:r w:rsidR="00305443">
        <w:t>-</w:t>
      </w:r>
      <w:r>
        <w:t>képalkotó vizsgálat elvégzése megfontolható a PML fokozott kockázatának kitett betegeknél az állapotuk fokozott megfigyelésének részeként. A PML klinikai gyanúja esetén diagnosztikai célból azonnal MR</w:t>
      </w:r>
      <w:r w:rsidR="00305443">
        <w:t>-</w:t>
      </w:r>
      <w:r>
        <w:t xml:space="preserve">vizsgálatot kell végezni. </w:t>
      </w:r>
    </w:p>
    <w:p w14:paraId="6D6139B6" w14:textId="77777777" w:rsidR="00872991" w:rsidRDefault="00872991">
      <w:pPr>
        <w:spacing w:line="240" w:lineRule="auto"/>
      </w:pPr>
    </w:p>
    <w:p w14:paraId="45EFFF5E" w14:textId="77777777" w:rsidR="00872991" w:rsidRDefault="00872991">
      <w:pPr>
        <w:spacing w:line="240" w:lineRule="auto"/>
      </w:pPr>
      <w:r w:rsidRPr="00872991">
        <w:rPr>
          <w:u w:val="single"/>
        </w:rPr>
        <w:t>Progresszív multifokális leukoencephalopathia (PML)</w:t>
      </w:r>
      <w:r>
        <w:t xml:space="preserve"> </w:t>
      </w:r>
    </w:p>
    <w:p w14:paraId="2324838E" w14:textId="5FAE1E5B" w:rsidR="00872991" w:rsidRDefault="00872991">
      <w:pPr>
        <w:spacing w:line="240" w:lineRule="auto"/>
      </w:pPr>
      <w:r>
        <w:t>A dimetil-fumaráttal kezelt betegeknél PML-ről számoltak be (lásd 4.8</w:t>
      </w:r>
      <w:r w:rsidR="00305443" w:rsidRPr="00687BC3">
        <w:t> </w:t>
      </w:r>
      <w:r>
        <w:t xml:space="preserve">pont). A PML opportunista fertőzés, amelyet a John–Cunningham-vírus (JCV) okoz, és amely halálos kimenetelű lehet, vagy súlyos fogyatékosságot okozhat. </w:t>
      </w:r>
    </w:p>
    <w:p w14:paraId="4AD7A039" w14:textId="77777777" w:rsidR="00872991" w:rsidRDefault="00872991">
      <w:pPr>
        <w:spacing w:line="240" w:lineRule="auto"/>
      </w:pPr>
    </w:p>
    <w:p w14:paraId="4D2A890B" w14:textId="77777777" w:rsidR="00526CF5" w:rsidRDefault="00872991">
      <w:pPr>
        <w:spacing w:line="240" w:lineRule="auto"/>
      </w:pPr>
      <w:r>
        <w:t>A dimetil-fumarát és egyéb fumaráttartalmú gyógyszerek alkalmazása során PML lymphopenia (LLN-nél alacsonyabb lymphocytaszám) fennállása esetén fordult elő. Úgy tűnik, hogy a tartósan fennálló, közepesen súlyos vagy súlyos lymphopenia növeli a dimetil-fumarát alkalmazásával összefüggő PML kockázatát, azonban a kockázat nem zárható ki az enyhe lymphopeniát mutató betegeknél sem. Lymphopenia fennállása esetén a PML megnövekedett kockázatához hozzájáruló további tényezők a következők lehetnek:</w:t>
      </w:r>
    </w:p>
    <w:p w14:paraId="73D838C5" w14:textId="35CF6466" w:rsidR="00526CF5" w:rsidRDefault="00872991">
      <w:pPr>
        <w:pStyle w:val="Listaszerbekezds"/>
        <w:numPr>
          <w:ilvl w:val="0"/>
          <w:numId w:val="45"/>
        </w:numPr>
        <w:spacing w:line="240" w:lineRule="auto"/>
        <w:ind w:left="567" w:hanging="567"/>
      </w:pPr>
      <w:r>
        <w:t>A dimetil-fumarát-kezelés időtartama. A PML esetek körülbelül 1–5</w:t>
      </w:r>
      <w:r w:rsidR="00305443" w:rsidRPr="00687BC3">
        <w:t> </w:t>
      </w:r>
      <w:r>
        <w:t>év kezelés után fordultak elő, habár a kezelés időtartamával való pontos összefüggés nem ismert.</w:t>
      </w:r>
    </w:p>
    <w:p w14:paraId="4906CC3C" w14:textId="704B60A3" w:rsidR="00872991" w:rsidRDefault="00872991">
      <w:pPr>
        <w:pStyle w:val="Listaszerbekezds"/>
        <w:numPr>
          <w:ilvl w:val="0"/>
          <w:numId w:val="45"/>
        </w:numPr>
        <w:spacing w:line="240" w:lineRule="auto"/>
        <w:ind w:left="567" w:hanging="567"/>
      </w:pPr>
      <w:r>
        <w:t>Az immunvédekezésben fontos szerepet játszó CD4+ és különösen a CD8+ T-lymphocytasejtek számának nagymértékű csökkenése (lásd 4.8</w:t>
      </w:r>
      <w:r w:rsidR="00305443" w:rsidRPr="00687BC3">
        <w:t> </w:t>
      </w:r>
      <w:r>
        <w:t>pont.).</w:t>
      </w:r>
    </w:p>
    <w:p w14:paraId="24D5FE94" w14:textId="77777777" w:rsidR="00872991" w:rsidRDefault="00872991">
      <w:pPr>
        <w:pStyle w:val="Listaszerbekezds"/>
        <w:numPr>
          <w:ilvl w:val="0"/>
          <w:numId w:val="45"/>
        </w:numPr>
        <w:spacing w:line="240" w:lineRule="auto"/>
        <w:ind w:left="567" w:hanging="567"/>
      </w:pPr>
      <w:r>
        <w:t>Korábbi immunszuppresszív vagy immunmoduláló terápia (lásd alább).</w:t>
      </w:r>
    </w:p>
    <w:p w14:paraId="40943301" w14:textId="77777777" w:rsidR="00526CF5" w:rsidRDefault="00526CF5">
      <w:pPr>
        <w:spacing w:line="240" w:lineRule="auto"/>
      </w:pPr>
    </w:p>
    <w:p w14:paraId="107592E5" w14:textId="77777777" w:rsidR="00872991" w:rsidRDefault="00872991">
      <w:pPr>
        <w:spacing w:line="240" w:lineRule="auto"/>
      </w:pPr>
      <w:r>
        <w:t xml:space="preserve">Az orvosoknak értékelést kell végezniük a betegeiknél annak meghatározására, hogy a tünetek neurológiai rendellenességet jeleznek-e, és ha igen, akkor azok az SM jellemző tünetei vagy esetleg PML-re utalnak. </w:t>
      </w:r>
    </w:p>
    <w:p w14:paraId="1DA19FA6" w14:textId="77777777" w:rsidR="00872991" w:rsidRDefault="00872991">
      <w:pPr>
        <w:spacing w:line="240" w:lineRule="auto"/>
      </w:pPr>
      <w:r>
        <w:t xml:space="preserve">A PML-re utaló első jel vagy tünet megjelenésekor a dimetil-fumarát-kezelést fel kell függeszteni és el kell végezni a megfelelő diagnosztikai vizsgálatokat, beleértve a JCV DNS kvantitatív polimeráz láncreakció (PCR) módszerével történő kimutatását is a cerebrospinális folyadékban. A PML tünetei hasonlóak lehetnek a sclerosis multiplex relapszusához. A PML-lel járó jellegzetes tünetek sokfélék, napok vagy hetek alatt súlyosbodnak, kialakulhat többek között a test egyoldali, progresszív gyengesége vagy a végtagok ügyetlensége, látászavar, valamint zavartsághoz és személyiségváltozásokhoz vezető, a gondolkodásban, az emlékezőképességben és a tájékozódásban bekövetkező változások. Az orvosoknak különösen figyelniük kell a PML-re utaló olyan tünetekre, amelyeket a beteg nem biztos, hogy észrevesz. A betegeknek azt is javasolni kell, hogy tájékoztassák partnerüket vagy gondozójukat a kezelésükről, mivel ők észrevehetnek olyan tüneteket is, amelyeket a betegek nem. </w:t>
      </w:r>
    </w:p>
    <w:p w14:paraId="5C765F3F" w14:textId="77777777" w:rsidR="00872991" w:rsidRDefault="00872991">
      <w:pPr>
        <w:spacing w:line="240" w:lineRule="auto"/>
      </w:pPr>
    </w:p>
    <w:p w14:paraId="4430D9B7" w14:textId="5997A8DA" w:rsidR="00872991" w:rsidRDefault="00872991">
      <w:pPr>
        <w:spacing w:line="240" w:lineRule="auto"/>
      </w:pPr>
      <w:r>
        <w:t>PML csak JCV-fertőzés esetén alakulhat ki. Figyelembe kell venni, hogy a dimetil-fumarát-kezelésben</w:t>
      </w:r>
      <w:r w:rsidR="00C61EF0">
        <w:t xml:space="preserve"> </w:t>
      </w:r>
      <w:r>
        <w:t xml:space="preserve">részesülő betegeknél nem vizsgálták a lymphopenia anti-JCV antitest vizsgálat eredményeire gyakorolt hatását. Azt is meg kell jegyezni, hogy egy negatív anti-JCV antitest vizsgálati eredmény (normál lymphocytaszám mellett) nem zárja ki egy későbbi JCV-fertőzés lehetőségét. </w:t>
      </w:r>
    </w:p>
    <w:p w14:paraId="211D158D" w14:textId="77777777" w:rsidR="00872991" w:rsidRDefault="00872991">
      <w:pPr>
        <w:spacing w:line="240" w:lineRule="auto"/>
      </w:pPr>
    </w:p>
    <w:p w14:paraId="73D0946B" w14:textId="77777777" w:rsidR="00872991" w:rsidRDefault="00872991">
      <w:pPr>
        <w:spacing w:line="240" w:lineRule="auto"/>
      </w:pPr>
      <w:r>
        <w:t xml:space="preserve">Ha a betegnél PML alakul ki, a dimetil-fumarát-kezelést végleg le kell állítani. </w:t>
      </w:r>
    </w:p>
    <w:p w14:paraId="23DAB0AD" w14:textId="77777777" w:rsidR="00872991" w:rsidRDefault="00872991">
      <w:pPr>
        <w:spacing w:line="240" w:lineRule="auto"/>
      </w:pPr>
    </w:p>
    <w:p w14:paraId="17B8B497" w14:textId="77777777" w:rsidR="00872991" w:rsidRDefault="00872991">
      <w:pPr>
        <w:spacing w:line="240" w:lineRule="auto"/>
        <w:rPr>
          <w:u w:val="single"/>
        </w:rPr>
      </w:pPr>
      <w:r w:rsidRPr="00872991">
        <w:rPr>
          <w:u w:val="single"/>
        </w:rPr>
        <w:t>Előzetes kezelés immunszupresszív vagy immunmoduláló terápiával</w:t>
      </w:r>
    </w:p>
    <w:p w14:paraId="23F4D33C" w14:textId="77777777" w:rsidR="00872991" w:rsidRDefault="00872991">
      <w:pPr>
        <w:spacing w:line="240" w:lineRule="auto"/>
      </w:pPr>
      <w:r>
        <w:t xml:space="preserve">Nem végeztek vizsgálatokat a dimetil-fumarát hatásosságának és biztonságosságának értékelésére a betegek más betegségmódosító kezelésről dimetil-fumarátra történő átállítása során. Lehetséges, hogy a dimetil-fumaráttal kezelt betegeknél a korábbi immunszupresszív kezelés hozzájárul a PML kialakulásához. </w:t>
      </w:r>
    </w:p>
    <w:p w14:paraId="02585820" w14:textId="77777777" w:rsidR="00872991" w:rsidRDefault="00872991">
      <w:pPr>
        <w:spacing w:line="240" w:lineRule="auto"/>
      </w:pPr>
    </w:p>
    <w:p w14:paraId="1239875D" w14:textId="4C90783C" w:rsidR="00872991" w:rsidRDefault="00872991">
      <w:pPr>
        <w:spacing w:line="240" w:lineRule="auto"/>
      </w:pPr>
      <w:r>
        <w:t>PML</w:t>
      </w:r>
      <w:r w:rsidR="00C23394">
        <w:t>-</w:t>
      </w:r>
      <w:r>
        <w:t>esetek</w:t>
      </w:r>
      <w:r w:rsidR="00C23394">
        <w:t>ről</w:t>
      </w:r>
      <w:r>
        <w:t xml:space="preserve"> </w:t>
      </w:r>
      <w:r w:rsidR="00C23394">
        <w:t>számoltak be</w:t>
      </w:r>
      <w:r>
        <w:t xml:space="preserve"> olyan betegeknél, akiket korábban natalizumabbal kezeltek, amelynél a PML kockázata bizonyított. Az orvosoknak tisztában kell lenniük azzal, hogy azoknál a PML eseteknél, amelyek a natalizumab közelmúltbeli leállítása után alakultak ki, lymphopenia nem biztos, hogy fennállt. </w:t>
      </w:r>
    </w:p>
    <w:p w14:paraId="440AB60E" w14:textId="77777777" w:rsidR="00872991" w:rsidRDefault="00872991">
      <w:pPr>
        <w:spacing w:line="240" w:lineRule="auto"/>
      </w:pPr>
    </w:p>
    <w:p w14:paraId="69F71B90" w14:textId="77777777" w:rsidR="00872991" w:rsidRDefault="00872991">
      <w:pPr>
        <w:spacing w:line="240" w:lineRule="auto"/>
      </w:pPr>
      <w:r>
        <w:t xml:space="preserve">Továbbá, a dimetil-fumarát-kezeléssel összefüggő, igazolt PML esetek többsége olyan betegeknél fordult elő, akik korábban immunmoduláló kezelést kaptak. </w:t>
      </w:r>
    </w:p>
    <w:p w14:paraId="47E95368" w14:textId="77777777" w:rsidR="00872991" w:rsidRDefault="00872991">
      <w:pPr>
        <w:spacing w:line="240" w:lineRule="auto"/>
      </w:pPr>
    </w:p>
    <w:p w14:paraId="5D318C6E" w14:textId="6DABD6F5" w:rsidR="00526CF5" w:rsidRDefault="00872991">
      <w:pPr>
        <w:spacing w:line="240" w:lineRule="auto"/>
      </w:pPr>
      <w:r>
        <w:t>Amikor a betegeket más betegségmódosító kezelésről dimet</w:t>
      </w:r>
      <w:r w:rsidR="00FE2742">
        <w:t>i</w:t>
      </w:r>
      <w:r>
        <w:t>l-fumarátra állítják át, figyelembe kell venni a másik kezelésben alkalmazott gyógyszer felezési idejét és hatásmechanizmusát. Ezzel elkerülhető az additív immunrendszeri hatás, és egyúttal csökkenthető az SM reaktiválódásának kockázata. A dimetil-fumarát-kezelés megkezdése előtt és a kezelés során rendszeres időközönként teljes vérvizsgálatot javasolt végezni (lásd fent a Vér-/laboratóriumi vizsgálatok pontot).</w:t>
      </w:r>
    </w:p>
    <w:p w14:paraId="50E53505" w14:textId="77777777" w:rsidR="00526CF5" w:rsidRDefault="00526CF5">
      <w:pPr>
        <w:spacing w:line="240" w:lineRule="auto"/>
      </w:pPr>
    </w:p>
    <w:p w14:paraId="042FF196" w14:textId="2A10088B" w:rsidR="00872991" w:rsidRDefault="00872991">
      <w:pPr>
        <w:spacing w:line="240" w:lineRule="auto"/>
      </w:pPr>
      <w:r w:rsidRPr="00872991">
        <w:rPr>
          <w:u w:val="single"/>
        </w:rPr>
        <w:t xml:space="preserve">Súlyos vese- </w:t>
      </w:r>
      <w:r w:rsidR="00302EC5">
        <w:rPr>
          <w:u w:val="single"/>
        </w:rPr>
        <w:t xml:space="preserve">és </w:t>
      </w:r>
      <w:r w:rsidRPr="00872991">
        <w:rPr>
          <w:u w:val="single"/>
        </w:rPr>
        <w:t>májkárosodás</w:t>
      </w:r>
      <w:r>
        <w:t xml:space="preserve"> </w:t>
      </w:r>
    </w:p>
    <w:p w14:paraId="3E53C921" w14:textId="77777777" w:rsidR="00872991" w:rsidRDefault="00872991">
      <w:pPr>
        <w:spacing w:line="240" w:lineRule="auto"/>
      </w:pPr>
      <w:r>
        <w:t xml:space="preserve">A dimetil-fumarátot nem vizsgálták súlyos vese- vagy májkárosodásban szenvedő betegeknél, ezért körültekintően kell eljárni az ilyen betegek kezelésekor (lásd 4.2 pont). </w:t>
      </w:r>
    </w:p>
    <w:p w14:paraId="2F57D553" w14:textId="77777777" w:rsidR="00872991" w:rsidRDefault="00872991">
      <w:pPr>
        <w:spacing w:line="240" w:lineRule="auto"/>
      </w:pPr>
    </w:p>
    <w:p w14:paraId="579F9EED" w14:textId="77777777" w:rsidR="00872991" w:rsidRDefault="00872991">
      <w:pPr>
        <w:spacing w:line="240" w:lineRule="auto"/>
      </w:pPr>
      <w:r w:rsidRPr="00872991">
        <w:rPr>
          <w:u w:val="single"/>
        </w:rPr>
        <w:t>Súlyos aktív emésztőrendszeri betegség</w:t>
      </w:r>
      <w:r>
        <w:t xml:space="preserve"> </w:t>
      </w:r>
    </w:p>
    <w:p w14:paraId="21A0D8C5" w14:textId="77777777" w:rsidR="00526CF5" w:rsidRDefault="00872991">
      <w:pPr>
        <w:spacing w:line="240" w:lineRule="auto"/>
      </w:pPr>
      <w:r>
        <w:t>A dimetil-fumarátot nem vizsgálták súlyos, aktív emésztőrendszeri betegségben szenvedő betegeknél, ezért körültekintően kell eljárni az ilyen betegek esetében.</w:t>
      </w:r>
    </w:p>
    <w:p w14:paraId="32A8BBE8" w14:textId="77777777" w:rsidR="00526CF5" w:rsidRDefault="00526CF5">
      <w:pPr>
        <w:spacing w:line="240" w:lineRule="auto"/>
      </w:pPr>
    </w:p>
    <w:p w14:paraId="425ECADE" w14:textId="77777777" w:rsidR="00C47A3A" w:rsidRDefault="00872991">
      <w:pPr>
        <w:spacing w:line="240" w:lineRule="auto"/>
        <w:rPr>
          <w:u w:val="single"/>
        </w:rPr>
      </w:pPr>
      <w:r w:rsidRPr="00872991">
        <w:rPr>
          <w:u w:val="single"/>
        </w:rPr>
        <w:t xml:space="preserve">Kipirulás </w:t>
      </w:r>
    </w:p>
    <w:p w14:paraId="0E3D91EB" w14:textId="76061E38" w:rsidR="00872991" w:rsidRDefault="00872991">
      <w:pPr>
        <w:spacing w:line="240" w:lineRule="auto"/>
      </w:pPr>
      <w:r>
        <w:t>Klinikai vizsgálatokban a dimetil-fumaráttal kezelt betegek 34%-ánál jelentkezett kipirulás. A kipirulás az azt tapasztaló betegek többségénél enyhe vagy közepes súlyosságú volt. Egészséges önkéntesekkel végzett vizsgálatokból származó adatok arra utalnak, hogy a dimetil-fumarát alkalmazásával összefüggő kipirulás valószínűleg prosztaglandin-mediált. Azoknál a betegeknél, akiknél a kipirulás nem tolerálható, hasznos lehet 75</w:t>
      </w:r>
      <w:r w:rsidR="00305443" w:rsidRPr="00687BC3">
        <w:t> </w:t>
      </w:r>
      <w:r>
        <w:t xml:space="preserve">mg, gyomornedv-ellenálló bevonattal nem rendelkező acetilszalicilsav </w:t>
      </w:r>
      <w:r>
        <w:lastRenderedPageBreak/>
        <w:t>rövid ideig történő alkalmazása (lásd 4.5</w:t>
      </w:r>
      <w:r w:rsidR="00305443" w:rsidRPr="00687BC3">
        <w:t> </w:t>
      </w:r>
      <w:r>
        <w:t xml:space="preserve">pont). Két, egészséges önkéntesekkel végzett vizsgálatban a kipirulás előfordulása és súlyossága az acetilszalicilsav adagolási időszakában alacsonyabb volt. </w:t>
      </w:r>
    </w:p>
    <w:p w14:paraId="6B13A7A8" w14:textId="77777777" w:rsidR="00872991" w:rsidRDefault="00872991">
      <w:pPr>
        <w:spacing w:line="240" w:lineRule="auto"/>
      </w:pPr>
    </w:p>
    <w:p w14:paraId="6C13B637" w14:textId="55974D67" w:rsidR="00872991" w:rsidRDefault="00872991">
      <w:pPr>
        <w:spacing w:line="240" w:lineRule="auto"/>
      </w:pPr>
      <w:r>
        <w:t>Klinikai vizsgálatokban a dimetil-fumaráttal kezelt 2560</w:t>
      </w:r>
      <w:r w:rsidR="00305443" w:rsidRPr="00687BC3">
        <w:t> </w:t>
      </w:r>
      <w:r>
        <w:t>betegből 3</w:t>
      </w:r>
      <w:r w:rsidR="00305443" w:rsidRPr="00687BC3">
        <w:t> </w:t>
      </w:r>
      <w:r>
        <w:t>főnél jelentkezett súlyos kipirulásos tünet, amelyeket valószínűleg túlérzékenység vagy anaphylaxiás reakció okozott. Ezek a</w:t>
      </w:r>
      <w:r w:rsidR="00776490">
        <w:t xml:space="preserve"> </w:t>
      </w:r>
      <w:r w:rsidR="000041D3">
        <w:t>mellékhatások</w:t>
      </w:r>
      <w:r>
        <w:t xml:space="preserve"> nem voltak életet veszélyeztetők, azonban kórházi kezelést igényeltek. A készítményt felíró orvosoknak és a betegeknek tudniuk kell, hogy súlyos kipirulásos reakciók esetében ilyen lehetőség is bekövetkezhet (lásd 4.2, 4.5 és 4.8</w:t>
      </w:r>
      <w:r w:rsidR="00305443" w:rsidRPr="00687BC3">
        <w:t> </w:t>
      </w:r>
      <w:r>
        <w:t>pont).</w:t>
      </w:r>
    </w:p>
    <w:p w14:paraId="4B424242" w14:textId="77777777" w:rsidR="00872991" w:rsidRDefault="00872991">
      <w:pPr>
        <w:spacing w:line="240" w:lineRule="auto"/>
      </w:pPr>
    </w:p>
    <w:p w14:paraId="47F4B591" w14:textId="77777777" w:rsidR="00872991" w:rsidRDefault="00872991">
      <w:pPr>
        <w:spacing w:line="240" w:lineRule="auto"/>
      </w:pPr>
      <w:r w:rsidRPr="00872991">
        <w:rPr>
          <w:u w:val="single"/>
        </w:rPr>
        <w:t>Anaphylaxiás reakciók</w:t>
      </w:r>
      <w:r>
        <w:t xml:space="preserve"> </w:t>
      </w:r>
    </w:p>
    <w:p w14:paraId="11E6627B" w14:textId="44247751" w:rsidR="00872991" w:rsidRDefault="00872991">
      <w:pPr>
        <w:spacing w:line="240" w:lineRule="auto"/>
      </w:pPr>
      <w:r>
        <w:t>A forgalomba hozatalt követően a dimetil-fumarát alkalmazása után jelentkező anaphylaxia/anaphylactoid reakció eseteiről számoltak be</w:t>
      </w:r>
      <w:r w:rsidR="00C23394">
        <w:t xml:space="preserve"> (lásd 4.8</w:t>
      </w:r>
      <w:r w:rsidR="001A3EE2" w:rsidRPr="00687BC3">
        <w:t> </w:t>
      </w:r>
      <w:r w:rsidR="00C23394">
        <w:t>pont)</w:t>
      </w:r>
      <w:r>
        <w:t>. Tünetei közé tartozhatnak a dyspnoe, hypoxia, hypotonia, angiooedema, bőrkiütés vagy urticaria. A dimetil-fumarát által indukált anaphylaxia mechanizmusa nem ismert. Ezek a reakciók általában az első adag után jelentkeznek, de a kezelés során bármikor előfordulhatnak, és súlyosak, illetve életveszélyesek lehetnek. A betegek figyelmét fel kell hívni, hogy hagyják abba a dimetil-fumarát alkalmazását, és azonnal forduljanak orvoshoz, ha anaphylaxiára jellemző jeleket vagy tüneteket tapasztalnak. A kezelést nem szabad újraindítani (lásd 4.8</w:t>
      </w:r>
      <w:r w:rsidR="00305443" w:rsidRPr="00687BC3">
        <w:t> </w:t>
      </w:r>
      <w:r>
        <w:t xml:space="preserve">pont). </w:t>
      </w:r>
    </w:p>
    <w:p w14:paraId="4E5CC440" w14:textId="77777777" w:rsidR="00872991" w:rsidRDefault="00872991">
      <w:pPr>
        <w:spacing w:line="240" w:lineRule="auto"/>
      </w:pPr>
    </w:p>
    <w:p w14:paraId="57E1B499" w14:textId="77777777" w:rsidR="00872991" w:rsidRDefault="00872991">
      <w:pPr>
        <w:spacing w:line="240" w:lineRule="auto"/>
      </w:pPr>
      <w:r w:rsidRPr="00872991">
        <w:rPr>
          <w:u w:val="single"/>
        </w:rPr>
        <w:t>Fertőzések</w:t>
      </w:r>
      <w:r>
        <w:t xml:space="preserve"> </w:t>
      </w:r>
    </w:p>
    <w:p w14:paraId="08DA3A43" w14:textId="5BCFA755" w:rsidR="00872991" w:rsidRDefault="001A3EE2">
      <w:pPr>
        <w:spacing w:line="240" w:lineRule="auto"/>
      </w:pPr>
      <w:r>
        <w:t>III</w:t>
      </w:r>
      <w:r w:rsidR="00872991">
        <w:t>.</w:t>
      </w:r>
      <w:r w:rsidRPr="00687BC3">
        <w:t> </w:t>
      </w:r>
      <w:r w:rsidR="00872991">
        <w:t>fázisú, placebokontrollos vizsgálatokban hasonló gyakorisággal fordult elő fertőzés (60%, ill. 58%) és súlyos fertőzés (2%, ill. 2%) a dimetil-fumaráttal, illetve a placebóval kezelt betegeknél. Ugyanakkor, tekintettel a dimetil-fumarát immunomoduláló tulajdonságaira (lásd 5.1</w:t>
      </w:r>
      <w:r w:rsidR="00305443" w:rsidRPr="00687BC3">
        <w:t> </w:t>
      </w:r>
      <w:r w:rsidR="00872991">
        <w:t xml:space="preserve">pont), ha egy betegnél súlyos fertőzés jelentkezik, meg kell fontolni a dimetil-fumarát-kezelés felfüggesztését, valamint a kezelés újrakezdése előtt meg kell ismételni az előny/kockázat értékelését. A dimetil-fumaráttal kezelt betegeket arra kell utasítani, hogy fertőzéses tüneteiket jelentsék egy orvosnak. Súlyos fertőzésben szenvedő betegek nem kezdhetik meg a dimetil-fumarát-kezelést addig, amíg a </w:t>
      </w:r>
      <w:proofErr w:type="gramStart"/>
      <w:r w:rsidR="00872991">
        <w:t>fertőzés(</w:t>
      </w:r>
      <w:proofErr w:type="gramEnd"/>
      <w:r w:rsidR="00872991">
        <w:t xml:space="preserve">ek) el nem múlt(ak). </w:t>
      </w:r>
    </w:p>
    <w:p w14:paraId="36F9C64D" w14:textId="77777777" w:rsidR="00872991" w:rsidRDefault="00872991">
      <w:pPr>
        <w:spacing w:line="240" w:lineRule="auto"/>
      </w:pPr>
    </w:p>
    <w:p w14:paraId="27394706" w14:textId="50593A33" w:rsidR="00872991" w:rsidRDefault="00872991">
      <w:pPr>
        <w:spacing w:line="240" w:lineRule="auto"/>
      </w:pPr>
      <w:r>
        <w:t>A súlyos fertőzések gyakorisága nem volt nagyobb azoknál a betegeknél, akiknek a lymphocytaszáma 0,8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872991">
        <w:rPr>
          <w:vertAlign w:val="superscript"/>
        </w:rPr>
        <w:t>9</w:t>
      </w:r>
      <w:r>
        <w:t>/l alatt vagy 0,5</w:t>
      </w:r>
      <w:r w:rsidR="00305443" w:rsidRPr="00687BC3">
        <w:t> </w:t>
      </w:r>
      <w:r>
        <w:t>×</w:t>
      </w:r>
      <w:r w:rsidR="00305443" w:rsidRPr="00687BC3">
        <w:t> </w:t>
      </w:r>
      <w:r>
        <w:t>10</w:t>
      </w:r>
      <w:r w:rsidRPr="00872991">
        <w:rPr>
          <w:vertAlign w:val="superscript"/>
        </w:rPr>
        <w:t>9</w:t>
      </w:r>
      <w:r>
        <w:t>/l alatt volt (lásd 4.8</w:t>
      </w:r>
      <w:r w:rsidR="00305443" w:rsidRPr="00687BC3">
        <w:t> </w:t>
      </w:r>
      <w:r>
        <w:t>pont). Nem lehet kizárni az opportunista fertőzés, beleértve a PML kockázatát akkor, ha a terápiát közepesen súlyos vagy súlyos, tartósan fennálló lymphopeniában is folytatják (lásd 4.4</w:t>
      </w:r>
      <w:r w:rsidR="00305443" w:rsidRPr="00687BC3">
        <w:t> </w:t>
      </w:r>
      <w:r>
        <w:t>pont, PML-ről szóló alpont).</w:t>
      </w:r>
    </w:p>
    <w:p w14:paraId="5B667CDB" w14:textId="77777777" w:rsidR="00872991" w:rsidRDefault="00872991">
      <w:pPr>
        <w:spacing w:line="240" w:lineRule="auto"/>
      </w:pPr>
    </w:p>
    <w:p w14:paraId="05D0C8EF" w14:textId="48535A25" w:rsidR="00872991" w:rsidRDefault="00872991">
      <w:pPr>
        <w:spacing w:line="240" w:lineRule="auto"/>
      </w:pPr>
      <w:r w:rsidRPr="00872991">
        <w:rPr>
          <w:u w:val="single"/>
        </w:rPr>
        <w:t>Herpes zoster</w:t>
      </w:r>
      <w:r w:rsidR="00C23394">
        <w:rPr>
          <w:u w:val="single"/>
        </w:rPr>
        <w:t>-</w:t>
      </w:r>
      <w:r w:rsidRPr="00872991">
        <w:rPr>
          <w:u w:val="single"/>
        </w:rPr>
        <w:t>fertőzések</w:t>
      </w:r>
      <w:r>
        <w:t xml:space="preserve"> </w:t>
      </w:r>
    </w:p>
    <w:p w14:paraId="35B93777" w14:textId="2C990E81" w:rsidR="00872991" w:rsidRDefault="00872991">
      <w:pPr>
        <w:spacing w:line="240" w:lineRule="auto"/>
      </w:pPr>
      <w:r>
        <w:t>A dimetil-fumarát alkalmazásakor herpes zoster</w:t>
      </w:r>
      <w:r w:rsidR="00C23394">
        <w:t>-</w:t>
      </w:r>
      <w:r>
        <w:t>esetek</w:t>
      </w:r>
      <w:r w:rsidR="00C23394">
        <w:t>ről</w:t>
      </w:r>
      <w:r>
        <w:t xml:space="preserve"> </w:t>
      </w:r>
      <w:r w:rsidR="00C23394">
        <w:t>számoltak be (lásd 4.8</w:t>
      </w:r>
      <w:r w:rsidR="001A3EE2" w:rsidRPr="00687BC3">
        <w:t> </w:t>
      </w:r>
      <w:r w:rsidR="00C23394">
        <w:t>pont)</w:t>
      </w:r>
      <w:r>
        <w:t xml:space="preserve">. Az esetek többsége nem volt súlyos, azonban jelentettek súlyos eseteket is, köztük disszeminált herpes zostert, </w:t>
      </w:r>
      <w:r w:rsidR="00B32FCD">
        <w:t>szemészeti vagy fülészeti tünetekkel járó herpes zoster-fertőzést</w:t>
      </w:r>
      <w:r w:rsidR="00E93E14">
        <w:t xml:space="preserve">, </w:t>
      </w:r>
      <w:r>
        <w:t>neurológiai tünetekkel járó herpes zoster</w:t>
      </w:r>
      <w:r w:rsidR="00B32FCD">
        <w:t>-</w:t>
      </w:r>
      <w:r>
        <w:t>fertőzést, herpes zoster</w:t>
      </w:r>
      <w:r w:rsidR="00B32FCD">
        <w:t>-</w:t>
      </w:r>
      <w:r>
        <w:t>meningoencephalitist és herpes zoster</w:t>
      </w:r>
      <w:r w:rsidR="00B32FCD">
        <w:t>-</w:t>
      </w:r>
      <w:r>
        <w:t xml:space="preserve"> meningomyelitist. Ezek </w:t>
      </w:r>
      <w:r w:rsidR="00B32FCD">
        <w:t>a mellékhatások</w:t>
      </w:r>
      <w:r>
        <w:t xml:space="preserve"> a kezelés során bármikor jelentkezhetnek. A betegeknél monitorozni kell a herpes zoster jeleit és tüneteit, különösen, ha egyidejűleg lymphocytopeniáról is beszámolnak. Herpes zoster kialakulása esetén megfelelő herpes zoster elleni kezelést kell alkalmazni. Súlyos fertőzés esetén mérlegelni kell a </w:t>
      </w:r>
      <w:r w:rsidR="00B32FCD">
        <w:t>kezelés</w:t>
      </w:r>
      <w:r>
        <w:t xml:space="preserve"> felfüggesztését a fertőzés megszűnéséig (lásd 4.8</w:t>
      </w:r>
      <w:r w:rsidR="00305443" w:rsidRPr="00687BC3">
        <w:t> </w:t>
      </w:r>
      <w:r>
        <w:t>pont).</w:t>
      </w:r>
    </w:p>
    <w:p w14:paraId="1D91A461" w14:textId="77777777" w:rsidR="00872991" w:rsidRDefault="00872991">
      <w:pPr>
        <w:spacing w:line="240" w:lineRule="auto"/>
      </w:pPr>
    </w:p>
    <w:p w14:paraId="775BD009" w14:textId="77777777" w:rsidR="009D68E9" w:rsidRDefault="00872991">
      <w:pPr>
        <w:spacing w:line="240" w:lineRule="auto"/>
      </w:pPr>
      <w:r w:rsidRPr="00872991">
        <w:rPr>
          <w:u w:val="single"/>
        </w:rPr>
        <w:t>A kezelés elkezdése</w:t>
      </w:r>
      <w:r>
        <w:t xml:space="preserve"> </w:t>
      </w:r>
    </w:p>
    <w:p w14:paraId="1848EF52" w14:textId="06CE3F50" w:rsidR="00526CF5" w:rsidRDefault="00872991">
      <w:pPr>
        <w:spacing w:line="240" w:lineRule="auto"/>
      </w:pPr>
      <w:r>
        <w:t>A kezelést a kipirulás és az emésztőrendszeri mellékhatások előfordulásának csökkentése érdekében fokozatosan kell bevezetni (lásd 4.2</w:t>
      </w:r>
      <w:r w:rsidR="00305443" w:rsidRPr="00687BC3">
        <w:t> </w:t>
      </w:r>
      <w:r>
        <w:t>pont).</w:t>
      </w:r>
    </w:p>
    <w:p w14:paraId="4111CE9E" w14:textId="77777777" w:rsidR="00526CF5" w:rsidRDefault="00526CF5">
      <w:pPr>
        <w:spacing w:line="240" w:lineRule="auto"/>
      </w:pPr>
    </w:p>
    <w:p w14:paraId="63305538" w14:textId="5B4FBD9D" w:rsidR="009D68E9" w:rsidRDefault="009D68E9">
      <w:pPr>
        <w:spacing w:line="240" w:lineRule="auto"/>
        <w:rPr>
          <w:u w:val="single"/>
        </w:rPr>
      </w:pPr>
      <w:r w:rsidRPr="009D68E9">
        <w:rPr>
          <w:u w:val="single"/>
        </w:rPr>
        <w:t>Fanconi-szindróma</w:t>
      </w:r>
    </w:p>
    <w:p w14:paraId="50422CAB" w14:textId="009B9221" w:rsidR="009D68E9" w:rsidRDefault="009D68E9">
      <w:pPr>
        <w:spacing w:line="240" w:lineRule="auto"/>
      </w:pPr>
      <w:r>
        <w:t>Fanconi-szindróma eseteiről számoltak be egy olyan gyógyszer alkalmazása esetén, amely dimetil-fumarátot tartalmaz egyéb fumársav-észterekkel kombinációban. A vesekárosodás és az osteomalacia megelőzése érdekében fontos a Fanconi-szindróma korai diagnózisa és a dimetil-fumarát-kezelés leállítása, mivel a szindróma rendszerint visszafordítható. A legfontosabb jelek a következők: proteinuria, glucosuria (normál vérglükózszint mellett), hyperaminoaciduria és phosphaturia (esetleg hypophosphataemia mellett). Az állapot súlyosbodását olyan tünetek jelezhetik, mint a polyuria, polydipsia és a proximális izmok gyengesége. Ritkán nem lokalizált csontfájdalommal járó hypophosphataemiás osteomalacia, a szérum emelkedett alkalikus fosz</w:t>
      </w:r>
      <w:r w:rsidR="00F85AA0">
        <w:t>f</w:t>
      </w:r>
      <w:r>
        <w:t xml:space="preserve">atáz-szintje és fáradásos csonttörés fordulhat elő. Lényeges, hogy a Fanconi-szindróma emelkedett kreatininszint és alacsony </w:t>
      </w:r>
      <w:r>
        <w:lastRenderedPageBreak/>
        <w:t>glomerulus filtrációs ráta nélkül is előfordulhat. Nem egyértelmű tünetek esetén mérlegelni kell a Fanconi-szindróma lehetőségét és el kell végezni a megfelelő vizsgálatokat.</w:t>
      </w:r>
    </w:p>
    <w:p w14:paraId="15B88878" w14:textId="77777777" w:rsidR="009D68E9" w:rsidRDefault="009D68E9">
      <w:pPr>
        <w:spacing w:line="240" w:lineRule="auto"/>
      </w:pPr>
    </w:p>
    <w:p w14:paraId="3C81D36C" w14:textId="77777777" w:rsidR="009D68E9" w:rsidRDefault="009D68E9">
      <w:pPr>
        <w:spacing w:line="240" w:lineRule="auto"/>
      </w:pPr>
      <w:r w:rsidRPr="009D68E9">
        <w:rPr>
          <w:u w:val="single"/>
        </w:rPr>
        <w:t>Ismert hatású segédanyag</w:t>
      </w:r>
      <w:r>
        <w:t xml:space="preserve"> </w:t>
      </w:r>
    </w:p>
    <w:p w14:paraId="5B989C97" w14:textId="57346BF3" w:rsidR="00526CF5" w:rsidRDefault="009D68E9">
      <w:pPr>
        <w:spacing w:line="240" w:lineRule="auto"/>
      </w:pPr>
      <w:r>
        <w:t xml:space="preserve">A készítmény </w:t>
      </w:r>
      <w:proofErr w:type="gramStart"/>
      <w:r>
        <w:t>kevesebb</w:t>
      </w:r>
      <w:proofErr w:type="gramEnd"/>
      <w:r>
        <w:t xml:space="preserve"> mint 1</w:t>
      </w:r>
      <w:r w:rsidR="00F85AA0">
        <w:t xml:space="preserve"> </w:t>
      </w:r>
      <w:r>
        <w:t>mmol nátriumot (23</w:t>
      </w:r>
      <w:r w:rsidR="00305443" w:rsidRPr="00687BC3">
        <w:t> </w:t>
      </w:r>
      <w:r>
        <w:t xml:space="preserve">mg) tartalmaz </w:t>
      </w:r>
      <w:r w:rsidR="00312FFD">
        <w:t xml:space="preserve">gyomornedv-ellenálló kemény </w:t>
      </w:r>
      <w:r>
        <w:t>kapszulánként, azaz gyakorlatilag „nátriummentes”.</w:t>
      </w:r>
    </w:p>
    <w:p w14:paraId="385E4738" w14:textId="77777777" w:rsidR="00526CF5" w:rsidRPr="00F06234" w:rsidRDefault="00526CF5">
      <w:pPr>
        <w:spacing w:line="240" w:lineRule="auto"/>
      </w:pPr>
    </w:p>
    <w:p w14:paraId="13DF0F41" w14:textId="77777777" w:rsidR="00F45C51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4.5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Gyógyszerkölcsönhatások és egyéb interakciók</w:t>
      </w:r>
    </w:p>
    <w:p w14:paraId="06382CA7" w14:textId="77777777" w:rsidR="00017B74" w:rsidRDefault="00017B7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020FD3F8" w14:textId="7ECD4A53" w:rsidR="00017B74" w:rsidRPr="008B7C45" w:rsidRDefault="00017B74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u w:val="single"/>
          <w:lang w:eastAsia="en-US"/>
        </w:rPr>
      </w:pPr>
      <w:r w:rsidRPr="008B7C45">
        <w:rPr>
          <w:rFonts w:eastAsia="Times New Roman"/>
          <w:bCs/>
          <w:noProof/>
          <w:snapToGrid/>
          <w:szCs w:val="22"/>
          <w:u w:val="single"/>
          <w:lang w:eastAsia="en-US"/>
        </w:rPr>
        <w:t>Daganatellenes, immunszupresszív vagy kortikoszteroid-terápiák</w:t>
      </w:r>
    </w:p>
    <w:p w14:paraId="6F58F745" w14:textId="77777777" w:rsidR="00F45C51" w:rsidRPr="00017B74" w:rsidRDefault="00F45C51">
      <w:pPr>
        <w:spacing w:line="240" w:lineRule="auto"/>
        <w:rPr>
          <w:rFonts w:eastAsia="Times New Roman"/>
          <w:bCs/>
          <w:noProof/>
          <w:snapToGrid/>
          <w:szCs w:val="22"/>
          <w:lang w:eastAsia="en-US"/>
        </w:rPr>
      </w:pPr>
    </w:p>
    <w:p w14:paraId="4312F6EC" w14:textId="77777777" w:rsidR="00B425A1" w:rsidRDefault="00B425A1">
      <w:pPr>
        <w:spacing w:line="240" w:lineRule="auto"/>
      </w:pPr>
      <w:r>
        <w:t xml:space="preserve">A dimetil-fumarátot nem vizsgálták antineoplasztikus vagy immunszuppresszív kezelésekkel kombináltan, ezért körültekintően kell eljárni az ilyen gyógyszerekkel történő együttes alkalmazás során. A sclerosis multiplexszel kapcsolatos klinikai vizsgálatokban a relapszusok intravénás kortikoszteroidokkal történő rövid távú párhuzamos kezelése nem társult a fertőzések előfordulásának klinikailag releváns emelkedésével. </w:t>
      </w:r>
    </w:p>
    <w:p w14:paraId="47819D4E" w14:textId="77777777" w:rsidR="003A4B4E" w:rsidRDefault="003A4B4E">
      <w:pPr>
        <w:spacing w:line="240" w:lineRule="auto"/>
      </w:pPr>
    </w:p>
    <w:p w14:paraId="4E0E5668" w14:textId="21997D87" w:rsidR="003A4B4E" w:rsidRPr="008B7C45" w:rsidRDefault="003A4B4E">
      <w:pPr>
        <w:spacing w:line="240" w:lineRule="auto"/>
        <w:rPr>
          <w:u w:val="single"/>
        </w:rPr>
      </w:pPr>
      <w:r w:rsidRPr="008B7C45">
        <w:rPr>
          <w:u w:val="single"/>
        </w:rPr>
        <w:t>Védőoltások</w:t>
      </w:r>
    </w:p>
    <w:p w14:paraId="49978217" w14:textId="77777777" w:rsidR="00B425A1" w:rsidRDefault="00B425A1">
      <w:pPr>
        <w:spacing w:line="240" w:lineRule="auto"/>
      </w:pPr>
    </w:p>
    <w:p w14:paraId="54669BB3" w14:textId="62E34C38" w:rsidR="00B425A1" w:rsidRDefault="00B425A1">
      <w:pPr>
        <w:spacing w:line="240" w:lineRule="auto"/>
      </w:pPr>
      <w:r>
        <w:t xml:space="preserve">A nemzeti védőoltási rendben meghatározott, élő kórokozókat nem tartalmazó vakcinák egyidejű alkalmazása a dimetil-fumarát-kezelés alatt megfontolható. </w:t>
      </w:r>
      <w:proofErr w:type="gramStart"/>
      <w:r>
        <w:t xml:space="preserve">Egy klinikai vizsgálatban, amelyet összesen 71, </w:t>
      </w:r>
      <w:r w:rsidR="003A4B4E">
        <w:t xml:space="preserve">RRSM-ben </w:t>
      </w:r>
      <w:r>
        <w:t>szenvedő beteggel végeztek, a legalább 6</w:t>
      </w:r>
      <w:r w:rsidR="00305443" w:rsidRPr="00687BC3">
        <w:t> </w:t>
      </w:r>
      <w:r>
        <w:t>hónapon át naponta kétszer 240</w:t>
      </w:r>
      <w:r w:rsidR="00305443" w:rsidRPr="00687BC3">
        <w:t> </w:t>
      </w:r>
      <w:r>
        <w:t xml:space="preserve">mg dimetil-fumarátot kapó (n = 38) vagy a legalább 3 hónapon át nem pegilált interferon-kezelésben részesülő (n = 33) betegek hasonló immunválaszt adtak (melynek meghatározása: az oltás előtti titerhez képest legalább </w:t>
      </w:r>
      <w:r w:rsidR="00305443">
        <w:t>két</w:t>
      </w:r>
      <w:r>
        <w:t>szeres titeremelkedés az oltás után) a tetanus toxoidra (emlékeztető antigén) és egy konjugált meningococcus C poliszacharid vakcinára (neoantigén), míg egy nem konjugált pneumococcus 23-valens poliszacharid vakcina (T-sejt függő antigén) különféle szerotípusair</w:t>
      </w:r>
      <w:proofErr w:type="gramEnd"/>
      <w:r>
        <w:t xml:space="preserve">a </w:t>
      </w:r>
      <w:proofErr w:type="gramStart"/>
      <w:r>
        <w:t>adott</w:t>
      </w:r>
      <w:proofErr w:type="gramEnd"/>
      <w:r>
        <w:t xml:space="preserve"> immunválasz mindkét kezelési csoportban változó volt. A három vakcinára adott, legalább </w:t>
      </w:r>
      <w:r w:rsidR="00305443">
        <w:t>négy</w:t>
      </w:r>
      <w:r>
        <w:t xml:space="preserve">szeres antitest-titer emelkedésként meghatározott pozitív immunválaszt mindkét kezelési csoportban kevesebb vizsgálati alanynál sikerült elérni. A tetanus toxoidra és a 3-as szerotípusú pneumococcus poliszacharidra adott válaszban kismértékű számszerű különbségeket figyeltek meg a nem pegilált interferon javára. </w:t>
      </w:r>
    </w:p>
    <w:p w14:paraId="7F6FF8B7" w14:textId="77777777" w:rsidR="00B425A1" w:rsidRDefault="00B425A1">
      <w:pPr>
        <w:spacing w:line="240" w:lineRule="auto"/>
      </w:pPr>
    </w:p>
    <w:p w14:paraId="05A58AC1" w14:textId="77777777" w:rsidR="00B425A1" w:rsidRDefault="00B425A1">
      <w:pPr>
        <w:spacing w:line="240" w:lineRule="auto"/>
      </w:pPr>
      <w:r>
        <w:t xml:space="preserve">A dimetil-fumarátot szedő betegeknél az élő, attenuált vakcinák hatásosságára és biztonságosságára vonatkozó klinikai adatok nem állnak rendelkezésre. Az élő kórokozókat tartalmazó vakcinák esetében fokozott lehet a klinikai fertőzés kockázata, ezért ilyen védőoltás nem adható dimetil-fumaráttal kezelt betegnek, azokat a ritka eseteket kivéve, amikor a vakcina be nem adása olyan nagy kockázattal járna, amely felülmúlja a vakcina és a dimetil-fumarát együttes alkalmazásának kockázatát. </w:t>
      </w:r>
    </w:p>
    <w:p w14:paraId="0F357927" w14:textId="77777777" w:rsidR="003A4B4E" w:rsidRDefault="003A4B4E">
      <w:pPr>
        <w:spacing w:line="240" w:lineRule="auto"/>
      </w:pPr>
    </w:p>
    <w:p w14:paraId="5FC3C1EB" w14:textId="0AFC6F59" w:rsidR="003A4B4E" w:rsidRPr="008B7C45" w:rsidRDefault="003A4B4E">
      <w:pPr>
        <w:spacing w:line="240" w:lineRule="auto"/>
        <w:rPr>
          <w:u w:val="single"/>
        </w:rPr>
      </w:pPr>
      <w:r w:rsidRPr="008B7C45">
        <w:rPr>
          <w:u w:val="single"/>
        </w:rPr>
        <w:t>Egyéb fumársav-származékok</w:t>
      </w:r>
    </w:p>
    <w:p w14:paraId="45976E6B" w14:textId="77777777" w:rsidR="00B425A1" w:rsidRDefault="00B425A1">
      <w:pPr>
        <w:spacing w:line="240" w:lineRule="auto"/>
      </w:pPr>
      <w:r>
        <w:t xml:space="preserve">A dimetil-fumaráttal történő kezelés során kerülni kell más fumársav származékok egyidejű (topikális vagy szisztémás) alkalmazását. </w:t>
      </w:r>
    </w:p>
    <w:p w14:paraId="5D73EB71" w14:textId="77777777" w:rsidR="00B425A1" w:rsidRDefault="00B425A1">
      <w:pPr>
        <w:spacing w:line="240" w:lineRule="auto"/>
      </w:pPr>
    </w:p>
    <w:p w14:paraId="431C2F75" w14:textId="44EFFE99" w:rsidR="00E1258C" w:rsidRDefault="00B425A1">
      <w:pPr>
        <w:spacing w:line="240" w:lineRule="auto"/>
      </w:pPr>
      <w:r>
        <w:t xml:space="preserve">Embereknél az észterázok nagy arányban metabolizálják a dimetil-fumarátot, mielőtt az elérné a szisztémás keringést, és további metabolizáció zajlik le a trikarboxilsav-cikluson keresztül, de ebben nem játszik szerepet a citokróm P450 (CYP) rendszer. Az </w:t>
      </w:r>
      <w:r w:rsidRPr="00D80F01">
        <w:rPr>
          <w:i/>
          <w:iCs/>
        </w:rPr>
        <w:t>in vitro</w:t>
      </w:r>
      <w:r>
        <w:t xml:space="preserve"> CYP-inhibiciós és -indukciós vizsgálatokban, a p-glikoprotein vizsgálatban vagy a dimetil-fumarát és a monometil-fumarát (a dimetil-fumarát elsődleges metabolitja) fehérjekötődésére irányuló vizsgálatokban kölcsönhatásra vonatkozó lehetséges kockázatokat nem azonosítottak.</w:t>
      </w:r>
    </w:p>
    <w:p w14:paraId="4F0A86B9" w14:textId="77777777" w:rsidR="003A4B4E" w:rsidRDefault="003A4B4E">
      <w:pPr>
        <w:spacing w:line="240" w:lineRule="auto"/>
      </w:pPr>
    </w:p>
    <w:p w14:paraId="77E17704" w14:textId="599AFB11" w:rsidR="003A4B4E" w:rsidRPr="008B7C45" w:rsidRDefault="003A4B4E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8B7C45">
        <w:rPr>
          <w:u w:val="single"/>
        </w:rPr>
        <w:t>Más hatóanyagok hatása a dimetil-fumarátra</w:t>
      </w:r>
    </w:p>
    <w:p w14:paraId="2B557A71" w14:textId="77777777" w:rsidR="00B425A1" w:rsidRDefault="00B425A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946F9DA" w14:textId="77777777" w:rsidR="00B425A1" w:rsidRDefault="00B425A1">
      <w:pPr>
        <w:spacing w:line="240" w:lineRule="auto"/>
      </w:pPr>
      <w:r>
        <w:t xml:space="preserve">A sclerosis multiplexben szenvedő betegek által általánosan használt gyógyszereket (intramuszkulárisan beadott béta-1a interferon és glatiramer-acetát) klinikailag tesztelték a dimetil-fumaráttal adott lehetséges kölcsönhatások tekintetében, és ezek nem módosították a dimetil-fumarát farmakokinetikai profilját. </w:t>
      </w:r>
    </w:p>
    <w:p w14:paraId="02EBC789" w14:textId="77777777" w:rsidR="00B425A1" w:rsidRDefault="00B425A1">
      <w:pPr>
        <w:spacing w:line="240" w:lineRule="auto"/>
      </w:pPr>
    </w:p>
    <w:p w14:paraId="2A52941C" w14:textId="17F995A4" w:rsidR="00B425A1" w:rsidRDefault="00B425A1">
      <w:pPr>
        <w:spacing w:line="240" w:lineRule="auto"/>
      </w:pPr>
      <w:r>
        <w:lastRenderedPageBreak/>
        <w:t xml:space="preserve">Egészséges önkéntesekkel végzett vizsgálatokból származó bizonyítékok arra utalnak, hogy a dimetil-fumarát alkalmazásával összefüggő kipirulás valószínűleg prosztaglandin-mediált. Két, egészséges önkéntesekkel végzett vizsgálatban a dimetil-fumarát farmakokinetikai profilját nem befolyásolta, amikor az önkéntesek 4 napon, illetve 4 héten keresztül adagolva 325 mg (vagy ezzel egyenértékű), gyomornedv-ellenálló bevonattal nem rendelkező acetilszalicilsavat kaptak 30 perccel a dimetil-fumarát beadása előtt. </w:t>
      </w:r>
      <w:r w:rsidR="003A4B4E">
        <w:t>RR</w:t>
      </w:r>
      <w:r>
        <w:t>SM-ben szenvedő betegeknél mérlegelni kell az acetilszalicilsav-kezelés lehetséges kockázatait a dimetil-fumaráttal történő együttes alkalmazást megelőzően. Az acetilszalicilsav tartós (&gt; 4</w:t>
      </w:r>
      <w:r w:rsidR="00EE5CEC" w:rsidRPr="00687BC3">
        <w:t> </w:t>
      </w:r>
      <w:r>
        <w:t>hetes) folyamatos alkalmazását nem vizsgálták (lásd 4.4 és 4.8</w:t>
      </w:r>
      <w:r w:rsidR="00EE5CEC" w:rsidRPr="00687BC3">
        <w:t> </w:t>
      </w:r>
      <w:r>
        <w:t xml:space="preserve">pont). </w:t>
      </w:r>
    </w:p>
    <w:p w14:paraId="3D08B8A3" w14:textId="77777777" w:rsidR="00B425A1" w:rsidRDefault="00B425A1">
      <w:pPr>
        <w:spacing w:line="240" w:lineRule="auto"/>
      </w:pPr>
    </w:p>
    <w:p w14:paraId="12A0141E" w14:textId="2881597D" w:rsidR="00B425A1" w:rsidRDefault="00B425A1">
      <w:pPr>
        <w:spacing w:line="240" w:lineRule="auto"/>
      </w:pPr>
      <w:r>
        <w:t>A nefrotoxikus gyógyszerekkel (például aminoglikozidokkal, diuretikumokkal, nem</w:t>
      </w:r>
      <w:r w:rsidR="00FE2742">
        <w:t>-</w:t>
      </w:r>
      <w:r>
        <w:t>szteroid gyulladáscsökkentőkkel vagy lítiummal) folytatott egyidejű kezelés megnövelheti a vesében jelentkező mellékhatások (pl. proteinuria, lásd 4.8 pont) kialakulásának lehetőségét a dimetil-fumarátot szedő betegeknél (lásd 4.4</w:t>
      </w:r>
      <w:r w:rsidR="00EE5CEC" w:rsidRPr="00687BC3">
        <w:t> </w:t>
      </w:r>
      <w:r>
        <w:t xml:space="preserve">pont: Vér-/laboratóriumi vizsgálatok). </w:t>
      </w:r>
    </w:p>
    <w:p w14:paraId="223080A4" w14:textId="77777777" w:rsidR="00B425A1" w:rsidRDefault="00B425A1">
      <w:pPr>
        <w:spacing w:line="240" w:lineRule="auto"/>
      </w:pPr>
    </w:p>
    <w:p w14:paraId="39C3E0D4" w14:textId="00B87B0D" w:rsidR="00B425A1" w:rsidRDefault="00B425A1">
      <w:pPr>
        <w:spacing w:line="240" w:lineRule="auto"/>
      </w:pPr>
      <w:r>
        <w:t>A mértéktartó alkoholfogyasztás nem befolyásolta a dimetil-fumarát-expozíciót, és nem növelte a mellékhatások számát. Erős</w:t>
      </w:r>
      <w:r w:rsidR="00032731">
        <w:t xml:space="preserve">, </w:t>
      </w:r>
      <w:r>
        <w:t>30 térfogatszázalékot meghaladó</w:t>
      </w:r>
      <w:r w:rsidR="00032731">
        <w:t xml:space="preserve"> </w:t>
      </w:r>
      <w:r>
        <w:t xml:space="preserve">alkoholtartalmú italok nagy mennyiségben történő fogyasztása a dimetil-fumarát bevételét követő egy órán belül kerülendő, mivel az alkohol az emésztőrendszeri mellékhatások gyakoriságának fokozódásához vezethet. </w:t>
      </w:r>
    </w:p>
    <w:p w14:paraId="08856FF6" w14:textId="77777777" w:rsidR="00000986" w:rsidRDefault="00000986">
      <w:pPr>
        <w:spacing w:line="240" w:lineRule="auto"/>
      </w:pPr>
    </w:p>
    <w:p w14:paraId="3E75EA23" w14:textId="62810085" w:rsidR="00000986" w:rsidRPr="008B7C45" w:rsidRDefault="00000986">
      <w:pPr>
        <w:spacing w:line="240" w:lineRule="auto"/>
        <w:rPr>
          <w:u w:val="single"/>
        </w:rPr>
      </w:pPr>
      <w:r w:rsidRPr="008B7C45">
        <w:rPr>
          <w:u w:val="single"/>
        </w:rPr>
        <w:t>A dimetil-fumarát hatása más hatóanyagokra</w:t>
      </w:r>
    </w:p>
    <w:p w14:paraId="2A950945" w14:textId="77777777" w:rsidR="00B425A1" w:rsidRDefault="00B425A1">
      <w:pPr>
        <w:spacing w:line="240" w:lineRule="auto"/>
      </w:pPr>
    </w:p>
    <w:p w14:paraId="32917741" w14:textId="77777777" w:rsidR="00B425A1" w:rsidRDefault="00B425A1">
      <w:pPr>
        <w:spacing w:line="240" w:lineRule="auto"/>
      </w:pPr>
      <w:r w:rsidRPr="00D80F01">
        <w:rPr>
          <w:i/>
          <w:iCs/>
        </w:rPr>
        <w:t>In vitro</w:t>
      </w:r>
      <w:r>
        <w:t xml:space="preserve"> CYP-indukciós vizsgálatokban nem mutattak ki kölcsönhatást a dimetil-fumarát és a szájon át alkalmazható fogamzásgátlók között. Egy in vivo vizsgálatban a dimetil-fumarát egy kombinált, szájon át alkalmazható fogamzásgátlóval (norgesztimát és etinilösztradiol) történő együttes alkalmazása nem mutatott lényeges változást a szájon át alkalmazható fogamzásgátló expozícióban. Más progesztogéneket tartalmazó, szájon át alkalmazható fogamzásgátlókkal nem végeztek interakciós vizsgálatokat, azonban nem várható, hogy a dimetil-fumarát befolyásolná ezek expozícióját.</w:t>
      </w:r>
    </w:p>
    <w:p w14:paraId="1198D4A1" w14:textId="77777777" w:rsidR="00B425A1" w:rsidRPr="00F06234" w:rsidRDefault="00B425A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F21DA10" w14:textId="77777777" w:rsidR="00F45C51" w:rsidRPr="00F06234" w:rsidRDefault="00192777">
      <w:pPr>
        <w:spacing w:line="240" w:lineRule="auto"/>
        <w:rPr>
          <w:u w:val="single"/>
        </w:rPr>
      </w:pPr>
      <w:r w:rsidRPr="00F06234">
        <w:rPr>
          <w:u w:val="single"/>
        </w:rPr>
        <w:t>Gyermek</w:t>
      </w:r>
      <w:r w:rsidR="00127C1D" w:rsidRPr="00F06234">
        <w:rPr>
          <w:u w:val="single"/>
        </w:rPr>
        <w:t>ek</w:t>
      </w:r>
      <w:r w:rsidR="00DC4CAB" w:rsidRPr="00F06234">
        <w:rPr>
          <w:u w:val="single"/>
        </w:rPr>
        <w:t xml:space="preserve"> és serdülők</w:t>
      </w:r>
    </w:p>
    <w:p w14:paraId="40B76CC8" w14:textId="77777777" w:rsidR="00B425A1" w:rsidRDefault="0019277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>Interakciós vizsgálatokat csak felnőttek körében végeztek.</w:t>
      </w:r>
    </w:p>
    <w:p w14:paraId="237D311B" w14:textId="0552C790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D18EAF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4.6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Termékenység, terhesség és szoptatás</w:t>
      </w:r>
    </w:p>
    <w:p w14:paraId="465B9A0E" w14:textId="77777777" w:rsidR="00F45C51" w:rsidRPr="00F06234" w:rsidRDefault="00F45C51">
      <w:pPr>
        <w:spacing w:line="240" w:lineRule="auto"/>
        <w:rPr>
          <w:i/>
        </w:rPr>
      </w:pPr>
    </w:p>
    <w:p w14:paraId="4331D3B1" w14:textId="7865AB5F" w:rsidR="00F45C51" w:rsidRDefault="00192777">
      <w:pPr>
        <w:spacing w:line="240" w:lineRule="auto"/>
        <w:rPr>
          <w:u w:val="single"/>
        </w:rPr>
      </w:pPr>
      <w:r w:rsidRPr="00F06234">
        <w:rPr>
          <w:u w:val="single"/>
        </w:rPr>
        <w:t>Terhesség</w:t>
      </w:r>
    </w:p>
    <w:p w14:paraId="6CD7F44F" w14:textId="405551E7" w:rsidR="00BC08BA" w:rsidRDefault="00A92934">
      <w:pPr>
        <w:spacing w:line="240" w:lineRule="auto"/>
      </w:pPr>
      <w:r>
        <w:t>A dimetil-fumarát terhes nőknél történő alkalmazás</w:t>
      </w:r>
      <w:r w:rsidR="00BC08BA">
        <w:t xml:space="preserve">áról </w:t>
      </w:r>
      <w:r w:rsidR="00BC08BA" w:rsidRPr="00BC08BA">
        <w:t xml:space="preserve">közepes mennyiségű adat (300–1000 terhesség kimenetelének eredménye) áll rendelkezésre, amelyek egy terhességi nyilvántartásból és a forgalomba hozatalt követő spontán jelentésekből származnak. A </w:t>
      </w:r>
      <w:r w:rsidR="001923AE">
        <w:t>dimetil-fumarát</w:t>
      </w:r>
      <w:r w:rsidR="00BC08BA" w:rsidRPr="00BC08BA">
        <w:t xml:space="preserve"> terhességi nyilvántartásában 289 terhesség kimenetelének prospektívan gyűjtött adatait dokumentálták olyan SM-es betegeknél, akik dimetil-fumarátot szedtek. A dimetil-fumarát-expozíció medián időtartama 4,6 gesztációs hét volt, a hatodik gesztációs hét után korlátozott expozíció mellett (44 terhesség kimenetele). Ilyen korai terhességben a dimetil-fumarát-expozíció nem igazolt malformatív vagy föto/neonatalis toxicitást az általános populációhoz képest. A hosszabb ideig tartó dimetil-fumarát-expozíció, vagy a terhesség későbbi szakaszaiban történő expozíció kockázata nem ismert</w:t>
      </w:r>
      <w:r w:rsidR="00BC08BA">
        <w:t>.</w:t>
      </w:r>
    </w:p>
    <w:p w14:paraId="6F92A0F3" w14:textId="77777777" w:rsidR="00BC08BA" w:rsidRDefault="00BC08BA">
      <w:pPr>
        <w:spacing w:line="240" w:lineRule="auto"/>
      </w:pPr>
    </w:p>
    <w:p w14:paraId="4894211A" w14:textId="676031CB" w:rsidR="00A92934" w:rsidRDefault="00BC08BA">
      <w:pPr>
        <w:spacing w:line="240" w:lineRule="auto"/>
        <w:rPr>
          <w:u w:val="single"/>
        </w:rPr>
      </w:pPr>
      <w:bookmarkStart w:id="0" w:name="_Hlk160204291"/>
      <w:r w:rsidRPr="00BC08BA">
        <w:t>Az állat</w:t>
      </w:r>
      <w:r w:rsidR="007B7501">
        <w:t>kísérletek</w:t>
      </w:r>
      <w:r w:rsidRPr="00BC08BA">
        <w:t xml:space="preserve"> reproduktív toxicitást igazoltak (lásd 5.3</w:t>
      </w:r>
      <w:r w:rsidR="001864D2" w:rsidRPr="00687BC3">
        <w:t> </w:t>
      </w:r>
      <w:r w:rsidRPr="00BC08BA">
        <w:t xml:space="preserve">pont). A </w:t>
      </w:r>
      <w:r>
        <w:t>dimetil-fumarát</w:t>
      </w:r>
      <w:r w:rsidRPr="00BC08BA">
        <w:t xml:space="preserve"> alkalmazása elővigyázatosságból kerülendő terhesség alatt. A </w:t>
      </w:r>
      <w:r>
        <w:t>dimetil-fumarátot</w:t>
      </w:r>
      <w:r w:rsidRPr="00BC08BA">
        <w:t xml:space="preserve"> csak akkor szabad terhesség alatt alkalmazni, ha egyértelműen szükség van rá, és a lehetséges előnyök felülmúlják a magzatra gyakorolt hatás lehetséges kockázatát. </w:t>
      </w:r>
      <w:bookmarkEnd w:id="0"/>
    </w:p>
    <w:p w14:paraId="6A40071B" w14:textId="77777777" w:rsidR="00BC08BA" w:rsidRDefault="00BC08BA">
      <w:pPr>
        <w:spacing w:line="240" w:lineRule="auto"/>
        <w:rPr>
          <w:u w:val="single"/>
        </w:rPr>
      </w:pPr>
    </w:p>
    <w:p w14:paraId="75C6CD97" w14:textId="77777777" w:rsidR="00F45C51" w:rsidRDefault="00192777">
      <w:pPr>
        <w:spacing w:line="240" w:lineRule="auto"/>
        <w:rPr>
          <w:u w:val="single"/>
        </w:rPr>
      </w:pPr>
      <w:r w:rsidRPr="00F06234">
        <w:rPr>
          <w:u w:val="single"/>
        </w:rPr>
        <w:t>Szoptatás</w:t>
      </w:r>
    </w:p>
    <w:p w14:paraId="66CA1051" w14:textId="7063143B" w:rsidR="00A92934" w:rsidRDefault="00A92934">
      <w:pPr>
        <w:spacing w:line="240" w:lineRule="auto"/>
        <w:rPr>
          <w:u w:val="single"/>
        </w:rPr>
      </w:pPr>
      <w:r>
        <w:t xml:space="preserve">Nem ismert, hogy a dimetil-fumarát vagy metabolitjai kiválasztódnak-e a humán anyatejbe. Az anyatejjel táplált újszülöttre/csecsemőre nézve a kockázatot nem lehet kizárni. A dimetil-fumarát alkalmazása előtt el kell dönteni, hogy a szoptatást függesztik fel, vagy megszakítják a </w:t>
      </w:r>
      <w:r w:rsidR="00B63548">
        <w:t>dimetil-fumarát-</w:t>
      </w:r>
      <w:r>
        <w:t xml:space="preserve">kezelést, figyelembe véve a szoptatás előnyét a gyermek, </w:t>
      </w:r>
      <w:r w:rsidR="00BC08BA">
        <w:t>illetve a kezelés</w:t>
      </w:r>
      <w:r>
        <w:t xml:space="preserve"> előnyét az anya szempontjából.</w:t>
      </w:r>
    </w:p>
    <w:p w14:paraId="70E0D401" w14:textId="77777777" w:rsidR="00A92934" w:rsidRDefault="00A92934">
      <w:pPr>
        <w:spacing w:line="240" w:lineRule="auto"/>
        <w:rPr>
          <w:u w:val="single"/>
        </w:rPr>
      </w:pPr>
    </w:p>
    <w:p w14:paraId="7C322FBB" w14:textId="77777777" w:rsidR="00F45C51" w:rsidRDefault="00192777">
      <w:pPr>
        <w:spacing w:line="240" w:lineRule="auto"/>
        <w:rPr>
          <w:u w:val="single"/>
        </w:rPr>
      </w:pPr>
      <w:r w:rsidRPr="00F06234">
        <w:rPr>
          <w:u w:val="single"/>
        </w:rPr>
        <w:t>Termékenység</w:t>
      </w:r>
    </w:p>
    <w:p w14:paraId="2C5E256D" w14:textId="78AFE25A" w:rsidR="00B425A1" w:rsidRDefault="00A92934">
      <w:pPr>
        <w:spacing w:line="240" w:lineRule="auto"/>
        <w:rPr>
          <w:u w:val="single"/>
        </w:rPr>
      </w:pPr>
      <w:r>
        <w:lastRenderedPageBreak/>
        <w:t>Nincsenek adatok arra vonatkozóan, hogy a dimetil-fumarát milyen hatással van az emberi termékenységre. A preklinikai vizsgálatokból származó adatok szerint a dimetil-fumarát nem jár a fertilitás csökkenésének emelkedett kockázatával (lásd 5.3</w:t>
      </w:r>
      <w:r w:rsidR="00EE5CEC" w:rsidRPr="00687BC3">
        <w:t> </w:t>
      </w:r>
      <w:r>
        <w:t>pont).</w:t>
      </w:r>
    </w:p>
    <w:p w14:paraId="32CE9041" w14:textId="77777777" w:rsidR="00B425A1" w:rsidRPr="00F06234" w:rsidRDefault="00B425A1">
      <w:pPr>
        <w:spacing w:line="240" w:lineRule="auto"/>
      </w:pPr>
    </w:p>
    <w:p w14:paraId="3980D64B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4.7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készítmény hatásai a gépjárművezetéshez és </w:t>
      </w:r>
      <w:r w:rsidR="00F5194B" w:rsidRPr="00F06234">
        <w:rPr>
          <w:rFonts w:eastAsia="Times New Roman"/>
          <w:b/>
          <w:noProof/>
          <w:snapToGrid/>
          <w:szCs w:val="22"/>
          <w:lang w:eastAsia="en-US"/>
        </w:rPr>
        <w:t xml:space="preserve">a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gépek kezeléséhez szükséges képességekre</w:t>
      </w:r>
    </w:p>
    <w:p w14:paraId="1EA9DC6E" w14:textId="77777777" w:rsidR="00A92934" w:rsidRDefault="00A92934">
      <w:pPr>
        <w:spacing w:line="240" w:lineRule="auto"/>
        <w:ind w:left="567" w:hanging="567"/>
        <w:outlineLvl w:val="0"/>
      </w:pPr>
    </w:p>
    <w:p w14:paraId="757A31FD" w14:textId="7E4DFC3D" w:rsidR="00F45C51" w:rsidRPr="00F06234" w:rsidRDefault="00A92934">
      <w:pPr>
        <w:tabs>
          <w:tab w:val="clear" w:pos="567"/>
          <w:tab w:val="left" w:pos="0"/>
        </w:tabs>
        <w:spacing w:line="240" w:lineRule="auto"/>
        <w:outlineLvl w:val="0"/>
        <w:rPr>
          <w:b/>
        </w:rPr>
      </w:pPr>
      <w:r>
        <w:t xml:space="preserve">A dimetil-fumarát nem, vagy csak elhanyagolható mértékben befolyásolja a gépjárművezetéshez és a gépek kezeléséhez szükséges képességeket. </w:t>
      </w:r>
    </w:p>
    <w:p w14:paraId="0A5048FB" w14:textId="77777777" w:rsidR="00A92934" w:rsidRPr="00F06234" w:rsidRDefault="00A929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50C71C4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4.8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Nemkívánatos hatások, mellékhatások</w:t>
      </w:r>
    </w:p>
    <w:p w14:paraId="097548F8" w14:textId="77777777" w:rsidR="00F45C51" w:rsidRPr="00F06234" w:rsidRDefault="00F45C51">
      <w:pPr>
        <w:spacing w:line="240" w:lineRule="auto"/>
        <w:rPr>
          <w:i/>
        </w:rPr>
      </w:pPr>
    </w:p>
    <w:p w14:paraId="737D009F" w14:textId="77777777" w:rsidR="00FF29FB" w:rsidRDefault="00FF29FB">
      <w:pPr>
        <w:spacing w:line="240" w:lineRule="auto"/>
      </w:pPr>
      <w:r w:rsidRPr="00FF29FB">
        <w:rPr>
          <w:u w:val="single"/>
        </w:rPr>
        <w:t>A biztonsági profil összefoglalása</w:t>
      </w:r>
      <w:r>
        <w:t xml:space="preserve"> </w:t>
      </w:r>
    </w:p>
    <w:p w14:paraId="43852C40" w14:textId="77777777" w:rsidR="00BC08BA" w:rsidRDefault="00BC08BA">
      <w:pPr>
        <w:spacing w:line="240" w:lineRule="auto"/>
      </w:pPr>
    </w:p>
    <w:p w14:paraId="63E169B9" w14:textId="4D85B584" w:rsidR="00FF29FB" w:rsidRDefault="00FF29FB">
      <w:pPr>
        <w:spacing w:line="240" w:lineRule="auto"/>
      </w:pPr>
      <w:r>
        <w:t xml:space="preserve">A leggyakoribb mellékhatások a kipirulás </w:t>
      </w:r>
      <w:bookmarkStart w:id="1" w:name="_Hlk160204429"/>
      <w:r w:rsidR="00BC08BA">
        <w:t xml:space="preserve">(35 %) </w:t>
      </w:r>
      <w:bookmarkEnd w:id="1"/>
      <w:r>
        <w:t>és az emésztőrendszeri események (vagyis a hasmenés</w:t>
      </w:r>
      <w:r w:rsidR="00BC08BA">
        <w:t xml:space="preserve"> </w:t>
      </w:r>
      <w:bookmarkStart w:id="2" w:name="_Hlk160204442"/>
      <w:r w:rsidR="00BC08BA" w:rsidRPr="00BC08BA">
        <w:t>[14%]</w:t>
      </w:r>
      <w:r>
        <w:t xml:space="preserve">, </w:t>
      </w:r>
      <w:bookmarkEnd w:id="2"/>
      <w:r>
        <w:t>hányinger</w:t>
      </w:r>
      <w:r w:rsidR="00BC08BA">
        <w:t xml:space="preserve"> </w:t>
      </w:r>
      <w:r w:rsidR="00BC08BA" w:rsidRPr="00BC08BA">
        <w:t>[1</w:t>
      </w:r>
      <w:r w:rsidR="00BC08BA">
        <w:t>2</w:t>
      </w:r>
      <w:r w:rsidR="00BC08BA" w:rsidRPr="00BC08BA">
        <w:t>%]</w:t>
      </w:r>
      <w:r>
        <w:t xml:space="preserve">, </w:t>
      </w:r>
      <w:r w:rsidR="00BC08BA">
        <w:t xml:space="preserve">a </w:t>
      </w:r>
      <w:r>
        <w:t>hasi fájdalom</w:t>
      </w:r>
      <w:r w:rsidR="00BC08BA">
        <w:t xml:space="preserve"> </w:t>
      </w:r>
      <w:r w:rsidR="00BC08BA" w:rsidRPr="00BC08BA">
        <w:t>[1</w:t>
      </w:r>
      <w:r w:rsidR="00BC08BA">
        <w:t>0</w:t>
      </w:r>
      <w:r w:rsidR="00BC08BA" w:rsidRPr="00BC08BA">
        <w:t>%]</w:t>
      </w:r>
      <w:r>
        <w:t xml:space="preserve">, </w:t>
      </w:r>
      <w:r w:rsidR="00BC08BA">
        <w:t xml:space="preserve">a </w:t>
      </w:r>
      <w:r>
        <w:t>gyomortáji fájdalom</w:t>
      </w:r>
      <w:r w:rsidR="00BC08BA">
        <w:t xml:space="preserve"> [1</w:t>
      </w:r>
      <w:r w:rsidR="00032731">
        <w:t>0</w:t>
      </w:r>
      <w:r w:rsidR="00BC08BA">
        <w:t>%]</w:t>
      </w:r>
      <w:r>
        <w:t xml:space="preserve">) voltak. Úgy tűnik, a kipirulás és az emésztőrendszeri események a kezelés korai szakaszában (elsősorban az első hónapban) alakulnak ki, és a kipirulás és az emésztőrendszeri események a tünetet tapasztaló betegeknél időszakosan jelentkezhetnek a dimetil-fumaráttal történő kezelés folyamán is. A </w:t>
      </w:r>
      <w:r w:rsidR="00BC08BA">
        <w:t>kezelés</w:t>
      </w:r>
      <w:r>
        <w:t xml:space="preserve"> abbahagyását eredményező leggyakoribb mellékhatások</w:t>
      </w:r>
      <w:r w:rsidR="00BC08BA">
        <w:t xml:space="preserve">, </w:t>
      </w:r>
      <w:r>
        <w:t>melyekről beszámoltak, a kipirulás (3%) és az emésztőrendszeri események (4%) voltak.</w:t>
      </w:r>
    </w:p>
    <w:p w14:paraId="59A1BA11" w14:textId="77777777" w:rsidR="00FF29FB" w:rsidRDefault="00FF29FB">
      <w:pPr>
        <w:spacing w:line="240" w:lineRule="auto"/>
      </w:pPr>
    </w:p>
    <w:p w14:paraId="2C6C128A" w14:textId="00FDD4F1" w:rsidR="00FF29FB" w:rsidRDefault="00FF29FB">
      <w:pPr>
        <w:spacing w:line="240" w:lineRule="auto"/>
      </w:pPr>
      <w:r>
        <w:t xml:space="preserve">A </w:t>
      </w:r>
      <w:bookmarkStart w:id="3" w:name="_Hlk160204368"/>
      <w:r w:rsidR="00E77263">
        <w:t>II</w:t>
      </w:r>
      <w:r w:rsidR="00EE669D">
        <w:t>.</w:t>
      </w:r>
      <w:r w:rsidR="00E77263">
        <w:t xml:space="preserve"> és</w:t>
      </w:r>
      <w:r w:rsidR="001B642D">
        <w:t xml:space="preserve"> III</w:t>
      </w:r>
      <w:r w:rsidR="00EE669D">
        <w:t>.</w:t>
      </w:r>
      <w:r w:rsidR="00E77263" w:rsidRPr="00687BC3">
        <w:t> </w:t>
      </w:r>
      <w:r w:rsidR="00BC08BA">
        <w:t xml:space="preserve">fázisú, </w:t>
      </w:r>
      <w:bookmarkEnd w:id="3"/>
      <w:r>
        <w:t>placebokontrollos és a nem kontrollos klinikai vizsgálatokban összesen 2513</w:t>
      </w:r>
      <w:r w:rsidR="00EE5CEC" w:rsidRPr="00687BC3">
        <w:t> </w:t>
      </w:r>
      <w:r>
        <w:t>beteg kapott dimetil-fumarátot legfeljebb 12 évig</w:t>
      </w:r>
      <w:r w:rsidR="00BC08BA">
        <w:t xml:space="preserve">, </w:t>
      </w:r>
      <w:r>
        <w:t>az összesített expozíció pedig 11</w:t>
      </w:r>
      <w:r w:rsidR="00EE5CEC">
        <w:t> </w:t>
      </w:r>
      <w:r>
        <w:t>318</w:t>
      </w:r>
      <w:r w:rsidR="00EE5CEC" w:rsidRPr="00687BC3">
        <w:t> </w:t>
      </w:r>
      <w:r>
        <w:t>személyévet tett ki. Összesen 1169</w:t>
      </w:r>
      <w:r w:rsidR="00EE5CEC" w:rsidRPr="00687BC3">
        <w:t> </w:t>
      </w:r>
      <w:r>
        <w:t>beteg részesült legalább 5</w:t>
      </w:r>
      <w:r w:rsidR="00EE5CEC" w:rsidRPr="00687BC3">
        <w:t> </w:t>
      </w:r>
      <w:r>
        <w:t>éves, míg 426</w:t>
      </w:r>
      <w:r w:rsidR="00EE5CEC" w:rsidRPr="00687BC3">
        <w:t> </w:t>
      </w:r>
      <w:r>
        <w:t>beteg legalább 10</w:t>
      </w:r>
      <w:r w:rsidR="00EE5CEC" w:rsidRPr="00687BC3">
        <w:t> </w:t>
      </w:r>
      <w:r>
        <w:t xml:space="preserve">éves dimetil-fumarát-kezelésben. A nem kontrollos klinikai vizsgálatokból nyert tapasztalatok egyeznek a placebokontrollos klinikai vizsgálatokban szerzett ismeretekkel. </w:t>
      </w:r>
    </w:p>
    <w:p w14:paraId="49101558" w14:textId="77777777" w:rsidR="00FF29FB" w:rsidRDefault="00FF29FB">
      <w:pPr>
        <w:spacing w:line="240" w:lineRule="auto"/>
      </w:pPr>
    </w:p>
    <w:p w14:paraId="090FA950" w14:textId="10D65F4B" w:rsidR="00FF29FB" w:rsidRDefault="00FF29FB">
      <w:pPr>
        <w:spacing w:line="240" w:lineRule="auto"/>
        <w:rPr>
          <w:u w:val="single"/>
        </w:rPr>
      </w:pPr>
      <w:r w:rsidRPr="00FF29FB">
        <w:rPr>
          <w:u w:val="single"/>
        </w:rPr>
        <w:t xml:space="preserve">A mellékhatások táblázatos </w:t>
      </w:r>
      <w:r w:rsidR="00BC08BA">
        <w:rPr>
          <w:u w:val="single"/>
        </w:rPr>
        <w:t>felsorolása</w:t>
      </w:r>
    </w:p>
    <w:p w14:paraId="130732D3" w14:textId="77777777" w:rsidR="00BC08BA" w:rsidRDefault="00BC08BA">
      <w:pPr>
        <w:spacing w:line="240" w:lineRule="auto"/>
      </w:pPr>
    </w:p>
    <w:p w14:paraId="38DF1B75" w14:textId="77777777" w:rsidR="00FF29FB" w:rsidRDefault="00FF29FB">
      <w:pPr>
        <w:spacing w:line="240" w:lineRule="auto"/>
      </w:pPr>
      <w:r>
        <w:t xml:space="preserve">A klinikai vizsgálatokból, engedélyezés utáni gyógyszerbiztonságossági vizsgálatokból és spontán jelentésekből származó mellékhatásokat az alábbi táblázat mutatja be. </w:t>
      </w:r>
    </w:p>
    <w:p w14:paraId="622D3696" w14:textId="77777777" w:rsidR="00FF29FB" w:rsidRDefault="00FF29FB">
      <w:pPr>
        <w:spacing w:line="240" w:lineRule="auto"/>
      </w:pPr>
    </w:p>
    <w:p w14:paraId="7B940596" w14:textId="77777777" w:rsidR="00FF29FB" w:rsidRDefault="00FF29FB">
      <w:pPr>
        <w:spacing w:line="240" w:lineRule="auto"/>
      </w:pPr>
      <w:r>
        <w:t xml:space="preserve">A mellékhatások a MedDRA rendszerben alkalmazott kifejezésekkel, a MedDRA szervrendszeri besorolás szerint kerülnek bemutatásra. Az alábbi mellékhatások előfordulási gyakorisága a következő kategóriák szerint kerül besorolásra: </w:t>
      </w:r>
    </w:p>
    <w:p w14:paraId="78A73750" w14:textId="6537FE3F" w:rsidR="00FF29FB" w:rsidRDefault="00FF29FB">
      <w:pPr>
        <w:spacing w:line="240" w:lineRule="auto"/>
      </w:pPr>
      <w:r>
        <w:t>- Nagyon gyakori (≥</w:t>
      </w:r>
      <w:r w:rsidR="00EE5CEC" w:rsidRPr="00687BC3">
        <w:t> </w:t>
      </w:r>
      <w:r>
        <w:t>1/10)</w:t>
      </w:r>
    </w:p>
    <w:p w14:paraId="4201E096" w14:textId="160CDAF7" w:rsidR="00FF29FB" w:rsidRDefault="00FF29FB">
      <w:pPr>
        <w:spacing w:line="240" w:lineRule="auto"/>
      </w:pPr>
      <w:r>
        <w:t>- Gyakori (≥ 1/100</w:t>
      </w:r>
      <w:r w:rsidR="00EE5CEC" w:rsidRPr="00687BC3">
        <w:t> </w:t>
      </w:r>
      <w:r>
        <w:t>– &lt;</w:t>
      </w:r>
      <w:r w:rsidR="00EE5CEC" w:rsidRPr="00687BC3">
        <w:t> </w:t>
      </w:r>
      <w:r>
        <w:t xml:space="preserve">1/10) </w:t>
      </w:r>
    </w:p>
    <w:p w14:paraId="5D11C351" w14:textId="51711B40" w:rsidR="00FF29FB" w:rsidRDefault="00FF29FB">
      <w:pPr>
        <w:spacing w:line="240" w:lineRule="auto"/>
      </w:pPr>
      <w:r>
        <w:t>- Nem gyakori (≥</w:t>
      </w:r>
      <w:r w:rsidR="002B1223" w:rsidRPr="00687BC3">
        <w:t> </w:t>
      </w:r>
      <w:r>
        <w:t>1/1000 – &lt;</w:t>
      </w:r>
      <w:r w:rsidR="002B1223" w:rsidRPr="00687BC3">
        <w:t> </w:t>
      </w:r>
      <w:r>
        <w:t>1/100)</w:t>
      </w:r>
    </w:p>
    <w:p w14:paraId="0D7ED8B0" w14:textId="5D517847" w:rsidR="00FF29FB" w:rsidRDefault="00FF29FB">
      <w:pPr>
        <w:spacing w:line="240" w:lineRule="auto"/>
      </w:pPr>
      <w:r>
        <w:t>- Ritka (≥</w:t>
      </w:r>
      <w:r w:rsidR="002B1223" w:rsidRPr="00687BC3">
        <w:t> </w:t>
      </w:r>
      <w:r>
        <w:t>1/10 000</w:t>
      </w:r>
      <w:r w:rsidR="002B1223" w:rsidRPr="00687BC3">
        <w:t> </w:t>
      </w:r>
      <w:r>
        <w:t>– &lt;</w:t>
      </w:r>
      <w:r w:rsidR="002B1223" w:rsidRPr="00687BC3">
        <w:t> </w:t>
      </w:r>
      <w:r>
        <w:t>1/1000)</w:t>
      </w:r>
    </w:p>
    <w:p w14:paraId="564B9EBE" w14:textId="198023A5" w:rsidR="00FF29FB" w:rsidRDefault="00FF29FB">
      <w:pPr>
        <w:spacing w:line="240" w:lineRule="auto"/>
      </w:pPr>
      <w:r>
        <w:t>- Nagyon ritka (&lt;</w:t>
      </w:r>
      <w:r w:rsidR="002B1223" w:rsidRPr="00687BC3">
        <w:t> </w:t>
      </w:r>
      <w:r>
        <w:t>1/10 000)</w:t>
      </w:r>
    </w:p>
    <w:p w14:paraId="2E15D1D1" w14:textId="77777777" w:rsidR="00F5194B" w:rsidRDefault="00FF29FB">
      <w:pPr>
        <w:spacing w:line="240" w:lineRule="auto"/>
        <w:rPr>
          <w:u w:val="single"/>
        </w:rPr>
      </w:pPr>
      <w:r>
        <w:t>- Nem ismert (a gyakoriság a rendelkezésre álló adatokból nem állapítható meg)</w:t>
      </w:r>
    </w:p>
    <w:p w14:paraId="161EFCE5" w14:textId="77777777" w:rsidR="00A92934" w:rsidRDefault="00A92934">
      <w:pPr>
        <w:spacing w:line="240" w:lineRule="auto"/>
        <w:rPr>
          <w:u w:val="single"/>
        </w:rPr>
      </w:pPr>
    </w:p>
    <w:p w14:paraId="3DD898FC" w14:textId="77777777" w:rsidR="00A92934" w:rsidRDefault="00A92934">
      <w:pPr>
        <w:spacing w:line="240" w:lineRule="auto"/>
        <w:rPr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68"/>
        <w:gridCol w:w="3068"/>
        <w:gridCol w:w="3068"/>
      </w:tblGrid>
      <w:tr w:rsidR="00FF29FB" w14:paraId="12F49944" w14:textId="77777777" w:rsidTr="00FF29FB">
        <w:tc>
          <w:tcPr>
            <w:tcW w:w="3068" w:type="dxa"/>
          </w:tcPr>
          <w:p w14:paraId="3971D370" w14:textId="77777777" w:rsidR="00FF29FB" w:rsidRPr="00FF29FB" w:rsidRDefault="00FF29FB">
            <w:pPr>
              <w:spacing w:line="240" w:lineRule="auto"/>
              <w:rPr>
                <w:b/>
                <w:u w:val="single"/>
              </w:rPr>
            </w:pPr>
            <w:r w:rsidRPr="00FF29FB">
              <w:rPr>
                <w:b/>
              </w:rPr>
              <w:t>MedDRA szervrendszer</w:t>
            </w:r>
          </w:p>
        </w:tc>
        <w:tc>
          <w:tcPr>
            <w:tcW w:w="3068" w:type="dxa"/>
          </w:tcPr>
          <w:p w14:paraId="5EC94BFF" w14:textId="77777777" w:rsidR="00FF29FB" w:rsidRPr="00FF29FB" w:rsidRDefault="00FF29FB">
            <w:pPr>
              <w:spacing w:line="240" w:lineRule="auto"/>
              <w:rPr>
                <w:b/>
              </w:rPr>
            </w:pPr>
            <w:r w:rsidRPr="00FF29FB">
              <w:rPr>
                <w:b/>
              </w:rPr>
              <w:t>Mellékhatás</w:t>
            </w:r>
          </w:p>
        </w:tc>
        <w:tc>
          <w:tcPr>
            <w:tcW w:w="3068" w:type="dxa"/>
          </w:tcPr>
          <w:p w14:paraId="6B756D72" w14:textId="77777777" w:rsidR="00FF29FB" w:rsidRPr="00FF29FB" w:rsidRDefault="00FF29FB">
            <w:pPr>
              <w:spacing w:line="240" w:lineRule="auto"/>
              <w:rPr>
                <w:b/>
              </w:rPr>
            </w:pPr>
            <w:r w:rsidRPr="00FF29FB">
              <w:rPr>
                <w:b/>
              </w:rPr>
              <w:t>Gyakorisági kategória</w:t>
            </w:r>
          </w:p>
        </w:tc>
      </w:tr>
      <w:tr w:rsidR="00FF29FB" w14:paraId="24A14C02" w14:textId="77777777" w:rsidTr="00FF29FB">
        <w:trPr>
          <w:trHeight w:val="110"/>
        </w:trPr>
        <w:tc>
          <w:tcPr>
            <w:tcW w:w="3068" w:type="dxa"/>
            <w:vMerge w:val="restart"/>
          </w:tcPr>
          <w:p w14:paraId="4CA87A14" w14:textId="77777777" w:rsidR="00FF29FB" w:rsidRPr="00FF29FB" w:rsidRDefault="00FF29FB" w:rsidP="00B16A88">
            <w:pPr>
              <w:spacing w:line="240" w:lineRule="auto"/>
            </w:pPr>
            <w:r w:rsidRPr="00FF29FB">
              <w:t>Fer</w:t>
            </w:r>
            <w:r>
              <w:t>tőző betegségek és parazitafertőzések</w:t>
            </w:r>
          </w:p>
        </w:tc>
        <w:tc>
          <w:tcPr>
            <w:tcW w:w="3068" w:type="dxa"/>
          </w:tcPr>
          <w:p w14:paraId="766029D4" w14:textId="63E44156" w:rsidR="00FF29FB" w:rsidRPr="00FF29FB" w:rsidRDefault="006E4983" w:rsidP="00FE2742">
            <w:pPr>
              <w:spacing w:line="240" w:lineRule="auto"/>
            </w:pPr>
            <w:r>
              <w:t>gyomor</w:t>
            </w:r>
            <w:r w:rsidR="0055599F">
              <w:t>- és bélhurut</w:t>
            </w:r>
          </w:p>
        </w:tc>
        <w:tc>
          <w:tcPr>
            <w:tcW w:w="3068" w:type="dxa"/>
          </w:tcPr>
          <w:p w14:paraId="62319EAD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218442C7" w14:textId="77777777" w:rsidTr="00FF29FB">
        <w:trPr>
          <w:trHeight w:val="108"/>
        </w:trPr>
        <w:tc>
          <w:tcPr>
            <w:tcW w:w="3068" w:type="dxa"/>
            <w:vMerge/>
          </w:tcPr>
          <w:p w14:paraId="5AEDB78D" w14:textId="77777777" w:rsidR="00FF29FB" w:rsidRP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6CA7795B" w14:textId="46AB7CA0" w:rsidR="00FF29FB" w:rsidRPr="00FF29FB" w:rsidRDefault="006E4983">
            <w:pPr>
              <w:spacing w:line="240" w:lineRule="auto"/>
            </w:pPr>
            <w:r>
              <w:t>p</w:t>
            </w:r>
            <w:r w:rsidR="0055599F">
              <w:t>rogresszív multifokális leukoencephalopathia (PML)</w:t>
            </w:r>
          </w:p>
        </w:tc>
        <w:tc>
          <w:tcPr>
            <w:tcW w:w="3068" w:type="dxa"/>
          </w:tcPr>
          <w:p w14:paraId="6FE78FCB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2689959F" w14:textId="77777777" w:rsidTr="00FF29FB">
        <w:trPr>
          <w:trHeight w:val="108"/>
        </w:trPr>
        <w:tc>
          <w:tcPr>
            <w:tcW w:w="3068" w:type="dxa"/>
            <w:vMerge/>
          </w:tcPr>
          <w:p w14:paraId="6A0292A6" w14:textId="77777777" w:rsidR="00FF29FB" w:rsidRP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7FC0D9A5" w14:textId="3BD8CDAF" w:rsidR="00FF29FB" w:rsidRPr="00FF29FB" w:rsidRDefault="006E4983">
            <w:pPr>
              <w:spacing w:line="240" w:lineRule="auto"/>
            </w:pPr>
            <w:r>
              <w:t xml:space="preserve">herpes </w:t>
            </w:r>
            <w:r w:rsidR="0055599F">
              <w:t>zoster</w:t>
            </w:r>
          </w:p>
        </w:tc>
        <w:tc>
          <w:tcPr>
            <w:tcW w:w="3068" w:type="dxa"/>
          </w:tcPr>
          <w:p w14:paraId="246A8C00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2B21838F" w14:textId="77777777" w:rsidTr="00FF29FB">
        <w:trPr>
          <w:trHeight w:val="164"/>
        </w:trPr>
        <w:tc>
          <w:tcPr>
            <w:tcW w:w="3068" w:type="dxa"/>
            <w:vMerge w:val="restart"/>
          </w:tcPr>
          <w:p w14:paraId="073DC264" w14:textId="77777777" w:rsidR="00FF29FB" w:rsidRPr="00FF29FB" w:rsidRDefault="00FF29FB" w:rsidP="00B16A88">
            <w:pPr>
              <w:spacing w:line="240" w:lineRule="auto"/>
            </w:pPr>
            <w:r>
              <w:t>Vérképzőszervi és nyirokrendszeri betegségek és tünetek</w:t>
            </w:r>
          </w:p>
        </w:tc>
        <w:tc>
          <w:tcPr>
            <w:tcW w:w="3068" w:type="dxa"/>
          </w:tcPr>
          <w:p w14:paraId="675730B2" w14:textId="075777F6" w:rsidR="00FF29FB" w:rsidRPr="00FF29FB" w:rsidRDefault="006E4983" w:rsidP="00FE2742">
            <w:pPr>
              <w:spacing w:line="240" w:lineRule="auto"/>
            </w:pPr>
            <w:r>
              <w:t>lymphopenia</w:t>
            </w:r>
          </w:p>
        </w:tc>
        <w:tc>
          <w:tcPr>
            <w:tcW w:w="3068" w:type="dxa"/>
          </w:tcPr>
          <w:p w14:paraId="16F4099D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30C88B93" w14:textId="77777777" w:rsidTr="00FF29FB">
        <w:trPr>
          <w:trHeight w:val="163"/>
        </w:trPr>
        <w:tc>
          <w:tcPr>
            <w:tcW w:w="3068" w:type="dxa"/>
            <w:vMerge/>
          </w:tcPr>
          <w:p w14:paraId="3FC0CF47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62DCB7D3" w14:textId="41A1D37C" w:rsidR="00FF29FB" w:rsidRPr="00FF29FB" w:rsidRDefault="006E4983">
            <w:pPr>
              <w:spacing w:line="240" w:lineRule="auto"/>
            </w:pPr>
            <w:r>
              <w:t>leukopenia</w:t>
            </w:r>
          </w:p>
        </w:tc>
        <w:tc>
          <w:tcPr>
            <w:tcW w:w="3068" w:type="dxa"/>
          </w:tcPr>
          <w:p w14:paraId="4884FC1C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26D5F6E5" w14:textId="77777777" w:rsidTr="00FF29FB">
        <w:trPr>
          <w:trHeight w:val="163"/>
        </w:trPr>
        <w:tc>
          <w:tcPr>
            <w:tcW w:w="3068" w:type="dxa"/>
            <w:vMerge/>
          </w:tcPr>
          <w:p w14:paraId="189F523C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33227461" w14:textId="783B21F2" w:rsidR="00FF29FB" w:rsidRPr="00FF29FB" w:rsidRDefault="006E4983">
            <w:pPr>
              <w:spacing w:line="240" w:lineRule="auto"/>
            </w:pPr>
            <w:r>
              <w:t>thrombocytopenia</w:t>
            </w:r>
          </w:p>
        </w:tc>
        <w:tc>
          <w:tcPr>
            <w:tcW w:w="3068" w:type="dxa"/>
          </w:tcPr>
          <w:p w14:paraId="4BD78A00" w14:textId="77777777" w:rsidR="00FF29FB" w:rsidRPr="00FF29FB" w:rsidRDefault="00D45FF7">
            <w:pPr>
              <w:spacing w:line="240" w:lineRule="auto"/>
            </w:pPr>
            <w:r>
              <w:t>Nem gyakori</w:t>
            </w:r>
          </w:p>
        </w:tc>
      </w:tr>
      <w:tr w:rsidR="00FF29FB" w14:paraId="4645C3D1" w14:textId="77777777" w:rsidTr="00FF29FB">
        <w:trPr>
          <w:trHeight w:val="56"/>
        </w:trPr>
        <w:tc>
          <w:tcPr>
            <w:tcW w:w="3068" w:type="dxa"/>
            <w:vMerge w:val="restart"/>
          </w:tcPr>
          <w:p w14:paraId="796D814F" w14:textId="77777777" w:rsidR="00FF29FB" w:rsidRPr="00FF29FB" w:rsidRDefault="00FF29FB" w:rsidP="00B16A88">
            <w:pPr>
              <w:spacing w:line="240" w:lineRule="auto"/>
            </w:pPr>
            <w:r>
              <w:t>Immunrendszeri betegségek és tünetek</w:t>
            </w:r>
          </w:p>
        </w:tc>
        <w:tc>
          <w:tcPr>
            <w:tcW w:w="3068" w:type="dxa"/>
          </w:tcPr>
          <w:p w14:paraId="7906B6E5" w14:textId="0F924252" w:rsidR="00FF29FB" w:rsidRPr="00FF29FB" w:rsidRDefault="006E4983" w:rsidP="00FE2742">
            <w:pPr>
              <w:spacing w:line="240" w:lineRule="auto"/>
            </w:pPr>
            <w:r>
              <w:t>túlérzékenység</w:t>
            </w:r>
          </w:p>
        </w:tc>
        <w:tc>
          <w:tcPr>
            <w:tcW w:w="3068" w:type="dxa"/>
          </w:tcPr>
          <w:p w14:paraId="11A3717F" w14:textId="77777777" w:rsidR="00FF29FB" w:rsidRPr="00FF29FB" w:rsidRDefault="00D45FF7">
            <w:pPr>
              <w:spacing w:line="240" w:lineRule="auto"/>
            </w:pPr>
            <w:r>
              <w:t>Nem gyakori</w:t>
            </w:r>
          </w:p>
        </w:tc>
      </w:tr>
      <w:tr w:rsidR="00FF29FB" w14:paraId="04F14A22" w14:textId="77777777" w:rsidTr="00FF29FB">
        <w:trPr>
          <w:trHeight w:val="54"/>
        </w:trPr>
        <w:tc>
          <w:tcPr>
            <w:tcW w:w="3068" w:type="dxa"/>
            <w:vMerge/>
          </w:tcPr>
          <w:p w14:paraId="7D7608FB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34438024" w14:textId="7906EB93" w:rsidR="00FF29FB" w:rsidRPr="00FF29FB" w:rsidRDefault="006E4983">
            <w:pPr>
              <w:spacing w:line="240" w:lineRule="auto"/>
            </w:pPr>
            <w:r>
              <w:t>anaphylaxia</w:t>
            </w:r>
          </w:p>
        </w:tc>
        <w:tc>
          <w:tcPr>
            <w:tcW w:w="3068" w:type="dxa"/>
          </w:tcPr>
          <w:p w14:paraId="1C97C1C4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73F43701" w14:textId="77777777" w:rsidTr="00FF29FB">
        <w:trPr>
          <w:trHeight w:val="54"/>
        </w:trPr>
        <w:tc>
          <w:tcPr>
            <w:tcW w:w="3068" w:type="dxa"/>
            <w:vMerge/>
          </w:tcPr>
          <w:p w14:paraId="37B5AA3B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4F5075E5" w14:textId="1988518D" w:rsidR="00FF29FB" w:rsidRPr="00FF29FB" w:rsidRDefault="006E4983">
            <w:pPr>
              <w:spacing w:line="240" w:lineRule="auto"/>
            </w:pPr>
            <w:r>
              <w:t>dyspnoe</w:t>
            </w:r>
          </w:p>
        </w:tc>
        <w:tc>
          <w:tcPr>
            <w:tcW w:w="3068" w:type="dxa"/>
          </w:tcPr>
          <w:p w14:paraId="5CC7B193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35D4B940" w14:textId="77777777" w:rsidTr="00FF29FB">
        <w:trPr>
          <w:trHeight w:val="54"/>
        </w:trPr>
        <w:tc>
          <w:tcPr>
            <w:tcW w:w="3068" w:type="dxa"/>
            <w:vMerge/>
          </w:tcPr>
          <w:p w14:paraId="7AEF2310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432106D6" w14:textId="1DAD5E79" w:rsidR="00FF29FB" w:rsidRPr="00FF29FB" w:rsidRDefault="00124491">
            <w:pPr>
              <w:spacing w:line="240" w:lineRule="auto"/>
            </w:pPr>
            <w:r>
              <w:t>h</w:t>
            </w:r>
            <w:r w:rsidR="0055599F">
              <w:t>ypoxia</w:t>
            </w:r>
          </w:p>
        </w:tc>
        <w:tc>
          <w:tcPr>
            <w:tcW w:w="3068" w:type="dxa"/>
          </w:tcPr>
          <w:p w14:paraId="65101A7A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5D1E32D2" w14:textId="77777777" w:rsidTr="00FF29FB">
        <w:trPr>
          <w:trHeight w:val="54"/>
        </w:trPr>
        <w:tc>
          <w:tcPr>
            <w:tcW w:w="3068" w:type="dxa"/>
            <w:vMerge/>
          </w:tcPr>
          <w:p w14:paraId="3CD39A8D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1CDCE5F2" w14:textId="1F0E100A" w:rsidR="00FF29FB" w:rsidRPr="00FF29FB" w:rsidRDefault="006E4983">
            <w:pPr>
              <w:spacing w:line="240" w:lineRule="auto"/>
            </w:pPr>
            <w:r>
              <w:t>hypotonia</w:t>
            </w:r>
          </w:p>
        </w:tc>
        <w:tc>
          <w:tcPr>
            <w:tcW w:w="3068" w:type="dxa"/>
          </w:tcPr>
          <w:p w14:paraId="616E3CC5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3A9FE023" w14:textId="77777777" w:rsidTr="00FF29FB">
        <w:trPr>
          <w:trHeight w:val="54"/>
        </w:trPr>
        <w:tc>
          <w:tcPr>
            <w:tcW w:w="3068" w:type="dxa"/>
            <w:vMerge/>
          </w:tcPr>
          <w:p w14:paraId="6A9099A6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48635CB5" w14:textId="798A1F6E" w:rsidR="00FF29FB" w:rsidRPr="00FF29FB" w:rsidRDefault="006E4983">
            <w:pPr>
              <w:spacing w:line="240" w:lineRule="auto"/>
            </w:pPr>
            <w:r>
              <w:t>angiooedema</w:t>
            </w:r>
          </w:p>
        </w:tc>
        <w:tc>
          <w:tcPr>
            <w:tcW w:w="3068" w:type="dxa"/>
          </w:tcPr>
          <w:p w14:paraId="26E858B5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0DB8AED2" w14:textId="77777777" w:rsidTr="00FF29FB">
        <w:tc>
          <w:tcPr>
            <w:tcW w:w="3068" w:type="dxa"/>
          </w:tcPr>
          <w:p w14:paraId="22666407" w14:textId="77777777" w:rsidR="00FF29FB" w:rsidRPr="00FF29FB" w:rsidRDefault="00FF29FB" w:rsidP="00B16A88">
            <w:pPr>
              <w:spacing w:line="240" w:lineRule="auto"/>
            </w:pPr>
            <w:r>
              <w:lastRenderedPageBreak/>
              <w:t>Idegrendszeri betegségek és tünetek</w:t>
            </w:r>
          </w:p>
        </w:tc>
        <w:tc>
          <w:tcPr>
            <w:tcW w:w="3068" w:type="dxa"/>
          </w:tcPr>
          <w:p w14:paraId="4D1814B1" w14:textId="42E4A9F5" w:rsidR="00FF29FB" w:rsidRPr="00FF29FB" w:rsidRDefault="006E4983" w:rsidP="00FE2742">
            <w:pPr>
              <w:spacing w:line="240" w:lineRule="auto"/>
            </w:pPr>
            <w:r>
              <w:t xml:space="preserve">égő </w:t>
            </w:r>
            <w:r w:rsidR="0055599F">
              <w:t>érzés</w:t>
            </w:r>
          </w:p>
        </w:tc>
        <w:tc>
          <w:tcPr>
            <w:tcW w:w="3068" w:type="dxa"/>
          </w:tcPr>
          <w:p w14:paraId="2FDEB453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79C4D9BC" w14:textId="77777777" w:rsidTr="00FF29FB">
        <w:trPr>
          <w:trHeight w:val="82"/>
        </w:trPr>
        <w:tc>
          <w:tcPr>
            <w:tcW w:w="3068" w:type="dxa"/>
            <w:vMerge w:val="restart"/>
          </w:tcPr>
          <w:p w14:paraId="01175987" w14:textId="77777777" w:rsidR="00FF29FB" w:rsidRPr="00FF29FB" w:rsidRDefault="00FF29FB" w:rsidP="00B16A88">
            <w:pPr>
              <w:spacing w:line="240" w:lineRule="auto"/>
            </w:pPr>
            <w:r>
              <w:t>Érbetegségek és tünetek</w:t>
            </w:r>
          </w:p>
        </w:tc>
        <w:tc>
          <w:tcPr>
            <w:tcW w:w="3068" w:type="dxa"/>
          </w:tcPr>
          <w:p w14:paraId="77D23C19" w14:textId="59590487" w:rsidR="00FF29FB" w:rsidRPr="00FF29FB" w:rsidRDefault="006E4983" w:rsidP="00FE2742">
            <w:pPr>
              <w:spacing w:line="240" w:lineRule="auto"/>
            </w:pPr>
            <w:r>
              <w:t>kipirulás</w:t>
            </w:r>
          </w:p>
        </w:tc>
        <w:tc>
          <w:tcPr>
            <w:tcW w:w="3068" w:type="dxa"/>
          </w:tcPr>
          <w:p w14:paraId="575883CB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30ACC74A" w14:textId="77777777" w:rsidTr="00FF29FB">
        <w:trPr>
          <w:trHeight w:val="81"/>
        </w:trPr>
        <w:tc>
          <w:tcPr>
            <w:tcW w:w="3068" w:type="dxa"/>
            <w:vMerge/>
          </w:tcPr>
          <w:p w14:paraId="0FE1FD15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6BB6C4CD" w14:textId="470F97CB" w:rsidR="00FF29FB" w:rsidRPr="00FF29FB" w:rsidRDefault="006E4983">
            <w:pPr>
              <w:spacing w:line="240" w:lineRule="auto"/>
            </w:pPr>
            <w:r>
              <w:t>hőhullám</w:t>
            </w:r>
          </w:p>
        </w:tc>
        <w:tc>
          <w:tcPr>
            <w:tcW w:w="3068" w:type="dxa"/>
          </w:tcPr>
          <w:p w14:paraId="5DA8D2D3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FF29FB" w14:paraId="039BAF8F" w14:textId="77777777" w:rsidTr="00FF29FB">
        <w:tc>
          <w:tcPr>
            <w:tcW w:w="3068" w:type="dxa"/>
          </w:tcPr>
          <w:p w14:paraId="6F66252A" w14:textId="77777777" w:rsidR="00FF29FB" w:rsidRDefault="00FF29FB" w:rsidP="00B16A88">
            <w:pPr>
              <w:spacing w:line="240" w:lineRule="auto"/>
            </w:pPr>
            <w:r>
              <w:t>Légzőrendszeri, mellkasi és mediastinalis betegségek és tünetek</w:t>
            </w:r>
          </w:p>
          <w:p w14:paraId="3CACC0CE" w14:textId="77777777" w:rsidR="0055599F" w:rsidRPr="00FF29FB" w:rsidRDefault="0055599F" w:rsidP="00FE2742">
            <w:pPr>
              <w:spacing w:line="240" w:lineRule="auto"/>
            </w:pPr>
          </w:p>
        </w:tc>
        <w:tc>
          <w:tcPr>
            <w:tcW w:w="3068" w:type="dxa"/>
          </w:tcPr>
          <w:p w14:paraId="4A6D851D" w14:textId="3C3F1E0A" w:rsidR="00FF29FB" w:rsidRPr="00FF29FB" w:rsidRDefault="006E4983">
            <w:pPr>
              <w:spacing w:line="240" w:lineRule="auto"/>
            </w:pPr>
            <w:r>
              <w:t>rhinorrhoea</w:t>
            </w:r>
          </w:p>
        </w:tc>
        <w:tc>
          <w:tcPr>
            <w:tcW w:w="3068" w:type="dxa"/>
          </w:tcPr>
          <w:p w14:paraId="6698810D" w14:textId="77777777" w:rsidR="00FF29FB" w:rsidRPr="00FF29FB" w:rsidRDefault="00D45FF7">
            <w:pPr>
              <w:spacing w:line="240" w:lineRule="auto"/>
            </w:pPr>
            <w:r>
              <w:t>Nem ismert</w:t>
            </w:r>
          </w:p>
        </w:tc>
      </w:tr>
      <w:tr w:rsidR="00FF29FB" w14:paraId="3FE5FAC8" w14:textId="77777777" w:rsidTr="00FF29FB">
        <w:trPr>
          <w:trHeight w:val="46"/>
        </w:trPr>
        <w:tc>
          <w:tcPr>
            <w:tcW w:w="3068" w:type="dxa"/>
            <w:vMerge w:val="restart"/>
          </w:tcPr>
          <w:p w14:paraId="06AAC0A4" w14:textId="77777777" w:rsidR="00FF29FB" w:rsidRPr="00FF29FB" w:rsidRDefault="00FF29FB" w:rsidP="00B16A88">
            <w:pPr>
              <w:spacing w:line="240" w:lineRule="auto"/>
            </w:pPr>
            <w:r>
              <w:t>Emésztőrendszeri betegségek és tünetek</w:t>
            </w:r>
          </w:p>
        </w:tc>
        <w:tc>
          <w:tcPr>
            <w:tcW w:w="3068" w:type="dxa"/>
          </w:tcPr>
          <w:p w14:paraId="5FAD1630" w14:textId="5C70308F" w:rsidR="00FF29FB" w:rsidRPr="00FF29FB" w:rsidRDefault="006E4983" w:rsidP="00FE2742">
            <w:pPr>
              <w:spacing w:line="240" w:lineRule="auto"/>
            </w:pPr>
            <w:r>
              <w:t>hasmenés</w:t>
            </w:r>
          </w:p>
        </w:tc>
        <w:tc>
          <w:tcPr>
            <w:tcW w:w="3068" w:type="dxa"/>
          </w:tcPr>
          <w:p w14:paraId="0E391BA3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0A1C97B0" w14:textId="77777777" w:rsidTr="00FF29FB">
        <w:trPr>
          <w:trHeight w:val="40"/>
        </w:trPr>
        <w:tc>
          <w:tcPr>
            <w:tcW w:w="3068" w:type="dxa"/>
            <w:vMerge/>
          </w:tcPr>
          <w:p w14:paraId="74D297D4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4E17A3AA" w14:textId="5703D05D" w:rsidR="00FF29FB" w:rsidRPr="00FF29FB" w:rsidRDefault="006E4983">
            <w:pPr>
              <w:spacing w:line="240" w:lineRule="auto"/>
            </w:pPr>
            <w:r>
              <w:t>hányinger</w:t>
            </w:r>
          </w:p>
        </w:tc>
        <w:tc>
          <w:tcPr>
            <w:tcW w:w="3068" w:type="dxa"/>
          </w:tcPr>
          <w:p w14:paraId="7BEE9023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4187F7CD" w14:textId="77777777" w:rsidTr="00FF29FB">
        <w:trPr>
          <w:trHeight w:val="40"/>
        </w:trPr>
        <w:tc>
          <w:tcPr>
            <w:tcW w:w="3068" w:type="dxa"/>
            <w:vMerge/>
          </w:tcPr>
          <w:p w14:paraId="05F3EFEA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7A47A797" w14:textId="485D67A3" w:rsidR="00FF29FB" w:rsidRPr="00FF29FB" w:rsidRDefault="006E4983">
            <w:pPr>
              <w:spacing w:line="240" w:lineRule="auto"/>
            </w:pPr>
            <w:r>
              <w:t xml:space="preserve">gyomortáji </w:t>
            </w:r>
            <w:r w:rsidR="0055599F">
              <w:t>fájdalom</w:t>
            </w:r>
          </w:p>
        </w:tc>
        <w:tc>
          <w:tcPr>
            <w:tcW w:w="3068" w:type="dxa"/>
          </w:tcPr>
          <w:p w14:paraId="29F545EA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305FCBEF" w14:textId="77777777" w:rsidTr="00FF29FB">
        <w:trPr>
          <w:trHeight w:val="40"/>
        </w:trPr>
        <w:tc>
          <w:tcPr>
            <w:tcW w:w="3068" w:type="dxa"/>
            <w:vMerge/>
          </w:tcPr>
          <w:p w14:paraId="183A4C7D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0F952929" w14:textId="425DA89D" w:rsidR="00FF29FB" w:rsidRPr="00FF29FB" w:rsidRDefault="006E4983">
            <w:pPr>
              <w:spacing w:line="240" w:lineRule="auto"/>
            </w:pPr>
            <w:r>
              <w:t xml:space="preserve">hasi </w:t>
            </w:r>
            <w:r w:rsidR="0055599F">
              <w:t>fájdalom</w:t>
            </w:r>
          </w:p>
        </w:tc>
        <w:tc>
          <w:tcPr>
            <w:tcW w:w="3068" w:type="dxa"/>
          </w:tcPr>
          <w:p w14:paraId="6858C3E3" w14:textId="77777777" w:rsidR="00FF29FB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FF29FB" w14:paraId="12E7C6D1" w14:textId="77777777" w:rsidTr="00FF29FB">
        <w:trPr>
          <w:trHeight w:val="40"/>
        </w:trPr>
        <w:tc>
          <w:tcPr>
            <w:tcW w:w="3068" w:type="dxa"/>
            <w:vMerge/>
          </w:tcPr>
          <w:p w14:paraId="661F5BF3" w14:textId="77777777" w:rsidR="00FF29FB" w:rsidRDefault="00FF29FB">
            <w:pPr>
              <w:spacing w:line="240" w:lineRule="auto"/>
            </w:pPr>
          </w:p>
        </w:tc>
        <w:tc>
          <w:tcPr>
            <w:tcW w:w="3068" w:type="dxa"/>
          </w:tcPr>
          <w:p w14:paraId="5C176818" w14:textId="1E1A650E" w:rsidR="00FF29FB" w:rsidRPr="00FF29FB" w:rsidRDefault="006E4983">
            <w:pPr>
              <w:spacing w:line="240" w:lineRule="auto"/>
            </w:pPr>
            <w:r>
              <w:t>hányás</w:t>
            </w:r>
          </w:p>
        </w:tc>
        <w:tc>
          <w:tcPr>
            <w:tcW w:w="3068" w:type="dxa"/>
          </w:tcPr>
          <w:p w14:paraId="0901535D" w14:textId="77777777" w:rsidR="00FF29FB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52EAB16C" w14:textId="77777777" w:rsidTr="00F827EA">
        <w:trPr>
          <w:trHeight w:val="398"/>
        </w:trPr>
        <w:tc>
          <w:tcPr>
            <w:tcW w:w="3068" w:type="dxa"/>
            <w:vMerge/>
          </w:tcPr>
          <w:p w14:paraId="60C303F6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347BCB83" w14:textId="75A391A4" w:rsidR="00D45FF7" w:rsidRPr="00FF29FB" w:rsidRDefault="006E4983">
            <w:pPr>
              <w:spacing w:line="240" w:lineRule="auto"/>
            </w:pPr>
            <w:r>
              <w:t>dyspepsia</w:t>
            </w:r>
          </w:p>
        </w:tc>
        <w:tc>
          <w:tcPr>
            <w:tcW w:w="3068" w:type="dxa"/>
          </w:tcPr>
          <w:p w14:paraId="0C3B1D96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721335DC" w14:textId="77777777" w:rsidTr="00FF29FB">
        <w:trPr>
          <w:trHeight w:val="40"/>
        </w:trPr>
        <w:tc>
          <w:tcPr>
            <w:tcW w:w="3068" w:type="dxa"/>
            <w:vMerge/>
          </w:tcPr>
          <w:p w14:paraId="10A56357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33E0B1AF" w14:textId="1F172C54" w:rsidR="00D45FF7" w:rsidRPr="00FF29FB" w:rsidRDefault="006E4983">
            <w:pPr>
              <w:spacing w:line="240" w:lineRule="auto"/>
            </w:pPr>
            <w:r>
              <w:t>gastritis</w:t>
            </w:r>
          </w:p>
        </w:tc>
        <w:tc>
          <w:tcPr>
            <w:tcW w:w="3068" w:type="dxa"/>
          </w:tcPr>
          <w:p w14:paraId="4E0D5F70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3766A95B" w14:textId="77777777" w:rsidTr="00FF29FB">
        <w:trPr>
          <w:trHeight w:val="40"/>
        </w:trPr>
        <w:tc>
          <w:tcPr>
            <w:tcW w:w="3068" w:type="dxa"/>
            <w:vMerge/>
          </w:tcPr>
          <w:p w14:paraId="66062185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1440DB0A" w14:textId="570C4DC8" w:rsidR="00D45FF7" w:rsidRPr="00FF29FB" w:rsidRDefault="006E4983">
            <w:pPr>
              <w:spacing w:line="240" w:lineRule="auto"/>
            </w:pPr>
            <w:r>
              <w:t xml:space="preserve">emésztőrendszeri </w:t>
            </w:r>
            <w:r w:rsidR="00D45FF7">
              <w:t>zavar</w:t>
            </w:r>
          </w:p>
        </w:tc>
        <w:tc>
          <w:tcPr>
            <w:tcW w:w="3068" w:type="dxa"/>
          </w:tcPr>
          <w:p w14:paraId="171FBB71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77CCD61F" w14:textId="77777777" w:rsidTr="00FF29FB">
        <w:trPr>
          <w:trHeight w:val="110"/>
        </w:trPr>
        <w:tc>
          <w:tcPr>
            <w:tcW w:w="3068" w:type="dxa"/>
            <w:vMerge w:val="restart"/>
          </w:tcPr>
          <w:p w14:paraId="787BD096" w14:textId="77777777" w:rsidR="00D45FF7" w:rsidRPr="00FF29FB" w:rsidRDefault="00D45FF7" w:rsidP="00B16A88">
            <w:pPr>
              <w:spacing w:line="240" w:lineRule="auto"/>
            </w:pPr>
            <w:r>
              <w:t>Máj- és epebetegségek, illetve tünetek</w:t>
            </w:r>
          </w:p>
        </w:tc>
        <w:tc>
          <w:tcPr>
            <w:tcW w:w="3068" w:type="dxa"/>
          </w:tcPr>
          <w:p w14:paraId="40FE041A" w14:textId="0F739EA7" w:rsidR="00D45FF7" w:rsidRPr="00FF29FB" w:rsidRDefault="006E4983" w:rsidP="00FE2742">
            <w:pPr>
              <w:spacing w:line="240" w:lineRule="auto"/>
            </w:pPr>
            <w:r>
              <w:t>e</w:t>
            </w:r>
            <w:r w:rsidR="002B1223" w:rsidRPr="009C0B8D">
              <w:t>melkedett glutamát</w:t>
            </w:r>
            <w:r w:rsidR="00030A5F">
              <w:t>-</w:t>
            </w:r>
            <w:r w:rsidR="002B1223" w:rsidRPr="009C0B8D">
              <w:t>oxálacetát-transzamináz-szint, más néven aszpartát</w:t>
            </w:r>
            <w:r w:rsidR="00124491">
              <w:t>-</w:t>
            </w:r>
            <w:r w:rsidR="002B1223" w:rsidRPr="009C0B8D">
              <w:t>aminotranszferáz-szint</w:t>
            </w:r>
          </w:p>
        </w:tc>
        <w:tc>
          <w:tcPr>
            <w:tcW w:w="3068" w:type="dxa"/>
          </w:tcPr>
          <w:p w14:paraId="6BF02BCA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41EFF33D" w14:textId="77777777" w:rsidTr="00FF29FB">
        <w:trPr>
          <w:trHeight w:val="108"/>
        </w:trPr>
        <w:tc>
          <w:tcPr>
            <w:tcW w:w="3068" w:type="dxa"/>
            <w:vMerge/>
          </w:tcPr>
          <w:p w14:paraId="083F5947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0150AF92" w14:textId="619A2370" w:rsidR="00D45FF7" w:rsidRPr="00FF29FB" w:rsidRDefault="006E4983">
            <w:pPr>
              <w:spacing w:line="240" w:lineRule="auto"/>
            </w:pPr>
            <w:r>
              <w:t>e</w:t>
            </w:r>
            <w:r w:rsidR="002B1223" w:rsidRPr="009C0B8D">
              <w:t>melkedett glutamát-piruvát transzamináz-szint, más néven alanin-aminotranszferáz-szint</w:t>
            </w:r>
          </w:p>
        </w:tc>
        <w:tc>
          <w:tcPr>
            <w:tcW w:w="3068" w:type="dxa"/>
          </w:tcPr>
          <w:p w14:paraId="0F6C1F0D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7F34D408" w14:textId="77777777" w:rsidTr="00FF29FB">
        <w:trPr>
          <w:trHeight w:val="108"/>
        </w:trPr>
        <w:tc>
          <w:tcPr>
            <w:tcW w:w="3068" w:type="dxa"/>
            <w:vMerge/>
          </w:tcPr>
          <w:p w14:paraId="2D53555F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70FEF660" w14:textId="714E776C" w:rsidR="00D45FF7" w:rsidRPr="00FF29FB" w:rsidRDefault="006E4983">
            <w:pPr>
              <w:spacing w:line="240" w:lineRule="auto"/>
            </w:pPr>
            <w:r>
              <w:t xml:space="preserve">gyógyszer </w:t>
            </w:r>
            <w:r w:rsidR="00D45FF7">
              <w:t>okozta májkárosodás</w:t>
            </w:r>
          </w:p>
        </w:tc>
        <w:tc>
          <w:tcPr>
            <w:tcW w:w="3068" w:type="dxa"/>
          </w:tcPr>
          <w:p w14:paraId="003EAB0D" w14:textId="53BE86CD" w:rsidR="00D45FF7" w:rsidRPr="00FF29FB" w:rsidRDefault="00776490">
            <w:pPr>
              <w:spacing w:line="240" w:lineRule="auto"/>
            </w:pPr>
            <w:r>
              <w:t>Ritka</w:t>
            </w:r>
          </w:p>
        </w:tc>
      </w:tr>
      <w:tr w:rsidR="00D45FF7" w14:paraId="12D6D068" w14:textId="77777777" w:rsidTr="00FF29FB">
        <w:trPr>
          <w:trHeight w:val="83"/>
        </w:trPr>
        <w:tc>
          <w:tcPr>
            <w:tcW w:w="3068" w:type="dxa"/>
            <w:vMerge w:val="restart"/>
          </w:tcPr>
          <w:p w14:paraId="28B72D99" w14:textId="77777777" w:rsidR="00D45FF7" w:rsidRPr="00FF29FB" w:rsidRDefault="00D45FF7" w:rsidP="00B16A88">
            <w:pPr>
              <w:spacing w:line="240" w:lineRule="auto"/>
            </w:pPr>
            <w:r>
              <w:t>A bőr és a bőr alatti szövet betegségei és tünetei</w:t>
            </w:r>
          </w:p>
        </w:tc>
        <w:tc>
          <w:tcPr>
            <w:tcW w:w="3068" w:type="dxa"/>
          </w:tcPr>
          <w:p w14:paraId="165CFDA8" w14:textId="6A484E1D" w:rsidR="00D45FF7" w:rsidRPr="00FF29FB" w:rsidRDefault="006E4983" w:rsidP="00FE2742">
            <w:pPr>
              <w:spacing w:line="240" w:lineRule="auto"/>
            </w:pPr>
            <w:r>
              <w:t>bőrviszketés</w:t>
            </w:r>
          </w:p>
        </w:tc>
        <w:tc>
          <w:tcPr>
            <w:tcW w:w="3068" w:type="dxa"/>
          </w:tcPr>
          <w:p w14:paraId="087BDCEB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57C2AB20" w14:textId="77777777" w:rsidTr="00FF29FB">
        <w:trPr>
          <w:trHeight w:val="81"/>
        </w:trPr>
        <w:tc>
          <w:tcPr>
            <w:tcW w:w="3068" w:type="dxa"/>
            <w:vMerge/>
          </w:tcPr>
          <w:p w14:paraId="5605DFA0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3A60DFA8" w14:textId="72E98D51" w:rsidR="00D45FF7" w:rsidRPr="00FF29FB" w:rsidRDefault="006E4983">
            <w:pPr>
              <w:spacing w:line="240" w:lineRule="auto"/>
            </w:pPr>
            <w:r>
              <w:t>bőrkiütés</w:t>
            </w:r>
          </w:p>
        </w:tc>
        <w:tc>
          <w:tcPr>
            <w:tcW w:w="3068" w:type="dxa"/>
          </w:tcPr>
          <w:p w14:paraId="31710467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55AAC848" w14:textId="77777777" w:rsidTr="00FF29FB">
        <w:trPr>
          <w:trHeight w:val="81"/>
        </w:trPr>
        <w:tc>
          <w:tcPr>
            <w:tcW w:w="3068" w:type="dxa"/>
            <w:vMerge/>
          </w:tcPr>
          <w:p w14:paraId="622BBDF2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4322C627" w14:textId="04DF5404" w:rsidR="00D45FF7" w:rsidRPr="00FF29FB" w:rsidRDefault="006E4983">
            <w:pPr>
              <w:spacing w:line="240" w:lineRule="auto"/>
            </w:pPr>
            <w:r>
              <w:t>erythema</w:t>
            </w:r>
          </w:p>
        </w:tc>
        <w:tc>
          <w:tcPr>
            <w:tcW w:w="3068" w:type="dxa"/>
          </w:tcPr>
          <w:p w14:paraId="2818ACD2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31543FDC" w14:textId="77777777" w:rsidTr="00FF29FB">
        <w:trPr>
          <w:trHeight w:val="81"/>
        </w:trPr>
        <w:tc>
          <w:tcPr>
            <w:tcW w:w="3068" w:type="dxa"/>
            <w:vMerge/>
          </w:tcPr>
          <w:p w14:paraId="13D263C0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09497E51" w14:textId="06A6CD09" w:rsidR="00D45FF7" w:rsidRPr="00FF29FB" w:rsidRDefault="006E4983">
            <w:pPr>
              <w:spacing w:line="240" w:lineRule="auto"/>
            </w:pPr>
            <w:r>
              <w:t>alopecia</w:t>
            </w:r>
          </w:p>
        </w:tc>
        <w:tc>
          <w:tcPr>
            <w:tcW w:w="3068" w:type="dxa"/>
          </w:tcPr>
          <w:p w14:paraId="637F9A6D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288D3AF3" w14:textId="77777777" w:rsidTr="00FF29FB">
        <w:tc>
          <w:tcPr>
            <w:tcW w:w="3068" w:type="dxa"/>
          </w:tcPr>
          <w:p w14:paraId="0822A2DB" w14:textId="77777777" w:rsidR="00D45FF7" w:rsidRPr="00FF29FB" w:rsidRDefault="00D45FF7" w:rsidP="00B16A88">
            <w:pPr>
              <w:spacing w:line="240" w:lineRule="auto"/>
            </w:pPr>
            <w:r>
              <w:t>Vese- és húgyúti betegségek és tünetek</w:t>
            </w:r>
          </w:p>
        </w:tc>
        <w:tc>
          <w:tcPr>
            <w:tcW w:w="3068" w:type="dxa"/>
          </w:tcPr>
          <w:p w14:paraId="33CE6D6C" w14:textId="481492DC" w:rsidR="00D45FF7" w:rsidRPr="00FF29FB" w:rsidRDefault="006E4983" w:rsidP="00FE2742">
            <w:pPr>
              <w:spacing w:line="240" w:lineRule="auto"/>
            </w:pPr>
            <w:r>
              <w:t>proteinuria</w:t>
            </w:r>
          </w:p>
        </w:tc>
        <w:tc>
          <w:tcPr>
            <w:tcW w:w="3068" w:type="dxa"/>
          </w:tcPr>
          <w:p w14:paraId="1148951D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436EBDC8" w14:textId="77777777" w:rsidTr="00FF29FB">
        <w:tc>
          <w:tcPr>
            <w:tcW w:w="3068" w:type="dxa"/>
          </w:tcPr>
          <w:p w14:paraId="4D1B45B5" w14:textId="77777777" w:rsidR="00D45FF7" w:rsidRPr="00FF29FB" w:rsidRDefault="00D45FF7" w:rsidP="00B16A88">
            <w:pPr>
              <w:spacing w:line="240" w:lineRule="auto"/>
            </w:pPr>
            <w:r>
              <w:t>Általános tünetek, az alkalmazás helyén fellépő reakciók</w:t>
            </w:r>
          </w:p>
        </w:tc>
        <w:tc>
          <w:tcPr>
            <w:tcW w:w="3068" w:type="dxa"/>
          </w:tcPr>
          <w:p w14:paraId="2A4E0AE5" w14:textId="5852CB6D" w:rsidR="00D45FF7" w:rsidRPr="00FF29FB" w:rsidRDefault="006E4983" w:rsidP="00FE2742">
            <w:pPr>
              <w:spacing w:line="240" w:lineRule="auto"/>
            </w:pPr>
            <w:r>
              <w:t xml:space="preserve">forróság </w:t>
            </w:r>
            <w:r w:rsidR="00D45FF7">
              <w:t>érzése</w:t>
            </w:r>
          </w:p>
        </w:tc>
        <w:tc>
          <w:tcPr>
            <w:tcW w:w="3068" w:type="dxa"/>
          </w:tcPr>
          <w:p w14:paraId="0F04BA60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435891B5" w14:textId="77777777" w:rsidTr="00FF29FB">
        <w:trPr>
          <w:trHeight w:val="110"/>
        </w:trPr>
        <w:tc>
          <w:tcPr>
            <w:tcW w:w="3068" w:type="dxa"/>
            <w:vMerge w:val="restart"/>
          </w:tcPr>
          <w:p w14:paraId="0A737162" w14:textId="77777777" w:rsidR="00D45FF7" w:rsidRPr="00FF29FB" w:rsidRDefault="00D45FF7" w:rsidP="00B16A88">
            <w:pPr>
              <w:spacing w:line="240" w:lineRule="auto"/>
            </w:pPr>
            <w:r>
              <w:t>Laboratóriumi és egyéb vizsgálatok eredményei</w:t>
            </w:r>
          </w:p>
        </w:tc>
        <w:tc>
          <w:tcPr>
            <w:tcW w:w="3068" w:type="dxa"/>
          </w:tcPr>
          <w:p w14:paraId="09D17A45" w14:textId="7B52F5B4" w:rsidR="00D45FF7" w:rsidRPr="00FF29FB" w:rsidRDefault="006E4983" w:rsidP="00FE2742">
            <w:pPr>
              <w:spacing w:line="240" w:lineRule="auto"/>
            </w:pPr>
            <w:r>
              <w:t xml:space="preserve">ketonok </w:t>
            </w:r>
            <w:r w:rsidR="00D45FF7">
              <w:t>a vizeletben</w:t>
            </w:r>
          </w:p>
        </w:tc>
        <w:tc>
          <w:tcPr>
            <w:tcW w:w="3068" w:type="dxa"/>
          </w:tcPr>
          <w:p w14:paraId="444C6F59" w14:textId="77777777" w:rsidR="00D45FF7" w:rsidRPr="00FF29FB" w:rsidRDefault="00D45FF7">
            <w:pPr>
              <w:spacing w:line="240" w:lineRule="auto"/>
            </w:pPr>
            <w:r>
              <w:t>Nagyon gyakori</w:t>
            </w:r>
          </w:p>
        </w:tc>
      </w:tr>
      <w:tr w:rsidR="00D45FF7" w14:paraId="59C14F34" w14:textId="77777777" w:rsidTr="00FF29FB">
        <w:trPr>
          <w:trHeight w:val="108"/>
        </w:trPr>
        <w:tc>
          <w:tcPr>
            <w:tcW w:w="3068" w:type="dxa"/>
            <w:vMerge/>
          </w:tcPr>
          <w:p w14:paraId="37DAA791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5A5B4535" w14:textId="38A8E3D1" w:rsidR="00D45FF7" w:rsidRPr="00FF29FB" w:rsidRDefault="006E4983">
            <w:pPr>
              <w:spacing w:line="240" w:lineRule="auto"/>
            </w:pPr>
            <w:r>
              <w:t xml:space="preserve">albumin </w:t>
            </w:r>
            <w:r w:rsidR="00D45FF7">
              <w:t>jelenléte a vizeletben</w:t>
            </w:r>
          </w:p>
        </w:tc>
        <w:tc>
          <w:tcPr>
            <w:tcW w:w="3068" w:type="dxa"/>
          </w:tcPr>
          <w:p w14:paraId="7A7AF2CB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  <w:tr w:rsidR="00D45FF7" w14:paraId="5F60D813" w14:textId="77777777" w:rsidTr="00FF29FB">
        <w:trPr>
          <w:trHeight w:val="108"/>
        </w:trPr>
        <w:tc>
          <w:tcPr>
            <w:tcW w:w="3068" w:type="dxa"/>
            <w:vMerge/>
          </w:tcPr>
          <w:p w14:paraId="680868A9" w14:textId="77777777" w:rsidR="00D45FF7" w:rsidRDefault="00D45FF7">
            <w:pPr>
              <w:spacing w:line="240" w:lineRule="auto"/>
            </w:pPr>
          </w:p>
        </w:tc>
        <w:tc>
          <w:tcPr>
            <w:tcW w:w="3068" w:type="dxa"/>
          </w:tcPr>
          <w:p w14:paraId="25A41561" w14:textId="42389248" w:rsidR="00D45FF7" w:rsidRPr="00FF29FB" w:rsidRDefault="006E4983">
            <w:pPr>
              <w:spacing w:line="240" w:lineRule="auto"/>
            </w:pPr>
            <w:r>
              <w:t xml:space="preserve">csökkent </w:t>
            </w:r>
            <w:r w:rsidR="00D45FF7">
              <w:t>fehérvérsejtszám</w:t>
            </w:r>
          </w:p>
        </w:tc>
        <w:tc>
          <w:tcPr>
            <w:tcW w:w="3068" w:type="dxa"/>
          </w:tcPr>
          <w:p w14:paraId="22D4F8FD" w14:textId="77777777" w:rsidR="00D45FF7" w:rsidRPr="00FF29FB" w:rsidRDefault="00D45FF7">
            <w:pPr>
              <w:spacing w:line="240" w:lineRule="auto"/>
            </w:pPr>
            <w:r>
              <w:t>Gyakori</w:t>
            </w:r>
          </w:p>
        </w:tc>
      </w:tr>
    </w:tbl>
    <w:p w14:paraId="214E4CC3" w14:textId="77777777" w:rsidR="00A92934" w:rsidRDefault="00A92934" w:rsidP="00B16A88">
      <w:pPr>
        <w:spacing w:line="240" w:lineRule="auto"/>
        <w:rPr>
          <w:u w:val="single"/>
        </w:rPr>
      </w:pPr>
    </w:p>
    <w:p w14:paraId="53E391FB" w14:textId="77777777" w:rsidR="00362EBC" w:rsidRPr="00837371" w:rsidRDefault="00362EBC" w:rsidP="00FE2742">
      <w:pPr>
        <w:pStyle w:val="Default"/>
        <w:rPr>
          <w:sz w:val="22"/>
          <w:szCs w:val="22"/>
          <w:u w:val="single"/>
          <w:lang w:val="hu-HU"/>
        </w:rPr>
      </w:pPr>
      <w:r w:rsidRPr="00837371">
        <w:rPr>
          <w:sz w:val="22"/>
          <w:szCs w:val="22"/>
          <w:u w:val="single"/>
          <w:lang w:val="hu-HU"/>
        </w:rPr>
        <w:t>Egyes kiválasztott mellékhatások ismertetése</w:t>
      </w:r>
    </w:p>
    <w:p w14:paraId="5C642C6A" w14:textId="77777777" w:rsidR="00362EBC" w:rsidRPr="00837371" w:rsidRDefault="00362EBC">
      <w:pPr>
        <w:pStyle w:val="Default"/>
        <w:rPr>
          <w:sz w:val="22"/>
          <w:szCs w:val="22"/>
          <w:u w:val="single"/>
          <w:lang w:val="hu-HU"/>
        </w:rPr>
      </w:pPr>
      <w:r w:rsidRPr="00837371">
        <w:rPr>
          <w:sz w:val="22"/>
          <w:szCs w:val="22"/>
          <w:u w:val="single"/>
          <w:lang w:val="hu-HU"/>
        </w:rPr>
        <w:t xml:space="preserve"> </w:t>
      </w:r>
    </w:p>
    <w:p w14:paraId="0A08BD5F" w14:textId="77777777" w:rsidR="00362EBC" w:rsidRPr="00837371" w:rsidRDefault="00362EBC">
      <w:pPr>
        <w:pStyle w:val="Default"/>
        <w:rPr>
          <w:i/>
          <w:iCs/>
          <w:sz w:val="22"/>
          <w:szCs w:val="22"/>
          <w:lang w:val="hu-HU"/>
        </w:rPr>
      </w:pPr>
      <w:r w:rsidRPr="00837371">
        <w:rPr>
          <w:i/>
          <w:iCs/>
          <w:sz w:val="22"/>
          <w:szCs w:val="22"/>
          <w:lang w:val="hu-HU"/>
        </w:rPr>
        <w:t xml:space="preserve">Kipirulás </w:t>
      </w:r>
    </w:p>
    <w:p w14:paraId="0C559758" w14:textId="0F50A754" w:rsidR="00A92934" w:rsidRPr="00837371" w:rsidRDefault="00362EBC">
      <w:pPr>
        <w:spacing w:line="240" w:lineRule="auto"/>
        <w:rPr>
          <w:u w:val="single"/>
        </w:rPr>
      </w:pPr>
      <w:r w:rsidRPr="00837371">
        <w:rPr>
          <w:szCs w:val="22"/>
        </w:rPr>
        <w:t>A placebokontrollos vizsgálatokban a kipirulás (34% a 4%-kal szemben) és a hőhullámok (7% a 2%-kal szemben) gyakorisága megemelkedett a dimetil-fumaráttal kezelt betegeknél a placebót kapó betegekhez viszonyítva. A kipirulás általában kipirulásként vagy hőhullámként van meghatározva, de más események is beletartozhatnak (pl. melegségérzés, pirosság, viszketés és égő érzés). Úgy tűnik, a kipirulás a kezelés korai szakaszában (elsősorban az első hónapban) alakul ki, és a kipirulás a tünetet tapasztaló betegeknél időszakosan jelentkezhet a dimetil-fumaráttal történő kezelés folyamán. A kipirulás a betegek többségénél enyhe vagy közepes súlyossággal jelentkezett. Összességében a dimetil-fumaráttal kezelt betegek 3%-a hagyta abba a gyógyszer szedését a kipirulás miatt. A generalizált erythemával, bőrkiütéssel és/vagy bőrviszketéssel jellemezhető súlyos kipirulás gyakorisága kevesebb, mint 1% volt a dimetil-fumaráttal kezelt betegeknél (lásd 4.2, 4.4. és 4.5</w:t>
      </w:r>
      <w:r w:rsidR="00F41634" w:rsidRPr="00687BC3">
        <w:t> </w:t>
      </w:r>
      <w:r w:rsidRPr="00837371">
        <w:rPr>
          <w:szCs w:val="22"/>
        </w:rPr>
        <w:t>pont).</w:t>
      </w:r>
    </w:p>
    <w:p w14:paraId="4A9BB66D" w14:textId="77777777" w:rsidR="00A92934" w:rsidRPr="008B7C45" w:rsidRDefault="00A92934">
      <w:pPr>
        <w:spacing w:line="240" w:lineRule="auto"/>
        <w:rPr>
          <w:i/>
          <w:u w:val="single"/>
        </w:rPr>
      </w:pPr>
    </w:p>
    <w:p w14:paraId="52B25AEC" w14:textId="5D856699" w:rsidR="00837371" w:rsidRPr="008B7C45" w:rsidRDefault="007F7C26">
      <w:pPr>
        <w:pStyle w:val="Default"/>
        <w:rPr>
          <w:i/>
          <w:iCs/>
          <w:sz w:val="22"/>
          <w:szCs w:val="22"/>
          <w:lang w:val="hu-HU"/>
        </w:rPr>
      </w:pPr>
      <w:r w:rsidRPr="008B7C45">
        <w:rPr>
          <w:i/>
          <w:iCs/>
          <w:sz w:val="22"/>
          <w:szCs w:val="22"/>
          <w:lang w:val="hu-HU"/>
        </w:rPr>
        <w:t>Gasztrointesztinális</w:t>
      </w:r>
      <w:r w:rsidR="00837371" w:rsidRPr="00837371">
        <w:rPr>
          <w:i/>
          <w:iCs/>
          <w:sz w:val="22"/>
          <w:szCs w:val="22"/>
          <w:lang w:val="hu-HU"/>
        </w:rPr>
        <w:t xml:space="preserve"> </w:t>
      </w:r>
      <w:r w:rsidR="00CB5ADB">
        <w:rPr>
          <w:i/>
          <w:iCs/>
          <w:sz w:val="22"/>
          <w:szCs w:val="22"/>
          <w:lang w:val="hu-HU"/>
        </w:rPr>
        <w:t>mellékhatások</w:t>
      </w:r>
    </w:p>
    <w:p w14:paraId="1F56FC15" w14:textId="4F4635BF" w:rsidR="00A92934" w:rsidRPr="00837371" w:rsidRDefault="00837371">
      <w:pPr>
        <w:spacing w:line="240" w:lineRule="auto"/>
        <w:rPr>
          <w:u w:val="single"/>
        </w:rPr>
      </w:pPr>
      <w:proofErr w:type="gramStart"/>
      <w:r w:rsidRPr="00837371">
        <w:rPr>
          <w:szCs w:val="22"/>
        </w:rPr>
        <w:t>Az emésztőrendszeri események gyakorisága (pl. hasmenés [14% a 10%-kal szemben], hányinger [12% a 9%-kal szemben], gyomortáji fájdalom [10% a 6%-kal szemben], hasi fájdalom [9% a 4%-kal szemben], hányás [8% az 5%-kal szemben] és emésztési zavar [5% a 3%-kal szemben]) megemelkedett a dimetil-fumaráttal kezelt betegeknél a placebót kapó betegekhez viszonyítva.</w:t>
      </w:r>
      <w:proofErr w:type="gramEnd"/>
      <w:r w:rsidRPr="00837371">
        <w:rPr>
          <w:szCs w:val="22"/>
        </w:rPr>
        <w:t xml:space="preserve"> Úgy tűnik, az </w:t>
      </w:r>
      <w:r w:rsidRPr="00837371">
        <w:rPr>
          <w:szCs w:val="22"/>
        </w:rPr>
        <w:lastRenderedPageBreak/>
        <w:t xml:space="preserve">emésztőrendszeri </w:t>
      </w:r>
      <w:r w:rsidR="000041D3">
        <w:rPr>
          <w:szCs w:val="22"/>
        </w:rPr>
        <w:t>mellékhatások</w:t>
      </w:r>
      <w:r w:rsidRPr="00837371">
        <w:rPr>
          <w:szCs w:val="22"/>
        </w:rPr>
        <w:t xml:space="preserve"> a kezelés korai szakaszában (elsősorban az első hónapban) alakulnak ki, és az emésztőrendszeri események a tünetet tapasztaló betegeknél időszakosan továbbra is jelentkezhetnek a dimetil-fumaráttal történő kezelés folyamán. Az emésztőrendszeri események az azokat tapasztaló betegek többségénél enyhék vagy közepesen súlyosak. A dimetil-fumaráttal kezelt betegek négy százaléka (4%) hagyta abba a gyógyszer szedését az emésztőrendszeri </w:t>
      </w:r>
      <w:r w:rsidR="00CB5ADB">
        <w:rPr>
          <w:szCs w:val="22"/>
        </w:rPr>
        <w:t>mellékhatások</w:t>
      </w:r>
      <w:r w:rsidR="00CB5ADB" w:rsidRPr="00837371">
        <w:rPr>
          <w:szCs w:val="22"/>
        </w:rPr>
        <w:t xml:space="preserve"> </w:t>
      </w:r>
      <w:r w:rsidRPr="00837371">
        <w:rPr>
          <w:szCs w:val="22"/>
        </w:rPr>
        <w:t>miatt. Súlyos emésztőrendszeri események, beleértve a gastroenteritist és a gastritist, a dimetil-fumaráttal kezelt betegek 1%-ánál fordultak elő (lásd 4.2</w:t>
      </w:r>
      <w:r w:rsidR="00F41634" w:rsidRPr="00687BC3">
        <w:t> </w:t>
      </w:r>
      <w:r w:rsidRPr="00837371">
        <w:rPr>
          <w:szCs w:val="22"/>
        </w:rPr>
        <w:t>pont).</w:t>
      </w:r>
    </w:p>
    <w:p w14:paraId="67117E21" w14:textId="77777777" w:rsidR="00A92934" w:rsidRPr="00837371" w:rsidRDefault="00A92934">
      <w:pPr>
        <w:spacing w:line="240" w:lineRule="auto"/>
        <w:rPr>
          <w:u w:val="single"/>
        </w:rPr>
      </w:pPr>
    </w:p>
    <w:p w14:paraId="2520A34A" w14:textId="77777777" w:rsidR="00837371" w:rsidRPr="00837371" w:rsidRDefault="00837371">
      <w:pPr>
        <w:pStyle w:val="Default"/>
        <w:rPr>
          <w:sz w:val="22"/>
          <w:szCs w:val="22"/>
          <w:lang w:val="hu-HU"/>
        </w:rPr>
      </w:pPr>
      <w:r w:rsidRPr="00837371">
        <w:rPr>
          <w:i/>
          <w:iCs/>
          <w:sz w:val="22"/>
          <w:szCs w:val="22"/>
          <w:lang w:val="hu-HU"/>
        </w:rPr>
        <w:t xml:space="preserve">Májműködés </w:t>
      </w:r>
    </w:p>
    <w:p w14:paraId="7025058D" w14:textId="438F01C1" w:rsidR="00837371" w:rsidRPr="00837371" w:rsidRDefault="00837371">
      <w:pPr>
        <w:pStyle w:val="Default"/>
        <w:rPr>
          <w:sz w:val="22"/>
          <w:szCs w:val="22"/>
          <w:lang w:val="hu-HU"/>
        </w:rPr>
      </w:pPr>
      <w:r w:rsidRPr="00837371">
        <w:rPr>
          <w:sz w:val="22"/>
          <w:szCs w:val="22"/>
          <w:lang w:val="hu-HU"/>
        </w:rPr>
        <w:t xml:space="preserve">Placebokontrollos vizsgálatok adatai alapján azon betegek többségénél, akiknél megemelkedtek a hepatikus transzaminázszintek, az értékek alacsonyabbak voltak </w:t>
      </w:r>
      <w:r w:rsidR="00CB5ADB">
        <w:rPr>
          <w:sz w:val="22"/>
          <w:szCs w:val="22"/>
          <w:lang w:val="hu-HU"/>
        </w:rPr>
        <w:t>az ULN</w:t>
      </w:r>
      <w:r w:rsidRPr="00837371">
        <w:rPr>
          <w:sz w:val="22"/>
          <w:szCs w:val="22"/>
          <w:lang w:val="hu-HU"/>
        </w:rPr>
        <w:t xml:space="preserve"> háromszorosánál. Elsősorban a kezelés első 6 hónapjában volt megfigyelhető, hogy a </w:t>
      </w:r>
      <w:r>
        <w:rPr>
          <w:sz w:val="22"/>
          <w:szCs w:val="22"/>
          <w:lang w:val="hu-HU"/>
        </w:rPr>
        <w:t xml:space="preserve">dimetil-fumaráttal </w:t>
      </w:r>
      <w:r w:rsidRPr="00837371">
        <w:rPr>
          <w:sz w:val="22"/>
          <w:szCs w:val="22"/>
          <w:lang w:val="hu-HU"/>
        </w:rPr>
        <w:t xml:space="preserve">kezelt betegeknél megnövekedett a hepatikus transzaminázszintek emelkedésének gyakorisága a placebóval kezelt betegekhez viszonyítva. </w:t>
      </w:r>
      <w:r w:rsidR="00650B42">
        <w:rPr>
          <w:sz w:val="22"/>
          <w:szCs w:val="22"/>
          <w:lang w:val="hu-HU"/>
        </w:rPr>
        <w:t xml:space="preserve">Az </w:t>
      </w:r>
      <w:r w:rsidRPr="00837371">
        <w:rPr>
          <w:sz w:val="22"/>
          <w:szCs w:val="22"/>
          <w:lang w:val="hu-HU"/>
        </w:rPr>
        <w:t>alanin-aminotranszferáz és a</w:t>
      </w:r>
      <w:r w:rsidR="00650B42">
        <w:rPr>
          <w:sz w:val="22"/>
          <w:szCs w:val="22"/>
          <w:lang w:val="hu-HU"/>
        </w:rPr>
        <w:t>z</w:t>
      </w:r>
      <w:r w:rsidRPr="00837371">
        <w:rPr>
          <w:sz w:val="22"/>
          <w:szCs w:val="22"/>
          <w:lang w:val="hu-HU"/>
        </w:rPr>
        <w:t xml:space="preserve"> aszpartát-aminotranszferáz értékeinek ≥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3 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 xml:space="preserve">ULN mértékű emelkedését a placebót kapó betegek 5%-ánál és 2%-ánál, illetve a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kezelt betegek 6%-ánál és 2%-ánál észlelték. A készítmény szedésének a megemelkedett hepatikus transzaminázok miatti abbahagyása </w:t>
      </w:r>
      <w:proofErr w:type="gramStart"/>
      <w:r w:rsidRPr="00837371">
        <w:rPr>
          <w:sz w:val="22"/>
          <w:szCs w:val="22"/>
          <w:lang w:val="hu-HU"/>
        </w:rPr>
        <w:t>&lt; 1</w:t>
      </w:r>
      <w:proofErr w:type="gramEnd"/>
      <w:r w:rsidRPr="00837371">
        <w:rPr>
          <w:sz w:val="22"/>
          <w:szCs w:val="22"/>
          <w:lang w:val="hu-HU"/>
        </w:rPr>
        <w:t xml:space="preserve">% volt, és hasonló mértékű volt a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és a placebóval kezelt betegeknél. A transzaminázértékek ≥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3 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 xml:space="preserve">ULN mértékű emelkedését az </w:t>
      </w:r>
      <w:proofErr w:type="gramStart"/>
      <w:r w:rsidRPr="00837371">
        <w:rPr>
          <w:sz w:val="22"/>
          <w:szCs w:val="22"/>
          <w:lang w:val="hu-HU"/>
        </w:rPr>
        <w:t>összbilirubinszint &gt;</w:t>
      </w:r>
      <w:proofErr w:type="gramEnd"/>
      <w:r w:rsidRPr="00837371">
        <w:rPr>
          <w:sz w:val="22"/>
          <w:szCs w:val="22"/>
          <w:lang w:val="hu-HU"/>
        </w:rPr>
        <w:t xml:space="preserve"> 2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 xml:space="preserve">ULN mértékű emelkedésével egyidejűleg placebokontrollos vizsgálatokban nem figyelték meg. </w:t>
      </w:r>
    </w:p>
    <w:p w14:paraId="5752F0DA" w14:textId="31528E29" w:rsidR="00A92934" w:rsidRPr="00837371" w:rsidRDefault="00837371">
      <w:pPr>
        <w:spacing w:line="240" w:lineRule="auto"/>
        <w:rPr>
          <w:u w:val="single"/>
        </w:rPr>
      </w:pPr>
      <w:r w:rsidRPr="00837371">
        <w:rPr>
          <w:szCs w:val="22"/>
        </w:rPr>
        <w:t xml:space="preserve">A forgalomba hoztalt követő időszakban a </w:t>
      </w:r>
      <w:r>
        <w:rPr>
          <w:szCs w:val="22"/>
        </w:rPr>
        <w:t>dimetil-fumarát</w:t>
      </w:r>
      <w:r w:rsidRPr="00837371">
        <w:rPr>
          <w:szCs w:val="22"/>
        </w:rPr>
        <w:t xml:space="preserve"> alkalmazását követően beszámoltak a májenzimszintek emelkedéséről, valamint gyógyszer okozta májkárosodás eseteiről (a transzaminázértékek ≥</w:t>
      </w:r>
      <w:r w:rsidR="00F41634" w:rsidRPr="00687BC3">
        <w:t> </w:t>
      </w:r>
      <w:r w:rsidRPr="00837371">
        <w:rPr>
          <w:szCs w:val="22"/>
        </w:rPr>
        <w:t>3 ×</w:t>
      </w:r>
      <w:r w:rsidR="00F41634" w:rsidRPr="00687BC3">
        <w:t> </w:t>
      </w:r>
      <w:r w:rsidRPr="00837371">
        <w:rPr>
          <w:szCs w:val="22"/>
        </w:rPr>
        <w:t xml:space="preserve">ULN mértékű emelkedése az </w:t>
      </w:r>
      <w:proofErr w:type="gramStart"/>
      <w:r w:rsidRPr="00837371">
        <w:rPr>
          <w:szCs w:val="22"/>
        </w:rPr>
        <w:t>összbilirubinszint &gt;</w:t>
      </w:r>
      <w:proofErr w:type="gramEnd"/>
      <w:r w:rsidR="00F41634" w:rsidRPr="00687BC3">
        <w:t> </w:t>
      </w:r>
      <w:r w:rsidRPr="00837371">
        <w:rPr>
          <w:szCs w:val="22"/>
        </w:rPr>
        <w:t>2 ×</w:t>
      </w:r>
      <w:r w:rsidR="00F41634" w:rsidRPr="00687BC3">
        <w:t> </w:t>
      </w:r>
      <w:r w:rsidRPr="00837371">
        <w:rPr>
          <w:szCs w:val="22"/>
        </w:rPr>
        <w:t>ULN mértékű emelkedésével egyidejűleg), amelyek a kezelés leállítására rendeződtek.</w:t>
      </w:r>
    </w:p>
    <w:p w14:paraId="23EEB423" w14:textId="77777777" w:rsidR="00A92934" w:rsidRDefault="00A92934">
      <w:pPr>
        <w:spacing w:line="240" w:lineRule="auto"/>
        <w:rPr>
          <w:u w:val="single"/>
        </w:rPr>
      </w:pPr>
    </w:p>
    <w:p w14:paraId="17816D7F" w14:textId="472491BC" w:rsidR="00837371" w:rsidRDefault="00837371">
      <w:pPr>
        <w:pStyle w:val="Default"/>
        <w:rPr>
          <w:i/>
          <w:iCs/>
          <w:sz w:val="22"/>
          <w:szCs w:val="22"/>
          <w:lang w:val="hu-HU"/>
        </w:rPr>
      </w:pPr>
      <w:r w:rsidRPr="00837371">
        <w:rPr>
          <w:i/>
          <w:iCs/>
          <w:sz w:val="22"/>
          <w:szCs w:val="22"/>
          <w:lang w:val="hu-HU"/>
        </w:rPr>
        <w:t>Lymphopenia</w:t>
      </w:r>
    </w:p>
    <w:p w14:paraId="030A7D61" w14:textId="77777777" w:rsidR="00F41634" w:rsidRPr="00837371" w:rsidRDefault="00F41634">
      <w:pPr>
        <w:pStyle w:val="Default"/>
        <w:rPr>
          <w:sz w:val="22"/>
          <w:szCs w:val="22"/>
          <w:lang w:val="hu-HU"/>
        </w:rPr>
      </w:pPr>
    </w:p>
    <w:p w14:paraId="5B525F40" w14:textId="140A5F87" w:rsidR="00837371" w:rsidRDefault="00837371">
      <w:pPr>
        <w:pStyle w:val="Default"/>
        <w:rPr>
          <w:sz w:val="22"/>
          <w:szCs w:val="22"/>
          <w:lang w:val="hu-HU"/>
        </w:rPr>
      </w:pPr>
      <w:r w:rsidRPr="00837371">
        <w:rPr>
          <w:sz w:val="22"/>
          <w:szCs w:val="22"/>
          <w:lang w:val="hu-HU"/>
        </w:rPr>
        <w:t>A placebokontrollos vizsgálatokban a legtöbb beteg (&gt;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98%) lymphocyta</w:t>
      </w:r>
      <w:r w:rsidR="00CB5ADB">
        <w:rPr>
          <w:sz w:val="22"/>
          <w:szCs w:val="22"/>
          <w:lang w:val="hu-HU"/>
        </w:rPr>
        <w:t>száma</w:t>
      </w:r>
      <w:r w:rsidRPr="00837371">
        <w:rPr>
          <w:sz w:val="22"/>
          <w:szCs w:val="22"/>
          <w:lang w:val="hu-HU"/>
        </w:rPr>
        <w:t xml:space="preserve"> normális volt a kezelés megkezdése előtt. A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történő kezelés alatt az első év során csökkent az átlagos lymphocytaszám, ami ezt követően stabilizálódott. A lymphocytaszámok átlagosan hozzávetőleg 30%-kal csökkentek a kiindulási értékekhez képest. A lymphocytaszámok átlag- és középértékei a normál határértékeken belül maradtak. 0,5 × 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 xml:space="preserve">/l-nél alacsonyabb lymphocytaszámot figyeltek meg a placebóval kezelt betegek </w:t>
      </w:r>
      <w:proofErr w:type="gramStart"/>
      <w:r w:rsidRPr="00837371">
        <w:rPr>
          <w:sz w:val="22"/>
          <w:szCs w:val="22"/>
          <w:lang w:val="hu-HU"/>
        </w:rPr>
        <w:t>kevesebb</w:t>
      </w:r>
      <w:proofErr w:type="gramEnd"/>
      <w:r w:rsidRPr="00837371">
        <w:rPr>
          <w:sz w:val="22"/>
          <w:szCs w:val="22"/>
          <w:lang w:val="hu-HU"/>
        </w:rPr>
        <w:t xml:space="preserve"> mint 1%-ánál, illetve a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kezelt betegek 6%-ánál. 0,2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 xml:space="preserve">/l-nél alacsonyabb lymphocytaszámot figyeltek meg 1 </w:t>
      </w:r>
      <w:r>
        <w:rPr>
          <w:sz w:val="22"/>
          <w:szCs w:val="22"/>
          <w:lang w:val="hu-HU"/>
        </w:rPr>
        <w:t>dimetil-fumaráttal</w:t>
      </w:r>
      <w:r w:rsidRPr="00837371">
        <w:rPr>
          <w:sz w:val="22"/>
          <w:szCs w:val="22"/>
          <w:lang w:val="hu-HU"/>
        </w:rPr>
        <w:t xml:space="preserve"> kezelt betegnél, viszont nem volt ilyen eredmény egyetlen placebóval kezelt betegnél sem. </w:t>
      </w:r>
    </w:p>
    <w:p w14:paraId="39A55660" w14:textId="77777777" w:rsidR="00650B42" w:rsidRPr="00837371" w:rsidRDefault="00650B42">
      <w:pPr>
        <w:pStyle w:val="Default"/>
        <w:rPr>
          <w:sz w:val="22"/>
          <w:szCs w:val="22"/>
          <w:lang w:val="hu-HU"/>
        </w:rPr>
      </w:pPr>
    </w:p>
    <w:p w14:paraId="021D0A59" w14:textId="1EA99D2D" w:rsidR="00837371" w:rsidRDefault="00837371">
      <w:pPr>
        <w:pStyle w:val="Default"/>
        <w:rPr>
          <w:sz w:val="22"/>
          <w:szCs w:val="22"/>
          <w:lang w:val="hu-HU"/>
        </w:rPr>
      </w:pPr>
      <w:r w:rsidRPr="00837371">
        <w:rPr>
          <w:sz w:val="22"/>
          <w:szCs w:val="22"/>
          <w:lang w:val="hu-HU"/>
        </w:rPr>
        <w:t>Klinikai vizsgálatokban (kontrollos és nem kontrollos vizsgálatokban egyaránt) a dimetil-fumaráttal kezelt betegek 41%-a volt lymphopeniás (amelyet ezekben a vizsgálatokban 0,91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Cs w:val="22"/>
          <w:vertAlign w:val="superscript"/>
        </w:rPr>
        <w:t>9</w:t>
      </w:r>
      <w:r w:rsidRPr="00837371">
        <w:rPr>
          <w:sz w:val="22"/>
          <w:szCs w:val="22"/>
          <w:lang w:val="hu-HU"/>
        </w:rPr>
        <w:t xml:space="preserve">/l alatti lymphocytaszámban határoztak meg). </w:t>
      </w:r>
      <w:proofErr w:type="gramStart"/>
      <w:r w:rsidRPr="00837371">
        <w:rPr>
          <w:sz w:val="22"/>
          <w:szCs w:val="22"/>
          <w:lang w:val="hu-HU"/>
        </w:rPr>
        <w:t>Enyhe lymphopeniát (lymphocytaszám: 0,8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>/l vagy ennél magasabb, de alacsonyabb, mint 0,91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>/l ) a betegek 28%-ánál, legalább 6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hónapon keresztül</w:t>
      </w:r>
      <w:r w:rsidRPr="00837371">
        <w:rPr>
          <w:szCs w:val="22"/>
          <w:lang w:val="hu-HU"/>
        </w:rPr>
        <w:t xml:space="preserve"> </w:t>
      </w:r>
      <w:r w:rsidRPr="00837371">
        <w:rPr>
          <w:sz w:val="22"/>
          <w:szCs w:val="22"/>
          <w:lang w:val="hu-HU"/>
        </w:rPr>
        <w:t>fennálló, közepesen súlyos lymphopeniát (lymphocytaszám: 0,5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>/l vagy ennél magasabb, de alacsonyabb, mint 0,8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>/l) a betegek 11%-ánál, legalább 6 hónapon keresztül fennálló, súlyos lymphopeniát (lymphocytaszám alacsonyabb, mint 0,5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>/l) pedig a betegek 2%-ánál figyeltek meg.</w:t>
      </w:r>
      <w:proofErr w:type="gramEnd"/>
      <w:r w:rsidRPr="00837371">
        <w:rPr>
          <w:sz w:val="22"/>
          <w:szCs w:val="22"/>
          <w:lang w:val="hu-HU"/>
        </w:rPr>
        <w:t xml:space="preserve"> A súlyos lymphopeniában szenvedő betegek csoportjában a lymphocytaszám többnyire 0,5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×</w:t>
      </w:r>
      <w:r w:rsidR="00F41634" w:rsidRPr="00687BC3">
        <w:t> </w:t>
      </w:r>
      <w:r w:rsidRPr="00837371">
        <w:rPr>
          <w:sz w:val="22"/>
          <w:szCs w:val="22"/>
          <w:lang w:val="hu-HU"/>
        </w:rPr>
        <w:t>10</w:t>
      </w:r>
      <w:r w:rsidRPr="00837371">
        <w:rPr>
          <w:sz w:val="22"/>
          <w:szCs w:val="22"/>
          <w:vertAlign w:val="superscript"/>
          <w:lang w:val="hu-HU"/>
        </w:rPr>
        <w:t>9</w:t>
      </w:r>
      <w:r w:rsidRPr="00837371">
        <w:rPr>
          <w:sz w:val="22"/>
          <w:szCs w:val="22"/>
          <w:lang w:val="hu-HU"/>
        </w:rPr>
        <w:t xml:space="preserve">/l alatt maradt a kezelés folytatása során is. </w:t>
      </w:r>
    </w:p>
    <w:p w14:paraId="7CEA48A6" w14:textId="77777777" w:rsidR="00650B42" w:rsidRPr="00837371" w:rsidRDefault="00650B42">
      <w:pPr>
        <w:pStyle w:val="Default"/>
        <w:rPr>
          <w:sz w:val="22"/>
          <w:szCs w:val="22"/>
          <w:lang w:val="hu-HU"/>
        </w:rPr>
      </w:pPr>
    </w:p>
    <w:p w14:paraId="2F22A19E" w14:textId="0AE09084" w:rsidR="00A92934" w:rsidRPr="00837371" w:rsidRDefault="00837371">
      <w:pPr>
        <w:spacing w:line="240" w:lineRule="auto"/>
        <w:rPr>
          <w:u w:val="single"/>
        </w:rPr>
      </w:pPr>
      <w:proofErr w:type="gramStart"/>
      <w:r w:rsidRPr="00837371">
        <w:rPr>
          <w:szCs w:val="22"/>
        </w:rPr>
        <w:t xml:space="preserve">Továbbá, egy kontroll nélküli, prospektív, forgalomba hozatalt követő vizsgálatban a </w:t>
      </w:r>
      <w:r>
        <w:rPr>
          <w:szCs w:val="22"/>
        </w:rPr>
        <w:t>dimetil-fumarát</w:t>
      </w:r>
      <w:r w:rsidRPr="00837371">
        <w:rPr>
          <w:szCs w:val="22"/>
        </w:rPr>
        <w:t>-kezelés 48. hetében (n = 185) a CD4+ T-lymphocytasejtek számának csökkenése a betegek 37%-ánál mérsékelt (lymphocytaszám alacsonyabb, mint 0,4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650B42">
        <w:rPr>
          <w:szCs w:val="22"/>
          <w:vertAlign w:val="superscript"/>
        </w:rPr>
        <w:t>9</w:t>
      </w:r>
      <w:r>
        <w:rPr>
          <w:sz w:val="14"/>
          <w:szCs w:val="14"/>
        </w:rPr>
        <w:t xml:space="preserve"> </w:t>
      </w:r>
      <w:r w:rsidRPr="00837371">
        <w:rPr>
          <w:szCs w:val="22"/>
        </w:rPr>
        <w:t>/l, de eléri vagy meghaladja a 0,2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837371">
        <w:rPr>
          <w:szCs w:val="22"/>
          <w:vertAlign w:val="superscript"/>
        </w:rPr>
        <w:t>9</w:t>
      </w:r>
      <w:r w:rsidRPr="00837371">
        <w:rPr>
          <w:szCs w:val="22"/>
        </w:rPr>
        <w:t>/l értéket), a betegek 6%-ánál pedig súlyos (lymphocytaszám alacsonyabb, mint 0,2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6F7BC2">
        <w:rPr>
          <w:szCs w:val="22"/>
          <w:vertAlign w:val="superscript"/>
        </w:rPr>
        <w:t>9</w:t>
      </w:r>
      <w:r w:rsidRPr="00837371">
        <w:rPr>
          <w:szCs w:val="22"/>
        </w:rPr>
        <w:t>/l) mértékű volt, míg a CD8+ T-lymphocytasejtek száma gyakrabban volt csökkent mértékű, a betegek legfeljebb 59%-ánál 0,2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6F7BC2">
        <w:rPr>
          <w:szCs w:val="22"/>
          <w:vertAlign w:val="superscript"/>
        </w:rPr>
        <w:t>9</w:t>
      </w:r>
      <w:r w:rsidRPr="00837371">
        <w:rPr>
          <w:szCs w:val="22"/>
        </w:rPr>
        <w:t>/l-nél alacsonyabb, legfeljebb 25%-uknál pedig 0,1</w:t>
      </w:r>
      <w:r w:rsidR="00F41634" w:rsidRPr="00687BC3">
        <w:t> </w:t>
      </w:r>
      <w:r w:rsidRPr="00837371">
        <w:rPr>
          <w:szCs w:val="22"/>
        </w:rPr>
        <w:t>×</w:t>
      </w:r>
      <w:r w:rsidR="00F41634" w:rsidRPr="00687BC3">
        <w:t> </w:t>
      </w:r>
      <w:r w:rsidRPr="00837371">
        <w:rPr>
          <w:szCs w:val="22"/>
        </w:rPr>
        <w:t>10</w:t>
      </w:r>
      <w:r w:rsidRPr="006F7BC2">
        <w:rPr>
          <w:szCs w:val="22"/>
          <w:vertAlign w:val="superscript"/>
        </w:rPr>
        <w:t>9</w:t>
      </w:r>
      <w:r w:rsidRPr="00837371">
        <w:rPr>
          <w:szCs w:val="22"/>
        </w:rPr>
        <w:t>/l-nél alacsonyabb volt a sejtszám.</w:t>
      </w:r>
      <w:proofErr w:type="gramEnd"/>
      <w:r w:rsidRPr="00837371">
        <w:rPr>
          <w:szCs w:val="22"/>
        </w:rPr>
        <w:t xml:space="preserve"> Kontrollos és nem kontrollos klinikai vizsgálatokban azokat a betegeket, akiknél a </w:t>
      </w:r>
      <w:r>
        <w:rPr>
          <w:szCs w:val="22"/>
        </w:rPr>
        <w:t>dimetil-fumarát</w:t>
      </w:r>
      <w:r w:rsidRPr="00837371">
        <w:rPr>
          <w:szCs w:val="22"/>
        </w:rPr>
        <w:t>-kezelés abbahagyásakor a lymphocytaszám az LLN-nél alacsonyabb volt, mindaddig monitorozták, amíg a lymphocytaszám visszatért az LLN-szintre (lásd 5.1 pont).</w:t>
      </w:r>
    </w:p>
    <w:p w14:paraId="5E9F0776" w14:textId="77777777" w:rsidR="00A92934" w:rsidRPr="00837371" w:rsidRDefault="00A92934">
      <w:pPr>
        <w:spacing w:line="240" w:lineRule="auto"/>
        <w:rPr>
          <w:u w:val="single"/>
        </w:rPr>
      </w:pPr>
    </w:p>
    <w:p w14:paraId="15EE1B47" w14:textId="22D77D45" w:rsidR="000472DF" w:rsidRDefault="00CB5ADB">
      <w:pPr>
        <w:spacing w:line="240" w:lineRule="auto"/>
      </w:pPr>
      <w:bookmarkStart w:id="4" w:name="_Hlk160204878"/>
      <w:r>
        <w:rPr>
          <w:i/>
        </w:rPr>
        <w:lastRenderedPageBreak/>
        <w:t>Progresszív multifokális leukoencephalopathia (PML)</w:t>
      </w:r>
    </w:p>
    <w:bookmarkEnd w:id="4"/>
    <w:p w14:paraId="11216DF3" w14:textId="42A3FE99" w:rsidR="0079764E" w:rsidRDefault="000472DF">
      <w:pPr>
        <w:spacing w:line="240" w:lineRule="auto"/>
      </w:pPr>
      <w:r>
        <w:t>PML</w:t>
      </w:r>
      <w:r w:rsidR="00CB5ADB">
        <w:t>-t</w:t>
      </w:r>
      <w:r>
        <w:t xml:space="preserve"> okozó</w:t>
      </w:r>
      <w:r w:rsidR="00CB5ADB">
        <w:t>,</w:t>
      </w:r>
      <w:r>
        <w:t xml:space="preserve"> John–Cunningham-vírus (JCV) okozta fertőzések eseteiről számoltak be a dimetil-fumarát alkalmazásával összefüggésben (lásd 4.4 pont). A PML halálos kimenetelű </w:t>
      </w:r>
      <w:proofErr w:type="gramStart"/>
      <w:r>
        <w:t>lehet</w:t>
      </w:r>
      <w:proofErr w:type="gramEnd"/>
      <w:r>
        <w:t xml:space="preserve"> vagy súlyos </w:t>
      </w:r>
      <w:r w:rsidR="00CB5ADB">
        <w:t xml:space="preserve">egészségkárosodást </w:t>
      </w:r>
      <w:r>
        <w:t>okozhat. Az egyik klinikai vizsgálatban egy dimetil-fumarátot szedő, tartósan fennálló, súlyos lymphopeniában (a lymphocytaszám túlnyomórészt 0,5</w:t>
      </w:r>
      <w:r w:rsidR="00760A0E" w:rsidRPr="00687BC3">
        <w:t> </w:t>
      </w:r>
      <w:r>
        <w:t>×</w:t>
      </w:r>
      <w:r w:rsidR="00760A0E" w:rsidRPr="00687BC3">
        <w:t> </w:t>
      </w:r>
      <w:r>
        <w:t>10</w:t>
      </w:r>
      <w:r w:rsidRPr="000472DF">
        <w:rPr>
          <w:vertAlign w:val="superscript"/>
        </w:rPr>
        <w:t>9</w:t>
      </w:r>
      <w:r>
        <w:t>/l alatt volt 3,5 éven keresztül) szenvedő betegnél halálos kimenetelű PML alakult ki. A forgalomba hozatalt követően közepesen súlyos és enyhe lymphopenia mellett is előfordult PLM (&gt;</w:t>
      </w:r>
      <w:r w:rsidR="00F41634" w:rsidRPr="00687BC3">
        <w:t> </w:t>
      </w:r>
      <w:r>
        <w:t>0,5</w:t>
      </w:r>
      <w:r w:rsidR="00F41634" w:rsidRPr="00687BC3">
        <w:t> </w:t>
      </w:r>
      <w:r>
        <w:t>×</w:t>
      </w:r>
      <w:r w:rsidR="00F41634" w:rsidRPr="00687BC3">
        <w:t> </w:t>
      </w:r>
      <w:r>
        <w:t>10</w:t>
      </w:r>
      <w:r w:rsidRPr="000472DF">
        <w:rPr>
          <w:vertAlign w:val="superscript"/>
        </w:rPr>
        <w:t>9</w:t>
      </w:r>
      <w:r>
        <w:t xml:space="preserve">/l és </w:t>
      </w:r>
      <w:proofErr w:type="gramStart"/>
      <w:r>
        <w:t>&lt; LLN</w:t>
      </w:r>
      <w:proofErr w:type="gramEnd"/>
      <w:r>
        <w:t xml:space="preserve"> közötti lymphocytaszám, a helyi laboratóriumi referenciatartomány szerint). </w:t>
      </w:r>
    </w:p>
    <w:p w14:paraId="4A83AA9D" w14:textId="77777777" w:rsidR="0079764E" w:rsidRDefault="0079764E">
      <w:pPr>
        <w:spacing w:line="240" w:lineRule="auto"/>
      </w:pPr>
    </w:p>
    <w:p w14:paraId="383530BD" w14:textId="5FFAD6F7" w:rsidR="0079764E" w:rsidRDefault="000472DF">
      <w:pPr>
        <w:spacing w:line="240" w:lineRule="auto"/>
      </w:pPr>
      <w:proofErr w:type="gramStart"/>
      <w:r>
        <w:t>Számos olyan PML esetnél, ahol a PML diagnózisakor a T-sejtek alcsoportjai meghatározásra kerültek, a CD8+ T-sejtek száma 0,1</w:t>
      </w:r>
      <w:r w:rsidR="00070B26" w:rsidRPr="00687BC3">
        <w:t> </w:t>
      </w:r>
      <w:r>
        <w:t>×</w:t>
      </w:r>
      <w:r w:rsidR="00070B26" w:rsidRPr="00687BC3">
        <w:t> </w:t>
      </w:r>
      <w:r>
        <w:t>10</w:t>
      </w:r>
      <w:r w:rsidRPr="000472DF">
        <w:rPr>
          <w:vertAlign w:val="superscript"/>
        </w:rPr>
        <w:t>9</w:t>
      </w:r>
      <w:r>
        <w:t>/l alá csökkent, míg a CD4+ T-sejtek számának csökkenése változó volt (tartomány: &lt;</w:t>
      </w:r>
      <w:r w:rsidR="00070B26" w:rsidRPr="00687BC3">
        <w:t> </w:t>
      </w:r>
      <w:r>
        <w:t>0,05 – 0,5</w:t>
      </w:r>
      <w:r w:rsidR="00070B26" w:rsidRPr="00687BC3">
        <w:t> </w:t>
      </w:r>
      <w:r>
        <w:t>× 10</w:t>
      </w:r>
      <w:r w:rsidRPr="000472DF">
        <w:rPr>
          <w:vertAlign w:val="superscript"/>
        </w:rPr>
        <w:t>9</w:t>
      </w:r>
      <w:r>
        <w:t>/l), és nagyobb összefüggést mutatott a lymphopenia általános súlyosságával (lymphocytaszám &lt;</w:t>
      </w:r>
      <w:r w:rsidR="00070B26" w:rsidRPr="00687BC3">
        <w:t> </w:t>
      </w:r>
      <w:r>
        <w:t>0,5 ×</w:t>
      </w:r>
      <w:r w:rsidR="00070B26" w:rsidRPr="00687BC3">
        <w:t> </w:t>
      </w:r>
      <w:r>
        <w:t>10</w:t>
      </w:r>
      <w:r w:rsidRPr="000472DF">
        <w:rPr>
          <w:vertAlign w:val="superscript"/>
        </w:rPr>
        <w:t>9</w:t>
      </w:r>
      <w:r>
        <w:t>/l és &lt; LLN között).</w:t>
      </w:r>
      <w:proofErr w:type="gramEnd"/>
      <w:r>
        <w:t xml:space="preserve"> Következésképpen, ezeknél a betegeknél a CD4+/CD8+ arány magasabb volt. </w:t>
      </w:r>
    </w:p>
    <w:p w14:paraId="6B9B851F" w14:textId="77777777" w:rsidR="0079764E" w:rsidRDefault="0079764E">
      <w:pPr>
        <w:spacing w:line="240" w:lineRule="auto"/>
      </w:pPr>
    </w:p>
    <w:p w14:paraId="484ED485" w14:textId="2E9822F8" w:rsidR="0079764E" w:rsidRDefault="000472DF">
      <w:pPr>
        <w:spacing w:line="240" w:lineRule="auto"/>
      </w:pPr>
      <w:r>
        <w:t>Úgy tűnik, a tartósan fennálló, közepesen súlyos vagy súlyos lymphopenia növeli a dimetil-fumarát-kezeléssel összefüggő PML kockázatát</w:t>
      </w:r>
      <w:r w:rsidR="00CB5ADB">
        <w:t>.</w:t>
      </w:r>
      <w:r>
        <w:t xml:space="preserve"> </w:t>
      </w:r>
      <w:r w:rsidR="00CB5ADB">
        <w:t>A</w:t>
      </w:r>
      <w:r>
        <w:t xml:space="preserve"> PML </w:t>
      </w:r>
      <w:r w:rsidR="00CB5ADB">
        <w:t xml:space="preserve">azonban </w:t>
      </w:r>
      <w:r>
        <w:t>enyhe lymphopeniában szenvedő betegeknél is előfordult. Továbbá, a forgalomba hozatalt követően jelentett PML</w:t>
      </w:r>
      <w:r w:rsidR="00CB5ADB">
        <w:t>-</w:t>
      </w:r>
      <w:r>
        <w:t>esetek többsége 50</w:t>
      </w:r>
      <w:r w:rsidR="00070B26" w:rsidRPr="00687BC3">
        <w:t> </w:t>
      </w:r>
      <w:r>
        <w:t xml:space="preserve">évesnél idősebb betegeknél fordult elő. </w:t>
      </w:r>
    </w:p>
    <w:p w14:paraId="6EEF8E16" w14:textId="77777777" w:rsidR="00F56CA3" w:rsidRDefault="00F56CA3">
      <w:pPr>
        <w:spacing w:line="240" w:lineRule="auto"/>
      </w:pPr>
    </w:p>
    <w:p w14:paraId="0AD5D4E7" w14:textId="4735FE8D" w:rsidR="00F56CA3" w:rsidRPr="008B7C45" w:rsidRDefault="00F56CA3">
      <w:pPr>
        <w:spacing w:line="240" w:lineRule="auto"/>
        <w:rPr>
          <w:i/>
          <w:iCs/>
        </w:rPr>
      </w:pPr>
      <w:bookmarkStart w:id="5" w:name="_Hlk160204992"/>
      <w:r w:rsidRPr="008B7C45">
        <w:rPr>
          <w:i/>
          <w:iCs/>
        </w:rPr>
        <w:t>Herpes zoster-fertőzések</w:t>
      </w:r>
      <w:bookmarkStart w:id="6" w:name="_Hlk160204982"/>
    </w:p>
    <w:bookmarkEnd w:id="5"/>
    <w:bookmarkEnd w:id="6"/>
    <w:p w14:paraId="58424B0C" w14:textId="4520359E" w:rsidR="002A025B" w:rsidRDefault="000472DF">
      <w:pPr>
        <w:spacing w:line="240" w:lineRule="auto"/>
      </w:pPr>
      <w:r>
        <w:t>A dimetil-fumarát alkalmazásakor herpes zoster</w:t>
      </w:r>
      <w:r w:rsidR="00F56CA3">
        <w:t>-</w:t>
      </w:r>
      <w:r>
        <w:t xml:space="preserve">fertőzésekről számoltak be. </w:t>
      </w:r>
      <w:r w:rsidR="00F56CA3">
        <w:t>A</w:t>
      </w:r>
      <w:r>
        <w:t xml:space="preserve"> hosszú távú kiterjesztéses vizsgálatban, amelyben 1736</w:t>
      </w:r>
      <w:r w:rsidR="00760A0E" w:rsidRPr="00687BC3">
        <w:t> </w:t>
      </w:r>
      <w:r>
        <w:t>SM-ben szenvedő beteget kezeltek, a betegek körülbelül 5%-a tapasztalt egy vagy több herpes zoster</w:t>
      </w:r>
      <w:r w:rsidR="00F56CA3">
        <w:t>-</w:t>
      </w:r>
      <w:r>
        <w:t>eseményt, amelyek</w:t>
      </w:r>
      <w:r w:rsidR="00F56CA3">
        <w:t xml:space="preserve">nek </w:t>
      </w:r>
      <w:bookmarkStart w:id="7" w:name="_Hlk160205029"/>
      <w:r w:rsidR="00F56CA3">
        <w:t>42%-a volt enyhe, 55%-a volt közepesen súlyos és 3%-a volt súlyos fokú</w:t>
      </w:r>
      <w:bookmarkEnd w:id="7"/>
      <w:r>
        <w:t>.</w:t>
      </w:r>
      <w:r w:rsidR="002A025B">
        <w:t xml:space="preserve"> </w:t>
      </w:r>
      <w:bookmarkStart w:id="8" w:name="_Hlk160205048"/>
      <w:r w:rsidR="002A025B" w:rsidRPr="002A025B">
        <w:t xml:space="preserve">Az első </w:t>
      </w:r>
      <w:r w:rsidR="002A025B">
        <w:t>dimetil-fumarát</w:t>
      </w:r>
      <w:r w:rsidR="002A025B" w:rsidRPr="002A025B">
        <w:t>-dózis beadásától a kialakulásig eltelt idő körülbelül 3 hónap és 10 év között változott. Súlyos esemény 4 betegnél fordult elő, amelyek mindegyike rendeződött.</w:t>
      </w:r>
      <w:bookmarkEnd w:id="8"/>
      <w:r w:rsidR="002A025B">
        <w:t xml:space="preserve"> </w:t>
      </w:r>
      <w:r>
        <w:t>A legtöbb alanynál, beleértve azokat is, akik súlyos herpes zoster</w:t>
      </w:r>
      <w:r w:rsidR="002A025B">
        <w:t>-</w:t>
      </w:r>
      <w:r>
        <w:t>fertőzést tapasztaltak, a lymphocytaszám a normálérték alsó határa felett volt. Azon betegek döntő többségénél, akiknél a lymphocytaszám az LLN érték alatt volt, a lymphopeniát közepesen súlyos vagy súlyos fokúnak értékelték. A forgalomba hozatalt követően tapasztalt herpes zoster</w:t>
      </w:r>
      <w:r w:rsidR="002A025B">
        <w:t>-</w:t>
      </w:r>
      <w:r>
        <w:t>fertőzéses esetek többsége nem volt súlyos és kezelés hatására elmúlt. A forgalomba hozatalt követően a herpes zoster</w:t>
      </w:r>
      <w:r w:rsidR="002A025B">
        <w:t>-</w:t>
      </w:r>
      <w:r>
        <w:t xml:space="preserve">fertőzésben szenvedő betegek abszolút lymphocytaszámáról (absolute lymphocyte count, ALC) korlátozott mennyiségű adat áll rendelkezésre. </w:t>
      </w:r>
    </w:p>
    <w:p w14:paraId="7AFF4A93" w14:textId="7FB5D9D8" w:rsidR="00A92934" w:rsidRDefault="000472DF">
      <w:pPr>
        <w:spacing w:line="240" w:lineRule="auto"/>
      </w:pPr>
      <w:r>
        <w:t>A jelentett esetekben azonban a betegeknél közepesen súlyos (lymphocytaszám ≥ 0,5 × 10</w:t>
      </w:r>
      <w:r w:rsidRPr="000472DF">
        <w:rPr>
          <w:vertAlign w:val="superscript"/>
        </w:rPr>
        <w:t>9</w:t>
      </w:r>
      <w:r>
        <w:t xml:space="preserve">/l – </w:t>
      </w:r>
      <w:proofErr w:type="gramStart"/>
      <w:r>
        <w:t>&lt; 0</w:t>
      </w:r>
      <w:proofErr w:type="gramEnd"/>
      <w:r>
        <w:t>,8 × 10</w:t>
      </w:r>
      <w:r w:rsidRPr="000472DF">
        <w:rPr>
          <w:vertAlign w:val="superscript"/>
        </w:rPr>
        <w:t>9</w:t>
      </w:r>
      <w:r>
        <w:t>/l) vagy súlyos</w:t>
      </w:r>
      <w:r w:rsidR="002A025B">
        <w:t xml:space="preserve"> </w:t>
      </w:r>
      <w:r>
        <w:t>lymphocytaszám</w:t>
      </w:r>
      <w:r w:rsidR="00070B26" w:rsidRPr="00687BC3">
        <w:t> </w:t>
      </w:r>
      <w:r>
        <w:t>&lt;</w:t>
      </w:r>
      <w:r w:rsidR="00070B26" w:rsidRPr="00687BC3">
        <w:t> </w:t>
      </w:r>
      <w:r>
        <w:t>0,5</w:t>
      </w:r>
      <w:r w:rsidR="00070B26" w:rsidRPr="00687BC3">
        <w:t> </w:t>
      </w:r>
      <w:r>
        <w:t>×</w:t>
      </w:r>
      <w:r w:rsidR="00070B26" w:rsidRPr="00687BC3">
        <w:t> </w:t>
      </w:r>
      <w:r>
        <w:t>10</w:t>
      </w:r>
      <w:r w:rsidRPr="00147524">
        <w:rPr>
          <w:vertAlign w:val="superscript"/>
        </w:rPr>
        <w:t>9</w:t>
      </w:r>
      <w:r>
        <w:t>/l</w:t>
      </w:r>
      <w:r w:rsidR="00070B26" w:rsidRPr="00687BC3">
        <w:t> </w:t>
      </w:r>
      <w:r>
        <w:t>–</w:t>
      </w:r>
      <w:r w:rsidR="00070B26" w:rsidRPr="00687BC3">
        <w:t> </w:t>
      </w:r>
      <w:r>
        <w:t>0,2</w:t>
      </w:r>
      <w:r w:rsidR="00070B26" w:rsidRPr="00687BC3">
        <w:t> </w:t>
      </w:r>
      <w:r>
        <w:t>×</w:t>
      </w:r>
      <w:r w:rsidR="00070B26" w:rsidRPr="00687BC3">
        <w:t> </w:t>
      </w:r>
      <w:r>
        <w:t>10</w:t>
      </w:r>
      <w:r w:rsidRPr="00147524">
        <w:rPr>
          <w:vertAlign w:val="superscript"/>
        </w:rPr>
        <w:t>9</w:t>
      </w:r>
      <w:r>
        <w:t>/l) lymphopenia állt fenn (lásd 4.4</w:t>
      </w:r>
      <w:r w:rsidR="00070B26" w:rsidRPr="00687BC3">
        <w:t> </w:t>
      </w:r>
      <w:r>
        <w:t>pont)</w:t>
      </w:r>
      <w:r w:rsidR="00A434DD">
        <w:t>.</w:t>
      </w:r>
    </w:p>
    <w:p w14:paraId="2EDCEBDB" w14:textId="77777777" w:rsidR="0079764E" w:rsidRDefault="0079764E">
      <w:pPr>
        <w:spacing w:line="240" w:lineRule="auto"/>
      </w:pPr>
    </w:p>
    <w:p w14:paraId="6C50ED2C" w14:textId="77777777" w:rsidR="0079764E" w:rsidRDefault="0079764E">
      <w:pPr>
        <w:pStyle w:val="Default"/>
        <w:rPr>
          <w:i/>
          <w:iCs/>
          <w:sz w:val="22"/>
          <w:szCs w:val="22"/>
          <w:lang w:val="hu-HU"/>
        </w:rPr>
      </w:pPr>
      <w:r w:rsidRPr="0079764E">
        <w:rPr>
          <w:i/>
          <w:iCs/>
          <w:sz w:val="22"/>
          <w:szCs w:val="22"/>
          <w:lang w:val="hu-HU"/>
        </w:rPr>
        <w:t xml:space="preserve">Laboratóriumi eltérések </w:t>
      </w:r>
    </w:p>
    <w:p w14:paraId="4D4046CF" w14:textId="77777777" w:rsidR="00247298" w:rsidRPr="0079764E" w:rsidRDefault="00247298">
      <w:pPr>
        <w:pStyle w:val="Default"/>
        <w:rPr>
          <w:sz w:val="22"/>
          <w:szCs w:val="22"/>
          <w:lang w:val="hu-HU"/>
        </w:rPr>
      </w:pPr>
    </w:p>
    <w:p w14:paraId="77A7AF29" w14:textId="77777777" w:rsidR="0079764E" w:rsidRPr="0079764E" w:rsidRDefault="0079764E">
      <w:pPr>
        <w:spacing w:line="240" w:lineRule="auto"/>
        <w:rPr>
          <w:u w:val="single"/>
        </w:rPr>
      </w:pPr>
      <w:r w:rsidRPr="0079764E">
        <w:rPr>
          <w:szCs w:val="22"/>
        </w:rPr>
        <w:t xml:space="preserve">A placebokontrollos vizsgálatokban a vizeletben levő ketonok (1+ vagy magasabb) mennyisége magasabb volt a </w:t>
      </w:r>
      <w:r w:rsidR="008E480E">
        <w:rPr>
          <w:szCs w:val="22"/>
        </w:rPr>
        <w:t>dimetil-fumaráttal</w:t>
      </w:r>
      <w:r w:rsidRPr="0079764E">
        <w:rPr>
          <w:szCs w:val="22"/>
        </w:rPr>
        <w:t xml:space="preserve"> kezelt betegeknél (45%), mint a placebóval kezelt betegeknél (10%). Ezekben a klinikai vizsgálatokban nem figyeltek meg kedvezőtlen klinikai következményeket.</w:t>
      </w:r>
    </w:p>
    <w:p w14:paraId="17B1F097" w14:textId="6C760840" w:rsidR="0079764E" w:rsidRPr="0079764E" w:rsidRDefault="0079764E">
      <w:pPr>
        <w:pStyle w:val="Default"/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>Az 1,25-dihidroxi-D-vitamin szintje csökkent (a középérték százalékos csökkenése a kezelés megkezdésétől a 2.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évig 25% a 15%-kal szemben), valamint a mellékpajzsmirigy-hormon (PTH) mennyisége megnövekedett (a középérték százalékos növekedése a kiindulástól a 2.</w:t>
      </w:r>
      <w:r w:rsidR="00070B26" w:rsidRPr="00687BC3">
        <w:t> </w:t>
      </w:r>
      <w:r w:rsidRPr="0079764E">
        <w:rPr>
          <w:sz w:val="22"/>
          <w:szCs w:val="22"/>
          <w:lang w:val="hu-HU"/>
        </w:rPr>
        <w:t xml:space="preserve">évig 29% a 15%-kal szemben) a </w:t>
      </w:r>
      <w:r w:rsidR="008E480E">
        <w:rPr>
          <w:sz w:val="22"/>
          <w:szCs w:val="22"/>
          <w:lang w:val="hu-HU"/>
        </w:rPr>
        <w:t xml:space="preserve">dimetil-fumaráttal </w:t>
      </w:r>
      <w:r w:rsidRPr="0079764E">
        <w:rPr>
          <w:sz w:val="22"/>
          <w:szCs w:val="22"/>
          <w:lang w:val="hu-HU"/>
        </w:rPr>
        <w:t xml:space="preserve">kezelt betegeknél a placebóval kezeltekhez viszonyítva. Mindkét paraméter átlagértékei a normál tartományon belül maradtak. </w:t>
      </w:r>
    </w:p>
    <w:p w14:paraId="20679C03" w14:textId="07276ED2" w:rsidR="00A92934" w:rsidRPr="00837371" w:rsidRDefault="0079764E">
      <w:pPr>
        <w:spacing w:line="240" w:lineRule="auto"/>
        <w:rPr>
          <w:u w:val="single"/>
        </w:rPr>
      </w:pPr>
      <w:r w:rsidRPr="0079764E">
        <w:rPr>
          <w:szCs w:val="22"/>
        </w:rPr>
        <w:t>Az átlagos eosinophilszám átmeneti emelkedését figyelték meg a kezelés első 2</w:t>
      </w:r>
      <w:r w:rsidR="00070B26" w:rsidRPr="00687BC3">
        <w:t> </w:t>
      </w:r>
      <w:r w:rsidRPr="0079764E">
        <w:rPr>
          <w:szCs w:val="22"/>
        </w:rPr>
        <w:t>hónapjáb</w:t>
      </w:r>
      <w:r>
        <w:rPr>
          <w:szCs w:val="22"/>
        </w:rPr>
        <w:t>an.</w:t>
      </w:r>
    </w:p>
    <w:p w14:paraId="41D8D9AF" w14:textId="77777777" w:rsidR="00A92934" w:rsidRPr="00837371" w:rsidRDefault="00A92934">
      <w:pPr>
        <w:spacing w:line="240" w:lineRule="auto"/>
        <w:rPr>
          <w:u w:val="single"/>
        </w:rPr>
      </w:pPr>
    </w:p>
    <w:p w14:paraId="3723EA10" w14:textId="77777777" w:rsidR="0079764E" w:rsidRPr="0079764E" w:rsidRDefault="0079764E">
      <w:pPr>
        <w:pStyle w:val="Default"/>
        <w:rPr>
          <w:sz w:val="22"/>
          <w:szCs w:val="22"/>
          <w:u w:val="single"/>
          <w:lang w:val="hu-HU"/>
        </w:rPr>
      </w:pPr>
      <w:r w:rsidRPr="0079764E">
        <w:rPr>
          <w:sz w:val="22"/>
          <w:szCs w:val="22"/>
          <w:u w:val="single"/>
          <w:lang w:val="hu-HU"/>
        </w:rPr>
        <w:t xml:space="preserve">Gyermekek és serdülők </w:t>
      </w:r>
    </w:p>
    <w:p w14:paraId="77D73955" w14:textId="6337843B" w:rsidR="0079764E" w:rsidRDefault="0079764E">
      <w:pPr>
        <w:pStyle w:val="Default"/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>Egy 96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hetes, nyílt elrendezésű, randomizált, aktív kontrollos</w:t>
      </w:r>
      <w:r w:rsidR="00247298">
        <w:rPr>
          <w:sz w:val="22"/>
          <w:szCs w:val="22"/>
          <w:lang w:val="hu-HU"/>
        </w:rPr>
        <w:t xml:space="preserve"> vizsgálatban</w:t>
      </w:r>
      <w:r w:rsidRPr="0079764E">
        <w:rPr>
          <w:sz w:val="22"/>
          <w:szCs w:val="22"/>
          <w:lang w:val="hu-HU"/>
        </w:rPr>
        <w:t xml:space="preserve"> RRSM-ben szenvedő gyermekek</w:t>
      </w:r>
      <w:r w:rsidR="00247298">
        <w:rPr>
          <w:sz w:val="22"/>
          <w:szCs w:val="22"/>
          <w:lang w:val="hu-HU"/>
        </w:rPr>
        <w:t>et</w:t>
      </w:r>
      <w:r w:rsidRPr="0079764E">
        <w:rPr>
          <w:sz w:val="22"/>
          <w:szCs w:val="22"/>
          <w:lang w:val="hu-HU"/>
        </w:rPr>
        <w:t xml:space="preserve"> és serdülők</w:t>
      </w:r>
      <w:r w:rsidR="00247298">
        <w:rPr>
          <w:sz w:val="22"/>
          <w:szCs w:val="22"/>
          <w:lang w:val="hu-HU"/>
        </w:rPr>
        <w:t>et</w:t>
      </w:r>
      <w:r w:rsidRPr="0079764E">
        <w:rPr>
          <w:sz w:val="22"/>
          <w:szCs w:val="22"/>
          <w:lang w:val="hu-HU"/>
        </w:rPr>
        <w:t xml:space="preserve"> </w:t>
      </w:r>
      <w:bookmarkStart w:id="9" w:name="_Hlk160205165"/>
      <w:r w:rsidR="00247298" w:rsidRPr="00247298">
        <w:rPr>
          <w:sz w:val="22"/>
          <w:szCs w:val="22"/>
          <w:lang w:val="hu-HU"/>
        </w:rPr>
        <w:t>(7 beteg volt 10–</w:t>
      </w:r>
      <w:r w:rsidR="00247298" w:rsidRPr="00247298">
        <w:rPr>
          <w:sz w:val="22"/>
          <w:szCs w:val="22"/>
          <w:lang w:val="hu-HU"/>
        </w:rPr>
        <w:sym w:font="Symbol" w:char="F03C"/>
      </w:r>
      <w:r w:rsidR="00247298" w:rsidRPr="00247298">
        <w:rPr>
          <w:sz w:val="22"/>
          <w:szCs w:val="22"/>
          <w:lang w:val="hu-HU"/>
        </w:rPr>
        <w:t xml:space="preserve"> 13 éves,</w:t>
      </w:r>
      <w:r w:rsidR="00A04E8A">
        <w:rPr>
          <w:sz w:val="22"/>
          <w:szCs w:val="22"/>
          <w:lang w:val="hu-HU"/>
        </w:rPr>
        <w:t xml:space="preserve"> </w:t>
      </w:r>
      <w:r w:rsidR="00247298" w:rsidRPr="00247298">
        <w:rPr>
          <w:sz w:val="22"/>
          <w:szCs w:val="22"/>
          <w:lang w:val="hu-HU"/>
        </w:rPr>
        <w:t>71 beteg pedig 13–</w:t>
      </w:r>
      <w:r w:rsidR="00247298" w:rsidRPr="00247298">
        <w:rPr>
          <w:sz w:val="22"/>
          <w:szCs w:val="22"/>
          <w:lang w:val="hu-HU"/>
        </w:rPr>
        <w:sym w:font="Symbol" w:char="F03C"/>
      </w:r>
      <w:r w:rsidR="00247298" w:rsidRPr="00247298">
        <w:rPr>
          <w:sz w:val="22"/>
          <w:szCs w:val="22"/>
          <w:lang w:val="hu-HU"/>
        </w:rPr>
        <w:t xml:space="preserve"> 18 éves)</w:t>
      </w:r>
      <w:r w:rsidR="00247298">
        <w:rPr>
          <w:sz w:val="22"/>
          <w:szCs w:val="22"/>
          <w:lang w:val="hu-HU"/>
        </w:rPr>
        <w:t xml:space="preserve"> </w:t>
      </w:r>
      <w:bookmarkEnd w:id="9"/>
      <w:r w:rsidR="00247298">
        <w:rPr>
          <w:sz w:val="22"/>
          <w:szCs w:val="22"/>
          <w:lang w:val="hu-HU"/>
        </w:rPr>
        <w:t xml:space="preserve">kezeltek </w:t>
      </w:r>
      <w:r w:rsidRPr="0079764E">
        <w:rPr>
          <w:sz w:val="22"/>
          <w:szCs w:val="22"/>
          <w:lang w:val="hu-HU"/>
        </w:rPr>
        <w:t>120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mg</w:t>
      </w:r>
      <w:r w:rsidR="00247298">
        <w:rPr>
          <w:sz w:val="22"/>
          <w:szCs w:val="22"/>
          <w:lang w:val="hu-HU"/>
        </w:rPr>
        <w:t>-os dózissal</w:t>
      </w:r>
      <w:r w:rsidRPr="0079764E">
        <w:rPr>
          <w:sz w:val="22"/>
          <w:szCs w:val="22"/>
          <w:lang w:val="hu-HU"/>
        </w:rPr>
        <w:t xml:space="preserve"> naponta kétszer 7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napon át, majd a kezelés fennmaradó részében 240</w:t>
      </w:r>
      <w:r w:rsidR="00070B26" w:rsidRPr="00687BC3">
        <w:t> </w:t>
      </w:r>
      <w:r w:rsidRPr="0079764E">
        <w:rPr>
          <w:sz w:val="22"/>
          <w:szCs w:val="22"/>
          <w:lang w:val="hu-HU"/>
        </w:rPr>
        <w:t>mg</w:t>
      </w:r>
      <w:r w:rsidR="00247298">
        <w:rPr>
          <w:sz w:val="22"/>
          <w:szCs w:val="22"/>
          <w:lang w:val="hu-HU"/>
        </w:rPr>
        <w:t>-os dózissal</w:t>
      </w:r>
      <w:r w:rsidRPr="0079764E">
        <w:rPr>
          <w:sz w:val="22"/>
          <w:szCs w:val="22"/>
          <w:lang w:val="hu-HU"/>
        </w:rPr>
        <w:t xml:space="preserve"> naponta kétszer</w:t>
      </w:r>
      <w:r w:rsidR="00247298">
        <w:rPr>
          <w:sz w:val="22"/>
          <w:szCs w:val="22"/>
          <w:lang w:val="hu-HU"/>
        </w:rPr>
        <w:t>.</w:t>
      </w:r>
      <w:r w:rsidRPr="0079764E">
        <w:rPr>
          <w:sz w:val="22"/>
          <w:szCs w:val="22"/>
          <w:lang w:val="hu-HU"/>
        </w:rPr>
        <w:t xml:space="preserve"> </w:t>
      </w:r>
      <w:r w:rsidR="00247298">
        <w:rPr>
          <w:sz w:val="22"/>
          <w:szCs w:val="22"/>
          <w:lang w:val="hu-HU"/>
        </w:rPr>
        <w:t xml:space="preserve">A </w:t>
      </w:r>
      <w:r w:rsidRPr="0079764E">
        <w:rPr>
          <w:sz w:val="22"/>
          <w:szCs w:val="22"/>
          <w:lang w:val="hu-HU"/>
        </w:rPr>
        <w:t xml:space="preserve">gyermekek és serdülők biztonságossági profilja hasonlónak tűnt a felnőtt betegeknél korábban megfigyelthez. </w:t>
      </w:r>
    </w:p>
    <w:p w14:paraId="01A1D735" w14:textId="77777777" w:rsidR="00423AEA" w:rsidRPr="0079764E" w:rsidRDefault="00423AEA">
      <w:pPr>
        <w:pStyle w:val="Default"/>
        <w:rPr>
          <w:sz w:val="22"/>
          <w:szCs w:val="22"/>
          <w:lang w:val="hu-HU"/>
        </w:rPr>
      </w:pPr>
    </w:p>
    <w:p w14:paraId="47607A35" w14:textId="0B76E704" w:rsidR="00A92934" w:rsidRDefault="0079764E">
      <w:pPr>
        <w:spacing w:line="240" w:lineRule="auto"/>
        <w:rPr>
          <w:u w:val="single"/>
        </w:rPr>
      </w:pPr>
      <w:r w:rsidRPr="0079764E">
        <w:rPr>
          <w:szCs w:val="22"/>
        </w:rPr>
        <w:t xml:space="preserve">A gyermekekkel és serdülőkkel végzett klinikai vizsgálat elrendezése eltért a felnőttek placebokontrollos klinikai vizsgálataitól, ezért nem zárható ki, hogy a vizsgálati elrendezés hozzájárult a </w:t>
      </w:r>
      <w:r w:rsidR="00247298">
        <w:rPr>
          <w:szCs w:val="22"/>
        </w:rPr>
        <w:lastRenderedPageBreak/>
        <w:t>nemkívánatos események</w:t>
      </w:r>
      <w:r w:rsidR="00247298" w:rsidRPr="0079764E">
        <w:rPr>
          <w:szCs w:val="22"/>
        </w:rPr>
        <w:t xml:space="preserve"> </w:t>
      </w:r>
      <w:r w:rsidRPr="0079764E">
        <w:rPr>
          <w:szCs w:val="22"/>
        </w:rPr>
        <w:t>gyermekeknél és serdülőknél, illetve felnőtteknél észlelt számszerű eltéréséhez.</w:t>
      </w:r>
      <w:r w:rsidR="00247298">
        <w:rPr>
          <w:szCs w:val="22"/>
        </w:rPr>
        <w:t xml:space="preserve"> </w:t>
      </w:r>
      <w:bookmarkStart w:id="10" w:name="_Hlk160205259"/>
      <w:r w:rsidR="00247298" w:rsidRPr="00247298">
        <w:rPr>
          <w:szCs w:val="22"/>
        </w:rPr>
        <w:t>Emésztőrendszeri, valamint légzőrendszeri, mellkasi és mediastinalis betegségekről és tünetekről, illetve a fejfájás és a dysmenorrhea mellékhatásokról gyakrabban (≥ 10%) számoltak be gyermekeknél és serdülőknél, mint felnőtteknél. Ezeket a nemkívánatos eseményeket az alábbi arányban jelentették gyermekeknél és serdülőknél</w:t>
      </w:r>
      <w:r w:rsidR="00247298">
        <w:rPr>
          <w:szCs w:val="22"/>
        </w:rPr>
        <w:t>:</w:t>
      </w:r>
      <w:bookmarkEnd w:id="10"/>
    </w:p>
    <w:p w14:paraId="516420F8" w14:textId="77777777" w:rsidR="0079764E" w:rsidRPr="0079764E" w:rsidRDefault="0079764E">
      <w:pPr>
        <w:pStyle w:val="Default"/>
        <w:numPr>
          <w:ilvl w:val="0"/>
          <w:numId w:val="44"/>
        </w:numPr>
        <w:ind w:hanging="420"/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 xml:space="preserve">Fejfájást a </w:t>
      </w:r>
      <w:r w:rsidR="00C50987">
        <w:rPr>
          <w:sz w:val="22"/>
          <w:szCs w:val="22"/>
          <w:lang w:val="hu-HU"/>
        </w:rPr>
        <w:t>dimetil-fumaráttal</w:t>
      </w:r>
      <w:r w:rsidRPr="0079764E">
        <w:rPr>
          <w:sz w:val="22"/>
          <w:szCs w:val="22"/>
          <w:lang w:val="hu-HU"/>
        </w:rPr>
        <w:t xml:space="preserve"> kezelt betegek 28%-ánál jelentettek, szemben a béta-1a interferonnal kezelt betegek 36%-ával. </w:t>
      </w:r>
    </w:p>
    <w:p w14:paraId="0951AE34" w14:textId="77777777" w:rsidR="0079764E" w:rsidRPr="0079764E" w:rsidRDefault="0079764E">
      <w:pPr>
        <w:pStyle w:val="Default"/>
        <w:ind w:left="426" w:hanging="426"/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 xml:space="preserve">• </w:t>
      </w:r>
      <w:r w:rsidR="00C50987">
        <w:rPr>
          <w:sz w:val="22"/>
          <w:szCs w:val="22"/>
          <w:lang w:val="hu-HU"/>
        </w:rPr>
        <w:t xml:space="preserve">     </w:t>
      </w:r>
      <w:r w:rsidRPr="0079764E">
        <w:rPr>
          <w:sz w:val="22"/>
          <w:szCs w:val="22"/>
          <w:lang w:val="hu-HU"/>
        </w:rPr>
        <w:t xml:space="preserve">Emésztőrendszeri betegségeket és tüneteket a </w:t>
      </w:r>
      <w:r w:rsidR="00C50987">
        <w:rPr>
          <w:sz w:val="22"/>
          <w:szCs w:val="22"/>
          <w:lang w:val="hu-HU"/>
        </w:rPr>
        <w:t>dimetil-fumaráttal</w:t>
      </w:r>
      <w:r w:rsidRPr="0079764E">
        <w:rPr>
          <w:sz w:val="22"/>
          <w:szCs w:val="22"/>
          <w:lang w:val="hu-HU"/>
        </w:rPr>
        <w:t xml:space="preserve"> kezelt betegek 74%-ánál jelentettek, szemben a béta-1a interferonnal kezelt betegek 31%-ával. Ezeknél a betegeknél a </w:t>
      </w:r>
      <w:r w:rsidR="00C50987">
        <w:rPr>
          <w:sz w:val="22"/>
          <w:szCs w:val="22"/>
          <w:lang w:val="hu-HU"/>
        </w:rPr>
        <w:t xml:space="preserve">dimetil-fumarát </w:t>
      </w:r>
      <w:r w:rsidRPr="0079764E">
        <w:rPr>
          <w:sz w:val="22"/>
          <w:szCs w:val="22"/>
          <w:lang w:val="hu-HU"/>
        </w:rPr>
        <w:t xml:space="preserve">alkalmazásakor a leggyakrabban hasi fájdalomról és hányásról számoltak be. </w:t>
      </w:r>
    </w:p>
    <w:p w14:paraId="1D94A7C8" w14:textId="77777777" w:rsidR="0079764E" w:rsidRPr="0079764E" w:rsidRDefault="0079764E">
      <w:pPr>
        <w:pStyle w:val="Default"/>
        <w:ind w:left="426" w:hanging="426"/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 xml:space="preserve">• </w:t>
      </w:r>
      <w:r w:rsidR="00C50987">
        <w:rPr>
          <w:sz w:val="22"/>
          <w:szCs w:val="22"/>
          <w:lang w:val="hu-HU"/>
        </w:rPr>
        <w:t xml:space="preserve">     </w:t>
      </w:r>
      <w:r w:rsidRPr="0079764E">
        <w:rPr>
          <w:sz w:val="22"/>
          <w:szCs w:val="22"/>
          <w:lang w:val="hu-HU"/>
        </w:rPr>
        <w:t xml:space="preserve">Légzőrendszeri, mellkasi és mediastinalis betegségeket és tüneteket a </w:t>
      </w:r>
      <w:r w:rsidR="00C50987">
        <w:rPr>
          <w:sz w:val="22"/>
          <w:szCs w:val="22"/>
          <w:lang w:val="hu-HU"/>
        </w:rPr>
        <w:t>dimetil-fumaráttal</w:t>
      </w:r>
      <w:r w:rsidRPr="0079764E">
        <w:rPr>
          <w:sz w:val="22"/>
          <w:szCs w:val="22"/>
          <w:lang w:val="hu-HU"/>
        </w:rPr>
        <w:t xml:space="preserve"> </w:t>
      </w:r>
      <w:proofErr w:type="gramStart"/>
      <w:r w:rsidRPr="0079764E">
        <w:rPr>
          <w:sz w:val="22"/>
          <w:szCs w:val="22"/>
          <w:lang w:val="hu-HU"/>
        </w:rPr>
        <w:t xml:space="preserve">kezelt </w:t>
      </w:r>
      <w:r w:rsidR="00C50987">
        <w:rPr>
          <w:sz w:val="22"/>
          <w:szCs w:val="22"/>
          <w:lang w:val="hu-HU"/>
        </w:rPr>
        <w:t xml:space="preserve"> </w:t>
      </w:r>
      <w:r w:rsidRPr="0079764E">
        <w:rPr>
          <w:sz w:val="22"/>
          <w:szCs w:val="22"/>
          <w:lang w:val="hu-HU"/>
        </w:rPr>
        <w:t>betegek</w:t>
      </w:r>
      <w:proofErr w:type="gramEnd"/>
      <w:r w:rsidRPr="0079764E">
        <w:rPr>
          <w:sz w:val="22"/>
          <w:szCs w:val="22"/>
          <w:lang w:val="hu-HU"/>
        </w:rPr>
        <w:t xml:space="preserve"> 32%-ánál jelentettek, szemben a béta-1a interferonnal kezelt betegek 11%-ával. Ezeknél a betegeknél a </w:t>
      </w:r>
      <w:r w:rsidR="00C50987">
        <w:rPr>
          <w:sz w:val="22"/>
          <w:szCs w:val="22"/>
          <w:lang w:val="hu-HU"/>
        </w:rPr>
        <w:t>dimetil-fumarát</w:t>
      </w:r>
      <w:r w:rsidRPr="0079764E">
        <w:rPr>
          <w:sz w:val="22"/>
          <w:szCs w:val="22"/>
          <w:lang w:val="hu-HU"/>
        </w:rPr>
        <w:t xml:space="preserve"> alkalmazásakor a leggyakrabban oropharyngealis fájdalomról és köhögésről számoltak be. </w:t>
      </w:r>
    </w:p>
    <w:p w14:paraId="6AF5618B" w14:textId="77777777" w:rsidR="0079764E" w:rsidRPr="0079764E" w:rsidRDefault="0079764E">
      <w:pPr>
        <w:pStyle w:val="Default"/>
        <w:ind w:left="426" w:hanging="426"/>
        <w:rPr>
          <w:sz w:val="22"/>
          <w:szCs w:val="22"/>
          <w:lang w:val="hu-HU"/>
        </w:rPr>
      </w:pPr>
      <w:r w:rsidRPr="0079764E">
        <w:rPr>
          <w:sz w:val="22"/>
          <w:szCs w:val="22"/>
          <w:lang w:val="hu-HU"/>
        </w:rPr>
        <w:t xml:space="preserve">• </w:t>
      </w:r>
      <w:r w:rsidR="00C50987">
        <w:rPr>
          <w:sz w:val="22"/>
          <w:szCs w:val="22"/>
          <w:lang w:val="hu-HU"/>
        </w:rPr>
        <w:t xml:space="preserve">     </w:t>
      </w:r>
      <w:r w:rsidRPr="0079764E">
        <w:rPr>
          <w:sz w:val="22"/>
          <w:szCs w:val="22"/>
          <w:lang w:val="hu-HU"/>
        </w:rPr>
        <w:t xml:space="preserve">Dysmenorrhoeát a </w:t>
      </w:r>
      <w:r w:rsidR="00C50987">
        <w:rPr>
          <w:sz w:val="22"/>
          <w:szCs w:val="22"/>
          <w:lang w:val="hu-HU"/>
        </w:rPr>
        <w:t>dimetil-fumaráttal</w:t>
      </w:r>
      <w:r w:rsidRPr="0079764E">
        <w:rPr>
          <w:sz w:val="22"/>
          <w:szCs w:val="22"/>
          <w:lang w:val="hu-HU"/>
        </w:rPr>
        <w:t xml:space="preserve"> kezelt betegek 17%-ánál jelentettek, szemben a béta-1a interferonnal kezelt betegek 7%-ával. </w:t>
      </w:r>
    </w:p>
    <w:p w14:paraId="62AC130C" w14:textId="77777777" w:rsidR="0079764E" w:rsidRPr="0079764E" w:rsidRDefault="0079764E">
      <w:pPr>
        <w:pStyle w:val="Default"/>
        <w:rPr>
          <w:sz w:val="22"/>
          <w:szCs w:val="22"/>
          <w:lang w:val="hu-HU"/>
        </w:rPr>
      </w:pPr>
    </w:p>
    <w:p w14:paraId="7E638F71" w14:textId="72E811E5" w:rsidR="0079764E" w:rsidRPr="0079764E" w:rsidRDefault="0079764E">
      <w:pPr>
        <w:pStyle w:val="Default"/>
        <w:rPr>
          <w:sz w:val="22"/>
          <w:szCs w:val="22"/>
          <w:lang w:val="hu-HU"/>
        </w:rPr>
      </w:pPr>
      <w:proofErr w:type="gramStart"/>
      <w:r w:rsidRPr="0079764E">
        <w:rPr>
          <w:sz w:val="22"/>
          <w:szCs w:val="22"/>
          <w:lang w:val="hu-HU"/>
        </w:rPr>
        <w:t>Egy kis esetszámú, 24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hetes, nyílt elrendezésű, nem kontrollos, RRSM-ben szenvedő, 13–17</w:t>
      </w:r>
      <w:r w:rsidR="00CD1BB0" w:rsidRPr="00687BC3">
        <w:t> </w:t>
      </w:r>
      <w:r w:rsidRPr="0079764E">
        <w:rPr>
          <w:sz w:val="22"/>
          <w:szCs w:val="22"/>
          <w:lang w:val="hu-HU"/>
        </w:rPr>
        <w:t xml:space="preserve">éves </w:t>
      </w:r>
      <w:r w:rsidR="00247298">
        <w:rPr>
          <w:sz w:val="22"/>
          <w:szCs w:val="22"/>
          <w:lang w:val="hu-HU"/>
        </w:rPr>
        <w:t xml:space="preserve">gyermekek és </w:t>
      </w:r>
      <w:r w:rsidRPr="0079764E">
        <w:rPr>
          <w:sz w:val="22"/>
          <w:szCs w:val="22"/>
          <w:lang w:val="hu-HU"/>
        </w:rPr>
        <w:t>serdülők bevonásával végzett vizsgálatban (120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mg naponta kétszer 7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napon át, majd a kezelés fennmaradó részében 240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mg naponta kétszer; n = 22), amelyet egy 96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hetes kiterjesztéses vizsgálat követett (240</w:t>
      </w:r>
      <w:r w:rsidR="00CD1BB0" w:rsidRPr="00687BC3">
        <w:t> </w:t>
      </w:r>
      <w:r w:rsidRPr="0079764E">
        <w:rPr>
          <w:sz w:val="22"/>
          <w:szCs w:val="22"/>
          <w:lang w:val="hu-HU"/>
        </w:rPr>
        <w:t>mg naponta kétszer;</w:t>
      </w:r>
      <w:r w:rsidR="00247298">
        <w:rPr>
          <w:sz w:val="22"/>
          <w:szCs w:val="22"/>
          <w:lang w:val="hu-HU"/>
        </w:rPr>
        <w:t xml:space="preserve"> </w:t>
      </w:r>
      <w:r w:rsidRPr="0079764E">
        <w:rPr>
          <w:sz w:val="22"/>
          <w:szCs w:val="22"/>
          <w:lang w:val="hu-HU"/>
        </w:rPr>
        <w:t>n = 20), a biztonságossági profil hasonlónak tűnt a felnőtt betegeknél megfigyelthez.</w:t>
      </w:r>
      <w:proofErr w:type="gramEnd"/>
      <w:r w:rsidRPr="0079764E">
        <w:rPr>
          <w:sz w:val="22"/>
          <w:szCs w:val="22"/>
          <w:lang w:val="hu-HU"/>
        </w:rPr>
        <w:t xml:space="preserve"> </w:t>
      </w:r>
    </w:p>
    <w:p w14:paraId="558A79A3" w14:textId="77777777" w:rsidR="0079764E" w:rsidRDefault="0079764E">
      <w:pPr>
        <w:spacing w:line="240" w:lineRule="auto"/>
        <w:rPr>
          <w:u w:val="single"/>
        </w:rPr>
      </w:pPr>
    </w:p>
    <w:p w14:paraId="3C693BAE" w14:textId="77777777" w:rsidR="0079764E" w:rsidRDefault="0079764E">
      <w:pPr>
        <w:spacing w:line="240" w:lineRule="auto"/>
      </w:pPr>
      <w:r w:rsidRPr="0079764E">
        <w:rPr>
          <w:u w:val="single"/>
        </w:rPr>
        <w:t xml:space="preserve">Feltételezett mellékhatások bejelentése </w:t>
      </w:r>
    </w:p>
    <w:p w14:paraId="2C235768" w14:textId="405FC91A" w:rsidR="00A92934" w:rsidRDefault="0079764E">
      <w:pPr>
        <w:spacing w:line="240" w:lineRule="auto"/>
        <w:rPr>
          <w:u w:val="single"/>
        </w:rPr>
      </w:pPr>
      <w: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="003F6AF4" w:rsidRPr="00447086">
          <w:rPr>
            <w:rStyle w:val="Hiperhivatkozs"/>
            <w:szCs w:val="22"/>
          </w:rPr>
          <w:t>V. függelékben</w:t>
        </w:r>
      </w:hyperlink>
      <w:r w:rsidR="003F6AF4">
        <w:rPr>
          <w:rStyle w:val="Hiperhivatkozs"/>
          <w:szCs w:val="22"/>
        </w:rPr>
        <w:t xml:space="preserve"> </w:t>
      </w:r>
      <w:r>
        <w:t>található elérhetőségek valamelyikén keresztül.</w:t>
      </w:r>
    </w:p>
    <w:p w14:paraId="62DCF869" w14:textId="77777777" w:rsidR="00A92934" w:rsidRDefault="00A92934">
      <w:pPr>
        <w:spacing w:line="240" w:lineRule="auto"/>
        <w:rPr>
          <w:u w:val="single"/>
        </w:rPr>
      </w:pPr>
    </w:p>
    <w:p w14:paraId="5232C6DC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4.9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Túladagolás</w:t>
      </w:r>
    </w:p>
    <w:p w14:paraId="0103C349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08678770" w14:textId="1961A328" w:rsidR="00F45C51" w:rsidRDefault="00993BF7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</w:rPr>
      </w:pPr>
      <w:r>
        <w:rPr>
          <w:szCs w:val="22"/>
        </w:rPr>
        <w:t xml:space="preserve">Beszámoltak a dimetil-fumaráttal történő túladagolás eseteiről. Az ezekben az esetekben leírt tünetek megfeleltek a dimetil-fumarát ismert </w:t>
      </w:r>
      <w:r w:rsidR="00020D15">
        <w:rPr>
          <w:szCs w:val="22"/>
        </w:rPr>
        <w:t>biztonságossági profiljának</w:t>
      </w:r>
      <w:r>
        <w:rPr>
          <w:szCs w:val="22"/>
        </w:rPr>
        <w:t>. Nincs olyan ismert terápiás beavatkozás, amely felgyorsítja a dimetil-fumarát eliminációját, és nincs ismert antidotuma. Amennyiben klinikailag indokolt, túladagolás esetén tüneti szupportív kezelés indítása javallott.</w:t>
      </w:r>
    </w:p>
    <w:p w14:paraId="06C384D8" w14:textId="77777777" w:rsidR="00993BF7" w:rsidRPr="00F06234" w:rsidRDefault="00993BF7">
      <w:pPr>
        <w:tabs>
          <w:tab w:val="clear" w:pos="567"/>
          <w:tab w:val="left" w:pos="0"/>
        </w:tabs>
        <w:spacing w:line="240" w:lineRule="auto"/>
        <w:outlineLvl w:val="0"/>
        <w:rPr>
          <w:b/>
        </w:rPr>
      </w:pPr>
    </w:p>
    <w:p w14:paraId="15CC1771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51AC1863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FARMAKOLÓGIAI TULAJDONSÁGOK</w:t>
      </w:r>
    </w:p>
    <w:p w14:paraId="5230775A" w14:textId="77777777" w:rsidR="00F45C51" w:rsidRPr="00F06234" w:rsidRDefault="00F45C51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285F90B6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5.1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Farmakodinámiás tulajdonságok</w:t>
      </w:r>
    </w:p>
    <w:p w14:paraId="753F67DC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C8069A5" w14:textId="77777777" w:rsidR="00993BF7" w:rsidRDefault="00192777">
      <w:pPr>
        <w:spacing w:line="240" w:lineRule="auto"/>
        <w:rPr>
          <w:szCs w:val="22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 xml:space="preserve">Farmakoterápiás csoport: </w:t>
      </w:r>
      <w:r w:rsidR="00993BF7">
        <w:rPr>
          <w:rFonts w:eastAsia="Times New Roman"/>
          <w:noProof/>
          <w:snapToGrid/>
          <w:szCs w:val="22"/>
          <w:lang w:eastAsia="en-US"/>
        </w:rPr>
        <w:t>I</w:t>
      </w:r>
      <w:r w:rsidR="00993BF7">
        <w:rPr>
          <w:szCs w:val="22"/>
        </w:rPr>
        <w:t xml:space="preserve">mmunszuppresszánsok, egyéb immunszuppresszánsok, </w:t>
      </w:r>
    </w:p>
    <w:p w14:paraId="0561A933" w14:textId="77777777" w:rsidR="007650F8" w:rsidRDefault="00993BF7">
      <w:pPr>
        <w:spacing w:line="240" w:lineRule="auto"/>
        <w:rPr>
          <w:szCs w:val="22"/>
        </w:rPr>
      </w:pPr>
      <w:r>
        <w:rPr>
          <w:szCs w:val="22"/>
        </w:rPr>
        <w:t>ATC kód: L04AX07</w:t>
      </w:r>
    </w:p>
    <w:p w14:paraId="0EA4BD3B" w14:textId="77777777" w:rsidR="00993BF7" w:rsidRDefault="00993BF7">
      <w:pPr>
        <w:spacing w:line="240" w:lineRule="auto"/>
        <w:rPr>
          <w:szCs w:val="22"/>
        </w:rPr>
      </w:pPr>
    </w:p>
    <w:p w14:paraId="60FC40A5" w14:textId="77777777" w:rsidR="00993BF7" w:rsidRPr="00993BF7" w:rsidRDefault="00993BF7">
      <w:pPr>
        <w:pStyle w:val="Default"/>
        <w:rPr>
          <w:sz w:val="22"/>
          <w:szCs w:val="22"/>
          <w:u w:val="single"/>
          <w:lang w:val="hu-HU"/>
        </w:rPr>
      </w:pPr>
      <w:r w:rsidRPr="00993BF7">
        <w:rPr>
          <w:sz w:val="22"/>
          <w:szCs w:val="22"/>
          <w:u w:val="single"/>
          <w:lang w:val="hu-HU"/>
        </w:rPr>
        <w:t xml:space="preserve">Hatásmechanizmus </w:t>
      </w:r>
    </w:p>
    <w:p w14:paraId="4848ED55" w14:textId="77777777" w:rsidR="00993BF7" w:rsidRDefault="00993BF7">
      <w:pPr>
        <w:spacing w:line="240" w:lineRule="auto"/>
        <w:rPr>
          <w:szCs w:val="22"/>
        </w:rPr>
      </w:pPr>
      <w:r>
        <w:rPr>
          <w:szCs w:val="22"/>
        </w:rPr>
        <w:t xml:space="preserve">Még nem sikerült teljesen felderíteni, hogy a dimetil-fumarát milyen mechanizmusokkal fejti ki terápiás hatását sclerosis multiplexben. A preklinikai vizsgálatok azt mutatják, hogy a dimetil-fumarát farmakodinámiás válaszreakciói elsősorban az eritroid eredetű 2-es típusú nukleáris faktor 2-szerű faktor 2 (Nuclear factor (erythroid-derived 2)-like 2 (Nrf2)) transzkripciós útvonal aktivációja révén közvetítődnek. Kimutatták, hogy a dimetil-fumarát a betegeknél up-regulálja az Nrf2-függő antioxidáns géneket (pl. </w:t>
      </w:r>
      <w:proofErr w:type="gramStart"/>
      <w:r>
        <w:rPr>
          <w:szCs w:val="22"/>
        </w:rPr>
        <w:t>NAD(</w:t>
      </w:r>
      <w:proofErr w:type="gramEnd"/>
      <w:r>
        <w:rPr>
          <w:szCs w:val="22"/>
        </w:rPr>
        <w:t>P)H dehidrogenáz, kinon 1; [NQO1]).</w:t>
      </w:r>
    </w:p>
    <w:p w14:paraId="30C5A53B" w14:textId="77777777" w:rsidR="00993BF7" w:rsidRDefault="00993BF7">
      <w:pPr>
        <w:spacing w:line="240" w:lineRule="auto"/>
        <w:rPr>
          <w:szCs w:val="22"/>
        </w:rPr>
      </w:pPr>
    </w:p>
    <w:p w14:paraId="2960899F" w14:textId="04FD5570" w:rsidR="00993BF7" w:rsidRDefault="00993BF7">
      <w:pPr>
        <w:pStyle w:val="Default"/>
        <w:rPr>
          <w:sz w:val="22"/>
          <w:szCs w:val="22"/>
          <w:u w:val="single"/>
          <w:lang w:val="hu-HU"/>
        </w:rPr>
      </w:pPr>
      <w:r w:rsidRPr="002C45B8">
        <w:rPr>
          <w:sz w:val="22"/>
          <w:szCs w:val="22"/>
          <w:u w:val="single"/>
          <w:lang w:val="hu-HU"/>
        </w:rPr>
        <w:t xml:space="preserve">Farmakodinámiás hatások </w:t>
      </w:r>
    </w:p>
    <w:p w14:paraId="05C35F0A" w14:textId="77777777" w:rsidR="003F6AF4" w:rsidRPr="002C45B8" w:rsidRDefault="003F6AF4">
      <w:pPr>
        <w:pStyle w:val="Default"/>
        <w:rPr>
          <w:sz w:val="22"/>
          <w:szCs w:val="22"/>
          <w:u w:val="single"/>
          <w:lang w:val="hu-HU"/>
        </w:rPr>
      </w:pPr>
    </w:p>
    <w:p w14:paraId="778C73A6" w14:textId="77777777" w:rsidR="00993BF7" w:rsidRPr="002C45B8" w:rsidRDefault="00993BF7">
      <w:pPr>
        <w:pStyle w:val="Default"/>
        <w:rPr>
          <w:sz w:val="22"/>
          <w:szCs w:val="22"/>
          <w:lang w:val="hu-HU"/>
        </w:rPr>
      </w:pPr>
      <w:r w:rsidRPr="002C45B8">
        <w:rPr>
          <w:i/>
          <w:iCs/>
          <w:sz w:val="22"/>
          <w:szCs w:val="22"/>
          <w:lang w:val="hu-HU"/>
        </w:rPr>
        <w:t xml:space="preserve">Az immunrendszerre kifejtett hatások </w:t>
      </w:r>
    </w:p>
    <w:p w14:paraId="623D8DCE" w14:textId="35B2D093" w:rsidR="00993BF7" w:rsidRPr="00993BF7" w:rsidRDefault="00993BF7">
      <w:pPr>
        <w:pStyle w:val="Default"/>
        <w:rPr>
          <w:sz w:val="22"/>
          <w:szCs w:val="22"/>
          <w:lang w:val="hu-HU"/>
        </w:rPr>
      </w:pPr>
      <w:r w:rsidRPr="002C45B8">
        <w:rPr>
          <w:sz w:val="22"/>
          <w:szCs w:val="22"/>
          <w:lang w:val="hu-HU"/>
        </w:rPr>
        <w:t xml:space="preserve">A dimetil-fumarát gyulladáscsökkentő és immunmoduláló tulajdonságokat mutatott a preklinikai és klinikai vizsgálatokban. A dimetil-fumarát és a monometil-fumarát, amely a dimetil-fumarát elsődleges </w:t>
      </w:r>
      <w:r w:rsidRPr="002C45B8">
        <w:rPr>
          <w:sz w:val="22"/>
          <w:szCs w:val="22"/>
          <w:lang w:val="hu-HU"/>
        </w:rPr>
        <w:lastRenderedPageBreak/>
        <w:t>metabolitja, a preklinikai modellekben jelentős mértékben csökkentette az immunsejtek aktiválódását, ebből következően pedig a gyulladáskeltő citokinek gyulladásos stimulusra adott válaszreakció során történő kibocsátását. Psoriasisos betegekkel végzett klinikai vizsgálatokban a dimetil-fumarát hatással volt a lymphocyta-fenotípusokra a gyulladáskeltő citokinprofilok (T</w:t>
      </w:r>
      <w:r w:rsidRPr="002C45B8">
        <w:rPr>
          <w:sz w:val="9"/>
          <w:szCs w:val="9"/>
          <w:lang w:val="hu-HU"/>
        </w:rPr>
        <w:t>H</w:t>
      </w:r>
      <w:r w:rsidRPr="002C45B8">
        <w:rPr>
          <w:sz w:val="22"/>
          <w:szCs w:val="22"/>
          <w:lang w:val="hu-HU"/>
        </w:rPr>
        <w:t>1, T</w:t>
      </w:r>
      <w:r w:rsidRPr="002C45B8">
        <w:rPr>
          <w:sz w:val="9"/>
          <w:szCs w:val="9"/>
          <w:lang w:val="hu-HU"/>
        </w:rPr>
        <w:t>H</w:t>
      </w:r>
      <w:r w:rsidRPr="002C45B8">
        <w:rPr>
          <w:sz w:val="22"/>
          <w:szCs w:val="22"/>
          <w:lang w:val="hu-HU"/>
        </w:rPr>
        <w:t>17) down-regulációja révén, és a gyulladáscsökkentő citokinek (T</w:t>
      </w:r>
      <w:r w:rsidRPr="002C45B8">
        <w:rPr>
          <w:sz w:val="9"/>
          <w:szCs w:val="9"/>
          <w:lang w:val="hu-HU"/>
        </w:rPr>
        <w:t>H</w:t>
      </w:r>
      <w:r w:rsidRPr="002C45B8">
        <w:rPr>
          <w:sz w:val="22"/>
          <w:szCs w:val="22"/>
          <w:lang w:val="hu-HU"/>
        </w:rPr>
        <w:t>2) termelése felé billentette</w:t>
      </w:r>
      <w:r w:rsidRPr="00993BF7">
        <w:rPr>
          <w:sz w:val="22"/>
          <w:szCs w:val="22"/>
          <w:lang w:val="hu-HU"/>
        </w:rPr>
        <w:t xml:space="preserve"> a folyamatot. A dimetil-fumarát többféle inflammatorikus és neuroinflammatorikus károsodási modellben mutatott terápiás aktivitást. Az SM-ben szenvedő betegek bevonásával végzett III.</w:t>
      </w:r>
      <w:r w:rsidR="00CD1BB0" w:rsidRPr="00687BC3">
        <w:t> </w:t>
      </w:r>
      <w:r w:rsidRPr="00993BF7">
        <w:rPr>
          <w:sz w:val="22"/>
          <w:szCs w:val="22"/>
          <w:lang w:val="hu-HU"/>
        </w:rPr>
        <w:t xml:space="preserve">fázisú vizsgálatokban (DEFINE, CONFIRM és ENDORSE) a dimetil-fumaráttal történő kezelés hatására az átlagos lymphocytaszámok átlagosan a kiindulási értékük körülbelül 30%-ával csökkentek az első év folyamán, ezután az értékek stabilizálódtak. Ezekben a vizsgálatokban azokat a betegeket, akiknél </w:t>
      </w:r>
      <w:r w:rsidR="0045524F">
        <w:rPr>
          <w:sz w:val="22"/>
          <w:szCs w:val="22"/>
          <w:lang w:val="hu-HU"/>
        </w:rPr>
        <w:t xml:space="preserve">a </w:t>
      </w:r>
      <w:r w:rsidRPr="00993BF7">
        <w:rPr>
          <w:sz w:val="22"/>
          <w:szCs w:val="22"/>
          <w:lang w:val="hu-HU"/>
        </w:rPr>
        <w:t>kezelés abbahagyásakor a lymphocytaszám az LLN (</w:t>
      </w:r>
      <w:bookmarkStart w:id="11" w:name="_Hlk160205425"/>
      <w:r w:rsidR="00366735" w:rsidRPr="00366735">
        <w:rPr>
          <w:sz w:val="22"/>
          <w:szCs w:val="22"/>
          <w:lang w:val="hu-HU"/>
        </w:rPr>
        <w:t>0,9 × 10</w:t>
      </w:r>
      <w:r w:rsidR="00366735" w:rsidRPr="008B7C45">
        <w:rPr>
          <w:sz w:val="22"/>
          <w:szCs w:val="22"/>
          <w:vertAlign w:val="superscript"/>
          <w:lang w:val="hu-HU"/>
        </w:rPr>
        <w:t>9</w:t>
      </w:r>
      <w:r w:rsidR="00366735" w:rsidRPr="00366735">
        <w:rPr>
          <w:sz w:val="22"/>
          <w:szCs w:val="22"/>
          <w:lang w:val="hu-HU"/>
        </w:rPr>
        <w:t xml:space="preserve"> /l</w:t>
      </w:r>
      <w:bookmarkEnd w:id="11"/>
      <w:r w:rsidRPr="00993BF7">
        <w:rPr>
          <w:sz w:val="22"/>
          <w:szCs w:val="22"/>
          <w:lang w:val="hu-HU"/>
        </w:rPr>
        <w:t xml:space="preserve">) alatt volt, mindaddig monitorozták, amíg a lymphocytaszám visszatért az LLN-szintre. </w:t>
      </w:r>
    </w:p>
    <w:p w14:paraId="6E760441" w14:textId="77777777" w:rsidR="00993BF7" w:rsidRPr="00993BF7" w:rsidRDefault="00993BF7">
      <w:pPr>
        <w:pStyle w:val="Default"/>
        <w:rPr>
          <w:sz w:val="22"/>
          <w:szCs w:val="22"/>
          <w:lang w:val="hu-HU"/>
        </w:rPr>
      </w:pPr>
    </w:p>
    <w:p w14:paraId="408E2B72" w14:textId="55A156E3" w:rsidR="00993BF7" w:rsidRDefault="00993BF7">
      <w:pPr>
        <w:spacing w:line="240" w:lineRule="auto"/>
        <w:rPr>
          <w:szCs w:val="22"/>
        </w:rPr>
      </w:pPr>
      <w:r w:rsidRPr="00993BF7">
        <w:rPr>
          <w:szCs w:val="22"/>
        </w:rPr>
        <w:t>Az 1.</w:t>
      </w:r>
      <w:r w:rsidR="00CD1BB0" w:rsidRPr="00687BC3">
        <w:t> </w:t>
      </w:r>
      <w:r w:rsidRPr="00993BF7">
        <w:rPr>
          <w:szCs w:val="22"/>
        </w:rPr>
        <w:t xml:space="preserve">ábra azon betegek arányát mutatja, akik a becslések szerint hosszan tartó, súlyos lymphopenia </w:t>
      </w:r>
      <w:r>
        <w:rPr>
          <w:szCs w:val="22"/>
        </w:rPr>
        <w:t>nélkül elérik az LLN-szintet a Kaplan–Meier-módszer alapján. A meghatározás szerint a lymphocytaszám helyreállásának kiindulási értéke (recovery baseline, RBL) a kezelés leállítását megelőzően, a kezelés alatt mért utolsó ALC. Azon betegek becsült arányát, akik a kiinduláskor (RBL) enyhe, közepesen súlyos vagy súlyos fokú lymphopeniában szenvedtek, és a lymphocytaszámuk a 12</w:t>
      </w:r>
      <w:r w:rsidR="0021638E">
        <w:rPr>
          <w:szCs w:val="22"/>
        </w:rPr>
        <w:t>.</w:t>
      </w:r>
      <w:r w:rsidR="00CD1BB0" w:rsidRPr="00687BC3">
        <w:t> </w:t>
      </w:r>
      <w:r>
        <w:rPr>
          <w:szCs w:val="22"/>
        </w:rPr>
        <w:t>hétre és a 24.</w:t>
      </w:r>
      <w:r w:rsidR="00CD1BB0" w:rsidRPr="00687BC3">
        <w:t> </w:t>
      </w:r>
      <w:r>
        <w:rPr>
          <w:szCs w:val="22"/>
        </w:rPr>
        <w:t>hétre eléri az LLN-szintet (ALC</w:t>
      </w:r>
      <w:r w:rsidR="00D12046" w:rsidRPr="00687BC3">
        <w:t> </w:t>
      </w:r>
      <w:r>
        <w:rPr>
          <w:szCs w:val="22"/>
        </w:rPr>
        <w:t>≥ 0,9 ×</w:t>
      </w:r>
      <w:r w:rsidR="00D12046" w:rsidRPr="00687BC3">
        <w:t> </w:t>
      </w:r>
      <w:r>
        <w:rPr>
          <w:szCs w:val="22"/>
        </w:rPr>
        <w:t>10</w:t>
      </w:r>
      <w:r w:rsidRPr="00993BF7">
        <w:rPr>
          <w:szCs w:val="22"/>
          <w:vertAlign w:val="superscript"/>
        </w:rPr>
        <w:t>9</w:t>
      </w:r>
      <w:r>
        <w:rPr>
          <w:szCs w:val="22"/>
        </w:rPr>
        <w:t>/l), az 1. táblázat, a 2.</w:t>
      </w:r>
      <w:r w:rsidR="00CD1BB0" w:rsidRPr="00CD1BB0">
        <w:t xml:space="preserve"> </w:t>
      </w:r>
      <w:r w:rsidR="00CD1BB0" w:rsidRPr="00687BC3">
        <w:t> </w:t>
      </w:r>
      <w:proofErr w:type="gramStart"/>
      <w:r>
        <w:rPr>
          <w:szCs w:val="22"/>
        </w:rPr>
        <w:t>táblázat</w:t>
      </w:r>
      <w:proofErr w:type="gramEnd"/>
      <w:r>
        <w:rPr>
          <w:szCs w:val="22"/>
        </w:rPr>
        <w:t xml:space="preserve"> és a 3</w:t>
      </w:r>
      <w:r w:rsidR="0021638E">
        <w:rPr>
          <w:szCs w:val="22"/>
        </w:rPr>
        <w:t>.</w:t>
      </w:r>
      <w:r w:rsidR="00CD1BB0" w:rsidRPr="00687BC3">
        <w:t> </w:t>
      </w:r>
      <w:r>
        <w:rPr>
          <w:szCs w:val="22"/>
        </w:rPr>
        <w:t>táblázat mutatja be 95%-os pontonkénti konfidenciaintervallummal. A túlélési függvény Kaplan–Meier-féle becslésének standard hibája Greenwood-képlettel kerül kiszámításra.</w:t>
      </w:r>
    </w:p>
    <w:p w14:paraId="29259BBE" w14:textId="77777777" w:rsidR="00993BF7" w:rsidRDefault="00993BF7">
      <w:pPr>
        <w:spacing w:line="240" w:lineRule="auto"/>
        <w:rPr>
          <w:szCs w:val="22"/>
        </w:rPr>
      </w:pPr>
    </w:p>
    <w:p w14:paraId="22D48E02" w14:textId="34DAC263" w:rsidR="00993BF7" w:rsidRDefault="00C248F6">
      <w:pPr>
        <w:spacing w:line="240" w:lineRule="auto"/>
        <w:rPr>
          <w:szCs w:val="22"/>
        </w:rPr>
      </w:pPr>
      <w:r>
        <w:rPr>
          <w:b/>
          <w:bCs/>
          <w:szCs w:val="22"/>
        </w:rPr>
        <w:t>1. ábra: Kaplan–Meier-módszer; Azon betegek aránya, akiknél a lymphocytaszám a kiindulási értékről (RBL) visszatér a ≥</w:t>
      </w:r>
      <w:r w:rsidR="00CD1BB0" w:rsidRPr="00687BC3">
        <w:t> </w:t>
      </w:r>
      <w:r>
        <w:rPr>
          <w:b/>
          <w:bCs/>
          <w:szCs w:val="22"/>
        </w:rPr>
        <w:t>910 sejt/mm</w:t>
      </w:r>
      <w:r w:rsidRPr="00120182">
        <w:rPr>
          <w:b/>
          <w:bCs/>
          <w:szCs w:val="22"/>
          <w:vertAlign w:val="superscript"/>
        </w:rPr>
        <w:t>3</w:t>
      </w:r>
      <w:r w:rsidRPr="008B7C45">
        <w:rPr>
          <w:b/>
          <w:bCs/>
          <w:szCs w:val="22"/>
        </w:rPr>
        <w:t xml:space="preserve"> </w:t>
      </w:r>
      <w:r w:rsidR="00120182" w:rsidRPr="008B7C45">
        <w:rPr>
          <w:b/>
          <w:bCs/>
          <w:szCs w:val="22"/>
        </w:rPr>
        <w:t>(</w:t>
      </w:r>
      <w:bookmarkStart w:id="12" w:name="_Hlk160205461"/>
      <w:r w:rsidR="00120182" w:rsidRPr="008B7C45">
        <w:rPr>
          <w:b/>
          <w:bCs/>
          <w:szCs w:val="22"/>
        </w:rPr>
        <w:t>0,9 × 10</w:t>
      </w:r>
      <w:r w:rsidR="00120182" w:rsidRPr="008B7C45">
        <w:rPr>
          <w:b/>
          <w:bCs/>
          <w:szCs w:val="22"/>
          <w:vertAlign w:val="superscript"/>
        </w:rPr>
        <w:t>9</w:t>
      </w:r>
      <w:r w:rsidR="00120182" w:rsidRPr="008B7C45">
        <w:rPr>
          <w:b/>
          <w:bCs/>
          <w:szCs w:val="22"/>
        </w:rPr>
        <w:t xml:space="preserve"> /l</w:t>
      </w:r>
      <w:bookmarkEnd w:id="12"/>
      <w:r w:rsidR="00120182" w:rsidRPr="008B7C45">
        <w:rPr>
          <w:b/>
          <w:bCs/>
          <w:szCs w:val="22"/>
        </w:rPr>
        <w:t>)</w:t>
      </w:r>
      <w:r w:rsidR="00120182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>LLN-szintre</w:t>
      </w:r>
    </w:p>
    <w:p w14:paraId="4F58AF3A" w14:textId="77777777" w:rsidR="00993BF7" w:rsidRDefault="00C248F6">
      <w:pPr>
        <w:spacing w:line="240" w:lineRule="auto"/>
        <w:rPr>
          <w:szCs w:val="22"/>
        </w:rPr>
      </w:pPr>
      <w:r w:rsidRPr="00C248F6">
        <w:rPr>
          <w:noProof/>
          <w:snapToGrid/>
          <w:sz w:val="20"/>
          <w:lang w:eastAsia="hu-HU"/>
        </w:rPr>
        <w:drawing>
          <wp:inline distT="0" distB="0" distL="0" distR="0" wp14:anchorId="4E93A3AB" wp14:editId="10FAA74C">
            <wp:extent cx="5711825" cy="3096895"/>
            <wp:effectExtent l="0" t="0" r="317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309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72F5F" w14:textId="4566F97A" w:rsidR="00C248F6" w:rsidRDefault="00120182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snapToGrid/>
          <w:sz w:val="20"/>
          <w:lang w:val="en-US" w:eastAsia="en-GB"/>
        </w:rPr>
      </w:pPr>
      <w:bookmarkStart w:id="13" w:name="_Hlk160205475"/>
      <w:r>
        <w:t>Megjegyzés: 500 sejt/mm</w:t>
      </w:r>
      <w:r w:rsidRPr="008B7C45">
        <w:rPr>
          <w:vertAlign w:val="superscript"/>
        </w:rPr>
        <w:t>3</w:t>
      </w:r>
      <w:r>
        <w:t xml:space="preserve"> = 0,5 × 10</w:t>
      </w:r>
      <w:r w:rsidRPr="008B7C45">
        <w:rPr>
          <w:vertAlign w:val="superscript"/>
        </w:rPr>
        <w:t>9</w:t>
      </w:r>
      <w:r>
        <w:t xml:space="preserve"> /l; 800 sejt/mm</w:t>
      </w:r>
      <w:r w:rsidRPr="008B7C45">
        <w:rPr>
          <w:vertAlign w:val="superscript"/>
        </w:rPr>
        <w:t>3</w:t>
      </w:r>
      <w:r>
        <w:t xml:space="preserve"> = 0,8 × 10</w:t>
      </w:r>
      <w:r w:rsidRPr="008B7C45">
        <w:rPr>
          <w:vertAlign w:val="superscript"/>
        </w:rPr>
        <w:t>9</w:t>
      </w:r>
      <w:r>
        <w:t xml:space="preserve"> /l; 910 sejt/mm</w:t>
      </w:r>
      <w:r w:rsidRPr="008B7C45">
        <w:rPr>
          <w:vertAlign w:val="superscript"/>
        </w:rPr>
        <w:t>3</w:t>
      </w:r>
      <w:r>
        <w:t xml:space="preserve"> = 0,9 × 10</w:t>
      </w:r>
      <w:r w:rsidRPr="008B7C45">
        <w:rPr>
          <w:vertAlign w:val="superscript"/>
        </w:rPr>
        <w:t>9</w:t>
      </w:r>
      <w:r>
        <w:t xml:space="preserve"> /l.</w:t>
      </w:r>
    </w:p>
    <w:bookmarkEnd w:id="13"/>
    <w:p w14:paraId="3BD17C2B" w14:textId="77777777" w:rsidR="00120182" w:rsidRPr="00C248F6" w:rsidRDefault="00120182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117"/>
        <w:rPr>
          <w:snapToGrid/>
          <w:sz w:val="20"/>
          <w:lang w:val="en-US" w:eastAsia="en-GB"/>
        </w:rPr>
      </w:pPr>
    </w:p>
    <w:p w14:paraId="7DF1072E" w14:textId="77777777" w:rsidR="00993BF7" w:rsidRDefault="00C248F6">
      <w:pPr>
        <w:spacing w:line="240" w:lineRule="auto"/>
        <w:rPr>
          <w:szCs w:val="22"/>
        </w:rPr>
      </w:pPr>
      <w:r>
        <w:rPr>
          <w:b/>
          <w:bCs/>
          <w:szCs w:val="22"/>
        </w:rPr>
        <w:t>1. táblázat: Kaplan–Meier-módszer; Azon betegek aránya, akiknél a lymphocytaszám a becslések szerint eléri az LLN-szintet, és kiinduláskor (RBL) enyhe lymphopeniában szenvednek, kivéve a hosszan tartó, súlyos lymphopeniában szenvedő betegeket</w:t>
      </w:r>
    </w:p>
    <w:p w14:paraId="22AD6E58" w14:textId="77777777" w:rsidR="00993BF7" w:rsidRDefault="00993BF7">
      <w:pPr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1838"/>
      </w:tblGrid>
      <w:tr w:rsidR="00C248F6" w:rsidRPr="00312FFD" w14:paraId="25AA6FDC" w14:textId="77777777" w:rsidTr="00C248F6">
        <w:tc>
          <w:tcPr>
            <w:tcW w:w="3397" w:type="dxa"/>
          </w:tcPr>
          <w:p w14:paraId="726ED88B" w14:textId="77777777" w:rsidR="00C248F6" w:rsidRPr="00312FFD" w:rsidRDefault="00C248F6">
            <w:pPr>
              <w:pStyle w:val="Default"/>
              <w:rPr>
                <w:sz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Enyhe lymphopeniát</w:t>
            </w:r>
            <w:r w:rsidRPr="00312FFD">
              <w:rPr>
                <w:b/>
                <w:bCs/>
                <w:sz w:val="20"/>
                <w:szCs w:val="20"/>
                <w:vertAlign w:val="superscript"/>
                <w:lang w:val="hu-HU"/>
              </w:rPr>
              <w:t>a</w:t>
            </w:r>
            <w:r w:rsidRPr="00312FFD">
              <w:rPr>
                <w:b/>
                <w:bCs/>
                <w:sz w:val="20"/>
                <w:szCs w:val="20"/>
                <w:lang w:val="hu-HU"/>
              </w:rPr>
              <w:t xml:space="preserve"> mutató, kockázatnak kitett betegek száma </w:t>
            </w:r>
          </w:p>
          <w:p w14:paraId="21763DA4" w14:textId="77777777" w:rsidR="00C248F6" w:rsidRPr="00312FFD" w:rsidRDefault="00C248F6">
            <w:pPr>
              <w:spacing w:line="240" w:lineRule="auto"/>
              <w:rPr>
                <w:szCs w:val="22"/>
              </w:rPr>
            </w:pPr>
          </w:p>
        </w:tc>
        <w:tc>
          <w:tcPr>
            <w:tcW w:w="1985" w:type="dxa"/>
          </w:tcPr>
          <w:p w14:paraId="50277AD8" w14:textId="77777777" w:rsidR="00C248F6" w:rsidRPr="00312FFD" w:rsidRDefault="00C248F6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Kiindulás</w:t>
            </w:r>
          </w:p>
          <w:p w14:paraId="15A08823" w14:textId="77777777" w:rsidR="00C248F6" w:rsidRPr="00312FFD" w:rsidRDefault="00C248F6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b/>
                <w:bCs/>
                <w:sz w:val="20"/>
              </w:rPr>
              <w:t>N = 86</w:t>
            </w:r>
          </w:p>
        </w:tc>
        <w:tc>
          <w:tcPr>
            <w:tcW w:w="1984" w:type="dxa"/>
          </w:tcPr>
          <w:p w14:paraId="4A936E1F" w14:textId="77777777" w:rsidR="00C248F6" w:rsidRPr="00312FFD" w:rsidRDefault="00C248F6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12. hét</w:t>
            </w:r>
          </w:p>
          <w:p w14:paraId="14F47913" w14:textId="77777777" w:rsidR="00C248F6" w:rsidRPr="00312FFD" w:rsidRDefault="00C248F6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b/>
                <w:bCs/>
                <w:sz w:val="20"/>
              </w:rPr>
              <w:t>N = 12</w:t>
            </w:r>
          </w:p>
        </w:tc>
        <w:tc>
          <w:tcPr>
            <w:tcW w:w="1838" w:type="dxa"/>
          </w:tcPr>
          <w:p w14:paraId="01D59144" w14:textId="77777777" w:rsidR="00C248F6" w:rsidRPr="00312FFD" w:rsidRDefault="00C248F6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 xml:space="preserve">24. hét </w:t>
            </w:r>
          </w:p>
          <w:p w14:paraId="79329C7D" w14:textId="77777777" w:rsidR="00C248F6" w:rsidRPr="00312FFD" w:rsidRDefault="00C248F6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b/>
                <w:bCs/>
                <w:sz w:val="20"/>
              </w:rPr>
              <w:t xml:space="preserve">N = 4 </w:t>
            </w:r>
          </w:p>
        </w:tc>
      </w:tr>
      <w:tr w:rsidR="00C248F6" w:rsidRPr="00312FFD" w14:paraId="708F5AAF" w14:textId="77777777" w:rsidTr="00C248F6">
        <w:tc>
          <w:tcPr>
            <w:tcW w:w="3397" w:type="dxa"/>
          </w:tcPr>
          <w:p w14:paraId="16920C7D" w14:textId="77777777" w:rsidR="00C248F6" w:rsidRPr="00312FFD" w:rsidRDefault="00C248F6" w:rsidP="00B16A88">
            <w:pPr>
              <w:pStyle w:val="Default"/>
              <w:rPr>
                <w:sz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LLN-szintet elérők aránya (95%-os CI) </w:t>
            </w:r>
          </w:p>
          <w:p w14:paraId="7BF5C869" w14:textId="77777777" w:rsidR="00C248F6" w:rsidRPr="00312FFD" w:rsidRDefault="00C248F6" w:rsidP="00FE2742">
            <w:pPr>
              <w:spacing w:line="240" w:lineRule="auto"/>
              <w:rPr>
                <w:szCs w:val="22"/>
              </w:rPr>
            </w:pPr>
          </w:p>
        </w:tc>
        <w:tc>
          <w:tcPr>
            <w:tcW w:w="1985" w:type="dxa"/>
          </w:tcPr>
          <w:p w14:paraId="1F165C68" w14:textId="77777777" w:rsidR="00C248F6" w:rsidRPr="00312FFD" w:rsidRDefault="00C248F6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984" w:type="dxa"/>
          </w:tcPr>
          <w:p w14:paraId="37E3C9CA" w14:textId="77777777" w:rsidR="00C248F6" w:rsidRPr="00312FFD" w:rsidRDefault="00C248F6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0,81 </w:t>
            </w:r>
          </w:p>
          <w:p w14:paraId="38C11337" w14:textId="77777777" w:rsidR="00C248F6" w:rsidRPr="00312FFD" w:rsidRDefault="00C248F6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sz w:val="20"/>
              </w:rPr>
              <w:t xml:space="preserve">(0,71–0,89) </w:t>
            </w:r>
          </w:p>
        </w:tc>
        <w:tc>
          <w:tcPr>
            <w:tcW w:w="1838" w:type="dxa"/>
          </w:tcPr>
          <w:p w14:paraId="620AEDBC" w14:textId="77777777" w:rsidR="00C248F6" w:rsidRPr="00312FFD" w:rsidRDefault="00C248F6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0,90 </w:t>
            </w:r>
          </w:p>
          <w:p w14:paraId="584F2D72" w14:textId="77777777" w:rsidR="00C248F6" w:rsidRPr="00312FFD" w:rsidRDefault="00C248F6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sz w:val="20"/>
              </w:rPr>
              <w:t xml:space="preserve">(0,81–0,96) </w:t>
            </w:r>
          </w:p>
        </w:tc>
      </w:tr>
    </w:tbl>
    <w:p w14:paraId="4696D779" w14:textId="7CB429FB" w:rsidR="00993BF7" w:rsidRPr="00312FFD" w:rsidRDefault="00C248F6" w:rsidP="00B16A88">
      <w:pPr>
        <w:spacing w:line="240" w:lineRule="auto"/>
        <w:rPr>
          <w:szCs w:val="22"/>
        </w:rPr>
      </w:pPr>
      <w:proofErr w:type="gramStart"/>
      <w:r w:rsidRPr="00312FFD">
        <w:rPr>
          <w:szCs w:val="22"/>
          <w:vertAlign w:val="superscript"/>
        </w:rPr>
        <w:t>a</w:t>
      </w:r>
      <w:proofErr w:type="gramEnd"/>
      <w:r w:rsidRPr="00312FFD">
        <w:rPr>
          <w:sz w:val="13"/>
          <w:szCs w:val="13"/>
        </w:rPr>
        <w:t xml:space="preserve"> </w:t>
      </w:r>
      <w:r w:rsidRPr="00312FFD">
        <w:rPr>
          <w:sz w:val="20"/>
        </w:rPr>
        <w:t>Kiinduláskor (RBL)</w:t>
      </w:r>
      <w:r w:rsidRPr="00312FFD">
        <w:rPr>
          <w:sz w:val="13"/>
          <w:szCs w:val="13"/>
        </w:rPr>
        <w:t xml:space="preserve"> </w:t>
      </w:r>
      <w:bookmarkStart w:id="14" w:name="_Hlk160205517"/>
      <w:r w:rsidR="00120182">
        <w:t>&lt; 0,9 × 10</w:t>
      </w:r>
      <w:r w:rsidR="00120182" w:rsidRPr="008B7C45">
        <w:rPr>
          <w:vertAlign w:val="superscript"/>
        </w:rPr>
        <w:t>9</w:t>
      </w:r>
      <w:r w:rsidR="00120182">
        <w:t xml:space="preserve"> /l és ≥ 0,8 × 10</w:t>
      </w:r>
      <w:r w:rsidR="00120182" w:rsidRPr="008B7C45">
        <w:rPr>
          <w:vertAlign w:val="superscript"/>
        </w:rPr>
        <w:t>9</w:t>
      </w:r>
      <w:r w:rsidR="00120182">
        <w:t xml:space="preserve"> /l </w:t>
      </w:r>
      <w:bookmarkEnd w:id="14"/>
      <w:r w:rsidRPr="00312FFD">
        <w:rPr>
          <w:sz w:val="20"/>
        </w:rPr>
        <w:t>ALC-t mutató betegek, kivéve a hosszan tartó, súlyos lymphopeniában szenvedő betegeket.</w:t>
      </w:r>
    </w:p>
    <w:p w14:paraId="23D50604" w14:textId="77777777" w:rsidR="00993BF7" w:rsidRPr="00312FFD" w:rsidRDefault="00993BF7" w:rsidP="00FE2742">
      <w:pPr>
        <w:spacing w:line="240" w:lineRule="auto"/>
        <w:rPr>
          <w:szCs w:val="22"/>
        </w:rPr>
      </w:pPr>
    </w:p>
    <w:p w14:paraId="3E547EC0" w14:textId="00839D5A" w:rsidR="00993BF7" w:rsidRPr="00312FFD" w:rsidRDefault="00102FDE" w:rsidP="00FE2742">
      <w:pPr>
        <w:spacing w:line="240" w:lineRule="auto"/>
        <w:rPr>
          <w:szCs w:val="22"/>
        </w:rPr>
      </w:pPr>
      <w:r w:rsidRPr="00312FFD">
        <w:rPr>
          <w:b/>
          <w:bCs/>
          <w:szCs w:val="22"/>
        </w:rPr>
        <w:lastRenderedPageBreak/>
        <w:t>2.</w:t>
      </w:r>
      <w:r w:rsidR="00CD1BB0" w:rsidRPr="00CD1BB0">
        <w:t xml:space="preserve"> </w:t>
      </w:r>
      <w:r w:rsidR="00CD1BB0" w:rsidRPr="00687BC3">
        <w:t> </w:t>
      </w:r>
      <w:proofErr w:type="gramStart"/>
      <w:r w:rsidRPr="00312FFD">
        <w:rPr>
          <w:b/>
          <w:bCs/>
          <w:szCs w:val="22"/>
        </w:rPr>
        <w:t>táblázat</w:t>
      </w:r>
      <w:proofErr w:type="gramEnd"/>
      <w:r w:rsidRPr="00312FFD">
        <w:rPr>
          <w:b/>
          <w:bCs/>
          <w:szCs w:val="22"/>
        </w:rPr>
        <w:t>: Kaplan–Meier-módszer; Azon betegek aránya, akiknél a lymphocytaszám a becslések szerint eléri az LLN-szintet, és kiinduláskor (RBL) közepesen súlyos lymphopeniában szenvednek, kivéve a hosszan tartó, súlyos lymphopeniában szenvedő betegeket</w:t>
      </w:r>
    </w:p>
    <w:p w14:paraId="4A8F6789" w14:textId="77777777" w:rsidR="00993BF7" w:rsidRPr="00312FFD" w:rsidRDefault="00993BF7" w:rsidP="003F7C47">
      <w:pPr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1838"/>
      </w:tblGrid>
      <w:tr w:rsidR="00102FDE" w:rsidRPr="00312FFD" w14:paraId="32DE4A72" w14:textId="77777777" w:rsidTr="00043CBA">
        <w:tc>
          <w:tcPr>
            <w:tcW w:w="3397" w:type="dxa"/>
          </w:tcPr>
          <w:p w14:paraId="7A83E029" w14:textId="77777777" w:rsidR="00102FDE" w:rsidRPr="00312FFD" w:rsidRDefault="00102FDE">
            <w:pPr>
              <w:pStyle w:val="Default"/>
              <w:rPr>
                <w:szCs w:val="22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Közepesen súlyos lymphopeniát</w:t>
            </w:r>
            <w:r w:rsidRPr="00F827EA">
              <w:rPr>
                <w:b/>
                <w:bCs/>
                <w:sz w:val="20"/>
                <w:szCs w:val="20"/>
                <w:vertAlign w:val="superscript"/>
                <w:lang w:val="hu-HU"/>
              </w:rPr>
              <w:t xml:space="preserve">a </w:t>
            </w:r>
            <w:r w:rsidRPr="00312FFD">
              <w:rPr>
                <w:b/>
                <w:bCs/>
                <w:sz w:val="20"/>
                <w:szCs w:val="20"/>
                <w:lang w:val="hu-HU"/>
              </w:rPr>
              <w:t xml:space="preserve">mutató, kockázatnak kitett betegek száma </w:t>
            </w:r>
          </w:p>
        </w:tc>
        <w:tc>
          <w:tcPr>
            <w:tcW w:w="1985" w:type="dxa"/>
          </w:tcPr>
          <w:p w14:paraId="303B8C97" w14:textId="77777777" w:rsidR="00102FDE" w:rsidRPr="00312FFD" w:rsidRDefault="00102FDE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Kiindulás</w:t>
            </w:r>
          </w:p>
          <w:p w14:paraId="778D54E5" w14:textId="77777777" w:rsidR="00102FDE" w:rsidRPr="00312FFD" w:rsidRDefault="00102FDE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b/>
                <w:bCs/>
                <w:sz w:val="20"/>
              </w:rPr>
              <w:t>N = 124</w:t>
            </w:r>
          </w:p>
        </w:tc>
        <w:tc>
          <w:tcPr>
            <w:tcW w:w="1984" w:type="dxa"/>
          </w:tcPr>
          <w:p w14:paraId="03FEBF72" w14:textId="77777777" w:rsidR="00102FDE" w:rsidRPr="00312FFD" w:rsidRDefault="00102FDE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>12. hét</w:t>
            </w:r>
          </w:p>
          <w:p w14:paraId="5F031B67" w14:textId="77777777" w:rsidR="00102FDE" w:rsidRPr="00312FFD" w:rsidRDefault="00102FDE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b/>
                <w:bCs/>
                <w:sz w:val="20"/>
              </w:rPr>
              <w:t>N = 33</w:t>
            </w:r>
          </w:p>
        </w:tc>
        <w:tc>
          <w:tcPr>
            <w:tcW w:w="1838" w:type="dxa"/>
          </w:tcPr>
          <w:p w14:paraId="153F37F4" w14:textId="77777777" w:rsidR="00102FDE" w:rsidRPr="00312FFD" w:rsidRDefault="00102FDE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b/>
                <w:bCs/>
                <w:sz w:val="20"/>
                <w:szCs w:val="20"/>
                <w:lang w:val="hu-HU"/>
              </w:rPr>
              <w:t xml:space="preserve">24. hét </w:t>
            </w:r>
          </w:p>
          <w:p w14:paraId="355256F2" w14:textId="77777777" w:rsidR="00102FDE" w:rsidRPr="00312FFD" w:rsidRDefault="00102FDE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b/>
                <w:bCs/>
                <w:sz w:val="20"/>
              </w:rPr>
              <w:t>N = 17</w:t>
            </w:r>
          </w:p>
        </w:tc>
      </w:tr>
      <w:tr w:rsidR="00102FDE" w:rsidRPr="00312FFD" w14:paraId="5292F581" w14:textId="77777777" w:rsidTr="00043CBA">
        <w:tc>
          <w:tcPr>
            <w:tcW w:w="3397" w:type="dxa"/>
          </w:tcPr>
          <w:p w14:paraId="14DACAAA" w14:textId="77777777" w:rsidR="00102FDE" w:rsidRPr="00312FFD" w:rsidRDefault="00102FDE" w:rsidP="00B16A88">
            <w:pPr>
              <w:pStyle w:val="Default"/>
              <w:rPr>
                <w:sz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LLN-szintet elérők aránya (95%-os CI) </w:t>
            </w:r>
          </w:p>
          <w:p w14:paraId="289D87AB" w14:textId="77777777" w:rsidR="00102FDE" w:rsidRPr="00312FFD" w:rsidRDefault="00102FDE" w:rsidP="00FE2742">
            <w:pPr>
              <w:spacing w:line="240" w:lineRule="auto"/>
              <w:rPr>
                <w:szCs w:val="22"/>
              </w:rPr>
            </w:pPr>
          </w:p>
        </w:tc>
        <w:tc>
          <w:tcPr>
            <w:tcW w:w="1985" w:type="dxa"/>
          </w:tcPr>
          <w:p w14:paraId="3E6A6F88" w14:textId="77777777" w:rsidR="00102FDE" w:rsidRPr="00312FFD" w:rsidRDefault="00102FDE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984" w:type="dxa"/>
          </w:tcPr>
          <w:p w14:paraId="14458807" w14:textId="77777777" w:rsidR="00102FDE" w:rsidRPr="00312FFD" w:rsidRDefault="00102FDE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>0,57</w:t>
            </w:r>
          </w:p>
          <w:p w14:paraId="4A80434B" w14:textId="77777777" w:rsidR="00102FDE" w:rsidRPr="00312FFD" w:rsidRDefault="00102FDE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sz w:val="20"/>
              </w:rPr>
              <w:t xml:space="preserve">(0,46–0,67) </w:t>
            </w:r>
          </w:p>
        </w:tc>
        <w:tc>
          <w:tcPr>
            <w:tcW w:w="1838" w:type="dxa"/>
          </w:tcPr>
          <w:p w14:paraId="35A26A6A" w14:textId="77777777" w:rsidR="00102FDE" w:rsidRPr="00312FFD" w:rsidRDefault="00102FDE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312FFD">
              <w:rPr>
                <w:sz w:val="20"/>
                <w:szCs w:val="20"/>
                <w:lang w:val="hu-HU"/>
              </w:rPr>
              <w:t xml:space="preserve">0,70 </w:t>
            </w:r>
          </w:p>
          <w:p w14:paraId="32D93A01" w14:textId="77777777" w:rsidR="00102FDE" w:rsidRPr="00312FFD" w:rsidRDefault="00102FDE" w:rsidP="00F0442C">
            <w:pPr>
              <w:spacing w:line="240" w:lineRule="auto"/>
              <w:rPr>
                <w:szCs w:val="22"/>
              </w:rPr>
            </w:pPr>
            <w:r w:rsidRPr="00312FFD">
              <w:rPr>
                <w:sz w:val="20"/>
              </w:rPr>
              <w:t xml:space="preserve">(0,60-0,80) </w:t>
            </w:r>
          </w:p>
        </w:tc>
      </w:tr>
    </w:tbl>
    <w:p w14:paraId="6AE13818" w14:textId="53E65BE3" w:rsidR="00993BF7" w:rsidRDefault="00102FDE" w:rsidP="00B16A88">
      <w:pPr>
        <w:spacing w:line="240" w:lineRule="auto"/>
        <w:rPr>
          <w:sz w:val="20"/>
        </w:rPr>
      </w:pPr>
      <w:r w:rsidRPr="00C248F6">
        <w:rPr>
          <w:szCs w:val="22"/>
          <w:vertAlign w:val="superscript"/>
        </w:rPr>
        <w:t>a</w:t>
      </w:r>
      <w:r>
        <w:rPr>
          <w:sz w:val="20"/>
        </w:rPr>
        <w:t xml:space="preserve">Kiinduláskor (RBL) </w:t>
      </w:r>
      <w:r>
        <w:rPr>
          <w:sz w:val="13"/>
          <w:szCs w:val="13"/>
        </w:rPr>
        <w:t xml:space="preserve"> </w:t>
      </w:r>
      <w:bookmarkStart w:id="15" w:name="_Hlk160205544"/>
      <w:proofErr w:type="gramStart"/>
      <w:r w:rsidR="00120182">
        <w:t>&lt; 0</w:t>
      </w:r>
      <w:proofErr w:type="gramEnd"/>
      <w:r w:rsidR="00120182">
        <w:t>,8 × 10</w:t>
      </w:r>
      <w:r w:rsidR="00120182" w:rsidRPr="008B7C45">
        <w:rPr>
          <w:vertAlign w:val="superscript"/>
        </w:rPr>
        <w:t>9</w:t>
      </w:r>
      <w:r w:rsidR="00120182">
        <w:t xml:space="preserve"> /l és ≥ 0,5 × 10</w:t>
      </w:r>
      <w:r w:rsidR="00120182" w:rsidRPr="008B7C45">
        <w:rPr>
          <w:vertAlign w:val="superscript"/>
        </w:rPr>
        <w:t>9</w:t>
      </w:r>
      <w:r w:rsidR="00120182">
        <w:t xml:space="preserve"> /l </w:t>
      </w:r>
      <w:bookmarkEnd w:id="15"/>
      <w:r>
        <w:rPr>
          <w:sz w:val="20"/>
        </w:rPr>
        <w:t>ALC-t mutató betegek, kivéve a hosszan tartó, súlyos lymphopeniában szenvedő betegeket.</w:t>
      </w:r>
    </w:p>
    <w:p w14:paraId="4DB30832" w14:textId="77777777" w:rsidR="002C45B8" w:rsidRDefault="002C45B8" w:rsidP="00FE2742">
      <w:pPr>
        <w:spacing w:line="240" w:lineRule="auto"/>
        <w:rPr>
          <w:szCs w:val="22"/>
        </w:rPr>
      </w:pPr>
    </w:p>
    <w:p w14:paraId="5D31CF94" w14:textId="54382EAE" w:rsidR="00993BF7" w:rsidRDefault="007C5C54" w:rsidP="003F7C47">
      <w:pPr>
        <w:spacing w:line="240" w:lineRule="auto"/>
        <w:rPr>
          <w:szCs w:val="22"/>
        </w:rPr>
      </w:pPr>
      <w:r>
        <w:rPr>
          <w:b/>
          <w:bCs/>
          <w:szCs w:val="22"/>
        </w:rPr>
        <w:t>3.</w:t>
      </w:r>
      <w:r w:rsidR="00CD1BB0" w:rsidRPr="00687BC3">
        <w:t> </w:t>
      </w:r>
      <w:r>
        <w:rPr>
          <w:b/>
          <w:bCs/>
          <w:szCs w:val="22"/>
        </w:rPr>
        <w:t>táblázat: Kaplan–Meier-módszer; Azon betegek aránya, akiknél a lymphocytaszám a becslések szerint eléri az LLN-szintet, és kiinduláskor (RBL) súlyos lymphopeniában szenvednek, kivéve a hosszan tartó, súlyos lymphopeniában szenvedő betegeket</w:t>
      </w:r>
    </w:p>
    <w:p w14:paraId="5AF5391B" w14:textId="77777777" w:rsidR="00993BF7" w:rsidRDefault="00993BF7">
      <w:pPr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1838"/>
      </w:tblGrid>
      <w:tr w:rsidR="007C5C54" w14:paraId="07C97063" w14:textId="77777777" w:rsidTr="00043CBA">
        <w:tc>
          <w:tcPr>
            <w:tcW w:w="3397" w:type="dxa"/>
          </w:tcPr>
          <w:p w14:paraId="0C9CA092" w14:textId="78E1E2E5" w:rsidR="007C5C54" w:rsidRPr="00F827EA" w:rsidRDefault="0021638E">
            <w:pPr>
              <w:pStyle w:val="Default"/>
              <w:rPr>
                <w:szCs w:val="22"/>
                <w:lang w:val="hu-HU"/>
              </w:rPr>
            </w:pPr>
            <w:r w:rsidRPr="00F827EA">
              <w:rPr>
                <w:b/>
                <w:bCs/>
                <w:sz w:val="20"/>
                <w:szCs w:val="20"/>
                <w:lang w:val="hu-HU"/>
              </w:rPr>
              <w:t>Súlyos lymphopeniát</w:t>
            </w:r>
            <w:r w:rsidRPr="00F827EA">
              <w:rPr>
                <w:b/>
                <w:bCs/>
                <w:sz w:val="20"/>
                <w:szCs w:val="20"/>
                <w:vertAlign w:val="superscript"/>
                <w:lang w:val="hu-HU"/>
              </w:rPr>
              <w:t>a</w:t>
            </w:r>
            <w:r w:rsidRPr="00F827EA">
              <w:rPr>
                <w:b/>
                <w:bCs/>
                <w:sz w:val="13"/>
                <w:szCs w:val="13"/>
                <w:lang w:val="hu-HU"/>
              </w:rPr>
              <w:t xml:space="preserve"> </w:t>
            </w:r>
            <w:r w:rsidRPr="00F827EA">
              <w:rPr>
                <w:b/>
                <w:bCs/>
                <w:sz w:val="20"/>
                <w:szCs w:val="20"/>
                <w:lang w:val="hu-HU"/>
              </w:rPr>
              <w:t>mutató, kockázatnak kitett betegek száma</w:t>
            </w:r>
          </w:p>
        </w:tc>
        <w:tc>
          <w:tcPr>
            <w:tcW w:w="1985" w:type="dxa"/>
          </w:tcPr>
          <w:p w14:paraId="6FC8B9C2" w14:textId="77777777" w:rsidR="007C5C54" w:rsidRPr="00F827EA" w:rsidRDefault="007C5C54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b/>
                <w:bCs/>
                <w:sz w:val="20"/>
                <w:szCs w:val="20"/>
                <w:lang w:val="hu-HU"/>
              </w:rPr>
              <w:t>Kiindulás</w:t>
            </w:r>
          </w:p>
          <w:p w14:paraId="028B3494" w14:textId="77777777" w:rsidR="007C5C54" w:rsidRPr="00575A24" w:rsidRDefault="007C5C54" w:rsidP="00F0442C">
            <w:pPr>
              <w:spacing w:line="240" w:lineRule="auto"/>
              <w:rPr>
                <w:szCs w:val="22"/>
              </w:rPr>
            </w:pPr>
            <w:r w:rsidRPr="00575A24">
              <w:rPr>
                <w:b/>
                <w:bCs/>
                <w:sz w:val="20"/>
              </w:rPr>
              <w:t>N = 18</w:t>
            </w:r>
          </w:p>
        </w:tc>
        <w:tc>
          <w:tcPr>
            <w:tcW w:w="1984" w:type="dxa"/>
          </w:tcPr>
          <w:p w14:paraId="316CB0DD" w14:textId="77777777" w:rsidR="007C5C54" w:rsidRPr="00F827EA" w:rsidRDefault="007C5C54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b/>
                <w:bCs/>
                <w:sz w:val="20"/>
                <w:szCs w:val="20"/>
                <w:lang w:val="hu-HU"/>
              </w:rPr>
              <w:t>12. hét</w:t>
            </w:r>
          </w:p>
          <w:p w14:paraId="31C9D060" w14:textId="77777777" w:rsidR="007C5C54" w:rsidRPr="00575A24" w:rsidRDefault="007C5C54" w:rsidP="00F0442C">
            <w:pPr>
              <w:spacing w:line="240" w:lineRule="auto"/>
              <w:rPr>
                <w:szCs w:val="22"/>
              </w:rPr>
            </w:pPr>
            <w:r w:rsidRPr="00575A24">
              <w:rPr>
                <w:b/>
                <w:bCs/>
                <w:sz w:val="20"/>
              </w:rPr>
              <w:t>N = 6</w:t>
            </w:r>
          </w:p>
        </w:tc>
        <w:tc>
          <w:tcPr>
            <w:tcW w:w="1838" w:type="dxa"/>
          </w:tcPr>
          <w:p w14:paraId="264BC54C" w14:textId="77777777" w:rsidR="007C5C54" w:rsidRPr="00F827EA" w:rsidRDefault="007C5C54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b/>
                <w:bCs/>
                <w:sz w:val="20"/>
                <w:szCs w:val="20"/>
                <w:lang w:val="hu-HU"/>
              </w:rPr>
              <w:t xml:space="preserve">24. hét </w:t>
            </w:r>
          </w:p>
          <w:p w14:paraId="43DCC6F5" w14:textId="77777777" w:rsidR="007C5C54" w:rsidRPr="00575A24" w:rsidRDefault="007C5C54" w:rsidP="00F0442C">
            <w:pPr>
              <w:spacing w:line="240" w:lineRule="auto"/>
              <w:rPr>
                <w:szCs w:val="22"/>
              </w:rPr>
            </w:pPr>
            <w:r w:rsidRPr="00575A24">
              <w:rPr>
                <w:b/>
                <w:bCs/>
                <w:sz w:val="20"/>
              </w:rPr>
              <w:t>N = 4</w:t>
            </w:r>
          </w:p>
        </w:tc>
      </w:tr>
      <w:tr w:rsidR="007C5C54" w14:paraId="407962A8" w14:textId="77777777" w:rsidTr="00043CBA">
        <w:tc>
          <w:tcPr>
            <w:tcW w:w="3397" w:type="dxa"/>
          </w:tcPr>
          <w:p w14:paraId="6DC0C791" w14:textId="2D810F31" w:rsidR="007C5C54" w:rsidRPr="00351065" w:rsidRDefault="007C5C54" w:rsidP="00B16A88">
            <w:pPr>
              <w:pStyle w:val="Default"/>
              <w:rPr>
                <w:szCs w:val="22"/>
              </w:rPr>
            </w:pPr>
            <w:r w:rsidRPr="00F827EA">
              <w:rPr>
                <w:sz w:val="20"/>
                <w:lang w:val="hu-HU"/>
              </w:rPr>
              <w:t>LLN-szintet elérők aránya (95%-os CI)</w:t>
            </w:r>
          </w:p>
        </w:tc>
        <w:tc>
          <w:tcPr>
            <w:tcW w:w="1985" w:type="dxa"/>
          </w:tcPr>
          <w:p w14:paraId="17B4FEB0" w14:textId="77777777" w:rsidR="007C5C54" w:rsidRPr="00575A24" w:rsidRDefault="007C5C54" w:rsidP="00FE2742">
            <w:pPr>
              <w:spacing w:line="240" w:lineRule="auto"/>
              <w:rPr>
                <w:szCs w:val="22"/>
              </w:rPr>
            </w:pPr>
          </w:p>
        </w:tc>
        <w:tc>
          <w:tcPr>
            <w:tcW w:w="1984" w:type="dxa"/>
          </w:tcPr>
          <w:p w14:paraId="159B66E7" w14:textId="77777777" w:rsidR="007C5C54" w:rsidRPr="00F827EA" w:rsidRDefault="007C5C54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sz w:val="20"/>
                <w:szCs w:val="20"/>
                <w:lang w:val="hu-HU"/>
              </w:rPr>
              <w:t>0,43</w:t>
            </w:r>
          </w:p>
          <w:p w14:paraId="05C771E8" w14:textId="77777777" w:rsidR="007C5C54" w:rsidRPr="00575A24" w:rsidRDefault="007C5C54" w:rsidP="00F0442C">
            <w:pPr>
              <w:spacing w:line="240" w:lineRule="auto"/>
              <w:rPr>
                <w:szCs w:val="22"/>
              </w:rPr>
            </w:pPr>
            <w:r w:rsidRPr="00575A24">
              <w:rPr>
                <w:sz w:val="20"/>
              </w:rPr>
              <w:t>(0,20-075)</w:t>
            </w:r>
          </w:p>
        </w:tc>
        <w:tc>
          <w:tcPr>
            <w:tcW w:w="1838" w:type="dxa"/>
          </w:tcPr>
          <w:p w14:paraId="4F69776B" w14:textId="77777777" w:rsidR="007C5C54" w:rsidRPr="00F827EA" w:rsidRDefault="007C5C54" w:rsidP="00F0442C">
            <w:pPr>
              <w:pStyle w:val="Default"/>
              <w:rPr>
                <w:sz w:val="20"/>
                <w:szCs w:val="20"/>
                <w:lang w:val="hu-HU"/>
              </w:rPr>
            </w:pPr>
            <w:r w:rsidRPr="00F827EA">
              <w:rPr>
                <w:sz w:val="20"/>
                <w:szCs w:val="20"/>
                <w:lang w:val="hu-HU"/>
              </w:rPr>
              <w:t>0,62</w:t>
            </w:r>
          </w:p>
          <w:p w14:paraId="1C172F2C" w14:textId="77777777" w:rsidR="007C5C54" w:rsidRPr="00575A24" w:rsidRDefault="007C5C54" w:rsidP="00F0442C">
            <w:pPr>
              <w:spacing w:line="240" w:lineRule="auto"/>
              <w:rPr>
                <w:szCs w:val="22"/>
              </w:rPr>
            </w:pPr>
            <w:r w:rsidRPr="00575A24">
              <w:rPr>
                <w:sz w:val="20"/>
              </w:rPr>
              <w:t xml:space="preserve">(0,35-0,88) </w:t>
            </w:r>
          </w:p>
        </w:tc>
      </w:tr>
    </w:tbl>
    <w:p w14:paraId="0BCA9F4D" w14:textId="7FD3CEE6" w:rsidR="00993BF7" w:rsidRDefault="007C5C54" w:rsidP="00B16A88">
      <w:pPr>
        <w:spacing w:line="240" w:lineRule="auto"/>
        <w:rPr>
          <w:szCs w:val="22"/>
        </w:rPr>
      </w:pPr>
      <w:r w:rsidRPr="00C248F6">
        <w:rPr>
          <w:szCs w:val="22"/>
          <w:vertAlign w:val="superscript"/>
        </w:rPr>
        <w:t>a</w:t>
      </w:r>
      <w:r>
        <w:rPr>
          <w:sz w:val="20"/>
        </w:rPr>
        <w:t>Kiinduláskor (RBL)</w:t>
      </w:r>
      <w:r w:rsidR="00120182">
        <w:rPr>
          <w:sz w:val="20"/>
        </w:rPr>
        <w:t xml:space="preserve"> </w:t>
      </w:r>
      <w:bookmarkStart w:id="16" w:name="_Hlk160205560"/>
      <w:proofErr w:type="gramStart"/>
      <w:r w:rsidR="00120182">
        <w:t>&lt; 0</w:t>
      </w:r>
      <w:proofErr w:type="gramEnd"/>
      <w:r w:rsidR="00120182">
        <w:t>,5 × 10</w:t>
      </w:r>
      <w:r w:rsidR="00120182" w:rsidRPr="008B7C45">
        <w:rPr>
          <w:vertAlign w:val="superscript"/>
        </w:rPr>
        <w:t>9</w:t>
      </w:r>
      <w:r w:rsidR="00120182">
        <w:t xml:space="preserve"> /l</w:t>
      </w:r>
      <w:bookmarkEnd w:id="16"/>
      <w:r>
        <w:rPr>
          <w:sz w:val="13"/>
          <w:szCs w:val="13"/>
        </w:rPr>
        <w:t xml:space="preserve"> </w:t>
      </w:r>
      <w:r w:rsidR="00120182">
        <w:rPr>
          <w:sz w:val="13"/>
          <w:szCs w:val="13"/>
        </w:rPr>
        <w:t xml:space="preserve"> </w:t>
      </w:r>
      <w:r>
        <w:rPr>
          <w:sz w:val="20"/>
        </w:rPr>
        <w:t>ALC-t mutató betegek, kivéve a hosszan tartó, súlyos lymphopeniában szenvedő betegeket.</w:t>
      </w:r>
    </w:p>
    <w:p w14:paraId="774DFF65" w14:textId="77777777" w:rsidR="00993BF7" w:rsidRDefault="00993BF7" w:rsidP="00FE2742">
      <w:pPr>
        <w:spacing w:line="240" w:lineRule="auto"/>
        <w:rPr>
          <w:szCs w:val="22"/>
        </w:rPr>
      </w:pPr>
    </w:p>
    <w:p w14:paraId="064BCF43" w14:textId="77777777" w:rsidR="0015672B" w:rsidRPr="0015672B" w:rsidRDefault="0015672B" w:rsidP="003F7C47">
      <w:pPr>
        <w:pStyle w:val="Default"/>
        <w:rPr>
          <w:sz w:val="22"/>
          <w:szCs w:val="22"/>
          <w:u w:val="single"/>
          <w:lang w:val="hu-HU"/>
        </w:rPr>
      </w:pPr>
      <w:r w:rsidRPr="0015672B">
        <w:rPr>
          <w:sz w:val="22"/>
          <w:szCs w:val="22"/>
          <w:u w:val="single"/>
          <w:lang w:val="hu-HU"/>
        </w:rPr>
        <w:t xml:space="preserve">Klinikai hatásosság és biztonságosság </w:t>
      </w:r>
    </w:p>
    <w:p w14:paraId="255B03B3" w14:textId="511405A9" w:rsidR="0015672B" w:rsidRPr="0015672B" w:rsidRDefault="0015672B">
      <w:pPr>
        <w:pStyle w:val="Default"/>
        <w:rPr>
          <w:sz w:val="22"/>
          <w:szCs w:val="22"/>
          <w:lang w:val="hu-HU"/>
        </w:rPr>
      </w:pPr>
      <w:r w:rsidRPr="0015672B">
        <w:rPr>
          <w:sz w:val="22"/>
          <w:szCs w:val="22"/>
          <w:lang w:val="hu-HU"/>
        </w:rPr>
        <w:t>Két, 2</w:t>
      </w:r>
      <w:r w:rsidR="00CD1BB0" w:rsidRPr="00687BC3">
        <w:t> </w:t>
      </w:r>
      <w:r w:rsidRPr="0015672B">
        <w:rPr>
          <w:sz w:val="22"/>
          <w:szCs w:val="22"/>
          <w:lang w:val="hu-HU"/>
        </w:rPr>
        <w:t>éves, randomizált, kettős vak, placebokontrollos vizsgálatot (DEFINE 1234</w:t>
      </w:r>
      <w:r w:rsidR="00345309" w:rsidRPr="00687BC3">
        <w:t> </w:t>
      </w:r>
      <w:r w:rsidRPr="0015672B">
        <w:rPr>
          <w:sz w:val="22"/>
          <w:szCs w:val="22"/>
          <w:lang w:val="hu-HU"/>
        </w:rPr>
        <w:t>beteggel, és CONFIRM</w:t>
      </w:r>
      <w:r w:rsidR="00120182">
        <w:rPr>
          <w:sz w:val="22"/>
          <w:szCs w:val="22"/>
          <w:lang w:val="hu-HU"/>
        </w:rPr>
        <w:t xml:space="preserve">, </w:t>
      </w:r>
      <w:r w:rsidRPr="0015672B">
        <w:rPr>
          <w:sz w:val="22"/>
          <w:szCs w:val="22"/>
          <w:lang w:val="hu-HU"/>
        </w:rPr>
        <w:t>1417</w:t>
      </w:r>
      <w:r w:rsidR="00345309" w:rsidRPr="00687BC3">
        <w:t> </w:t>
      </w:r>
      <w:r w:rsidRPr="0015672B">
        <w:rPr>
          <w:sz w:val="22"/>
          <w:szCs w:val="22"/>
          <w:lang w:val="hu-HU"/>
        </w:rPr>
        <w:t>beteggel) végeztek</w:t>
      </w:r>
      <w:r w:rsidR="00120182">
        <w:rPr>
          <w:sz w:val="22"/>
          <w:szCs w:val="22"/>
          <w:lang w:val="hu-HU"/>
        </w:rPr>
        <w:t xml:space="preserve"> </w:t>
      </w:r>
      <w:r w:rsidRPr="0015672B">
        <w:rPr>
          <w:sz w:val="22"/>
          <w:szCs w:val="22"/>
          <w:lang w:val="hu-HU"/>
        </w:rPr>
        <w:t>RRSM</w:t>
      </w:r>
      <w:r w:rsidR="00120182">
        <w:rPr>
          <w:sz w:val="22"/>
          <w:szCs w:val="22"/>
          <w:lang w:val="hu-HU"/>
        </w:rPr>
        <w:t>-ben</w:t>
      </w:r>
      <w:r w:rsidRPr="0015672B">
        <w:rPr>
          <w:sz w:val="22"/>
          <w:szCs w:val="22"/>
          <w:lang w:val="hu-HU"/>
        </w:rPr>
        <w:t xml:space="preserve"> szenvedő betegekkel. Az SM progresszív formájában szenvedő betegek nem kerültek be ezekbe a vizsgálatokba. </w:t>
      </w:r>
    </w:p>
    <w:p w14:paraId="2FA9B302" w14:textId="77777777" w:rsidR="0015672B" w:rsidRPr="0015672B" w:rsidRDefault="0015672B">
      <w:pPr>
        <w:pStyle w:val="Default"/>
        <w:rPr>
          <w:sz w:val="22"/>
          <w:szCs w:val="22"/>
          <w:lang w:val="hu-HU"/>
        </w:rPr>
      </w:pPr>
    </w:p>
    <w:p w14:paraId="1C452A6C" w14:textId="0561E584" w:rsidR="0015672B" w:rsidRPr="0015672B" w:rsidRDefault="0015672B">
      <w:pPr>
        <w:pStyle w:val="Default"/>
        <w:rPr>
          <w:sz w:val="22"/>
          <w:szCs w:val="22"/>
          <w:lang w:val="hu-HU"/>
        </w:rPr>
      </w:pPr>
      <w:r w:rsidRPr="0015672B">
        <w:rPr>
          <w:sz w:val="22"/>
          <w:szCs w:val="22"/>
          <w:lang w:val="hu-HU"/>
        </w:rPr>
        <w:t xml:space="preserve">A hatásosságot (lásd </w:t>
      </w:r>
      <w:r w:rsidR="00120182">
        <w:rPr>
          <w:sz w:val="22"/>
          <w:szCs w:val="22"/>
          <w:lang w:val="hu-HU"/>
        </w:rPr>
        <w:t>a 4.</w:t>
      </w:r>
      <w:r w:rsidRPr="0015672B">
        <w:rPr>
          <w:sz w:val="22"/>
          <w:szCs w:val="22"/>
          <w:lang w:val="hu-HU"/>
        </w:rPr>
        <w:t xml:space="preserve"> táblázatot) és a biztonságosságot olyan betegeknél bizonyították, akiknek a </w:t>
      </w:r>
      <w:r w:rsidR="00120182">
        <w:rPr>
          <w:sz w:val="22"/>
          <w:szCs w:val="22"/>
          <w:lang w:val="hu-HU"/>
        </w:rPr>
        <w:t>kiterjesztett rokkantsági állapot</w:t>
      </w:r>
      <w:r w:rsidR="00317744">
        <w:rPr>
          <w:sz w:val="22"/>
          <w:szCs w:val="22"/>
          <w:lang w:val="hu-HU"/>
        </w:rPr>
        <w:t xml:space="preserve"> </w:t>
      </w:r>
      <w:r w:rsidR="00120182">
        <w:rPr>
          <w:sz w:val="22"/>
          <w:szCs w:val="22"/>
          <w:lang w:val="hu-HU"/>
        </w:rPr>
        <w:t>skálán</w:t>
      </w:r>
      <w:r w:rsidRPr="0015672B">
        <w:rPr>
          <w:sz w:val="22"/>
          <w:szCs w:val="22"/>
          <w:lang w:val="hu-HU"/>
        </w:rPr>
        <w:t xml:space="preserve"> (Expanded Disability Status Scale – EDSS) 0 és 5</w:t>
      </w:r>
      <w:r w:rsidR="00345309" w:rsidRPr="00687BC3">
        <w:t> </w:t>
      </w:r>
      <w:r w:rsidRPr="0015672B">
        <w:rPr>
          <w:sz w:val="22"/>
          <w:szCs w:val="22"/>
          <w:lang w:val="hu-HU"/>
        </w:rPr>
        <w:t xml:space="preserve">közötti pontszáma volt, és akiknél előfordult legalább 1 relapszus a randomizálást megelőző évben, vagy pedig a randomizálás előtti 6 hétben készült róluk olyan koponya </w:t>
      </w:r>
      <w:r w:rsidR="00120182">
        <w:rPr>
          <w:sz w:val="22"/>
          <w:szCs w:val="22"/>
          <w:lang w:val="hu-HU"/>
        </w:rPr>
        <w:t>MR-</w:t>
      </w:r>
      <w:r w:rsidRPr="0015672B">
        <w:rPr>
          <w:sz w:val="22"/>
          <w:szCs w:val="22"/>
          <w:lang w:val="hu-HU"/>
        </w:rPr>
        <w:t xml:space="preserve">vizsgálat, amin látható volt legalább egy gadolínium-dúsulással járó (Gd+) lézió. A CONFIRM vizsgálatban volt egy, a kiértékelő számára vakon vizsgált (azaz a vizsgálati kezelésre adott választ kiértékelő vizsgálóorvos/vizsgáló nem ismerte az alkalmazott kezelést) összehasonlító referenciakészítmény, a glatiramer-acetát. </w:t>
      </w:r>
    </w:p>
    <w:p w14:paraId="24792AC8" w14:textId="77777777" w:rsidR="0015672B" w:rsidRPr="0015672B" w:rsidRDefault="0015672B">
      <w:pPr>
        <w:pStyle w:val="Default"/>
        <w:rPr>
          <w:sz w:val="22"/>
          <w:szCs w:val="22"/>
          <w:lang w:val="hu-HU"/>
        </w:rPr>
      </w:pPr>
    </w:p>
    <w:p w14:paraId="576B0150" w14:textId="39D175DA" w:rsidR="00993BF7" w:rsidRPr="0015672B" w:rsidRDefault="0015672B">
      <w:pPr>
        <w:spacing w:line="240" w:lineRule="auto"/>
        <w:rPr>
          <w:szCs w:val="22"/>
        </w:rPr>
      </w:pPr>
      <w:r w:rsidRPr="0015672B">
        <w:rPr>
          <w:szCs w:val="22"/>
        </w:rPr>
        <w:t>A DEFINE vizsgálatban részt vevő betegek kiindulási jellemzőinek középértékei a következők voltak: 39</w:t>
      </w:r>
      <w:r w:rsidR="00345309" w:rsidRPr="00687BC3">
        <w:t> </w:t>
      </w:r>
      <w:r w:rsidRPr="0015672B">
        <w:rPr>
          <w:szCs w:val="22"/>
        </w:rPr>
        <w:t>éves életkor, 7,0</w:t>
      </w:r>
      <w:r w:rsidR="00345309" w:rsidRPr="00687BC3">
        <w:t> </w:t>
      </w:r>
      <w:r w:rsidRPr="0015672B">
        <w:rPr>
          <w:szCs w:val="22"/>
        </w:rPr>
        <w:t xml:space="preserve">éve fennálló betegség, és 2,0-es EDSS pontszám. Továbbá a betegek 16%-ának az EDSS </w:t>
      </w:r>
      <w:proofErr w:type="gramStart"/>
      <w:r w:rsidRPr="0015672B">
        <w:rPr>
          <w:szCs w:val="22"/>
        </w:rPr>
        <w:t>pontszáma &gt;3</w:t>
      </w:r>
      <w:proofErr w:type="gramEnd"/>
      <w:r w:rsidRPr="0015672B">
        <w:rPr>
          <w:szCs w:val="22"/>
        </w:rPr>
        <w:t>,5 volt, 28%-uknál következett be ≥2 relapszus az előző évben és 42%-uk kapott már más, jóváhagyott SM kezelést. Az MR-vizsgálati kohorszban a vizsgálatba belépő betegek 36%-ánál találtak Gd+ léziót a kiinduláskor (Gd+ léziók átlagos száma 1,4).</w:t>
      </w:r>
    </w:p>
    <w:p w14:paraId="3F1E3EEB" w14:textId="77777777" w:rsidR="00993BF7" w:rsidRPr="0015672B" w:rsidRDefault="00993BF7">
      <w:pPr>
        <w:spacing w:line="240" w:lineRule="auto"/>
        <w:rPr>
          <w:szCs w:val="22"/>
        </w:rPr>
      </w:pPr>
    </w:p>
    <w:p w14:paraId="06608395" w14:textId="2AB526C3" w:rsidR="0015672B" w:rsidRPr="0015672B" w:rsidRDefault="0015672B">
      <w:pPr>
        <w:pStyle w:val="Default"/>
        <w:rPr>
          <w:sz w:val="22"/>
          <w:szCs w:val="22"/>
          <w:lang w:val="hu-HU"/>
        </w:rPr>
      </w:pPr>
      <w:r w:rsidRPr="0015672B">
        <w:rPr>
          <w:sz w:val="22"/>
          <w:szCs w:val="22"/>
          <w:lang w:val="hu-HU"/>
        </w:rPr>
        <w:t>A CONFIRM vizsgálatban részt vevő betegek kiindulási jellemzőinek középértékei a következők voltak: 37</w:t>
      </w:r>
      <w:r w:rsidR="00345309" w:rsidRPr="00687BC3">
        <w:t> </w:t>
      </w:r>
      <w:r w:rsidRPr="0015672B">
        <w:rPr>
          <w:sz w:val="22"/>
          <w:szCs w:val="22"/>
          <w:lang w:val="hu-HU"/>
        </w:rPr>
        <w:t>éves életkor, 6,0</w:t>
      </w:r>
      <w:r w:rsidR="003E0BFC" w:rsidRPr="00687BC3">
        <w:t> </w:t>
      </w:r>
      <w:r w:rsidRPr="0015672B">
        <w:rPr>
          <w:sz w:val="22"/>
          <w:szCs w:val="22"/>
          <w:lang w:val="hu-HU"/>
        </w:rPr>
        <w:t xml:space="preserve">éve fennálló betegség, és 2,5-es EDSS pontszám. Továbbá a betegek 17%-ának az EDSS </w:t>
      </w:r>
      <w:proofErr w:type="gramStart"/>
      <w:r w:rsidRPr="0015672B">
        <w:rPr>
          <w:sz w:val="22"/>
          <w:szCs w:val="22"/>
          <w:lang w:val="hu-HU"/>
        </w:rPr>
        <w:t>pontszáma &gt;3</w:t>
      </w:r>
      <w:proofErr w:type="gramEnd"/>
      <w:r w:rsidRPr="0015672B">
        <w:rPr>
          <w:sz w:val="22"/>
          <w:szCs w:val="22"/>
          <w:lang w:val="hu-HU"/>
        </w:rPr>
        <w:t>,5 volt, 32%-uknál következett be ≥2</w:t>
      </w:r>
      <w:r w:rsidR="003E0BFC" w:rsidRPr="00687BC3">
        <w:t> </w:t>
      </w:r>
      <w:r w:rsidRPr="0015672B">
        <w:rPr>
          <w:sz w:val="22"/>
          <w:szCs w:val="22"/>
          <w:lang w:val="hu-HU"/>
        </w:rPr>
        <w:t xml:space="preserve">relapszus az előző évben és 30%-uk kapott már más, jóváhagyott SM kezelést. Az MR-vizsgálati kohorszban a vizsgálatba belépő betegek 45%-ánál találtak Gd+ léziót a kiinduláskor (Gd+ léziók átlagos száma 2,4). </w:t>
      </w:r>
    </w:p>
    <w:p w14:paraId="3FA4A62C" w14:textId="77777777" w:rsidR="0015672B" w:rsidRPr="0015672B" w:rsidRDefault="0015672B">
      <w:pPr>
        <w:pStyle w:val="Default"/>
        <w:rPr>
          <w:sz w:val="22"/>
          <w:szCs w:val="22"/>
          <w:lang w:val="hu-HU"/>
        </w:rPr>
      </w:pPr>
    </w:p>
    <w:p w14:paraId="2A87C4EC" w14:textId="27F860FC" w:rsidR="0015672B" w:rsidRPr="0015672B" w:rsidRDefault="0015672B">
      <w:pPr>
        <w:pStyle w:val="Default"/>
        <w:rPr>
          <w:sz w:val="22"/>
          <w:szCs w:val="22"/>
          <w:lang w:val="hu-HU"/>
        </w:rPr>
      </w:pPr>
      <w:r w:rsidRPr="0015672B">
        <w:rPr>
          <w:sz w:val="22"/>
          <w:szCs w:val="22"/>
          <w:lang w:val="hu-HU"/>
        </w:rPr>
        <w:t>A placebóhoz viszonyítva a dimetil-fumaráttal kezelt betegek klinikailag jelentős és statisztikailag szignifikáns csökkenést mutattak: a DEFINE vizsgálat elsődleges végpontjában, a 2 év alatt rela</w:t>
      </w:r>
      <w:r w:rsidR="00B16A88">
        <w:rPr>
          <w:sz w:val="22"/>
          <w:szCs w:val="22"/>
          <w:lang w:val="hu-HU"/>
        </w:rPr>
        <w:t>báló</w:t>
      </w:r>
      <w:r w:rsidRPr="0015672B">
        <w:rPr>
          <w:sz w:val="22"/>
          <w:szCs w:val="22"/>
          <w:lang w:val="hu-HU"/>
        </w:rPr>
        <w:t xml:space="preserve"> betegek arányában; valamint a CONFIRM vizsgálat elsődleges végpontjában, az éves szintre vetített relapszusrátában (annualised relapse rate, ARR) 2</w:t>
      </w:r>
      <w:r w:rsidR="003E0BFC" w:rsidRPr="00687BC3">
        <w:t> </w:t>
      </w:r>
      <w:r w:rsidRPr="0015672B">
        <w:rPr>
          <w:sz w:val="22"/>
          <w:szCs w:val="22"/>
          <w:lang w:val="hu-HU"/>
        </w:rPr>
        <w:t xml:space="preserve">év alatt. </w:t>
      </w:r>
    </w:p>
    <w:p w14:paraId="359A4A88" w14:textId="77777777" w:rsidR="0015672B" w:rsidRPr="0015672B" w:rsidRDefault="0015672B">
      <w:pPr>
        <w:pStyle w:val="Default"/>
        <w:rPr>
          <w:sz w:val="22"/>
          <w:szCs w:val="22"/>
          <w:lang w:val="hu-HU"/>
        </w:rPr>
      </w:pPr>
    </w:p>
    <w:p w14:paraId="17DF2083" w14:textId="783EDF5B" w:rsidR="00993BF7" w:rsidRPr="008B7C45" w:rsidRDefault="00F82526">
      <w:pPr>
        <w:spacing w:line="240" w:lineRule="auto"/>
        <w:rPr>
          <w:b/>
          <w:bCs/>
          <w:szCs w:val="22"/>
        </w:rPr>
      </w:pPr>
      <w:bookmarkStart w:id="17" w:name="_Hlk160205686"/>
      <w:r w:rsidRPr="008B7C45">
        <w:rPr>
          <w:b/>
          <w:bCs/>
          <w:szCs w:val="22"/>
        </w:rPr>
        <w:t>4. táblázat: Klinikai és MR-végpontok a DEFINE és a CONFIRM vizsgálatokban</w:t>
      </w:r>
      <w:bookmarkEnd w:id="17"/>
    </w:p>
    <w:p w14:paraId="5CF8093E" w14:textId="77777777" w:rsidR="00F82526" w:rsidRDefault="00F82526">
      <w:pPr>
        <w:spacing w:line="240" w:lineRule="auto"/>
        <w:rPr>
          <w:szCs w:val="22"/>
        </w:rPr>
      </w:pPr>
    </w:p>
    <w:tbl>
      <w:tblPr>
        <w:tblStyle w:val="Rcsostblzat"/>
        <w:tblW w:w="9776" w:type="dxa"/>
        <w:tblLook w:val="04A0" w:firstRow="1" w:lastRow="0" w:firstColumn="1" w:lastColumn="0" w:noHBand="0" w:noVBand="1"/>
      </w:tblPr>
      <w:tblGrid>
        <w:gridCol w:w="2122"/>
        <w:gridCol w:w="1275"/>
        <w:gridCol w:w="1560"/>
        <w:gridCol w:w="1275"/>
        <w:gridCol w:w="1438"/>
        <w:gridCol w:w="2106"/>
      </w:tblGrid>
      <w:tr w:rsidR="00CC1F08" w14:paraId="5FEEF57C" w14:textId="77777777" w:rsidTr="00F827EA">
        <w:tc>
          <w:tcPr>
            <w:tcW w:w="2122" w:type="dxa"/>
          </w:tcPr>
          <w:p w14:paraId="65EF040D" w14:textId="77777777" w:rsidR="00CC1F08" w:rsidRDefault="00CC1F08">
            <w:pPr>
              <w:spacing w:line="240" w:lineRule="auto"/>
              <w:rPr>
                <w:szCs w:val="22"/>
              </w:rPr>
            </w:pPr>
          </w:p>
        </w:tc>
        <w:tc>
          <w:tcPr>
            <w:tcW w:w="2835" w:type="dxa"/>
            <w:gridSpan w:val="2"/>
          </w:tcPr>
          <w:p w14:paraId="1D7B44FC" w14:textId="77777777" w:rsidR="00CC1F08" w:rsidRDefault="00CC1F08">
            <w:pPr>
              <w:pStyle w:val="Default"/>
              <w:rPr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DEFINE </w:t>
            </w:r>
          </w:p>
        </w:tc>
        <w:tc>
          <w:tcPr>
            <w:tcW w:w="4819" w:type="dxa"/>
            <w:gridSpan w:val="3"/>
          </w:tcPr>
          <w:p w14:paraId="1D123E5B" w14:textId="77777777" w:rsidR="00CC1F08" w:rsidRDefault="00CC1F08">
            <w:pPr>
              <w:pStyle w:val="Default"/>
              <w:rPr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CONFIRM </w:t>
            </w:r>
          </w:p>
        </w:tc>
      </w:tr>
      <w:tr w:rsidR="0015672B" w14:paraId="54BC29C6" w14:textId="77777777" w:rsidTr="00F827EA">
        <w:tc>
          <w:tcPr>
            <w:tcW w:w="2122" w:type="dxa"/>
          </w:tcPr>
          <w:p w14:paraId="6D4C7A60" w14:textId="77777777" w:rsidR="0015672B" w:rsidRDefault="0015672B" w:rsidP="00B16A88">
            <w:pPr>
              <w:spacing w:line="240" w:lineRule="auto"/>
              <w:rPr>
                <w:szCs w:val="22"/>
              </w:rPr>
            </w:pPr>
          </w:p>
        </w:tc>
        <w:tc>
          <w:tcPr>
            <w:tcW w:w="1275" w:type="dxa"/>
          </w:tcPr>
          <w:p w14:paraId="29FF9708" w14:textId="77777777" w:rsidR="0015672B" w:rsidRPr="00CC1F08" w:rsidRDefault="00CC1F08" w:rsidP="00FE2742">
            <w:pPr>
              <w:spacing w:line="240" w:lineRule="auto"/>
              <w:rPr>
                <w:b/>
                <w:szCs w:val="22"/>
              </w:rPr>
            </w:pPr>
            <w:r w:rsidRPr="00CC1F08">
              <w:rPr>
                <w:b/>
                <w:szCs w:val="22"/>
              </w:rPr>
              <w:t>Placebo</w:t>
            </w:r>
          </w:p>
        </w:tc>
        <w:tc>
          <w:tcPr>
            <w:tcW w:w="1560" w:type="dxa"/>
          </w:tcPr>
          <w:p w14:paraId="4D51E5F2" w14:textId="21F3D57F" w:rsidR="0015672B" w:rsidRPr="00CC1F08" w:rsidRDefault="00CC1F08" w:rsidP="003F7C47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</w:t>
            </w:r>
            <w:r w:rsidRPr="00CC1F08">
              <w:rPr>
                <w:b/>
                <w:szCs w:val="22"/>
              </w:rPr>
              <w:t>ime</w:t>
            </w:r>
            <w:r>
              <w:rPr>
                <w:b/>
                <w:szCs w:val="22"/>
              </w:rPr>
              <w:t>til-fumarát 240</w:t>
            </w:r>
            <w:r w:rsidR="0020172A" w:rsidRPr="00687BC3">
              <w:t> </w:t>
            </w:r>
            <w:r>
              <w:rPr>
                <w:b/>
                <w:szCs w:val="22"/>
              </w:rPr>
              <w:t>mg naponta kétszer</w:t>
            </w:r>
          </w:p>
        </w:tc>
        <w:tc>
          <w:tcPr>
            <w:tcW w:w="1275" w:type="dxa"/>
          </w:tcPr>
          <w:p w14:paraId="59EF5F29" w14:textId="77777777" w:rsidR="0015672B" w:rsidRPr="00CC1F08" w:rsidRDefault="00CC1F08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Placebo</w:t>
            </w:r>
          </w:p>
        </w:tc>
        <w:tc>
          <w:tcPr>
            <w:tcW w:w="1438" w:type="dxa"/>
          </w:tcPr>
          <w:p w14:paraId="4F229776" w14:textId="22521CFD" w:rsidR="0015672B" w:rsidRPr="00CC1F08" w:rsidRDefault="00E64078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d</w:t>
            </w:r>
            <w:r w:rsidRPr="00CC1F08">
              <w:rPr>
                <w:b/>
                <w:szCs w:val="22"/>
              </w:rPr>
              <w:t>ime</w:t>
            </w:r>
            <w:r>
              <w:rPr>
                <w:b/>
                <w:szCs w:val="22"/>
              </w:rPr>
              <w:t>til-fumarát 240</w:t>
            </w:r>
            <w:r w:rsidR="0020172A" w:rsidRPr="00687BC3">
              <w:t> </w:t>
            </w:r>
            <w:r>
              <w:rPr>
                <w:b/>
                <w:szCs w:val="22"/>
              </w:rPr>
              <w:t>mg naponta kétszer</w:t>
            </w:r>
          </w:p>
        </w:tc>
        <w:tc>
          <w:tcPr>
            <w:tcW w:w="2106" w:type="dxa"/>
          </w:tcPr>
          <w:p w14:paraId="7D197576" w14:textId="77777777" w:rsidR="0015672B" w:rsidRPr="00CC1F08" w:rsidRDefault="00E64078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Glatiramer-acetát</w:t>
            </w:r>
          </w:p>
        </w:tc>
      </w:tr>
      <w:tr w:rsidR="00146F0A" w14:paraId="537A54CF" w14:textId="77777777" w:rsidTr="00F827EA">
        <w:tc>
          <w:tcPr>
            <w:tcW w:w="2122" w:type="dxa"/>
          </w:tcPr>
          <w:p w14:paraId="519B7F26" w14:textId="77777777" w:rsidR="00146F0A" w:rsidRPr="00E64078" w:rsidRDefault="00146F0A" w:rsidP="00B16A88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Klinikai végpontok</w:t>
            </w:r>
            <w:r w:rsidRPr="00146F0A">
              <w:rPr>
                <w:b/>
                <w:szCs w:val="22"/>
                <w:vertAlign w:val="superscript"/>
              </w:rPr>
              <w:t>a</w:t>
            </w:r>
          </w:p>
        </w:tc>
        <w:tc>
          <w:tcPr>
            <w:tcW w:w="7654" w:type="dxa"/>
            <w:gridSpan w:val="5"/>
          </w:tcPr>
          <w:p w14:paraId="5569B610" w14:textId="77777777" w:rsidR="00146F0A" w:rsidRDefault="00146F0A" w:rsidP="00FE2742">
            <w:pPr>
              <w:spacing w:line="240" w:lineRule="auto"/>
              <w:rPr>
                <w:szCs w:val="22"/>
              </w:rPr>
            </w:pPr>
          </w:p>
        </w:tc>
      </w:tr>
      <w:tr w:rsidR="0015672B" w14:paraId="6F26B02D" w14:textId="77777777" w:rsidTr="00F827EA">
        <w:tc>
          <w:tcPr>
            <w:tcW w:w="2122" w:type="dxa"/>
          </w:tcPr>
          <w:p w14:paraId="1714709A" w14:textId="77777777" w:rsidR="0015672B" w:rsidRPr="00146F0A" w:rsidRDefault="00E64078" w:rsidP="00B16A88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Betegek száma </w:t>
            </w:r>
          </w:p>
        </w:tc>
        <w:tc>
          <w:tcPr>
            <w:tcW w:w="1275" w:type="dxa"/>
          </w:tcPr>
          <w:p w14:paraId="063090E7" w14:textId="77777777" w:rsidR="0015672B" w:rsidRDefault="00146F0A" w:rsidP="00FE2742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408</w:t>
            </w:r>
          </w:p>
        </w:tc>
        <w:tc>
          <w:tcPr>
            <w:tcW w:w="1560" w:type="dxa"/>
          </w:tcPr>
          <w:p w14:paraId="10338FF0" w14:textId="77777777" w:rsidR="0015672B" w:rsidRDefault="00146F0A" w:rsidP="003F7C4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410</w:t>
            </w:r>
          </w:p>
        </w:tc>
        <w:tc>
          <w:tcPr>
            <w:tcW w:w="1275" w:type="dxa"/>
          </w:tcPr>
          <w:p w14:paraId="2525AF80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363</w:t>
            </w:r>
          </w:p>
        </w:tc>
        <w:tc>
          <w:tcPr>
            <w:tcW w:w="1438" w:type="dxa"/>
          </w:tcPr>
          <w:p w14:paraId="31CA75A7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359</w:t>
            </w:r>
          </w:p>
        </w:tc>
        <w:tc>
          <w:tcPr>
            <w:tcW w:w="2106" w:type="dxa"/>
          </w:tcPr>
          <w:p w14:paraId="3F104B54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350</w:t>
            </w:r>
          </w:p>
        </w:tc>
      </w:tr>
      <w:tr w:rsidR="0015672B" w14:paraId="2ACC55EF" w14:textId="77777777" w:rsidTr="00F827EA">
        <w:tc>
          <w:tcPr>
            <w:tcW w:w="2122" w:type="dxa"/>
          </w:tcPr>
          <w:p w14:paraId="3A41A64F" w14:textId="77777777" w:rsidR="0015672B" w:rsidRPr="00146F0A" w:rsidRDefault="00E64078" w:rsidP="00B16A88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Éves relapszusráta </w:t>
            </w:r>
          </w:p>
        </w:tc>
        <w:tc>
          <w:tcPr>
            <w:tcW w:w="1275" w:type="dxa"/>
          </w:tcPr>
          <w:p w14:paraId="0395F733" w14:textId="77777777" w:rsidR="0015672B" w:rsidRDefault="00146F0A" w:rsidP="00FE2742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0,364</w:t>
            </w:r>
          </w:p>
        </w:tc>
        <w:tc>
          <w:tcPr>
            <w:tcW w:w="1560" w:type="dxa"/>
          </w:tcPr>
          <w:p w14:paraId="2B39127B" w14:textId="77777777" w:rsidR="0015672B" w:rsidRDefault="00146F0A" w:rsidP="003F7C4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0,172***</w:t>
            </w:r>
          </w:p>
        </w:tc>
        <w:tc>
          <w:tcPr>
            <w:tcW w:w="1275" w:type="dxa"/>
          </w:tcPr>
          <w:p w14:paraId="4786BFF1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0,401</w:t>
            </w:r>
          </w:p>
        </w:tc>
        <w:tc>
          <w:tcPr>
            <w:tcW w:w="1438" w:type="dxa"/>
          </w:tcPr>
          <w:p w14:paraId="177E506D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0,224***</w:t>
            </w:r>
          </w:p>
        </w:tc>
        <w:tc>
          <w:tcPr>
            <w:tcW w:w="2106" w:type="dxa"/>
          </w:tcPr>
          <w:p w14:paraId="63E03133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0,286*</w:t>
            </w:r>
          </w:p>
        </w:tc>
      </w:tr>
      <w:tr w:rsidR="0015672B" w14:paraId="752FCE1A" w14:textId="77777777" w:rsidTr="00F827EA">
        <w:tc>
          <w:tcPr>
            <w:tcW w:w="2122" w:type="dxa"/>
          </w:tcPr>
          <w:p w14:paraId="7C097495" w14:textId="77777777" w:rsidR="00E64078" w:rsidRPr="00146F0A" w:rsidRDefault="00E64078" w:rsidP="00B16A88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Arányhányados </w:t>
            </w:r>
          </w:p>
          <w:p w14:paraId="11CA7244" w14:textId="77777777" w:rsidR="0015672B" w:rsidRPr="00146F0A" w:rsidRDefault="00E64078" w:rsidP="00FE2742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1E8E512E" w14:textId="77777777" w:rsidR="0015672B" w:rsidRDefault="0015672B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54CD0735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0,47</w:t>
            </w:r>
          </w:p>
          <w:p w14:paraId="589A709E" w14:textId="77777777" w:rsidR="00146F0A" w:rsidRDefault="00146F0A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(0,37–0,61) </w:t>
            </w:r>
          </w:p>
        </w:tc>
        <w:tc>
          <w:tcPr>
            <w:tcW w:w="1275" w:type="dxa"/>
          </w:tcPr>
          <w:p w14:paraId="37DF3A9C" w14:textId="77777777" w:rsidR="0015672B" w:rsidRDefault="0015672B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09D84B04" w14:textId="77777777" w:rsidR="0015672B" w:rsidRDefault="00146F0A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0,56</w:t>
            </w:r>
          </w:p>
          <w:p w14:paraId="49C291D9" w14:textId="77777777" w:rsidR="00146F0A" w:rsidRDefault="00146F0A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>(0,42–0,74)</w:t>
            </w:r>
          </w:p>
        </w:tc>
        <w:tc>
          <w:tcPr>
            <w:tcW w:w="2106" w:type="dxa"/>
          </w:tcPr>
          <w:p w14:paraId="486210EA" w14:textId="77777777" w:rsidR="0015672B" w:rsidRDefault="00146F0A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0,71(0,55; 0,93) </w:t>
            </w:r>
          </w:p>
        </w:tc>
      </w:tr>
      <w:tr w:rsidR="00D83F43" w14:paraId="3488392B" w14:textId="77777777" w:rsidTr="00F827EA">
        <w:trPr>
          <w:trHeight w:val="304"/>
        </w:trPr>
        <w:tc>
          <w:tcPr>
            <w:tcW w:w="2122" w:type="dxa"/>
          </w:tcPr>
          <w:p w14:paraId="33A5F95B" w14:textId="7EAD6541" w:rsidR="00D83F43" w:rsidRPr="00146F0A" w:rsidRDefault="00D83F43" w:rsidP="00B16A88">
            <w:pPr>
              <w:pStyle w:val="Default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Rela</w:t>
            </w:r>
            <w:r w:rsidR="00B16A88">
              <w:rPr>
                <w:sz w:val="22"/>
                <w:szCs w:val="22"/>
                <w:lang w:val="hu-HU"/>
              </w:rPr>
              <w:t>bálók</w:t>
            </w:r>
            <w:r w:rsidRPr="00146F0A">
              <w:rPr>
                <w:sz w:val="22"/>
                <w:szCs w:val="22"/>
                <w:lang w:val="hu-HU"/>
              </w:rPr>
              <w:t xml:space="preserve"> aránya </w:t>
            </w:r>
          </w:p>
        </w:tc>
        <w:tc>
          <w:tcPr>
            <w:tcW w:w="1275" w:type="dxa"/>
          </w:tcPr>
          <w:p w14:paraId="015BD6B4" w14:textId="58B3E17D" w:rsidR="00D83F43" w:rsidRDefault="00D83F43" w:rsidP="00FE27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0,461 </w:t>
            </w:r>
          </w:p>
        </w:tc>
        <w:tc>
          <w:tcPr>
            <w:tcW w:w="1560" w:type="dxa"/>
          </w:tcPr>
          <w:p w14:paraId="7B13E43B" w14:textId="77777777" w:rsidR="00D83F43" w:rsidRDefault="00D83F43" w:rsidP="003F7C4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0,270*** </w:t>
            </w:r>
          </w:p>
          <w:p w14:paraId="3B48652C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F23F033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0,410 </w:t>
            </w:r>
          </w:p>
          <w:p w14:paraId="635E2226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1438" w:type="dxa"/>
          </w:tcPr>
          <w:p w14:paraId="06D64744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0,291** </w:t>
            </w:r>
          </w:p>
          <w:p w14:paraId="2D50F6F4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06" w:type="dxa"/>
          </w:tcPr>
          <w:p w14:paraId="60EB34A2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0,321** </w:t>
            </w:r>
          </w:p>
          <w:p w14:paraId="161EBEBE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</w:p>
        </w:tc>
      </w:tr>
      <w:tr w:rsidR="00D83F43" w14:paraId="30C4CC0B" w14:textId="77777777" w:rsidTr="00F827EA">
        <w:tc>
          <w:tcPr>
            <w:tcW w:w="2122" w:type="dxa"/>
          </w:tcPr>
          <w:p w14:paraId="6ED7C43A" w14:textId="77777777" w:rsidR="00D83F43" w:rsidRPr="00146F0A" w:rsidRDefault="00D83F43" w:rsidP="00B16A88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Kockázati arány </w:t>
            </w:r>
          </w:p>
          <w:p w14:paraId="668FCDD1" w14:textId="77777777" w:rsidR="00D83F43" w:rsidRPr="00146F0A" w:rsidRDefault="00D83F43" w:rsidP="00FE2742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323C86CD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08BEF4C3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0,51 </w:t>
            </w:r>
          </w:p>
          <w:p w14:paraId="20C07FD5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(0,40–0,66) </w:t>
            </w:r>
          </w:p>
        </w:tc>
        <w:tc>
          <w:tcPr>
            <w:tcW w:w="1275" w:type="dxa"/>
          </w:tcPr>
          <w:p w14:paraId="347DA987" w14:textId="77777777" w:rsidR="00D83F43" w:rsidRDefault="00D83F43">
            <w:pPr>
              <w:pStyle w:val="Default"/>
              <w:rPr>
                <w:szCs w:val="22"/>
              </w:rPr>
            </w:pPr>
          </w:p>
        </w:tc>
        <w:tc>
          <w:tcPr>
            <w:tcW w:w="1438" w:type="dxa"/>
          </w:tcPr>
          <w:p w14:paraId="7001A2A5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0,66 </w:t>
            </w:r>
          </w:p>
          <w:p w14:paraId="09C98C94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(0,51–0,86) </w:t>
            </w:r>
          </w:p>
        </w:tc>
        <w:tc>
          <w:tcPr>
            <w:tcW w:w="2106" w:type="dxa"/>
          </w:tcPr>
          <w:p w14:paraId="165227B6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0,71 </w:t>
            </w:r>
          </w:p>
          <w:p w14:paraId="68CA379F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(0,55–0,92) </w:t>
            </w:r>
          </w:p>
        </w:tc>
      </w:tr>
      <w:tr w:rsidR="00D83F43" w14:paraId="48310F6A" w14:textId="77777777" w:rsidTr="00F827EA">
        <w:tc>
          <w:tcPr>
            <w:tcW w:w="2122" w:type="dxa"/>
          </w:tcPr>
          <w:p w14:paraId="08D49073" w14:textId="432EE40F" w:rsidR="00D83F43" w:rsidRPr="00146F0A" w:rsidRDefault="00D83F43" w:rsidP="00B16A88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Megerősített, 12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hétig fennálló funkciózavar progressziót mutatók aránya </w:t>
            </w:r>
          </w:p>
        </w:tc>
        <w:tc>
          <w:tcPr>
            <w:tcW w:w="127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11"/>
            </w:tblGrid>
            <w:tr w:rsidR="00D83F43" w14:paraId="34AB0684" w14:textId="77777777">
              <w:trPr>
                <w:trHeight w:val="148"/>
              </w:trPr>
              <w:tc>
                <w:tcPr>
                  <w:tcW w:w="0" w:type="auto"/>
                </w:tcPr>
                <w:p w14:paraId="5DB64612" w14:textId="77777777" w:rsidR="00D83F43" w:rsidRDefault="00D83F43" w:rsidP="00FE2742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0,271 </w:t>
                  </w:r>
                </w:p>
              </w:tc>
            </w:tr>
          </w:tbl>
          <w:p w14:paraId="2025D7F6" w14:textId="77777777" w:rsidR="00D83F43" w:rsidRDefault="00D83F43" w:rsidP="00B16A88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66DAC252" w14:textId="77777777" w:rsidR="00D83F43" w:rsidRDefault="00D83F43" w:rsidP="00FE27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0,164** </w:t>
            </w:r>
          </w:p>
          <w:p w14:paraId="715DA857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275" w:type="dxa"/>
          </w:tcPr>
          <w:p w14:paraId="311008A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0,169 </w:t>
            </w:r>
          </w:p>
          <w:p w14:paraId="4F2953B9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7F7DC49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0,128</w:t>
            </w:r>
            <w:r w:rsidRPr="00146F0A">
              <w:rPr>
                <w:sz w:val="22"/>
                <w:szCs w:val="22"/>
                <w:vertAlign w:val="superscript"/>
              </w:rPr>
              <w:t>#</w:t>
            </w:r>
            <w:r>
              <w:rPr>
                <w:sz w:val="22"/>
                <w:szCs w:val="22"/>
              </w:rPr>
              <w:t xml:space="preserve"> </w:t>
            </w:r>
          </w:p>
          <w:p w14:paraId="16EC7DCD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2106" w:type="dxa"/>
          </w:tcPr>
          <w:p w14:paraId="09A2CEF5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0,156</w:t>
            </w:r>
            <w:r w:rsidRPr="00146F0A">
              <w:rPr>
                <w:sz w:val="22"/>
                <w:szCs w:val="22"/>
                <w:vertAlign w:val="superscript"/>
              </w:rPr>
              <w:t>#</w:t>
            </w:r>
            <w:r>
              <w:rPr>
                <w:sz w:val="22"/>
                <w:szCs w:val="22"/>
              </w:rPr>
              <w:t xml:space="preserve"> </w:t>
            </w:r>
          </w:p>
          <w:p w14:paraId="45EA4A4C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</w:tr>
      <w:tr w:rsidR="00D83F43" w14:paraId="10B13E14" w14:textId="77777777" w:rsidTr="00F827EA">
        <w:tc>
          <w:tcPr>
            <w:tcW w:w="2122" w:type="dxa"/>
          </w:tcPr>
          <w:p w14:paraId="1D292C21" w14:textId="77777777" w:rsidR="00D83F43" w:rsidRPr="00146F0A" w:rsidRDefault="00D83F43" w:rsidP="00B16A88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Kockázati arány </w:t>
            </w:r>
          </w:p>
          <w:p w14:paraId="4F8EA090" w14:textId="77777777" w:rsidR="00D83F43" w:rsidRPr="00146F0A" w:rsidRDefault="00D83F43" w:rsidP="00FE2742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2DB2A575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3982379F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0,62 </w:t>
            </w:r>
          </w:p>
          <w:p w14:paraId="539C987E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(0,44–0,87) </w:t>
            </w:r>
          </w:p>
        </w:tc>
        <w:tc>
          <w:tcPr>
            <w:tcW w:w="1275" w:type="dxa"/>
          </w:tcPr>
          <w:p w14:paraId="3992E96C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5411B14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0,79 </w:t>
            </w:r>
          </w:p>
          <w:p w14:paraId="45CB7B0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(0,52–1,19) </w:t>
            </w:r>
          </w:p>
        </w:tc>
        <w:tc>
          <w:tcPr>
            <w:tcW w:w="2106" w:type="dxa"/>
          </w:tcPr>
          <w:p w14:paraId="2A3B0A18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0,93 </w:t>
            </w:r>
          </w:p>
          <w:p w14:paraId="35FEF2B1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(0,63–1,37) </w:t>
            </w:r>
          </w:p>
        </w:tc>
      </w:tr>
      <w:tr w:rsidR="00D83F43" w14:paraId="45B83F66" w14:textId="77777777" w:rsidTr="00F827EA">
        <w:tc>
          <w:tcPr>
            <w:tcW w:w="2122" w:type="dxa"/>
          </w:tcPr>
          <w:p w14:paraId="7AA74D91" w14:textId="78EFFE98" w:rsidR="00D83F43" w:rsidRPr="00146F0A" w:rsidRDefault="00D83F43" w:rsidP="00B16A88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Megerősített, 24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hétig fennálló funkciózavar progressziót mutatók aránya </w:t>
            </w:r>
          </w:p>
        </w:tc>
        <w:tc>
          <w:tcPr>
            <w:tcW w:w="1275" w:type="dxa"/>
          </w:tcPr>
          <w:p w14:paraId="7F57BEBD" w14:textId="77777777" w:rsidR="00D83F43" w:rsidRDefault="00D83F43" w:rsidP="00FE27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0,169 </w:t>
            </w:r>
          </w:p>
          <w:p w14:paraId="643D5DA8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213EDFC2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0,128</w:t>
            </w:r>
            <w:r w:rsidRPr="00D9091A">
              <w:rPr>
                <w:sz w:val="22"/>
                <w:szCs w:val="22"/>
                <w:vertAlign w:val="superscript"/>
              </w:rPr>
              <w:t>#</w:t>
            </w:r>
            <w:r>
              <w:rPr>
                <w:sz w:val="22"/>
                <w:szCs w:val="22"/>
              </w:rPr>
              <w:t xml:space="preserve"> </w:t>
            </w:r>
          </w:p>
          <w:p w14:paraId="041AD445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275" w:type="dxa"/>
          </w:tcPr>
          <w:p w14:paraId="144E16CA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0,125</w:t>
            </w:r>
          </w:p>
        </w:tc>
        <w:tc>
          <w:tcPr>
            <w:tcW w:w="1438" w:type="dxa"/>
          </w:tcPr>
          <w:p w14:paraId="12CCEDF2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0,078</w:t>
            </w:r>
            <w:r w:rsidRPr="00D9091A">
              <w:rPr>
                <w:sz w:val="22"/>
                <w:szCs w:val="22"/>
                <w:vertAlign w:val="superscript"/>
              </w:rPr>
              <w:t xml:space="preserve"># </w:t>
            </w:r>
          </w:p>
          <w:p w14:paraId="5AD116FB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2106" w:type="dxa"/>
          </w:tcPr>
          <w:p w14:paraId="226B929F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0,108</w:t>
            </w:r>
            <w:r w:rsidRPr="00D9091A">
              <w:rPr>
                <w:sz w:val="22"/>
                <w:szCs w:val="22"/>
                <w:vertAlign w:val="superscript"/>
              </w:rPr>
              <w:t xml:space="preserve"># </w:t>
            </w:r>
          </w:p>
          <w:p w14:paraId="13E4A5C5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</w:tr>
      <w:tr w:rsidR="00D83F43" w14:paraId="3BE7CF5D" w14:textId="77777777" w:rsidTr="00F827EA">
        <w:tc>
          <w:tcPr>
            <w:tcW w:w="2122" w:type="dxa"/>
          </w:tcPr>
          <w:p w14:paraId="4864F4CF" w14:textId="77777777" w:rsidR="00D83F43" w:rsidRPr="00146F0A" w:rsidRDefault="00D83F43" w:rsidP="00B16A88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Kockázati arány </w:t>
            </w:r>
          </w:p>
          <w:p w14:paraId="64109159" w14:textId="77777777" w:rsidR="00D83F43" w:rsidRPr="00146F0A" w:rsidRDefault="00D83F43" w:rsidP="00FE2742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6AA4EF9A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5488D2D7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0,77</w:t>
            </w:r>
          </w:p>
          <w:p w14:paraId="200D7187" w14:textId="77777777" w:rsidR="00D83F43" w:rsidRDefault="00D83F43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(0,52–1,14) </w:t>
            </w:r>
          </w:p>
        </w:tc>
        <w:tc>
          <w:tcPr>
            <w:tcW w:w="1275" w:type="dxa"/>
          </w:tcPr>
          <w:p w14:paraId="3EC8FF57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3FF88865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0,62</w:t>
            </w:r>
          </w:p>
          <w:p w14:paraId="3C9551B9" w14:textId="77777777" w:rsidR="00D83F43" w:rsidRDefault="00D83F43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>(0,37–1,03)</w:t>
            </w:r>
          </w:p>
        </w:tc>
        <w:tc>
          <w:tcPr>
            <w:tcW w:w="2106" w:type="dxa"/>
          </w:tcPr>
          <w:p w14:paraId="476D078A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0,87 </w:t>
            </w:r>
          </w:p>
          <w:p w14:paraId="3CC71119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(0,55–1,38) </w:t>
            </w:r>
          </w:p>
        </w:tc>
      </w:tr>
      <w:tr w:rsidR="00D83F43" w14:paraId="6567F2C2" w14:textId="77777777" w:rsidTr="00F827EA">
        <w:tc>
          <w:tcPr>
            <w:tcW w:w="2122" w:type="dxa"/>
          </w:tcPr>
          <w:p w14:paraId="470AF01C" w14:textId="77777777" w:rsidR="00D83F43" w:rsidRPr="00146F0A" w:rsidRDefault="00D83F43" w:rsidP="00B16A88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b/>
                <w:bCs/>
                <w:sz w:val="22"/>
                <w:szCs w:val="22"/>
                <w:lang w:val="hu-HU"/>
              </w:rPr>
              <w:t>MR-végpontok</w:t>
            </w:r>
            <w:r w:rsidRPr="00146F0A">
              <w:rPr>
                <w:b/>
                <w:bCs/>
                <w:sz w:val="22"/>
                <w:szCs w:val="22"/>
                <w:vertAlign w:val="superscript"/>
                <w:lang w:val="hu-HU"/>
              </w:rPr>
              <w:t xml:space="preserve"> b </w:t>
            </w:r>
          </w:p>
        </w:tc>
        <w:tc>
          <w:tcPr>
            <w:tcW w:w="7654" w:type="dxa"/>
            <w:gridSpan w:val="5"/>
          </w:tcPr>
          <w:p w14:paraId="09AA4D66" w14:textId="77777777" w:rsidR="00D83F43" w:rsidRDefault="00D83F43" w:rsidP="00FE2742">
            <w:pPr>
              <w:spacing w:line="240" w:lineRule="auto"/>
              <w:rPr>
                <w:szCs w:val="22"/>
              </w:rPr>
            </w:pPr>
          </w:p>
        </w:tc>
      </w:tr>
      <w:tr w:rsidR="00D83F43" w14:paraId="72FB2B46" w14:textId="77777777" w:rsidTr="00F827EA">
        <w:tc>
          <w:tcPr>
            <w:tcW w:w="2122" w:type="dxa"/>
          </w:tcPr>
          <w:p w14:paraId="5FD8D8DD" w14:textId="77777777" w:rsidR="00D83F43" w:rsidRPr="00146F0A" w:rsidRDefault="00D83F43" w:rsidP="00B16A88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Betegek száma </w:t>
            </w:r>
          </w:p>
        </w:tc>
        <w:tc>
          <w:tcPr>
            <w:tcW w:w="1275" w:type="dxa"/>
          </w:tcPr>
          <w:p w14:paraId="1D046EB4" w14:textId="77777777" w:rsidR="00D83F43" w:rsidRDefault="00D83F43" w:rsidP="00FE2742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165</w:t>
            </w:r>
          </w:p>
        </w:tc>
        <w:tc>
          <w:tcPr>
            <w:tcW w:w="1560" w:type="dxa"/>
          </w:tcPr>
          <w:p w14:paraId="4E17AFC1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152</w:t>
            </w:r>
          </w:p>
        </w:tc>
        <w:tc>
          <w:tcPr>
            <w:tcW w:w="1275" w:type="dxa"/>
          </w:tcPr>
          <w:p w14:paraId="7DBE5A1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144</w:t>
            </w:r>
          </w:p>
        </w:tc>
        <w:tc>
          <w:tcPr>
            <w:tcW w:w="1438" w:type="dxa"/>
          </w:tcPr>
          <w:p w14:paraId="0A927860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147</w:t>
            </w:r>
          </w:p>
        </w:tc>
        <w:tc>
          <w:tcPr>
            <w:tcW w:w="2106" w:type="dxa"/>
          </w:tcPr>
          <w:p w14:paraId="3020BCE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161</w:t>
            </w:r>
          </w:p>
        </w:tc>
      </w:tr>
      <w:tr w:rsidR="00D83F43" w14:paraId="79499D5D" w14:textId="77777777" w:rsidTr="00F827EA">
        <w:tc>
          <w:tcPr>
            <w:tcW w:w="2122" w:type="dxa"/>
          </w:tcPr>
          <w:p w14:paraId="28B82254" w14:textId="2A0703AF" w:rsidR="00D83F43" w:rsidRPr="00146F0A" w:rsidRDefault="00D83F43" w:rsidP="00B16A88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Új vagy újonnan növekvő T2-léziók számának átlaga (középértéke) 2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év alatt </w:t>
            </w:r>
          </w:p>
        </w:tc>
        <w:tc>
          <w:tcPr>
            <w:tcW w:w="1275" w:type="dxa"/>
          </w:tcPr>
          <w:p w14:paraId="3B09BAC5" w14:textId="77777777" w:rsidR="00D83F43" w:rsidRDefault="00D83F43" w:rsidP="00FE27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16,5 </w:t>
            </w:r>
          </w:p>
          <w:p w14:paraId="7F4EF1A0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(7,0) </w:t>
            </w:r>
          </w:p>
        </w:tc>
        <w:tc>
          <w:tcPr>
            <w:tcW w:w="1560" w:type="dxa"/>
          </w:tcPr>
          <w:p w14:paraId="12989411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3,2 </w:t>
            </w:r>
          </w:p>
          <w:p w14:paraId="02751D48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(1,0)*** </w:t>
            </w:r>
          </w:p>
        </w:tc>
        <w:tc>
          <w:tcPr>
            <w:tcW w:w="1275" w:type="dxa"/>
          </w:tcPr>
          <w:p w14:paraId="61F1031C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19,9 </w:t>
            </w:r>
          </w:p>
          <w:p w14:paraId="76112C9A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(11,0) </w:t>
            </w:r>
          </w:p>
        </w:tc>
        <w:tc>
          <w:tcPr>
            <w:tcW w:w="1438" w:type="dxa"/>
          </w:tcPr>
          <w:p w14:paraId="0BE90237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5,7 </w:t>
            </w:r>
          </w:p>
          <w:p w14:paraId="0506AB9C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(2,0)*** </w:t>
            </w:r>
          </w:p>
        </w:tc>
        <w:tc>
          <w:tcPr>
            <w:tcW w:w="2106" w:type="dxa"/>
          </w:tcPr>
          <w:p w14:paraId="6BF238EA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9,6 </w:t>
            </w:r>
          </w:p>
          <w:p w14:paraId="467E6085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(3,0)*** </w:t>
            </w:r>
          </w:p>
        </w:tc>
      </w:tr>
      <w:tr w:rsidR="00D83F43" w14:paraId="54F15BB5" w14:textId="77777777" w:rsidTr="00F827EA">
        <w:tc>
          <w:tcPr>
            <w:tcW w:w="2122" w:type="dxa"/>
          </w:tcPr>
          <w:p w14:paraId="1826EAD4" w14:textId="77777777" w:rsidR="00D83F43" w:rsidRPr="00146F0A" w:rsidRDefault="00D83F43" w:rsidP="00B16A88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Léziók arányának átlaga </w:t>
            </w:r>
          </w:p>
          <w:p w14:paraId="280B8C2D" w14:textId="77777777" w:rsidR="00D83F43" w:rsidRPr="00146F0A" w:rsidRDefault="00D83F43" w:rsidP="00FE2742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5E0D66EC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43325E00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0,15 </w:t>
            </w:r>
          </w:p>
          <w:p w14:paraId="7E4CFFE9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(0,10–0,23) </w:t>
            </w:r>
          </w:p>
        </w:tc>
        <w:tc>
          <w:tcPr>
            <w:tcW w:w="1275" w:type="dxa"/>
          </w:tcPr>
          <w:p w14:paraId="6B028CA5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5BDA91A6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0,29 </w:t>
            </w:r>
          </w:p>
          <w:p w14:paraId="6B1262F2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(0,21–0,41) </w:t>
            </w:r>
          </w:p>
        </w:tc>
        <w:tc>
          <w:tcPr>
            <w:tcW w:w="2106" w:type="dxa"/>
          </w:tcPr>
          <w:p w14:paraId="3B6ACF5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0,46 </w:t>
            </w:r>
          </w:p>
          <w:p w14:paraId="0BA1B03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(0,33–0,63) </w:t>
            </w:r>
          </w:p>
        </w:tc>
      </w:tr>
      <w:tr w:rsidR="00D83F43" w14:paraId="0A9AF237" w14:textId="77777777" w:rsidTr="00F827EA">
        <w:tc>
          <w:tcPr>
            <w:tcW w:w="2122" w:type="dxa"/>
          </w:tcPr>
          <w:p w14:paraId="4A581E06" w14:textId="6A250ACB" w:rsidR="00D83F43" w:rsidRPr="00146F0A" w:rsidRDefault="00D83F43" w:rsidP="00B16A88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A Gd léziók számának átlaga (középértéke) a 2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év alatt </w:t>
            </w:r>
          </w:p>
        </w:tc>
        <w:tc>
          <w:tcPr>
            <w:tcW w:w="1275" w:type="dxa"/>
          </w:tcPr>
          <w:p w14:paraId="31849BE8" w14:textId="77777777" w:rsidR="00D83F43" w:rsidRDefault="00D83F43" w:rsidP="00FE27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1,8 </w:t>
            </w:r>
          </w:p>
          <w:p w14:paraId="475DD0F2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(0) </w:t>
            </w:r>
          </w:p>
        </w:tc>
        <w:tc>
          <w:tcPr>
            <w:tcW w:w="1560" w:type="dxa"/>
          </w:tcPr>
          <w:p w14:paraId="7525C08F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 </w:t>
            </w:r>
          </w:p>
          <w:p w14:paraId="4459165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(0)*** </w:t>
            </w:r>
          </w:p>
        </w:tc>
        <w:tc>
          <w:tcPr>
            <w:tcW w:w="1275" w:type="dxa"/>
          </w:tcPr>
          <w:p w14:paraId="28BA490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</w:t>
            </w:r>
          </w:p>
          <w:p w14:paraId="0D90EB2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(0,0) </w:t>
            </w:r>
          </w:p>
        </w:tc>
        <w:tc>
          <w:tcPr>
            <w:tcW w:w="1438" w:type="dxa"/>
          </w:tcPr>
          <w:p w14:paraId="0B9963C7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</w:t>
            </w:r>
          </w:p>
          <w:p w14:paraId="16957667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(0,0)*** </w:t>
            </w:r>
          </w:p>
        </w:tc>
        <w:tc>
          <w:tcPr>
            <w:tcW w:w="2106" w:type="dxa"/>
          </w:tcPr>
          <w:p w14:paraId="7EEC0E3A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 </w:t>
            </w:r>
          </w:p>
          <w:p w14:paraId="40EACBD8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(0,0)** </w:t>
            </w:r>
          </w:p>
        </w:tc>
      </w:tr>
      <w:tr w:rsidR="00D83F43" w14:paraId="3536CAFE" w14:textId="77777777" w:rsidTr="00F827EA">
        <w:tc>
          <w:tcPr>
            <w:tcW w:w="2122" w:type="dxa"/>
          </w:tcPr>
          <w:p w14:paraId="754AEC2A" w14:textId="77777777" w:rsidR="00D83F43" w:rsidRPr="00146F0A" w:rsidRDefault="00D83F43" w:rsidP="00B16A88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Esélyhányados </w:t>
            </w:r>
          </w:p>
          <w:p w14:paraId="5652EC56" w14:textId="77777777" w:rsidR="00D83F43" w:rsidRPr="00146F0A" w:rsidRDefault="00D83F43" w:rsidP="00FE2742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46417A6E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5902A9F9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0,10 </w:t>
            </w:r>
          </w:p>
          <w:p w14:paraId="563F9165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(0,05–0,22) </w:t>
            </w:r>
          </w:p>
        </w:tc>
        <w:tc>
          <w:tcPr>
            <w:tcW w:w="1275" w:type="dxa"/>
          </w:tcPr>
          <w:p w14:paraId="5FB9A4A9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6FEEC07B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0,26 </w:t>
            </w:r>
          </w:p>
          <w:p w14:paraId="355B2DC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(0,15–0,46) </w:t>
            </w:r>
          </w:p>
        </w:tc>
        <w:tc>
          <w:tcPr>
            <w:tcW w:w="2106" w:type="dxa"/>
          </w:tcPr>
          <w:p w14:paraId="05F76E15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0,39 </w:t>
            </w:r>
          </w:p>
          <w:p w14:paraId="0046BFC0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(0,24–0,65) </w:t>
            </w:r>
          </w:p>
        </w:tc>
      </w:tr>
      <w:tr w:rsidR="00D83F43" w14:paraId="3AC85E6A" w14:textId="77777777" w:rsidTr="00F827EA">
        <w:tc>
          <w:tcPr>
            <w:tcW w:w="2122" w:type="dxa"/>
          </w:tcPr>
          <w:p w14:paraId="12164C7E" w14:textId="2A1BECC2" w:rsidR="00D83F43" w:rsidRPr="00146F0A" w:rsidRDefault="00D83F43" w:rsidP="00B16A88">
            <w:pPr>
              <w:pStyle w:val="Default"/>
              <w:rPr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>A 2</w:t>
            </w:r>
            <w:r w:rsidR="000A5FC7" w:rsidRPr="00687BC3">
              <w:t> </w:t>
            </w:r>
            <w:r w:rsidRPr="00146F0A">
              <w:rPr>
                <w:sz w:val="22"/>
                <w:szCs w:val="22"/>
                <w:lang w:val="hu-HU"/>
              </w:rPr>
              <w:t xml:space="preserve">év alatt újonnan kialakult hypointenzív T1-léziók számának átlaga (középértéke) </w:t>
            </w:r>
          </w:p>
        </w:tc>
        <w:tc>
          <w:tcPr>
            <w:tcW w:w="1275" w:type="dxa"/>
          </w:tcPr>
          <w:p w14:paraId="7C8133F1" w14:textId="77777777" w:rsidR="00D83F43" w:rsidRDefault="00D83F43" w:rsidP="00FE274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5,7 </w:t>
            </w:r>
          </w:p>
          <w:p w14:paraId="03B2B145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(2,0) </w:t>
            </w:r>
          </w:p>
        </w:tc>
        <w:tc>
          <w:tcPr>
            <w:tcW w:w="1560" w:type="dxa"/>
          </w:tcPr>
          <w:p w14:paraId="79475C56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</w:t>
            </w:r>
          </w:p>
          <w:p w14:paraId="41AE38E4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(1,0)*** </w:t>
            </w:r>
          </w:p>
        </w:tc>
        <w:tc>
          <w:tcPr>
            <w:tcW w:w="1275" w:type="dxa"/>
          </w:tcPr>
          <w:p w14:paraId="53C96129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8,1 </w:t>
            </w:r>
          </w:p>
          <w:p w14:paraId="6FA15608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(4,0) </w:t>
            </w:r>
          </w:p>
        </w:tc>
        <w:tc>
          <w:tcPr>
            <w:tcW w:w="1438" w:type="dxa"/>
          </w:tcPr>
          <w:p w14:paraId="1B6E5F94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3,8 </w:t>
            </w:r>
          </w:p>
          <w:p w14:paraId="74556F2E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(1,0)*** </w:t>
            </w:r>
          </w:p>
        </w:tc>
        <w:tc>
          <w:tcPr>
            <w:tcW w:w="2106" w:type="dxa"/>
          </w:tcPr>
          <w:p w14:paraId="0C971D51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4,5 </w:t>
            </w:r>
          </w:p>
          <w:p w14:paraId="1C4C6B98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(2,0)** </w:t>
            </w:r>
          </w:p>
        </w:tc>
      </w:tr>
      <w:tr w:rsidR="00D83F43" w14:paraId="46D74FFD" w14:textId="77777777" w:rsidTr="00F827EA">
        <w:tc>
          <w:tcPr>
            <w:tcW w:w="2122" w:type="dxa"/>
          </w:tcPr>
          <w:p w14:paraId="33DAEB30" w14:textId="77777777" w:rsidR="00D83F43" w:rsidRPr="00146F0A" w:rsidRDefault="00D83F43" w:rsidP="00B16A88">
            <w:pPr>
              <w:pStyle w:val="Default"/>
              <w:ind w:left="310"/>
              <w:rPr>
                <w:sz w:val="22"/>
                <w:szCs w:val="22"/>
                <w:lang w:val="hu-HU"/>
              </w:rPr>
            </w:pPr>
            <w:r w:rsidRPr="00146F0A">
              <w:rPr>
                <w:sz w:val="22"/>
                <w:szCs w:val="22"/>
                <w:lang w:val="hu-HU"/>
              </w:rPr>
              <w:t xml:space="preserve">Léziók arányának átlaga </w:t>
            </w:r>
          </w:p>
          <w:p w14:paraId="707D72BE" w14:textId="77777777" w:rsidR="00D83F43" w:rsidRPr="00146F0A" w:rsidRDefault="00D83F43" w:rsidP="00FE2742">
            <w:pPr>
              <w:spacing w:line="240" w:lineRule="auto"/>
              <w:ind w:left="310"/>
              <w:rPr>
                <w:szCs w:val="22"/>
              </w:rPr>
            </w:pPr>
            <w:r w:rsidRPr="00146F0A">
              <w:rPr>
                <w:szCs w:val="22"/>
              </w:rPr>
              <w:t xml:space="preserve">(95%-os CI) </w:t>
            </w:r>
          </w:p>
        </w:tc>
        <w:tc>
          <w:tcPr>
            <w:tcW w:w="1275" w:type="dxa"/>
          </w:tcPr>
          <w:p w14:paraId="17A7C8DB" w14:textId="77777777" w:rsidR="00D83F43" w:rsidRDefault="00D83F43" w:rsidP="003F7C47">
            <w:pPr>
              <w:spacing w:line="240" w:lineRule="auto"/>
              <w:rPr>
                <w:szCs w:val="22"/>
              </w:rPr>
            </w:pPr>
          </w:p>
        </w:tc>
        <w:tc>
          <w:tcPr>
            <w:tcW w:w="1560" w:type="dxa"/>
          </w:tcPr>
          <w:p w14:paraId="1AD12758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0,28 </w:t>
            </w:r>
          </w:p>
          <w:p w14:paraId="64DF0DC5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(0,20–0,39) </w:t>
            </w:r>
          </w:p>
        </w:tc>
        <w:tc>
          <w:tcPr>
            <w:tcW w:w="1275" w:type="dxa"/>
          </w:tcPr>
          <w:p w14:paraId="5C201E40" w14:textId="77777777" w:rsidR="00D83F43" w:rsidRDefault="00D83F43">
            <w:pPr>
              <w:spacing w:line="240" w:lineRule="auto"/>
              <w:rPr>
                <w:szCs w:val="22"/>
              </w:rPr>
            </w:pPr>
          </w:p>
        </w:tc>
        <w:tc>
          <w:tcPr>
            <w:tcW w:w="1438" w:type="dxa"/>
          </w:tcPr>
          <w:p w14:paraId="5735555D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0,43 </w:t>
            </w:r>
          </w:p>
          <w:p w14:paraId="3418C201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(0,30–0,61) </w:t>
            </w:r>
          </w:p>
        </w:tc>
        <w:tc>
          <w:tcPr>
            <w:tcW w:w="2106" w:type="dxa"/>
          </w:tcPr>
          <w:p w14:paraId="34D76573" w14:textId="77777777" w:rsidR="00D83F43" w:rsidRDefault="00D83F4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0,59 </w:t>
            </w:r>
          </w:p>
          <w:p w14:paraId="465BB263" w14:textId="77777777" w:rsidR="00D83F43" w:rsidRDefault="00D83F43">
            <w:pPr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 xml:space="preserve">(0,42–0,82) </w:t>
            </w:r>
          </w:p>
        </w:tc>
      </w:tr>
    </w:tbl>
    <w:p w14:paraId="4D247673" w14:textId="77777777" w:rsidR="00993BF7" w:rsidRDefault="00993BF7" w:rsidP="00B16A88">
      <w:pPr>
        <w:spacing w:line="240" w:lineRule="auto"/>
        <w:rPr>
          <w:szCs w:val="22"/>
        </w:rPr>
      </w:pPr>
    </w:p>
    <w:p w14:paraId="0AE0F5F1" w14:textId="5263C6B2" w:rsidR="00E64078" w:rsidRDefault="004B2CDE" w:rsidP="00B16A88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vertAlign w:val="superscript"/>
          <w:lang w:val="hu-HU"/>
        </w:rPr>
        <w:t>a</w:t>
      </w:r>
      <w:r w:rsidRPr="004B2CDE">
        <w:rPr>
          <w:sz w:val="22"/>
          <w:szCs w:val="22"/>
          <w:lang w:val="hu-HU"/>
        </w:rPr>
        <w:t xml:space="preserve">A klinikai végpontok összes analízise ITT (intention-to-treat, </w:t>
      </w:r>
      <w:r w:rsidR="00351065">
        <w:rPr>
          <w:sz w:val="22"/>
          <w:szCs w:val="22"/>
          <w:lang w:val="hu-HU"/>
        </w:rPr>
        <w:t>beválasztás szerinti</w:t>
      </w:r>
      <w:r w:rsidRPr="004B2CDE">
        <w:rPr>
          <w:sz w:val="22"/>
          <w:szCs w:val="22"/>
          <w:lang w:val="hu-HU"/>
        </w:rPr>
        <w:t xml:space="preserve">) </w:t>
      </w:r>
      <w:r w:rsidR="00351065">
        <w:rPr>
          <w:sz w:val="22"/>
          <w:szCs w:val="22"/>
          <w:lang w:val="hu-HU"/>
        </w:rPr>
        <w:t>populációban</w:t>
      </w:r>
      <w:r w:rsidR="00351065" w:rsidRPr="004B2CDE">
        <w:rPr>
          <w:sz w:val="22"/>
          <w:szCs w:val="22"/>
          <w:lang w:val="hu-HU"/>
        </w:rPr>
        <w:t xml:space="preserve"> </w:t>
      </w:r>
      <w:r w:rsidRPr="004B2CDE">
        <w:rPr>
          <w:sz w:val="22"/>
          <w:szCs w:val="22"/>
          <w:lang w:val="hu-HU"/>
        </w:rPr>
        <w:t xml:space="preserve">történt; </w:t>
      </w:r>
      <w:r w:rsidRPr="004B2CDE">
        <w:rPr>
          <w:sz w:val="22"/>
          <w:szCs w:val="22"/>
          <w:vertAlign w:val="superscript"/>
          <w:lang w:val="hu-HU"/>
        </w:rPr>
        <w:t>b</w:t>
      </w:r>
      <w:r w:rsidRPr="004B2CDE">
        <w:rPr>
          <w:sz w:val="22"/>
          <w:szCs w:val="22"/>
          <w:lang w:val="hu-HU"/>
        </w:rPr>
        <w:t xml:space="preserve">Az MR analízis MR-kohorsz alkalmazásával történt </w:t>
      </w:r>
    </w:p>
    <w:p w14:paraId="139728BF" w14:textId="7A37629B" w:rsidR="00D9091A" w:rsidRDefault="004B2CDE" w:rsidP="00FE2742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>*</w:t>
      </w:r>
      <w:r w:rsidR="00CD1BB0">
        <w:rPr>
          <w:sz w:val="22"/>
          <w:szCs w:val="22"/>
          <w:lang w:val="hu-HU"/>
        </w:rPr>
        <w:t>p</w:t>
      </w:r>
      <w:r w:rsidRPr="004B2CDE">
        <w:rPr>
          <w:sz w:val="22"/>
          <w:szCs w:val="22"/>
          <w:lang w:val="hu-HU"/>
        </w:rPr>
        <w:t xml:space="preserve">-érték </w:t>
      </w:r>
      <w:proofErr w:type="gramStart"/>
      <w:r w:rsidRPr="004B2CDE">
        <w:rPr>
          <w:sz w:val="22"/>
          <w:szCs w:val="22"/>
          <w:lang w:val="hu-HU"/>
        </w:rPr>
        <w:t>&lt; 0</w:t>
      </w:r>
      <w:proofErr w:type="gramEnd"/>
      <w:r w:rsidRPr="004B2CDE">
        <w:rPr>
          <w:sz w:val="22"/>
          <w:szCs w:val="22"/>
          <w:lang w:val="hu-HU"/>
        </w:rPr>
        <w:t>,05; **</w:t>
      </w:r>
      <w:r w:rsidR="00CD1BB0">
        <w:rPr>
          <w:sz w:val="22"/>
          <w:szCs w:val="22"/>
          <w:lang w:val="hu-HU"/>
        </w:rPr>
        <w:t>p</w:t>
      </w:r>
      <w:r w:rsidRPr="004B2CDE">
        <w:rPr>
          <w:sz w:val="22"/>
          <w:szCs w:val="22"/>
          <w:lang w:val="hu-HU"/>
        </w:rPr>
        <w:t>-érték &lt; 0,01; ***</w:t>
      </w:r>
      <w:r w:rsidR="00CD1BB0">
        <w:rPr>
          <w:sz w:val="22"/>
          <w:szCs w:val="22"/>
          <w:lang w:val="hu-HU"/>
        </w:rPr>
        <w:t>p</w:t>
      </w:r>
      <w:r w:rsidRPr="004B2CDE">
        <w:rPr>
          <w:sz w:val="22"/>
          <w:szCs w:val="22"/>
          <w:lang w:val="hu-HU"/>
        </w:rPr>
        <w:t>-érték &lt; 0,0001</w:t>
      </w:r>
    </w:p>
    <w:p w14:paraId="7347E20F" w14:textId="57488159" w:rsidR="004B2CDE" w:rsidRDefault="004B2CDE" w:rsidP="00FE2742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lastRenderedPageBreak/>
        <w:t xml:space="preserve"> </w:t>
      </w:r>
      <w:r w:rsidRPr="00D9091A">
        <w:rPr>
          <w:sz w:val="22"/>
          <w:szCs w:val="22"/>
          <w:vertAlign w:val="superscript"/>
          <w:lang w:val="hu-HU"/>
        </w:rPr>
        <w:t>#</w:t>
      </w:r>
      <w:proofErr w:type="gramStart"/>
      <w:r w:rsidRPr="004B2CDE">
        <w:rPr>
          <w:sz w:val="22"/>
          <w:szCs w:val="22"/>
          <w:lang w:val="hu-HU"/>
        </w:rPr>
        <w:t>statisztikailag</w:t>
      </w:r>
      <w:proofErr w:type="gramEnd"/>
      <w:r w:rsidRPr="004B2CDE">
        <w:rPr>
          <w:sz w:val="22"/>
          <w:szCs w:val="22"/>
          <w:lang w:val="hu-HU"/>
        </w:rPr>
        <w:t xml:space="preserve"> nem szignifikáns </w:t>
      </w:r>
    </w:p>
    <w:p w14:paraId="27B84C8A" w14:textId="77777777" w:rsidR="004B2CDE" w:rsidRPr="004B2CDE" w:rsidRDefault="004B2CDE" w:rsidP="003F7C47">
      <w:pPr>
        <w:pStyle w:val="Default"/>
        <w:rPr>
          <w:sz w:val="22"/>
          <w:szCs w:val="22"/>
          <w:lang w:val="hu-HU"/>
        </w:rPr>
      </w:pPr>
    </w:p>
    <w:p w14:paraId="645D23F8" w14:textId="5D127A47" w:rsid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>A kulcsfontosságú (pivotális) vizsgálatokból (DEFINE és CONFIRM) 1736 alkalmas RRSM-beteget vontak be egy nyílt elrendezésű, nem kontrollos, 8 éves kiterjesztett vizsgálatba (ENDORSE). A vizsgálat elsődleges célja a dimetil-fumarát hosszú távú biztonságosságának értékelése volt RRSM-ben szenvedő betegeknél. Az 1736</w:t>
      </w:r>
      <w:r w:rsidR="00D12046" w:rsidRPr="00687BC3">
        <w:t> </w:t>
      </w:r>
      <w:r w:rsidRPr="004B2CDE">
        <w:rPr>
          <w:sz w:val="22"/>
          <w:szCs w:val="22"/>
          <w:lang w:val="hu-HU"/>
        </w:rPr>
        <w:t>beteg kb. felét (909, 52%) legalább 6 évig kezelték. A 3 vizsgálatban 501 beteget kezeltek folyamatosan 240 mg dimetil-fumaráttal naponta kétszer, és 249 beteg, akiket korábban a DEFINE és a CONFIRM vizsgálatokban placebóval kezeltek, az ENDORSE vizsgálatban napi kétszeri 240</w:t>
      </w:r>
      <w:r w:rsidR="000A5FC7" w:rsidRPr="00687BC3">
        <w:t> </w:t>
      </w:r>
      <w:r w:rsidRPr="004B2CDE">
        <w:rPr>
          <w:sz w:val="22"/>
          <w:szCs w:val="22"/>
          <w:lang w:val="hu-HU"/>
        </w:rPr>
        <w:t>mg-os kezelést kapott. A folyamatosan napi kétszeri kezelésben részesült betegeket legfeljebb 12</w:t>
      </w:r>
      <w:r w:rsidR="000A5FC7" w:rsidRPr="00687BC3">
        <w:t> </w:t>
      </w:r>
      <w:r w:rsidRPr="004B2CDE">
        <w:rPr>
          <w:sz w:val="22"/>
          <w:szCs w:val="22"/>
          <w:lang w:val="hu-HU"/>
        </w:rPr>
        <w:t xml:space="preserve">évig kezelték. </w:t>
      </w:r>
    </w:p>
    <w:p w14:paraId="1A4BA061" w14:textId="28E9E5D0" w:rsid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>Az ENDORSE vizsgálat során a naponta kétszer 240</w:t>
      </w:r>
      <w:r w:rsidR="00D12046" w:rsidRPr="00687BC3">
        <w:t> </w:t>
      </w:r>
      <w:r w:rsidRPr="004B2CDE">
        <w:rPr>
          <w:sz w:val="22"/>
          <w:szCs w:val="22"/>
          <w:lang w:val="hu-HU"/>
        </w:rPr>
        <w:t xml:space="preserve">mg dimetil-fumaráttal kezelt betegek több mint felénél nem lépett fel relapszus. A 3 vizsgálatban folyamatosan, naponta kétszer kezelt betegek esetében a korrigált ARR 0,187 volt (95%-os CI: [0,156–0,224]) a DEFINE és CONFIRM vizsgálatokban, és 0,141 (95%-os CI: [0,119–0,167]) az ENDORSE vizsgálatban. A korábban placebóval kezelt betegek esetében a DEFINE és CONFIRM vizsgálatokban számított korrigált ARR 0,330-ról (95%-os CI: [0,266–0,408]) 0,149-re csökkent (95%-os CI: [0,116–0,190]) az ENDORSE vizsgálatban. </w:t>
      </w:r>
    </w:p>
    <w:p w14:paraId="62547776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</w:p>
    <w:p w14:paraId="5D77DBFB" w14:textId="3022253F" w:rsid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>Az ENDORSE vizsgálatban a betegek többségénél (&gt; 75%) nem igazoltak funkciózavar-progressziót (a funkciózavar-progresszió folyamatos fennállása 6</w:t>
      </w:r>
      <w:r w:rsidR="00D12046" w:rsidRPr="00687BC3">
        <w:t> </w:t>
      </w:r>
      <w:r w:rsidRPr="004B2CDE">
        <w:rPr>
          <w:sz w:val="22"/>
          <w:szCs w:val="22"/>
          <w:lang w:val="hu-HU"/>
        </w:rPr>
        <w:t xml:space="preserve">hónapon keresztül). A három vizsgálat összesített eredményei azt mutatták, hogy a dimetil-fumaráttal kezelt betegeknél a megerősített funkciózavar-progresszió aránya konzisztens és alacsony volt, az ENDORSE vizsgálatban pedig a betegek átlagos EDSS pontszámai enyhén emelkedtek. Az MR-értékelések (a 6. évig, 752 olyan betegnél, akik korábban a DEFINE és CONFIRM vizsgálatok MR-vizsgálati kohorszába tartoztak) azt mutatták, hogy a betegek többségénél (körülbelül 90%-uknál) nem volt Gd-dúsulással járó lézió. A 6 év alatt az új vagy újonnan növekvő T2-léziók, valamint az új T1-léziók számának éves korrigált átlaga (középértéke) alacsony maradt. </w:t>
      </w:r>
    </w:p>
    <w:p w14:paraId="5A3F1E86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</w:p>
    <w:p w14:paraId="4282DB90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 xml:space="preserve">Hatásosság a magas aktivitású betegségben szenvedő betegeknél: </w:t>
      </w:r>
    </w:p>
    <w:p w14:paraId="312DF7D5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 xml:space="preserve">A DEFINE és a CONFIRM vizsgálatokban a magas betegségaktivitású betegek alcsoportjában a kezelés konzisztensen befolyásolta a relapszusokat, míg a 3 hónapig fennálló funkciózavar-progresszióig eltelt időre gyakorolt hatást nem sikerült egyértelműen meghatározni. A vizsgálatok elrendezése miatt a következőképpen határozták meg a magas betegségaktivitást: </w:t>
      </w:r>
    </w:p>
    <w:p w14:paraId="4B897C06" w14:textId="09824FF1" w:rsidR="004B2CDE" w:rsidRPr="004B2CDE" w:rsidRDefault="004B2CDE">
      <w:pPr>
        <w:pStyle w:val="Default"/>
        <w:ind w:left="720" w:hanging="720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 xml:space="preserve">- </w:t>
      </w:r>
      <w:r>
        <w:rPr>
          <w:sz w:val="22"/>
          <w:szCs w:val="22"/>
          <w:lang w:val="hu-HU"/>
        </w:rPr>
        <w:tab/>
      </w:r>
      <w:r w:rsidRPr="004B2CDE">
        <w:rPr>
          <w:sz w:val="22"/>
          <w:szCs w:val="22"/>
          <w:lang w:val="hu-HU"/>
        </w:rPr>
        <w:t>a betegnél 2 vagy több relapszus jelentkezik egy év alatt, és egy vagy több Gd-dúsulással járó lézió látható az agyról készített MR</w:t>
      </w:r>
      <w:r w:rsidR="00D12046">
        <w:rPr>
          <w:sz w:val="22"/>
          <w:szCs w:val="22"/>
          <w:lang w:val="hu-HU"/>
        </w:rPr>
        <w:t>-</w:t>
      </w:r>
      <w:r w:rsidRPr="004B2CDE">
        <w:rPr>
          <w:sz w:val="22"/>
          <w:szCs w:val="22"/>
          <w:lang w:val="hu-HU"/>
        </w:rPr>
        <w:t xml:space="preserve">felvételen (n = 42 a DEFINE, n = 51 a CONFIRM vizsgálatban), vagy </w:t>
      </w:r>
    </w:p>
    <w:p w14:paraId="7467BD41" w14:textId="674193E9" w:rsidR="004B2CDE" w:rsidRPr="004B2CDE" w:rsidRDefault="004B2CDE">
      <w:pPr>
        <w:pStyle w:val="Default"/>
        <w:ind w:left="720" w:hanging="720"/>
        <w:rPr>
          <w:sz w:val="22"/>
          <w:szCs w:val="22"/>
          <w:lang w:val="hu-HU"/>
        </w:rPr>
      </w:pPr>
      <w:r w:rsidRPr="004B2CDE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r w:rsidRPr="004B2CDE">
        <w:rPr>
          <w:sz w:val="22"/>
          <w:szCs w:val="22"/>
          <w:lang w:val="hu-HU"/>
        </w:rPr>
        <w:t xml:space="preserve">a beteg nem reagál egy teljes és megfelelő (legalább egy évig tartó) béta-interferon kezelésre, legalább 1 relapszusa volt az előző évben a kezelés mellett, és legalább 9, T2-hiperintenzitású lézió vagy legalább 1 Gd-dúsulással járó lézió látható a cranialis MR-felvételen, vagy a beteg relapszusrátája az előző évben nem változott vagy emelkedett a megelőző 2 évhez képest (n = 177 a DEFINE, n = 141 a CONFIRM vizsgálatban). </w:t>
      </w:r>
    </w:p>
    <w:p w14:paraId="4AD466F7" w14:textId="77777777" w:rsidR="004B2CDE" w:rsidRPr="004B2CDE" w:rsidRDefault="004B2CDE">
      <w:pPr>
        <w:pStyle w:val="Default"/>
        <w:rPr>
          <w:sz w:val="22"/>
          <w:szCs w:val="22"/>
          <w:lang w:val="hu-HU"/>
        </w:rPr>
      </w:pPr>
    </w:p>
    <w:p w14:paraId="517EF16A" w14:textId="77777777" w:rsidR="00993BF7" w:rsidRPr="004B2CDE" w:rsidRDefault="004B2CDE">
      <w:pPr>
        <w:spacing w:line="240" w:lineRule="auto"/>
        <w:rPr>
          <w:szCs w:val="22"/>
          <w:u w:val="single"/>
        </w:rPr>
      </w:pPr>
      <w:r w:rsidRPr="004B2CDE">
        <w:rPr>
          <w:szCs w:val="22"/>
          <w:u w:val="single"/>
        </w:rPr>
        <w:t>Gyermekek és serdülők</w:t>
      </w:r>
    </w:p>
    <w:p w14:paraId="0E0047A0" w14:textId="59D436CC" w:rsidR="00043CBA" w:rsidRDefault="00043CBA">
      <w:pPr>
        <w:pStyle w:val="Default"/>
        <w:rPr>
          <w:sz w:val="22"/>
          <w:szCs w:val="22"/>
          <w:lang w:val="hu-HU"/>
        </w:rPr>
      </w:pPr>
      <w:r w:rsidRPr="00043CBA">
        <w:rPr>
          <w:sz w:val="22"/>
          <w:szCs w:val="22"/>
          <w:lang w:val="hu-HU"/>
        </w:rPr>
        <w:t xml:space="preserve">A </w:t>
      </w:r>
      <w:r>
        <w:rPr>
          <w:sz w:val="22"/>
          <w:szCs w:val="22"/>
          <w:lang w:val="hu-HU"/>
        </w:rPr>
        <w:t>dimetil-fumarát</w:t>
      </w:r>
      <w:r w:rsidRPr="00043CBA">
        <w:rPr>
          <w:sz w:val="22"/>
          <w:szCs w:val="22"/>
          <w:lang w:val="hu-HU"/>
        </w:rPr>
        <w:t xml:space="preserve"> biztonságosságát és hatásosságát RRSM-ben szenvedő gyermekeknél és serdülőknél egy randomizált, nyílt elrendezésű, aktív kontrollos (béta-1a interferon), párhuzamos csoportos vizsgálatban értékelték, amelyben 10–</w:t>
      </w:r>
      <w:proofErr w:type="gramStart"/>
      <w:r w:rsidRPr="00043CBA">
        <w:rPr>
          <w:sz w:val="22"/>
          <w:szCs w:val="22"/>
          <w:lang w:val="hu-HU"/>
        </w:rPr>
        <w:t>&lt; 18</w:t>
      </w:r>
      <w:proofErr w:type="gramEnd"/>
      <w:r w:rsidR="00D12046" w:rsidRPr="00687BC3">
        <w:t> </w:t>
      </w:r>
      <w:r w:rsidRPr="00043CBA">
        <w:rPr>
          <w:sz w:val="22"/>
          <w:szCs w:val="22"/>
          <w:lang w:val="hu-HU"/>
        </w:rPr>
        <w:t xml:space="preserve">éves, RRSM-ben szenvedő gyermekek és serdülők vettek részt. Százötven beteget randomizáltak dimetil-fumarát-kezelésre (240 mg </w:t>
      </w:r>
      <w:r w:rsidRPr="00043CBA">
        <w:rPr>
          <w:i/>
          <w:iCs/>
          <w:sz w:val="22"/>
          <w:szCs w:val="22"/>
          <w:lang w:val="hu-HU"/>
        </w:rPr>
        <w:t>per os</w:t>
      </w:r>
      <w:r w:rsidRPr="00043CBA">
        <w:rPr>
          <w:sz w:val="22"/>
          <w:szCs w:val="22"/>
          <w:lang w:val="hu-HU"/>
        </w:rPr>
        <w:t>, naponta kétszer) vagy béta-1a interferon-kezelésre (30 mikrogramm im</w:t>
      </w:r>
      <w:proofErr w:type="gramStart"/>
      <w:r w:rsidRPr="00043CBA">
        <w:rPr>
          <w:sz w:val="22"/>
          <w:szCs w:val="22"/>
          <w:lang w:val="hu-HU"/>
        </w:rPr>
        <w:t>.,</w:t>
      </w:r>
      <w:proofErr w:type="gramEnd"/>
      <w:r w:rsidRPr="00043CBA">
        <w:rPr>
          <w:sz w:val="22"/>
          <w:szCs w:val="22"/>
          <w:lang w:val="hu-HU"/>
        </w:rPr>
        <w:t xml:space="preserve"> hetente egyszer) 96 héten keresztül. A vizsgálat elsődleges végpontja azoknak a betegeknek az aránya volt, akiknél a 96. héten nem találtak új vagy újonnan megnagyobbodott T2-hiperintenzív léziókat az agyi MR-felvételeken. A fő másodlagos végpont az új vagy újonnan megnagyobbodott T2-hiperintenzív léziók száma volt az agyi MR-felvételeken a 96. héten. Leíró statisztika kerül bemutatásra, mivel az elsődleges végpontra vonatkozóan előre nem terveztek megerősítő hipotézist. </w:t>
      </w:r>
    </w:p>
    <w:p w14:paraId="3BC88FFB" w14:textId="77777777" w:rsidR="00043CBA" w:rsidRPr="00043CBA" w:rsidRDefault="00043CBA">
      <w:pPr>
        <w:pStyle w:val="Default"/>
        <w:rPr>
          <w:sz w:val="22"/>
          <w:szCs w:val="22"/>
          <w:lang w:val="hu-HU"/>
        </w:rPr>
      </w:pPr>
    </w:p>
    <w:p w14:paraId="18485545" w14:textId="77777777" w:rsidR="00993BF7" w:rsidRPr="00043CBA" w:rsidRDefault="00043CBA">
      <w:pPr>
        <w:spacing w:line="240" w:lineRule="auto"/>
        <w:rPr>
          <w:szCs w:val="22"/>
        </w:rPr>
      </w:pPr>
      <w:r w:rsidRPr="00043CBA">
        <w:rPr>
          <w:szCs w:val="22"/>
        </w:rPr>
        <w:t xml:space="preserve">Az ITT-populációban azoknak a betegeknek az aránya, akiknél a kiinduláshoz viszonyítva a 96. héten nem volt észlelhető új vagy újonnan megnagyobbodott T2-lézió az MR-felvételen, 12,8% volt a dimetil-fumarát-csoportban és 2,8% a béta-1a interferon-csoportban. A kiinduláshoz viszonyítva az új vagy újonnan megnagyobbodott T2-léziók átlagos száma a 96. héten (amelyet a kiindulási T2-léziók </w:t>
      </w:r>
      <w:r w:rsidRPr="00043CBA">
        <w:rPr>
          <w:szCs w:val="22"/>
        </w:rPr>
        <w:lastRenderedPageBreak/>
        <w:t>számához és kiindulási életkorhoz igazítottak [ITT-populáció, az MR-vizsgálati eredményekkel nem rendelkező betegek kivételével]) 12,4 volt a dimetil-fumarát-csoportban, és 32,6 a béta-1a interferon-csoportban.</w:t>
      </w:r>
    </w:p>
    <w:p w14:paraId="29FBFDAD" w14:textId="77777777" w:rsidR="00993BF7" w:rsidRPr="00043CBA" w:rsidRDefault="00993BF7">
      <w:pPr>
        <w:spacing w:line="240" w:lineRule="auto"/>
        <w:rPr>
          <w:szCs w:val="22"/>
        </w:rPr>
      </w:pPr>
    </w:p>
    <w:p w14:paraId="433FA5DF" w14:textId="77777777" w:rsidR="00043CBA" w:rsidRPr="00043CBA" w:rsidRDefault="00043CBA">
      <w:pPr>
        <w:pStyle w:val="Default"/>
        <w:rPr>
          <w:sz w:val="22"/>
          <w:szCs w:val="22"/>
          <w:lang w:val="hu-HU"/>
        </w:rPr>
      </w:pPr>
      <w:r w:rsidRPr="00043CBA">
        <w:rPr>
          <w:sz w:val="22"/>
          <w:szCs w:val="22"/>
          <w:lang w:val="hu-HU"/>
        </w:rPr>
        <w:t xml:space="preserve">A 96 hetes, nyílt elrendezésű vizsgálati szakasz lezárásáig a klinikai relapszus valószínűsége a dimetil-fumarát-csoportban 34%, a béta-1a interferon-csoportban pedig 48% volt. </w:t>
      </w:r>
    </w:p>
    <w:p w14:paraId="7BCB358C" w14:textId="77777777" w:rsidR="00043CBA" w:rsidRPr="00043CBA" w:rsidRDefault="00043CBA">
      <w:pPr>
        <w:pStyle w:val="Default"/>
        <w:rPr>
          <w:sz w:val="22"/>
          <w:szCs w:val="22"/>
          <w:lang w:val="hu-HU"/>
        </w:rPr>
      </w:pPr>
    </w:p>
    <w:p w14:paraId="3DD23E63" w14:textId="6A91B2B9" w:rsidR="00993BF7" w:rsidRDefault="00043CBA">
      <w:pPr>
        <w:spacing w:line="240" w:lineRule="auto"/>
        <w:rPr>
          <w:szCs w:val="22"/>
        </w:rPr>
      </w:pPr>
      <w:r w:rsidRPr="00043CBA">
        <w:rPr>
          <w:szCs w:val="22"/>
        </w:rPr>
        <w:t xml:space="preserve">A </w:t>
      </w:r>
      <w:r>
        <w:rPr>
          <w:szCs w:val="22"/>
        </w:rPr>
        <w:t>dimetil-fumaráttal</w:t>
      </w:r>
      <w:r w:rsidRPr="00043CBA">
        <w:rPr>
          <w:szCs w:val="22"/>
        </w:rPr>
        <w:t xml:space="preserve"> kezelt (13–&lt;</w:t>
      </w:r>
      <w:r w:rsidR="003E0BFC" w:rsidRPr="00687BC3">
        <w:t> </w:t>
      </w:r>
      <w:r w:rsidRPr="00043CBA">
        <w:rPr>
          <w:szCs w:val="22"/>
        </w:rPr>
        <w:t>18 éves) gyermekek és serdülők biztonságossági profilja minőségileg megegyezett a felnőtt betegeknél korábban megfigyeltekkel (lásd 4.8</w:t>
      </w:r>
      <w:r w:rsidR="0020172A" w:rsidRPr="00687BC3">
        <w:t> </w:t>
      </w:r>
      <w:r w:rsidRPr="00043CBA">
        <w:rPr>
          <w:szCs w:val="22"/>
        </w:rPr>
        <w:t>pont).</w:t>
      </w:r>
    </w:p>
    <w:p w14:paraId="3023C08F" w14:textId="77777777" w:rsidR="00C11476" w:rsidRPr="00043CBA" w:rsidRDefault="00C11476">
      <w:pPr>
        <w:spacing w:line="240" w:lineRule="auto"/>
        <w:rPr>
          <w:szCs w:val="22"/>
        </w:rPr>
      </w:pPr>
    </w:p>
    <w:p w14:paraId="4E2F71FB" w14:textId="669F0311" w:rsidR="00F45C51" w:rsidRDefault="00192777">
      <w:pPr>
        <w:spacing w:line="240" w:lineRule="auto"/>
        <w:ind w:left="567" w:hanging="567"/>
        <w:outlineLvl w:val="0"/>
        <w:rPr>
          <w:b/>
        </w:rPr>
      </w:pPr>
      <w:r w:rsidRPr="00F06234">
        <w:rPr>
          <w:b/>
        </w:rPr>
        <w:t>5.2</w:t>
      </w:r>
      <w:r w:rsidRPr="00F06234">
        <w:rPr>
          <w:b/>
        </w:rPr>
        <w:tab/>
        <w:t>Farmakokinetikai tulajdonságok</w:t>
      </w:r>
    </w:p>
    <w:p w14:paraId="7D458A33" w14:textId="77777777" w:rsidR="00C11476" w:rsidRDefault="00C11476">
      <w:pPr>
        <w:spacing w:line="240" w:lineRule="auto"/>
        <w:ind w:left="567" w:hanging="567"/>
        <w:outlineLvl w:val="0"/>
        <w:rPr>
          <w:b/>
        </w:rPr>
      </w:pPr>
    </w:p>
    <w:p w14:paraId="319D18A8" w14:textId="77777777" w:rsidR="00043CBA" w:rsidRPr="00F06234" w:rsidRDefault="00043CBA">
      <w:pPr>
        <w:tabs>
          <w:tab w:val="clear" w:pos="567"/>
          <w:tab w:val="left" w:pos="0"/>
        </w:tabs>
        <w:spacing w:line="240" w:lineRule="auto"/>
        <w:outlineLvl w:val="0"/>
        <w:rPr>
          <w:b/>
        </w:rPr>
      </w:pPr>
      <w:r>
        <w:rPr>
          <w:szCs w:val="22"/>
        </w:rPr>
        <w:t>A szájon át alkalmazott dimetil-fumarát a keringésbe kerülés előtt gyors ütemű, észterázok általi hidrolízisen esik át, majd az elsődleges metabolitjává, monometil-fumaráttá alakul, ami szintén aktív anyag. A dimetil-fumarát szájon át történő bevételét követően nem határozható meg a dimetil-fumarát mennyisége a plazmában. Ezért a dimetil-fumarátra vonatkozó összes farmakokinetikai analízist a plazmában levő monometil-fumaráttal végezték. A farmakokinetikai adatokat sclerosis multiplexes betegektől és egészséges önkéntesektől nyerték.</w:t>
      </w:r>
    </w:p>
    <w:p w14:paraId="72C7B068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71C77BA4" w14:textId="77777777" w:rsidR="00F45C51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Felszívódás</w:t>
      </w:r>
    </w:p>
    <w:p w14:paraId="0CDF3825" w14:textId="728243A3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en-US"/>
        </w:rPr>
      </w:pPr>
      <w:r w:rsidRPr="00043CBA">
        <w:rPr>
          <w:noProof/>
          <w:szCs w:val="24"/>
          <w:lang w:val="en-US"/>
        </w:rPr>
        <w:t>A monometil-fumarát t</w:t>
      </w:r>
      <w:r w:rsidRPr="00043CBA">
        <w:rPr>
          <w:noProof/>
          <w:szCs w:val="24"/>
          <w:vertAlign w:val="subscript"/>
          <w:lang w:val="en-US"/>
        </w:rPr>
        <w:t>max</w:t>
      </w:r>
      <w:r w:rsidRPr="00043CBA">
        <w:rPr>
          <w:noProof/>
          <w:szCs w:val="24"/>
          <w:lang w:val="en-US"/>
        </w:rPr>
        <w:t xml:space="preserve"> értéke 2-2,5</w:t>
      </w:r>
      <w:r w:rsidR="00D12046" w:rsidRPr="00687BC3">
        <w:t> </w:t>
      </w:r>
      <w:r w:rsidRPr="00043CBA">
        <w:rPr>
          <w:noProof/>
          <w:szCs w:val="24"/>
          <w:lang w:val="en-US"/>
        </w:rPr>
        <w:t xml:space="preserve">óra. Mivel </w:t>
      </w:r>
      <w:r w:rsidRPr="00FD388B">
        <w:rPr>
          <w:noProof/>
          <w:szCs w:val="24"/>
          <w:lang w:val="en-US"/>
        </w:rPr>
        <w:t xml:space="preserve">a </w:t>
      </w:r>
      <w:r w:rsidR="00FD388B" w:rsidRPr="00FD388B">
        <w:rPr>
          <w:noProof/>
          <w:szCs w:val="24"/>
          <w:lang w:val="en-US"/>
        </w:rPr>
        <w:t>d</w:t>
      </w:r>
      <w:r w:rsidRPr="00FD388B">
        <w:rPr>
          <w:noProof/>
          <w:szCs w:val="24"/>
          <w:lang w:val="en-US"/>
        </w:rPr>
        <w:t>imetil-fumarát</w:t>
      </w:r>
      <w:r w:rsidR="00FD388B">
        <w:rPr>
          <w:noProof/>
          <w:szCs w:val="24"/>
          <w:lang w:val="en-US"/>
        </w:rPr>
        <w:t xml:space="preserve"> gyomornedv-ellenálló kemény kapszulák</w:t>
      </w:r>
      <w:r w:rsidRPr="00FD388B">
        <w:rPr>
          <w:noProof/>
          <w:szCs w:val="24"/>
          <w:lang w:val="en-US"/>
        </w:rPr>
        <w:t xml:space="preserve"> </w:t>
      </w:r>
      <w:r w:rsidR="00FD388B">
        <w:rPr>
          <w:noProof/>
          <w:szCs w:val="24"/>
          <w:lang w:val="en-US"/>
        </w:rPr>
        <w:t xml:space="preserve">gyomornedv-ellenálló </w:t>
      </w:r>
      <w:r w:rsidRPr="00FD388B">
        <w:rPr>
          <w:noProof/>
          <w:szCs w:val="24"/>
          <w:lang w:val="en-US"/>
        </w:rPr>
        <w:t>granulátumokat</w:t>
      </w:r>
      <w:r w:rsidRPr="00043CBA">
        <w:rPr>
          <w:noProof/>
          <w:szCs w:val="24"/>
          <w:lang w:val="en-US"/>
        </w:rPr>
        <w:t xml:space="preserve"> tartalmaznak, addig nem kezdődik meg a felszívódásuk, amíg el nem hagyják a gyomrot (ez általában kevesebb mint 1 órát vesz igénybe). </w:t>
      </w:r>
    </w:p>
    <w:p w14:paraId="6A7996C4" w14:textId="3FA5DA83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en-US"/>
        </w:rPr>
      </w:pPr>
      <w:r w:rsidRPr="00043CBA">
        <w:rPr>
          <w:noProof/>
          <w:szCs w:val="24"/>
          <w:lang w:val="en-US"/>
        </w:rPr>
        <w:t>Naponta kétszer 240</w:t>
      </w:r>
      <w:r w:rsidR="0020172A" w:rsidRPr="00687BC3">
        <w:t> </w:t>
      </w:r>
      <w:r w:rsidRPr="00043CBA">
        <w:rPr>
          <w:noProof/>
          <w:szCs w:val="24"/>
          <w:lang w:val="en-US"/>
        </w:rPr>
        <w:t>mg étellel történő bevételét követően a csúcsérték középértéke (C</w:t>
      </w:r>
      <w:r w:rsidRPr="00043CBA">
        <w:rPr>
          <w:noProof/>
          <w:szCs w:val="24"/>
          <w:vertAlign w:val="subscript"/>
          <w:lang w:val="en-US"/>
        </w:rPr>
        <w:t>max</w:t>
      </w:r>
      <w:r w:rsidRPr="00043CBA">
        <w:rPr>
          <w:noProof/>
          <w:szCs w:val="24"/>
          <w:lang w:val="en-US"/>
        </w:rPr>
        <w:t>) 1,72</w:t>
      </w:r>
      <w:r w:rsidR="0020172A" w:rsidRPr="00687BC3">
        <w:t> </w:t>
      </w:r>
      <w:r w:rsidRPr="00043CBA">
        <w:rPr>
          <w:noProof/>
          <w:szCs w:val="24"/>
          <w:lang w:val="en-US"/>
        </w:rPr>
        <w:t>mg/l, az összesített görbe alatti terület (AUC, area under the curve) expozíció pedig 8,02</w:t>
      </w:r>
      <w:r w:rsidR="0020172A" w:rsidRPr="00687BC3">
        <w:t> </w:t>
      </w:r>
      <w:r w:rsidRPr="00043CBA">
        <w:rPr>
          <w:noProof/>
          <w:szCs w:val="24"/>
          <w:lang w:val="en-US"/>
        </w:rPr>
        <w:t>óra×mg/l volt a sclerosis multiplexes betegek esetében. A dózistartomány-vizsgálatokban (120–360</w:t>
      </w:r>
      <w:r w:rsidR="0020172A" w:rsidRPr="00687BC3">
        <w:t> </w:t>
      </w:r>
      <w:r w:rsidRPr="00043CBA">
        <w:rPr>
          <w:noProof/>
          <w:szCs w:val="24"/>
          <w:lang w:val="en-US"/>
        </w:rPr>
        <w:t>mg) a C</w:t>
      </w:r>
      <w:r w:rsidRPr="00043CBA">
        <w:rPr>
          <w:noProof/>
          <w:szCs w:val="24"/>
          <w:vertAlign w:val="subscript"/>
          <w:lang w:val="en-US"/>
        </w:rPr>
        <w:t>max</w:t>
      </w:r>
      <w:r w:rsidRPr="00043CBA">
        <w:rPr>
          <w:noProof/>
          <w:szCs w:val="24"/>
          <w:lang w:val="en-US"/>
        </w:rPr>
        <w:t xml:space="preserve"> és az AUC általánosságban körülbelül a dózis emelésével arányosan emelkedett. Sclerosis multiplexben szenvedő betegeknél a napi háromszori adagolási rendben 4 órás kihagyás volt két 240</w:t>
      </w:r>
      <w:r w:rsidR="0020172A" w:rsidRPr="00687BC3">
        <w:t> </w:t>
      </w:r>
      <w:r w:rsidRPr="00043CBA">
        <w:rPr>
          <w:noProof/>
          <w:szCs w:val="24"/>
          <w:lang w:val="en-US"/>
        </w:rPr>
        <w:t>mg-os dózis beadása között. Ez az expozíció minimális mértékű felhalmozódását eredményezte, aminek következtében a C</w:t>
      </w:r>
      <w:r w:rsidRPr="00FD388B">
        <w:rPr>
          <w:noProof/>
          <w:szCs w:val="24"/>
          <w:vertAlign w:val="subscript"/>
          <w:lang w:val="en-US"/>
        </w:rPr>
        <w:t>max</w:t>
      </w:r>
      <w:r w:rsidRPr="00043CBA">
        <w:rPr>
          <w:noProof/>
          <w:szCs w:val="24"/>
          <w:lang w:val="en-US"/>
        </w:rPr>
        <w:t xml:space="preserve"> középértéke 12%-kal emelkedett a napi kétszeri adagoláshoz képest (1,72</w:t>
      </w:r>
      <w:r w:rsidR="0020172A" w:rsidRPr="00687BC3">
        <w:t> </w:t>
      </w:r>
      <w:r w:rsidRPr="00043CBA">
        <w:rPr>
          <w:noProof/>
          <w:szCs w:val="24"/>
          <w:lang w:val="en-US"/>
        </w:rPr>
        <w:t>mg/l a napi kétszeri adagolás esetében, a napi háromszori adagolás 1,93</w:t>
      </w:r>
      <w:r w:rsidR="0020172A" w:rsidRPr="00687BC3">
        <w:t> </w:t>
      </w:r>
      <w:r w:rsidRPr="00043CBA">
        <w:rPr>
          <w:noProof/>
          <w:szCs w:val="24"/>
          <w:lang w:val="en-US"/>
        </w:rPr>
        <w:t xml:space="preserve">mg/l-es értékével szemben), és ez nem befolyásolta a biztonságosságot. </w:t>
      </w:r>
    </w:p>
    <w:p w14:paraId="5599C74D" w14:textId="58BCA75C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</w:rPr>
      </w:pPr>
      <w:r w:rsidRPr="00043CBA">
        <w:rPr>
          <w:noProof/>
          <w:szCs w:val="24"/>
          <w:lang w:val="en-US"/>
        </w:rPr>
        <w:t>Az ételnek nincs klinikailag jelentős hatása a dimetil-fumarát expozíciójára. Azonban a dimetil-fumarátot a jobb tolerálhatóság miatt, tekintettel a kipirulásra vagy az emésztőrendszeri nemkívánatos eseményekre étellel kell bevenni (lásd 4.2</w:t>
      </w:r>
      <w:r w:rsidR="00345309" w:rsidRPr="00687BC3">
        <w:t> </w:t>
      </w:r>
      <w:r w:rsidRPr="00043CBA">
        <w:rPr>
          <w:noProof/>
          <w:szCs w:val="24"/>
          <w:lang w:val="en-US"/>
        </w:rPr>
        <w:t>pont).</w:t>
      </w:r>
    </w:p>
    <w:p w14:paraId="077FB69C" w14:textId="77777777" w:rsidR="00043CBA" w:rsidRPr="00F06234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</w:p>
    <w:p w14:paraId="498D25C9" w14:textId="77777777" w:rsidR="00F45C51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Eloszlás</w:t>
      </w:r>
    </w:p>
    <w:p w14:paraId="46EF62D1" w14:textId="586D511B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szCs w:val="22"/>
        </w:rPr>
        <w:t>240</w:t>
      </w:r>
      <w:r w:rsidR="007179F8" w:rsidRPr="00687BC3">
        <w:t> </w:t>
      </w:r>
      <w:r>
        <w:rPr>
          <w:szCs w:val="22"/>
        </w:rPr>
        <w:t>mg dimetil-fumarát szájon át történő bevételét követően a látszólagos eloszlási térfogat 60 l és 90 l között változik. A monometil-fumarát emberi plazmafehérjéhez történő kötődése általában 27% és 40% közé esik.</w:t>
      </w:r>
    </w:p>
    <w:p w14:paraId="68AEBAC0" w14:textId="77777777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</w:p>
    <w:p w14:paraId="123F34E4" w14:textId="77777777" w:rsidR="00F45C51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Biotranszformáció</w:t>
      </w:r>
    </w:p>
    <w:p w14:paraId="1DDCB9D7" w14:textId="77777777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szCs w:val="22"/>
        </w:rPr>
        <w:t xml:space="preserve">Az emberi szervezetben a dimetil-fumarát </w:t>
      </w:r>
      <w:proofErr w:type="gramStart"/>
      <w:r>
        <w:rPr>
          <w:szCs w:val="22"/>
        </w:rPr>
        <w:t>nagy mértékben</w:t>
      </w:r>
      <w:proofErr w:type="gramEnd"/>
      <w:r>
        <w:rPr>
          <w:szCs w:val="22"/>
        </w:rPr>
        <w:t xml:space="preserve"> metabolizálódik, a bevett adag kevesebb, mint 0,1%-a választódik ki a vizeletben változatlan dimetil-fumarát formában. A szisztémás keringésbe jutása előtt a vegyületet először észterázok metabolizálják, melyek egyaránt jelen vannak az emésztőrendszerben, a vérben és a szövetekben. További metabolizáción esik át trikarboxilsav-cikluson keresztül, de ebben nem játszik szerepet a citokróm P450 (CYP) rendszer. Egy egyszeri 240 mg-os </w:t>
      </w:r>
      <w:r w:rsidRPr="00043CBA">
        <w:rPr>
          <w:szCs w:val="22"/>
          <w:vertAlign w:val="superscript"/>
        </w:rPr>
        <w:t>14</w:t>
      </w:r>
      <w:r>
        <w:rPr>
          <w:szCs w:val="22"/>
        </w:rPr>
        <w:t>C-dimetil-fumarát adagolást elemző vizsgálatban az emberi plazmából a glükózt azonosították, mint predomináns metabolitot. A keringésben levő többi metabolit közé tartozik a fumársav, a citromsav és a monometil-fumarát. A fumársav folytatólagos (downstream) metabolizációja a trikarboxilsav-cikluson keresztül történik, és a CO</w:t>
      </w:r>
      <w:r w:rsidRPr="00043CBA">
        <w:rPr>
          <w:szCs w:val="22"/>
          <w:vertAlign w:val="subscript"/>
        </w:rPr>
        <w:t>2</w:t>
      </w:r>
      <w:r>
        <w:rPr>
          <w:sz w:val="14"/>
          <w:szCs w:val="14"/>
        </w:rPr>
        <w:t xml:space="preserve"> </w:t>
      </w:r>
      <w:r>
        <w:rPr>
          <w:szCs w:val="22"/>
        </w:rPr>
        <w:t>kilélegzése szolgál az elimináció elsődleges módjául.</w:t>
      </w:r>
    </w:p>
    <w:p w14:paraId="37D22A9F" w14:textId="77777777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</w:p>
    <w:p w14:paraId="14B9F479" w14:textId="77777777" w:rsidR="00F45C51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Elimináció</w:t>
      </w:r>
    </w:p>
    <w:p w14:paraId="3CE49036" w14:textId="77777777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</w:rPr>
      </w:pPr>
      <w:r w:rsidRPr="00043CBA">
        <w:rPr>
          <w:noProof/>
          <w:szCs w:val="24"/>
        </w:rPr>
        <w:t>A CO</w:t>
      </w:r>
      <w:r w:rsidRPr="00043CBA">
        <w:rPr>
          <w:noProof/>
          <w:szCs w:val="24"/>
          <w:vertAlign w:val="subscript"/>
        </w:rPr>
        <w:t>2</w:t>
      </w:r>
      <w:r w:rsidRPr="00043CBA">
        <w:rPr>
          <w:noProof/>
          <w:szCs w:val="24"/>
        </w:rPr>
        <w:t xml:space="preserve"> kilélegzése a dimetil-fumarát eliminációjának elsődleges útvonala, mely módon a bevitt adag 60%-a távozik. A veséken keresztül és a széklettel történő kiválasztás az elimináció másodlagos útjai, melyeken keresztül a bevitt dózis 15,5%-a (vese) és 0,9%-a (széklet) távozik.</w:t>
      </w:r>
    </w:p>
    <w:p w14:paraId="54D4BA0A" w14:textId="77777777" w:rsidR="0094777B" w:rsidRDefault="0094777B">
      <w:pPr>
        <w:numPr>
          <w:ilvl w:val="12"/>
          <w:numId w:val="0"/>
        </w:numPr>
        <w:spacing w:line="240" w:lineRule="auto"/>
        <w:ind w:right="-2"/>
        <w:rPr>
          <w:noProof/>
          <w:szCs w:val="24"/>
        </w:rPr>
      </w:pPr>
    </w:p>
    <w:p w14:paraId="277D41AF" w14:textId="1B7ABB29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</w:rPr>
      </w:pPr>
      <w:r>
        <w:rPr>
          <w:szCs w:val="22"/>
        </w:rPr>
        <w:lastRenderedPageBreak/>
        <w:t>A monometil-fumarát terminális felezési ideje rövid (körülbelül 1 óra), és 24</w:t>
      </w:r>
      <w:r w:rsidR="00345309" w:rsidRPr="00687BC3">
        <w:t> </w:t>
      </w:r>
      <w:r>
        <w:rPr>
          <w:szCs w:val="22"/>
        </w:rPr>
        <w:t xml:space="preserve">óra elteltével az emberek többségének keringésében a monometil-fumarát már nincs jelen. Terápiás adagolási rend esetén a </w:t>
      </w:r>
      <w:r w:rsidR="0094777B">
        <w:rPr>
          <w:szCs w:val="22"/>
        </w:rPr>
        <w:t xml:space="preserve">dimetil-fumarát </w:t>
      </w:r>
      <w:r>
        <w:rPr>
          <w:szCs w:val="22"/>
        </w:rPr>
        <w:t>vagy a monometil-fumarát nem halmozódik fel a dimetil-fumarát több dózisának bevétele esetén sem.</w:t>
      </w:r>
    </w:p>
    <w:p w14:paraId="0B4D96CB" w14:textId="77777777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</w:rPr>
      </w:pPr>
    </w:p>
    <w:p w14:paraId="3A9E9069" w14:textId="77777777" w:rsidR="00F45C51" w:rsidRDefault="00192777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 w:rsidRPr="00043CBA">
        <w:rPr>
          <w:noProof/>
          <w:szCs w:val="24"/>
          <w:u w:val="single"/>
        </w:rPr>
        <w:t>Linearitás</w:t>
      </w:r>
    </w:p>
    <w:p w14:paraId="7016DB7E" w14:textId="07DF2E54" w:rsid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  <w:r>
        <w:rPr>
          <w:szCs w:val="22"/>
        </w:rPr>
        <w:t>A vizsgált 120-360</w:t>
      </w:r>
      <w:r w:rsidR="007179F8" w:rsidRPr="00687BC3">
        <w:t> </w:t>
      </w:r>
      <w:r>
        <w:rPr>
          <w:szCs w:val="22"/>
        </w:rPr>
        <w:t>mg-os dózistartományban egy vagy több adag esetén a dimetil-fumarát-expozíció a bevett adaggal megközelítőleg arányosan emelkedik.</w:t>
      </w:r>
    </w:p>
    <w:p w14:paraId="37EF5853" w14:textId="77777777" w:rsidR="00043CBA" w:rsidRPr="00043CBA" w:rsidRDefault="00043CB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</w:rPr>
      </w:pPr>
    </w:p>
    <w:p w14:paraId="741C4330" w14:textId="77777777" w:rsidR="00F45C51" w:rsidRDefault="0091520A" w:rsidP="00F0442C">
      <w:pPr>
        <w:spacing w:line="240" w:lineRule="auto"/>
        <w:rPr>
          <w:noProof/>
          <w:szCs w:val="24"/>
          <w:u w:val="single"/>
        </w:rPr>
      </w:pPr>
      <w:r>
        <w:rPr>
          <w:noProof/>
          <w:szCs w:val="24"/>
          <w:u w:val="single"/>
        </w:rPr>
        <w:t>Farmakokinetika különleges betegcsoportoknál</w:t>
      </w:r>
    </w:p>
    <w:p w14:paraId="7B4A7CDF" w14:textId="77777777" w:rsidR="0091520A" w:rsidRDefault="0091520A" w:rsidP="00F0442C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t>A variancia-analízis (ANOVA) eredményei alapján a testtömeg az expozíció (C</w:t>
      </w:r>
      <w:r w:rsidRPr="0091520A">
        <w:rPr>
          <w:noProof/>
          <w:szCs w:val="24"/>
          <w:vertAlign w:val="subscript"/>
          <w:lang w:val="en-US"/>
        </w:rPr>
        <w:t>max</w:t>
      </w:r>
      <w:r w:rsidRPr="0091520A">
        <w:rPr>
          <w:noProof/>
          <w:szCs w:val="24"/>
          <w:lang w:val="en-US"/>
        </w:rPr>
        <w:t xml:space="preserve"> és AUC) fő kovariánsa RRSM-ben szenvedő betegek esetében, de ez nem befolyásolta a klinikai vizsgálatban mért biztonságossági és hatékonysági eredményeket. </w:t>
      </w:r>
    </w:p>
    <w:p w14:paraId="73A581B3" w14:textId="77777777" w:rsidR="0091520A" w:rsidRPr="0091520A" w:rsidRDefault="0091520A" w:rsidP="00F0442C">
      <w:pPr>
        <w:spacing w:line="240" w:lineRule="auto"/>
        <w:rPr>
          <w:noProof/>
          <w:szCs w:val="24"/>
          <w:lang w:val="en-US"/>
        </w:rPr>
      </w:pPr>
    </w:p>
    <w:p w14:paraId="2F6DB89F" w14:textId="180102B1" w:rsidR="0091520A" w:rsidRDefault="0091520A" w:rsidP="00F0442C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t>A nem és az életkor nem volt klinikailag jelentős hatással a dimetil-fumarát farmakokinetikájára. A farmakokinetikát 65</w:t>
      </w:r>
      <w:r w:rsidR="007179F8" w:rsidRPr="00687BC3">
        <w:t> </w:t>
      </w:r>
      <w:r w:rsidRPr="0091520A">
        <w:rPr>
          <w:noProof/>
          <w:szCs w:val="24"/>
          <w:lang w:val="en-US"/>
        </w:rPr>
        <w:t xml:space="preserve">éves vagy ennél idősebb betegeknél nem vizsgálták. </w:t>
      </w:r>
    </w:p>
    <w:p w14:paraId="1F508AB3" w14:textId="77777777" w:rsidR="0091520A" w:rsidRPr="0091520A" w:rsidRDefault="0091520A" w:rsidP="00F0442C">
      <w:pPr>
        <w:spacing w:line="240" w:lineRule="auto"/>
        <w:rPr>
          <w:noProof/>
          <w:szCs w:val="24"/>
          <w:lang w:val="en-US"/>
        </w:rPr>
      </w:pPr>
    </w:p>
    <w:p w14:paraId="49CE6C63" w14:textId="77777777" w:rsidR="0091520A" w:rsidRPr="0091520A" w:rsidRDefault="0091520A" w:rsidP="00F0442C">
      <w:pPr>
        <w:spacing w:line="240" w:lineRule="auto"/>
        <w:rPr>
          <w:noProof/>
          <w:szCs w:val="24"/>
          <w:lang w:val="en-US"/>
        </w:rPr>
      </w:pPr>
      <w:r w:rsidRPr="0091520A">
        <w:rPr>
          <w:i/>
          <w:iCs/>
          <w:noProof/>
          <w:szCs w:val="24"/>
          <w:lang w:val="en-US"/>
        </w:rPr>
        <w:t xml:space="preserve">Vesekárosodás </w:t>
      </w:r>
    </w:p>
    <w:p w14:paraId="0F20EC1B" w14:textId="77777777" w:rsidR="0091520A" w:rsidRDefault="0091520A" w:rsidP="00F0442C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t xml:space="preserve">Mivel a vese a dimetil-fumarát eliminációjának másodlagos útvonala, és a bevitt adag kevesebb, mint 16%-ának eltávolításáért felel, a farmakokinetikát nem vizsgálták vesekárosodásban szenvedő egyéneknél. </w:t>
      </w:r>
    </w:p>
    <w:p w14:paraId="7D0E8EFD" w14:textId="77777777" w:rsidR="0091520A" w:rsidRPr="0091520A" w:rsidRDefault="0091520A" w:rsidP="00F0442C">
      <w:pPr>
        <w:spacing w:line="240" w:lineRule="auto"/>
        <w:rPr>
          <w:noProof/>
          <w:szCs w:val="24"/>
          <w:lang w:val="en-US"/>
        </w:rPr>
      </w:pPr>
    </w:p>
    <w:p w14:paraId="32906F2E" w14:textId="77777777" w:rsidR="0091520A" w:rsidRPr="0091520A" w:rsidRDefault="0091520A" w:rsidP="00F0442C">
      <w:pPr>
        <w:spacing w:line="240" w:lineRule="auto"/>
        <w:rPr>
          <w:noProof/>
          <w:szCs w:val="24"/>
          <w:lang w:val="en-US"/>
        </w:rPr>
      </w:pPr>
      <w:r w:rsidRPr="0091520A">
        <w:rPr>
          <w:i/>
          <w:iCs/>
          <w:noProof/>
          <w:szCs w:val="24"/>
          <w:lang w:val="en-US"/>
        </w:rPr>
        <w:t xml:space="preserve">Májkárosodás </w:t>
      </w:r>
    </w:p>
    <w:p w14:paraId="6A060782" w14:textId="77777777" w:rsidR="0091520A" w:rsidRDefault="0091520A" w:rsidP="00F0442C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t>Mivel a dimetil-fumarátot és a monometil-fumarátot észterázok metabolizálják a CYP450 rendszer részvétele nélkül, a farmakokinetikát nem vizsgálták májkárosodásban szenvedő egyéneknél.</w:t>
      </w:r>
    </w:p>
    <w:p w14:paraId="295350A3" w14:textId="77777777" w:rsidR="0015116D" w:rsidRDefault="0015116D" w:rsidP="00F0442C">
      <w:pPr>
        <w:spacing w:line="240" w:lineRule="auto"/>
        <w:rPr>
          <w:noProof/>
          <w:szCs w:val="24"/>
          <w:lang w:val="en-US"/>
        </w:rPr>
      </w:pPr>
    </w:p>
    <w:p w14:paraId="117B6A85" w14:textId="77777777" w:rsidR="0015116D" w:rsidRPr="0091520A" w:rsidRDefault="0015116D" w:rsidP="00F0442C">
      <w:pPr>
        <w:spacing w:line="240" w:lineRule="auto"/>
        <w:rPr>
          <w:noProof/>
          <w:szCs w:val="24"/>
          <w:lang w:val="en-US"/>
        </w:rPr>
      </w:pPr>
      <w:r w:rsidRPr="0091520A">
        <w:rPr>
          <w:i/>
          <w:iCs/>
          <w:noProof/>
          <w:szCs w:val="24"/>
          <w:lang w:val="en-US"/>
        </w:rPr>
        <w:t xml:space="preserve">Gyermekek és serdülők </w:t>
      </w:r>
    </w:p>
    <w:p w14:paraId="46B22537" w14:textId="77777777" w:rsidR="0015116D" w:rsidRDefault="0015116D" w:rsidP="00F0442C">
      <w:pPr>
        <w:spacing w:line="240" w:lineRule="auto"/>
        <w:rPr>
          <w:noProof/>
          <w:szCs w:val="24"/>
          <w:lang w:val="en-US"/>
        </w:rPr>
      </w:pPr>
      <w:r w:rsidRPr="0091520A">
        <w:rPr>
          <w:noProof/>
          <w:szCs w:val="24"/>
          <w:lang w:val="en-US"/>
        </w:rPr>
        <w:t>A naponta kétszer alkalmazott 240</w:t>
      </w:r>
      <w:r w:rsidRPr="00687BC3">
        <w:t> </w:t>
      </w:r>
      <w:r w:rsidRPr="0091520A">
        <w:rPr>
          <w:noProof/>
          <w:szCs w:val="24"/>
          <w:lang w:val="en-US"/>
        </w:rPr>
        <w:t>mg dimetil-fumarát farmakokinetikai profilját egy kis esetszámú, nyílt elrendezésű, nem kontrollos vizsgálatban, RRSM-ben szenvedő 13-17</w:t>
      </w:r>
      <w:r w:rsidRPr="00687BC3">
        <w:t> </w:t>
      </w:r>
      <w:r w:rsidRPr="0091520A">
        <w:rPr>
          <w:noProof/>
          <w:szCs w:val="24"/>
          <w:lang w:val="en-US"/>
        </w:rPr>
        <w:t>éves betegek bevonásával értékelték (n = 21). A dimetil-fumarát farmakokinetikája ezeknél a serdülőkorú betegeknél összhangban volt azzal, amit korábban felnőtt betegeknél megfigyeltek (C</w:t>
      </w:r>
      <w:r w:rsidRPr="0091520A">
        <w:rPr>
          <w:noProof/>
          <w:szCs w:val="24"/>
          <w:vertAlign w:val="subscript"/>
          <w:lang w:val="en-US"/>
        </w:rPr>
        <w:t>max</w:t>
      </w:r>
      <w:r w:rsidRPr="0091520A">
        <w:rPr>
          <w:noProof/>
          <w:szCs w:val="24"/>
          <w:lang w:val="en-US"/>
        </w:rPr>
        <w:t>: 2,00 ± 1,29 mg/l; AUC</w:t>
      </w:r>
      <w:r w:rsidRPr="000F5E18">
        <w:rPr>
          <w:noProof/>
          <w:szCs w:val="24"/>
          <w:vertAlign w:val="subscript"/>
          <w:lang w:val="en-US"/>
        </w:rPr>
        <w:t>0-12h</w:t>
      </w:r>
      <w:r w:rsidRPr="0091520A">
        <w:rPr>
          <w:noProof/>
          <w:szCs w:val="24"/>
          <w:lang w:val="en-US"/>
        </w:rPr>
        <w:t xml:space="preserve">: 3,62 ± 1,16 mg×óra/l, ami 7,24 mg×óra/l-es napi össz AUC-nek felel meg). </w:t>
      </w:r>
    </w:p>
    <w:p w14:paraId="045AF13A" w14:textId="77777777" w:rsidR="0091520A" w:rsidRPr="00043CBA" w:rsidRDefault="0091520A" w:rsidP="00F0442C">
      <w:pPr>
        <w:spacing w:line="240" w:lineRule="auto"/>
        <w:rPr>
          <w:noProof/>
          <w:szCs w:val="24"/>
          <w:u w:val="single"/>
        </w:rPr>
      </w:pPr>
    </w:p>
    <w:p w14:paraId="2FE5003C" w14:textId="77777777" w:rsidR="00F45C51" w:rsidRDefault="00192777" w:rsidP="00B16A88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5.3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preklinikai biztonságossági vizsgálatok eredményei</w:t>
      </w:r>
    </w:p>
    <w:p w14:paraId="7F46C02E" w14:textId="77777777" w:rsidR="00687950" w:rsidRPr="00F06234" w:rsidRDefault="00687950" w:rsidP="00FE2742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847A25D" w14:textId="48A84816" w:rsidR="00687950" w:rsidRDefault="00687950" w:rsidP="003F7C47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Az alábbi</w:t>
      </w:r>
      <w:r w:rsidR="00531A95">
        <w:rPr>
          <w:sz w:val="22"/>
          <w:szCs w:val="22"/>
          <w:lang w:val="hu-HU"/>
        </w:rPr>
        <w:t>,</w:t>
      </w:r>
      <w:r w:rsidRPr="00687950">
        <w:rPr>
          <w:sz w:val="22"/>
          <w:szCs w:val="22"/>
          <w:lang w:val="hu-HU"/>
        </w:rPr>
        <w:t xml:space="preserve"> Toxikológia és Reprodukcióra kifejtett toxicitás című részekben leírt mellékhatásokat nem figyelték meg klinikai vizsgálatokban, de észlelték állatoknál a klinikai expozíciós szinthez hasonló szintek esetében. </w:t>
      </w:r>
    </w:p>
    <w:p w14:paraId="4F2CBB27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02149A31" w14:textId="77777777" w:rsidR="00687950" w:rsidRPr="00687950" w:rsidRDefault="00687950">
      <w:pPr>
        <w:pStyle w:val="Default"/>
        <w:rPr>
          <w:sz w:val="22"/>
          <w:szCs w:val="22"/>
          <w:u w:val="single"/>
          <w:lang w:val="hu-HU"/>
        </w:rPr>
      </w:pPr>
      <w:r w:rsidRPr="00687950">
        <w:rPr>
          <w:sz w:val="22"/>
          <w:szCs w:val="22"/>
          <w:u w:val="single"/>
          <w:lang w:val="hu-HU"/>
        </w:rPr>
        <w:t xml:space="preserve">Genotoxicitás </w:t>
      </w:r>
    </w:p>
    <w:p w14:paraId="6B6C072A" w14:textId="77777777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 xml:space="preserve">A dimetil-fumarát és a monometil-fumarát negatív eredményt mutatott egy </w:t>
      </w:r>
      <w:r w:rsidRPr="00687950">
        <w:rPr>
          <w:i/>
          <w:iCs/>
          <w:sz w:val="22"/>
          <w:szCs w:val="22"/>
          <w:lang w:val="hu-HU"/>
        </w:rPr>
        <w:t xml:space="preserve">in vitro </w:t>
      </w:r>
      <w:r w:rsidRPr="00687950">
        <w:rPr>
          <w:sz w:val="22"/>
          <w:szCs w:val="22"/>
          <w:lang w:val="hu-HU"/>
        </w:rPr>
        <w:t xml:space="preserve">assay-sorozatban (Ames, kromoszóma-rendellenességek emlősök sejtjeiben). A dimetil-fumarát negatív eredményt mutatott a patkányokkal végzett </w:t>
      </w:r>
      <w:r w:rsidRPr="00687950">
        <w:rPr>
          <w:i/>
          <w:iCs/>
          <w:sz w:val="22"/>
          <w:szCs w:val="22"/>
          <w:lang w:val="hu-HU"/>
        </w:rPr>
        <w:t xml:space="preserve">in vivo </w:t>
      </w:r>
      <w:r w:rsidRPr="00687950">
        <w:rPr>
          <w:sz w:val="22"/>
          <w:szCs w:val="22"/>
          <w:lang w:val="hu-HU"/>
        </w:rPr>
        <w:t xml:space="preserve">micronucleus assay során. </w:t>
      </w:r>
    </w:p>
    <w:p w14:paraId="2A5BCD66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1EE38545" w14:textId="77777777" w:rsidR="00687950" w:rsidRPr="00687950" w:rsidRDefault="00687950">
      <w:pPr>
        <w:pStyle w:val="Default"/>
        <w:rPr>
          <w:sz w:val="22"/>
          <w:szCs w:val="22"/>
          <w:u w:val="single"/>
          <w:lang w:val="hu-HU"/>
        </w:rPr>
      </w:pPr>
      <w:r w:rsidRPr="00687950">
        <w:rPr>
          <w:sz w:val="22"/>
          <w:szCs w:val="22"/>
          <w:u w:val="single"/>
          <w:lang w:val="hu-HU"/>
        </w:rPr>
        <w:t xml:space="preserve">Karcinogenitás </w:t>
      </w:r>
    </w:p>
    <w:p w14:paraId="197C58EC" w14:textId="6B934DAC" w:rsidR="00687950" w:rsidRP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A dimetil-fumarát karcinogenitásával kapcsolatos vizsgálatokat maximum 2</w:t>
      </w:r>
      <w:r w:rsidR="007179F8" w:rsidRPr="00687BC3">
        <w:t> </w:t>
      </w:r>
      <w:r w:rsidRPr="00687950">
        <w:rPr>
          <w:sz w:val="22"/>
          <w:szCs w:val="22"/>
          <w:lang w:val="hu-HU"/>
        </w:rPr>
        <w:t>éven keresztül folytatták egerekkel és patkányokkal. A dimetil-fumarátot szájon át adták be 25, 75, 200 és 400</w:t>
      </w:r>
      <w:r w:rsidR="007179F8" w:rsidRPr="00687BC3">
        <w:t> </w:t>
      </w:r>
      <w:r w:rsidRPr="00687950">
        <w:rPr>
          <w:sz w:val="22"/>
          <w:szCs w:val="22"/>
          <w:lang w:val="hu-HU"/>
        </w:rPr>
        <w:t>mg/ttkg/nap adagban egereknek, és 25, 50, 100 és 150</w:t>
      </w:r>
      <w:r w:rsidR="007179F8" w:rsidRPr="00687BC3">
        <w:t> </w:t>
      </w:r>
      <w:r w:rsidRPr="00687950">
        <w:rPr>
          <w:sz w:val="22"/>
          <w:szCs w:val="22"/>
          <w:lang w:val="hu-HU"/>
        </w:rPr>
        <w:t xml:space="preserve">mg/ttkg/nap adagban patkányoknak. </w:t>
      </w:r>
    </w:p>
    <w:p w14:paraId="526C19B2" w14:textId="62D9B7FE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Egereknél a renalis tubularis carcinoma gyakorisága a napi 75 mg/ttkg adag esetén megemelkedett, ami a javasolt emberi dózissal egyenértékű expozíciót (AUC) jelent. Patkányoknál a renalis tubularis carcinoma és a herék Leydig-sejtes adenomájának gyakorisága a napi 100</w:t>
      </w:r>
      <w:r w:rsidR="007179F8" w:rsidRPr="00687BC3">
        <w:t> </w:t>
      </w:r>
      <w:r w:rsidRPr="00687950">
        <w:rPr>
          <w:sz w:val="22"/>
          <w:szCs w:val="22"/>
          <w:lang w:val="hu-HU"/>
        </w:rPr>
        <w:t xml:space="preserve">mg/ttkg adag esetén megemelkedett, ami a javasolt emberi dózisnál körülbelül </w:t>
      </w:r>
      <w:r w:rsidR="007179F8">
        <w:rPr>
          <w:sz w:val="22"/>
          <w:szCs w:val="22"/>
          <w:lang w:val="hu-HU"/>
        </w:rPr>
        <w:t>két</w:t>
      </w:r>
      <w:r w:rsidRPr="00687950">
        <w:rPr>
          <w:sz w:val="22"/>
          <w:szCs w:val="22"/>
          <w:lang w:val="hu-HU"/>
        </w:rPr>
        <w:t xml:space="preserve">szer nagyobb expozíciót jelent. Nem ismert, hogy ezek az eredmények milyen jelentőséggel bírnak az emberi kockázatok vonatkozásában. </w:t>
      </w:r>
    </w:p>
    <w:p w14:paraId="182291D7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0141A639" w14:textId="77777777" w:rsidR="00F45C51" w:rsidRDefault="00687950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</w:rPr>
      </w:pPr>
      <w:r w:rsidRPr="00687950">
        <w:rPr>
          <w:szCs w:val="22"/>
        </w:rPr>
        <w:t xml:space="preserve">A mirigyeket nem tartalmazó gyomorterület (előgyomor) laphámsejtes papillomájának és carcinomájának gyakorisága megemelkedett az egereknél a javasolt emberi dózissal egyenértékű </w:t>
      </w:r>
      <w:r w:rsidRPr="00687950">
        <w:rPr>
          <w:szCs w:val="22"/>
        </w:rPr>
        <w:lastRenderedPageBreak/>
        <w:t>expozíció, a patkányoknál pedig a javasolt emberi dózis alatti expozíció hatására (az AUC alapján). A rágcsálók előgyomrának nincs emberi megfelelője.</w:t>
      </w:r>
    </w:p>
    <w:p w14:paraId="4E928643" w14:textId="77777777" w:rsidR="00687950" w:rsidRDefault="00687950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</w:rPr>
      </w:pPr>
    </w:p>
    <w:p w14:paraId="6635A2F6" w14:textId="77777777" w:rsidR="00687950" w:rsidRPr="00687950" w:rsidRDefault="00687950">
      <w:pPr>
        <w:pStyle w:val="Default"/>
        <w:rPr>
          <w:sz w:val="22"/>
          <w:szCs w:val="22"/>
          <w:u w:val="single"/>
          <w:lang w:val="hu-HU"/>
        </w:rPr>
      </w:pPr>
      <w:r w:rsidRPr="00687950">
        <w:rPr>
          <w:sz w:val="22"/>
          <w:szCs w:val="22"/>
          <w:u w:val="single"/>
          <w:lang w:val="hu-HU"/>
        </w:rPr>
        <w:t xml:space="preserve">Toxikológia </w:t>
      </w:r>
    </w:p>
    <w:p w14:paraId="32B9AEE1" w14:textId="21FB12A4" w:rsidR="00687950" w:rsidRPr="00687950" w:rsidRDefault="00687950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</w:rPr>
      </w:pPr>
      <w:r w:rsidRPr="00687950">
        <w:rPr>
          <w:szCs w:val="22"/>
        </w:rPr>
        <w:t>A dimetil-fumarát szondával, szájon át beadott szuszpenziójával (dimetil-fumarát 0,8%-os hidroxipropil-metil-cellulózban) végeztek toxicitási vizsgálatokat rágcsálók</w:t>
      </w:r>
      <w:r w:rsidR="00F70199">
        <w:rPr>
          <w:szCs w:val="22"/>
        </w:rPr>
        <w:t>kal</w:t>
      </w:r>
      <w:r w:rsidRPr="00687950">
        <w:rPr>
          <w:szCs w:val="22"/>
        </w:rPr>
        <w:t>, nyulak</w:t>
      </w:r>
      <w:r w:rsidR="00F70199">
        <w:rPr>
          <w:szCs w:val="22"/>
        </w:rPr>
        <w:t>kal</w:t>
      </w:r>
      <w:r w:rsidRPr="00687950">
        <w:rPr>
          <w:szCs w:val="22"/>
        </w:rPr>
        <w:t xml:space="preserve"> és majmok</w:t>
      </w:r>
      <w:r w:rsidR="00F70199">
        <w:rPr>
          <w:szCs w:val="22"/>
        </w:rPr>
        <w:t>kal</w:t>
      </w:r>
      <w:r w:rsidRPr="00687950">
        <w:rPr>
          <w:szCs w:val="22"/>
        </w:rPr>
        <w:t>. A kutyák</w:t>
      </w:r>
      <w:r w:rsidR="00F70199">
        <w:rPr>
          <w:szCs w:val="22"/>
        </w:rPr>
        <w:t>kal</w:t>
      </w:r>
      <w:r w:rsidRPr="00687950">
        <w:rPr>
          <w:szCs w:val="22"/>
        </w:rPr>
        <w:t xml:space="preserve"> végzett krónikus </w:t>
      </w:r>
      <w:r w:rsidR="00F70199">
        <w:rPr>
          <w:szCs w:val="22"/>
        </w:rPr>
        <w:t xml:space="preserve">toxicitási </w:t>
      </w:r>
      <w:r w:rsidRPr="00687950">
        <w:rPr>
          <w:szCs w:val="22"/>
        </w:rPr>
        <w:t>vizsgálatot szájon át beadott dimetil-fumarát kapszulákkal végezték.</w:t>
      </w:r>
    </w:p>
    <w:p w14:paraId="1876BCB7" w14:textId="77777777" w:rsidR="00687950" w:rsidRPr="00687950" w:rsidRDefault="00687950">
      <w:pPr>
        <w:tabs>
          <w:tab w:val="clear" w:pos="567"/>
          <w:tab w:val="left" w:pos="0"/>
        </w:tabs>
        <w:spacing w:line="240" w:lineRule="auto"/>
        <w:outlineLvl w:val="0"/>
        <w:rPr>
          <w:b/>
        </w:rPr>
      </w:pPr>
    </w:p>
    <w:p w14:paraId="1E327D31" w14:textId="21198263" w:rsidR="00687950" w:rsidRP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A dimetil-fumarát ismételt szájon át történő adása után elváltozásokat figyeltek meg a vesékben az egereknél, a patkányoknál, a kutyáknál és a majmoknál. Károsodásra utaló renalis tubularis epithelialis regenerálódást figyeltek meg az összes fajnál. Renalis tubularis hyperplasiát figyeltek meg azoknál a patkányoknál, akik egész életükben (2</w:t>
      </w:r>
      <w:r w:rsidR="003F2588" w:rsidRPr="00687BC3">
        <w:t> </w:t>
      </w:r>
      <w:r w:rsidRPr="00687950">
        <w:rPr>
          <w:sz w:val="22"/>
          <w:szCs w:val="22"/>
          <w:lang w:val="hu-HU"/>
        </w:rPr>
        <w:t>éves vizsgálat) kapták a készítményt. Azoknál a kutyáknál, amelyek 11</w:t>
      </w:r>
      <w:r w:rsidR="003F2588" w:rsidRPr="00687BC3">
        <w:t> </w:t>
      </w:r>
      <w:r w:rsidRPr="00687950">
        <w:rPr>
          <w:sz w:val="22"/>
          <w:szCs w:val="22"/>
          <w:lang w:val="hu-HU"/>
        </w:rPr>
        <w:t xml:space="preserve">hónapon keresztül naponta kapták szájon át a dimetil-fumarátot, a corticalis atrophiára vonatkozóan számított küszöbértéket az AUC-érték alapján javasolt dózis </w:t>
      </w:r>
      <w:r w:rsidR="003F2588">
        <w:rPr>
          <w:sz w:val="22"/>
          <w:szCs w:val="22"/>
          <w:lang w:val="hu-HU"/>
        </w:rPr>
        <w:t>három</w:t>
      </w:r>
      <w:r w:rsidRPr="00687950">
        <w:rPr>
          <w:sz w:val="22"/>
          <w:szCs w:val="22"/>
          <w:lang w:val="hu-HU"/>
        </w:rPr>
        <w:t xml:space="preserve">szorosánál figyelték meg. Azoknál a majmoknál, amelyek 12 hónapon keresztül naponta kapták szájon át a dimetil-fumarátot, egysejtes necrosist az AUC-érték alapján javasolt dózis </w:t>
      </w:r>
      <w:r w:rsidR="003F2588">
        <w:rPr>
          <w:sz w:val="22"/>
          <w:szCs w:val="22"/>
          <w:lang w:val="hu-HU"/>
        </w:rPr>
        <w:t>két</w:t>
      </w:r>
      <w:r w:rsidRPr="00687950">
        <w:rPr>
          <w:sz w:val="22"/>
          <w:szCs w:val="22"/>
          <w:lang w:val="hu-HU"/>
        </w:rPr>
        <w:t xml:space="preserve">szerese mellett figyeltek meg. Interstitialis fibrosist és corticalis atrophiát az AUC-érték alapján javasolt dózisnál </w:t>
      </w:r>
      <w:r w:rsidR="003F2588">
        <w:rPr>
          <w:sz w:val="22"/>
          <w:szCs w:val="22"/>
          <w:lang w:val="hu-HU"/>
        </w:rPr>
        <w:t>hat</w:t>
      </w:r>
      <w:r w:rsidRPr="00687950">
        <w:rPr>
          <w:sz w:val="22"/>
          <w:szCs w:val="22"/>
          <w:lang w:val="hu-HU"/>
        </w:rPr>
        <w:t xml:space="preserve">szor nagyobb adag mellett figyeltek meg. Nem ismert, hogy ezek az eredmények milyen jelentőséggel bírnak az emberekre vonatkozóan. </w:t>
      </w:r>
    </w:p>
    <w:p w14:paraId="11F989EF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2D2D5417" w14:textId="6AABD413" w:rsidR="00687950" w:rsidRP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 xml:space="preserve">Patkányoknál és kutyáknál a herékben a tubuli seminiferi csírahámjának degenerálódását figyelték meg. Ezt patkányok esetében körülbelül a javasolt dózisszinten, kutyák esetében pedig a javasolt dózis </w:t>
      </w:r>
      <w:r w:rsidR="003F2588">
        <w:rPr>
          <w:sz w:val="22"/>
          <w:szCs w:val="22"/>
          <w:lang w:val="hu-HU"/>
        </w:rPr>
        <w:t>három</w:t>
      </w:r>
      <w:r w:rsidRPr="00687950">
        <w:rPr>
          <w:sz w:val="22"/>
          <w:szCs w:val="22"/>
          <w:lang w:val="hu-HU"/>
        </w:rPr>
        <w:t xml:space="preserve">szorosa (az AUC alapján) mellett figyelték meg. Nem ismert, hogy ezek az eredmények milyen jelentőséggel bírnak az emberekre vonatkozóan. </w:t>
      </w:r>
    </w:p>
    <w:p w14:paraId="3EFFCE06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768F8395" w14:textId="5CF3BB03" w:rsidR="00F45C51" w:rsidRDefault="00687950">
      <w:pPr>
        <w:spacing w:line="240" w:lineRule="auto"/>
        <w:rPr>
          <w:szCs w:val="22"/>
        </w:rPr>
      </w:pPr>
      <w:r w:rsidRPr="00687950">
        <w:rPr>
          <w:szCs w:val="22"/>
        </w:rPr>
        <w:t>Egerek és patkányok előgyomrában megfigyeltek laphámsejtes hyperplasiát és hyperkeratosist, gyulladást, valamint laphámsejtes papillomát és carcinomát a 3</w:t>
      </w:r>
      <w:r w:rsidR="003F2588" w:rsidRPr="00687BC3">
        <w:t> </w:t>
      </w:r>
      <w:r w:rsidRPr="00687950">
        <w:rPr>
          <w:szCs w:val="22"/>
        </w:rPr>
        <w:t>hónapos vagy annál hosszabb időtartamú vizsgálatokban. Az egerek és patkányok előgyomrának nincs emberi megfelelője.</w:t>
      </w:r>
    </w:p>
    <w:p w14:paraId="7AB7EF4D" w14:textId="77777777" w:rsidR="00687950" w:rsidRDefault="00687950">
      <w:pPr>
        <w:spacing w:line="240" w:lineRule="auto"/>
        <w:rPr>
          <w:szCs w:val="22"/>
        </w:rPr>
      </w:pPr>
    </w:p>
    <w:p w14:paraId="7D6446B1" w14:textId="684DEF93" w:rsidR="00687950" w:rsidRPr="00687950" w:rsidRDefault="00687950">
      <w:pPr>
        <w:pStyle w:val="Default"/>
        <w:rPr>
          <w:sz w:val="22"/>
          <w:szCs w:val="22"/>
          <w:u w:val="single"/>
          <w:lang w:val="hu-HU"/>
        </w:rPr>
      </w:pPr>
      <w:r w:rsidRPr="00687950">
        <w:rPr>
          <w:sz w:val="22"/>
          <w:szCs w:val="22"/>
          <w:u w:val="single"/>
          <w:lang w:val="hu-HU"/>
        </w:rPr>
        <w:t xml:space="preserve">Reprodukcióra </w:t>
      </w:r>
      <w:r w:rsidR="00F70199">
        <w:rPr>
          <w:sz w:val="22"/>
          <w:szCs w:val="22"/>
          <w:u w:val="single"/>
          <w:lang w:val="hu-HU"/>
        </w:rPr>
        <w:t xml:space="preserve">és fejlődésre </w:t>
      </w:r>
      <w:r w:rsidRPr="00687950">
        <w:rPr>
          <w:sz w:val="22"/>
          <w:szCs w:val="22"/>
          <w:u w:val="single"/>
          <w:lang w:val="hu-HU"/>
        </w:rPr>
        <w:t xml:space="preserve">kifejtett toxicitás </w:t>
      </w:r>
    </w:p>
    <w:p w14:paraId="0D7DB6F5" w14:textId="1262E5DA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A dimetil-fumarát hím patkányoknak, szájon át, 75, 250, és 375</w:t>
      </w:r>
      <w:r w:rsidR="003F2588" w:rsidRPr="00687BC3">
        <w:t> </w:t>
      </w:r>
      <w:r w:rsidRPr="00687950">
        <w:rPr>
          <w:sz w:val="22"/>
          <w:szCs w:val="22"/>
          <w:lang w:val="hu-HU"/>
        </w:rPr>
        <w:t>mg/ttkg/nap adagban, a párosodás előtt és alatt adva nem volt hatással a hímek termékenységére, még a legnagyobb vizsgált dózis (az AUC alapján a javasolt dózis legalább 2-szerese) esetében sem. A dimetil-fumarát nőstény patkányoknak, szájon át, 25, 100, és 250</w:t>
      </w:r>
      <w:r w:rsidR="003F2588" w:rsidRPr="00687BC3">
        <w:t> </w:t>
      </w:r>
      <w:r w:rsidRPr="00687950">
        <w:rPr>
          <w:sz w:val="22"/>
          <w:szCs w:val="22"/>
          <w:lang w:val="hu-HU"/>
        </w:rPr>
        <w:t>mg/ttkg/nap adagban, a párosodás előtt és alatt, valamint a vemhesség 7. napjáig adva a 14</w:t>
      </w:r>
      <w:r w:rsidR="003F2588" w:rsidRPr="00687BC3">
        <w:t> </w:t>
      </w:r>
      <w:r w:rsidRPr="00687950">
        <w:rPr>
          <w:sz w:val="22"/>
          <w:szCs w:val="22"/>
          <w:lang w:val="hu-HU"/>
        </w:rPr>
        <w:t xml:space="preserve">naponkénti oestrus fázisok számának csökkenését idézte elő, és növelte a meghosszabbodott diestrus fázisú állatok számát a legnagyobb vizsgált dózis (az AUC alapján javasolt dózis </w:t>
      </w:r>
      <w:r w:rsidR="003F2588">
        <w:rPr>
          <w:sz w:val="22"/>
          <w:szCs w:val="22"/>
          <w:lang w:val="hu-HU"/>
        </w:rPr>
        <w:t>tizenegy</w:t>
      </w:r>
      <w:r w:rsidRPr="00687950">
        <w:rPr>
          <w:sz w:val="22"/>
          <w:szCs w:val="22"/>
          <w:lang w:val="hu-HU"/>
        </w:rPr>
        <w:t xml:space="preserve">szerese) esetében. Azonban ezek a változások nem befolyásolták a termékenységet vagy a világra hozott életképes magzatok számát. </w:t>
      </w:r>
    </w:p>
    <w:p w14:paraId="2AE08269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01F7D2D6" w14:textId="046F099C" w:rsidR="00687950" w:rsidRP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Patkányoknál és nyulaknál kimutatták, hogy a dimetil-fumarát átjut a placenta membránján a magzati vérkeringésbe, és a szer magzati és anyai plazmakoncentrációjának aránya 0,48–0,64 és 0,1 volt. A dimetil-fumarát egyik dózisánál sem figyeltek meg fejlődési rendellenességeket a patkányoknál vagy a nyulaknál. A vemhes patkányoknak szájon át, 25, 100, és 250</w:t>
      </w:r>
      <w:r w:rsidR="003F2588" w:rsidRPr="00687BC3">
        <w:t> </w:t>
      </w:r>
      <w:r w:rsidRPr="00687950">
        <w:rPr>
          <w:sz w:val="22"/>
          <w:szCs w:val="22"/>
          <w:lang w:val="hu-HU"/>
        </w:rPr>
        <w:t xml:space="preserve">mg/ttkg/nap adagban, a szervfejlődés időszakában adott dimetil-fumarát anyai mellékhatásokat okozott az AUC alapján javasolt dózis 4-szeresén, valamint alacsony magzati súlyt és késleltetett csontosodást idézett elő (a metatarsusokban és a hátsó végtag phalanxaiban) az AUC alapján javasolt dózis </w:t>
      </w:r>
      <w:r w:rsidR="003F2588">
        <w:rPr>
          <w:sz w:val="22"/>
          <w:szCs w:val="22"/>
          <w:lang w:val="hu-HU"/>
        </w:rPr>
        <w:t>tizenegy</w:t>
      </w:r>
      <w:r w:rsidRPr="00687950">
        <w:rPr>
          <w:sz w:val="22"/>
          <w:szCs w:val="22"/>
          <w:lang w:val="hu-HU"/>
        </w:rPr>
        <w:t xml:space="preserve">szeresén. Az alacsonyabb magzati súlyt és a késleltetett csontosodást az anyai toxicitás (csökkent testsúly és ételfogyasztás) következményének tartották. </w:t>
      </w:r>
    </w:p>
    <w:p w14:paraId="1B60034F" w14:textId="7C43EC21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A vemhes nyulaknak szájon át, 25, 75, és 150</w:t>
      </w:r>
      <w:r w:rsidR="003E0BFC" w:rsidRPr="00687BC3">
        <w:t> </w:t>
      </w:r>
      <w:r w:rsidRPr="00687950">
        <w:rPr>
          <w:sz w:val="22"/>
          <w:szCs w:val="22"/>
          <w:lang w:val="hu-HU"/>
        </w:rPr>
        <w:t xml:space="preserve">mg/ttkg/nap adagban, a szervfejlődés alatt adott dimetil-fumarát nem volt hatással az embrió és a magzat fejlődésére, viszont az anya testsúlyának csökkenését okozta az AUC alapján javasolt dózis </w:t>
      </w:r>
      <w:r w:rsidR="003E0BFC">
        <w:rPr>
          <w:sz w:val="22"/>
          <w:szCs w:val="22"/>
          <w:lang w:val="hu-HU"/>
        </w:rPr>
        <w:t>hét</w:t>
      </w:r>
      <w:r w:rsidRPr="00687950">
        <w:rPr>
          <w:sz w:val="22"/>
          <w:szCs w:val="22"/>
          <w:lang w:val="hu-HU"/>
        </w:rPr>
        <w:t xml:space="preserve">szeresén, illetve az abortálódások számának megnövekedését idézte elő az AUC alapján javasolt dózis 16-szorosán. </w:t>
      </w:r>
    </w:p>
    <w:p w14:paraId="4D6B9D95" w14:textId="77777777" w:rsidR="00687950" w:rsidRPr="00687950" w:rsidRDefault="00687950">
      <w:pPr>
        <w:pStyle w:val="Default"/>
        <w:rPr>
          <w:sz w:val="22"/>
          <w:szCs w:val="22"/>
          <w:lang w:val="hu-HU"/>
        </w:rPr>
      </w:pPr>
    </w:p>
    <w:p w14:paraId="34892A3B" w14:textId="66E70A98" w:rsidR="00687950" w:rsidRDefault="00687950">
      <w:pPr>
        <w:pStyle w:val="Default"/>
        <w:rPr>
          <w:sz w:val="22"/>
          <w:szCs w:val="22"/>
          <w:lang w:val="hu-HU"/>
        </w:rPr>
      </w:pPr>
      <w:r w:rsidRPr="00687950">
        <w:rPr>
          <w:sz w:val="22"/>
          <w:szCs w:val="22"/>
          <w:lang w:val="hu-HU"/>
        </w:rPr>
        <w:t>Patkányoknak szájon át, 25, 100, és 250</w:t>
      </w:r>
      <w:r w:rsidR="003E0BFC" w:rsidRPr="00687BC3">
        <w:t> </w:t>
      </w:r>
      <w:r w:rsidRPr="00687950">
        <w:rPr>
          <w:sz w:val="22"/>
          <w:szCs w:val="22"/>
          <w:lang w:val="hu-HU"/>
        </w:rPr>
        <w:t xml:space="preserve">mg/ttkg/nap adagban, a terhesség és a szoptatás alatt adott dimetil-fumarát csökkent testsúlyt eredményezett az F1 utódokban, valamint késleltetett szexuális érést </w:t>
      </w:r>
      <w:r w:rsidRPr="00687950">
        <w:rPr>
          <w:sz w:val="22"/>
          <w:szCs w:val="22"/>
          <w:lang w:val="hu-HU"/>
        </w:rPr>
        <w:lastRenderedPageBreak/>
        <w:t>okozott a hímnemű F1 utódokban az AUC alapján javasolt dózis 11-szerese esetén. Ez nem volt hatással az F1 utódok termékenységére. Az utódok alacsonyabb test</w:t>
      </w:r>
      <w:r w:rsidR="003F2588">
        <w:rPr>
          <w:sz w:val="22"/>
          <w:szCs w:val="22"/>
          <w:lang w:val="hu-HU"/>
        </w:rPr>
        <w:t>tömeg</w:t>
      </w:r>
      <w:r w:rsidR="00287B8C">
        <w:rPr>
          <w:sz w:val="22"/>
          <w:szCs w:val="22"/>
          <w:lang w:val="hu-HU"/>
        </w:rPr>
        <w:t>ét</w:t>
      </w:r>
      <w:r w:rsidRPr="00687950">
        <w:rPr>
          <w:sz w:val="22"/>
          <w:szCs w:val="22"/>
          <w:lang w:val="hu-HU"/>
        </w:rPr>
        <w:t xml:space="preserve"> az anyai toxicitás következményének tartották. </w:t>
      </w:r>
    </w:p>
    <w:p w14:paraId="0154F002" w14:textId="77777777" w:rsidR="00F70199" w:rsidRDefault="00F70199">
      <w:pPr>
        <w:pStyle w:val="Default"/>
        <w:rPr>
          <w:sz w:val="22"/>
          <w:szCs w:val="22"/>
          <w:lang w:val="hu-HU"/>
        </w:rPr>
      </w:pPr>
    </w:p>
    <w:p w14:paraId="315E594D" w14:textId="4D8BFF46" w:rsidR="00F70199" w:rsidRPr="008B7C45" w:rsidRDefault="00F70199">
      <w:pPr>
        <w:pStyle w:val="Default"/>
        <w:rPr>
          <w:sz w:val="22"/>
          <w:szCs w:val="22"/>
          <w:u w:val="single"/>
          <w:lang w:val="hu-HU"/>
        </w:rPr>
      </w:pPr>
      <w:r w:rsidRPr="008B7C45">
        <w:rPr>
          <w:sz w:val="22"/>
          <w:szCs w:val="22"/>
          <w:u w:val="single"/>
          <w:lang w:val="hu-HU"/>
        </w:rPr>
        <w:t>Toxicitás fiatal állatoknál</w:t>
      </w:r>
    </w:p>
    <w:p w14:paraId="036B7C2F" w14:textId="17BEB709" w:rsidR="00687950" w:rsidRPr="00687950" w:rsidRDefault="00687950">
      <w:pPr>
        <w:spacing w:line="240" w:lineRule="auto"/>
        <w:rPr>
          <w:szCs w:val="22"/>
        </w:rPr>
      </w:pPr>
      <w:r w:rsidRPr="00687950">
        <w:rPr>
          <w:szCs w:val="22"/>
        </w:rPr>
        <w:t>Fiatal patkányokkal végzett két toxicitási vizsgálatban a születés utáni 28.</w:t>
      </w:r>
      <w:r w:rsidR="00D12046" w:rsidRPr="00687BC3">
        <w:t> </w:t>
      </w:r>
      <w:r w:rsidRPr="00687950">
        <w:rPr>
          <w:szCs w:val="22"/>
        </w:rPr>
        <w:t>naptól a 90–93.</w:t>
      </w:r>
      <w:r w:rsidR="00D12046" w:rsidRPr="00687BC3">
        <w:t> </w:t>
      </w:r>
      <w:r w:rsidRPr="00687950">
        <w:rPr>
          <w:szCs w:val="22"/>
        </w:rPr>
        <w:t>napig (ami embereknél körülbelül 3</w:t>
      </w:r>
      <w:r w:rsidR="00345309" w:rsidRPr="00687BC3">
        <w:t> </w:t>
      </w:r>
      <w:r w:rsidRPr="00687950">
        <w:rPr>
          <w:szCs w:val="22"/>
        </w:rPr>
        <w:t xml:space="preserve">éves és annál idősebb kornak felel meg) naponta </w:t>
      </w:r>
      <w:r w:rsidRPr="00687950">
        <w:rPr>
          <w:i/>
          <w:iCs/>
          <w:szCs w:val="22"/>
        </w:rPr>
        <w:t xml:space="preserve">per os </w:t>
      </w:r>
      <w:r w:rsidRPr="00687950">
        <w:rPr>
          <w:szCs w:val="22"/>
        </w:rPr>
        <w:t>adagolt dimetil-fumarát alkalmazásakor a felnőtt állatoknál megfigyelthez hasonló, a vesét és az előgyomrot érintő</w:t>
      </w:r>
      <w:r>
        <w:rPr>
          <w:szCs w:val="22"/>
        </w:rPr>
        <w:t xml:space="preserve"> célszervi toxicitás mutatkozott. Az első vizsgálatban a dimetil-fumarát legfeljebb 140</w:t>
      </w:r>
      <w:r w:rsidR="00345309" w:rsidRPr="00687BC3">
        <w:t> </w:t>
      </w:r>
      <w:r>
        <w:rPr>
          <w:szCs w:val="22"/>
        </w:rPr>
        <w:t>mg/ttkg/nap maximális dózisban (gyermekek és serdülők korlátozott mennyiségű AUC-adatai alapján a javasolt humán dózis körülbelül 4,6-szerese) történő alkalmazása nem volt hatással a fejlődésre, az idegrendszeri eredetű viselkedésre vagy a hímek és nőstények termékenységére. Hasonlóképpen, a második vizsgálatban a dimetil-fumarát fiatal hím patkányoknál legfeljebb 375</w:t>
      </w:r>
      <w:r w:rsidR="00345309" w:rsidRPr="00687BC3">
        <w:t> </w:t>
      </w:r>
      <w:r>
        <w:rPr>
          <w:szCs w:val="22"/>
        </w:rPr>
        <w:t xml:space="preserve">mg/ttkg/nap maximális dózisban (az ajánlott gyermekgyógyászati dózis mellett feltételezett AUC körülbelül 15-szöröse) történő alkalmazásakor nem figyeltek meg a hímek termékenységére és járulékos szerveire gyakorolt hatást. Ugyanakkor a combcsont és a lumbális csigolyák ásványi anyag-tartalmának és csontsűrűségének csökkenése nyilvánvaló volt a fiatal hím patkányoknál. Fiatal patkányoknál csont-denzitometriai eltéréseket is megfigyeltek egy másik fumársav-észter, a diroximel-fumarát </w:t>
      </w:r>
      <w:r>
        <w:rPr>
          <w:i/>
          <w:iCs/>
          <w:szCs w:val="22"/>
        </w:rPr>
        <w:t xml:space="preserve">per os </w:t>
      </w:r>
      <w:r>
        <w:rPr>
          <w:szCs w:val="22"/>
        </w:rPr>
        <w:t xml:space="preserve">alkalmazását követően, amely </w:t>
      </w:r>
      <w:r>
        <w:rPr>
          <w:i/>
          <w:iCs/>
          <w:szCs w:val="22"/>
        </w:rPr>
        <w:t xml:space="preserve">in vivo </w:t>
      </w:r>
      <w:r>
        <w:rPr>
          <w:szCs w:val="22"/>
        </w:rPr>
        <w:t>ugyanazon aktív metabolittá, a monometil-fumaráttá alakul át. A fiatal patkányoknál észlelt denzitometriai változások esetében a megfigyelhető mellékhatást még nem okozó dózisszint (no observed adverse effect level, NOAEL) körülbelül 1,5-szerese az ajánlott gyermekgyógyászati dózis feltételezett AUC-értékének. Lehetséges, hogy a csontokat érintő hatások összefüggésben állnak az alacsonyabb testtömeggel, de egy közvetlen hatás szerepe nem zárható ki. A csontokat érintő hatások felnőtt betegek vonatkozásában korlátozott jelentőséggel bírnak. Gyermekek és serdülők vonatkozásában az eredmények jelentősége nem ismert.</w:t>
      </w:r>
    </w:p>
    <w:p w14:paraId="4D87CBF9" w14:textId="77777777" w:rsidR="00687950" w:rsidRDefault="00687950">
      <w:pPr>
        <w:spacing w:line="240" w:lineRule="auto"/>
        <w:rPr>
          <w:szCs w:val="22"/>
        </w:rPr>
      </w:pPr>
    </w:p>
    <w:p w14:paraId="6DA8F26F" w14:textId="77777777" w:rsidR="00F45C51" w:rsidRPr="00F06234" w:rsidRDefault="00F45C51">
      <w:pPr>
        <w:spacing w:line="240" w:lineRule="auto"/>
      </w:pPr>
    </w:p>
    <w:p w14:paraId="05698A82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GYÓGYSZERÉSZETI JELLEMZŐK</w:t>
      </w:r>
    </w:p>
    <w:p w14:paraId="3CF34C35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5CBF62D2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6.1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353EFCC3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C73A2F3" w14:textId="77777777" w:rsidR="00077267" w:rsidRDefault="000856A9">
      <w:pPr>
        <w:tabs>
          <w:tab w:val="left" w:pos="6315"/>
        </w:tabs>
        <w:spacing w:line="240" w:lineRule="auto"/>
        <w:rPr>
          <w:u w:val="single"/>
        </w:rPr>
      </w:pPr>
      <w:r w:rsidRPr="000856A9">
        <w:rPr>
          <w:u w:val="single"/>
        </w:rPr>
        <w:t>A kapszula tartalma</w:t>
      </w:r>
    </w:p>
    <w:p w14:paraId="10422D43" w14:textId="77777777" w:rsidR="000856A9" w:rsidRPr="000856A9" w:rsidRDefault="000856A9">
      <w:pPr>
        <w:tabs>
          <w:tab w:val="left" w:pos="6315"/>
        </w:tabs>
        <w:spacing w:line="240" w:lineRule="auto"/>
      </w:pPr>
      <w:r w:rsidRPr="000856A9">
        <w:t>kroszkarmellóz-nátrium</w:t>
      </w:r>
    </w:p>
    <w:p w14:paraId="55CF208E" w14:textId="77777777" w:rsidR="000856A9" w:rsidRDefault="000856A9">
      <w:pPr>
        <w:tabs>
          <w:tab w:val="left" w:pos="6315"/>
        </w:tabs>
        <w:spacing w:line="240" w:lineRule="auto"/>
      </w:pPr>
      <w:proofErr w:type="gramStart"/>
      <w:r>
        <w:t>vízmentes</w:t>
      </w:r>
      <w:proofErr w:type="gramEnd"/>
      <w:r>
        <w:t xml:space="preserve"> kolloid szilícium-dioxid</w:t>
      </w:r>
    </w:p>
    <w:p w14:paraId="0620D0CA" w14:textId="77777777" w:rsidR="000856A9" w:rsidRPr="000856A9" w:rsidRDefault="000856A9">
      <w:pPr>
        <w:tabs>
          <w:tab w:val="left" w:pos="6315"/>
        </w:tabs>
        <w:spacing w:line="240" w:lineRule="auto"/>
      </w:pPr>
      <w:r>
        <w:t>nátrium-sztearil-fumarát</w:t>
      </w:r>
    </w:p>
    <w:p w14:paraId="33F689C2" w14:textId="77777777" w:rsidR="000856A9" w:rsidRPr="000856A9" w:rsidRDefault="000856A9">
      <w:pPr>
        <w:tabs>
          <w:tab w:val="left" w:pos="6315"/>
        </w:tabs>
        <w:spacing w:line="240" w:lineRule="auto"/>
      </w:pPr>
      <w:r>
        <w:rPr>
          <w:szCs w:val="22"/>
        </w:rPr>
        <w:t>metakrilsav-metil-metakrilát-kopolimer (1:1)</w:t>
      </w:r>
    </w:p>
    <w:p w14:paraId="140FB00B" w14:textId="77777777" w:rsidR="000856A9" w:rsidRPr="000856A9" w:rsidRDefault="000856A9">
      <w:pPr>
        <w:tabs>
          <w:tab w:val="left" w:pos="6315"/>
        </w:tabs>
        <w:spacing w:line="240" w:lineRule="auto"/>
      </w:pPr>
      <w:r>
        <w:rPr>
          <w:szCs w:val="22"/>
        </w:rPr>
        <w:t>metakrilsav-etil-akrilát-kopolimer (1:1), 30%-os diszperzió</w:t>
      </w:r>
    </w:p>
    <w:p w14:paraId="38E1644C" w14:textId="77777777" w:rsidR="000856A9" w:rsidRPr="001C21EC" w:rsidRDefault="000856A9">
      <w:pPr>
        <w:pStyle w:val="Default"/>
        <w:rPr>
          <w:sz w:val="22"/>
          <w:szCs w:val="22"/>
          <w:lang w:val="hu-HU"/>
        </w:rPr>
      </w:pPr>
      <w:proofErr w:type="gramStart"/>
      <w:r w:rsidRPr="001C21EC">
        <w:rPr>
          <w:sz w:val="22"/>
          <w:szCs w:val="22"/>
          <w:lang w:val="hu-HU"/>
        </w:rPr>
        <w:t>talkum</w:t>
      </w:r>
      <w:proofErr w:type="gramEnd"/>
      <w:r w:rsidRPr="001C21EC">
        <w:rPr>
          <w:sz w:val="22"/>
          <w:szCs w:val="22"/>
          <w:lang w:val="hu-HU"/>
        </w:rPr>
        <w:t xml:space="preserve"> </w:t>
      </w:r>
    </w:p>
    <w:p w14:paraId="39D18A55" w14:textId="77777777" w:rsidR="000856A9" w:rsidRPr="001C21EC" w:rsidRDefault="000856A9">
      <w:pPr>
        <w:tabs>
          <w:tab w:val="left" w:pos="6315"/>
        </w:tabs>
        <w:spacing w:line="240" w:lineRule="auto"/>
      </w:pPr>
      <w:r w:rsidRPr="001C21EC">
        <w:rPr>
          <w:szCs w:val="22"/>
        </w:rPr>
        <w:t>trietil-citrát</w:t>
      </w:r>
    </w:p>
    <w:p w14:paraId="36B4A6BC" w14:textId="25E7E4FA" w:rsidR="000856A9" w:rsidRPr="001C21EC" w:rsidRDefault="001C21EC">
      <w:pPr>
        <w:tabs>
          <w:tab w:val="left" w:pos="6315"/>
        </w:tabs>
        <w:spacing w:line="240" w:lineRule="auto"/>
        <w:rPr>
          <w:szCs w:val="22"/>
        </w:rPr>
      </w:pPr>
      <w:r w:rsidRPr="001C21EC">
        <w:rPr>
          <w:szCs w:val="22"/>
        </w:rPr>
        <w:t>glicerin-monosztearát</w:t>
      </w:r>
      <w:r w:rsidR="006044DC">
        <w:rPr>
          <w:szCs w:val="22"/>
        </w:rPr>
        <w:t xml:space="preserve"> 40-55 </w:t>
      </w:r>
    </w:p>
    <w:p w14:paraId="4B6D5B8E" w14:textId="77777777" w:rsidR="000856A9" w:rsidRPr="001C21EC" w:rsidRDefault="001C21EC">
      <w:pPr>
        <w:tabs>
          <w:tab w:val="left" w:pos="6315"/>
        </w:tabs>
        <w:spacing w:line="240" w:lineRule="auto"/>
        <w:rPr>
          <w:szCs w:val="22"/>
        </w:rPr>
      </w:pPr>
      <w:r w:rsidRPr="001C21EC">
        <w:rPr>
          <w:szCs w:val="22"/>
        </w:rPr>
        <w:t>poliszorbát 80</w:t>
      </w:r>
    </w:p>
    <w:p w14:paraId="3D5E2795" w14:textId="77777777" w:rsidR="001C21EC" w:rsidRPr="001C21EC" w:rsidRDefault="001C21EC">
      <w:pPr>
        <w:tabs>
          <w:tab w:val="left" w:pos="6315"/>
        </w:tabs>
        <w:spacing w:line="240" w:lineRule="auto"/>
        <w:rPr>
          <w:szCs w:val="22"/>
        </w:rPr>
      </w:pPr>
    </w:p>
    <w:p w14:paraId="60216687" w14:textId="77777777" w:rsidR="001C21EC" w:rsidRPr="001C21EC" w:rsidRDefault="001C21EC">
      <w:pPr>
        <w:pStyle w:val="Default"/>
        <w:rPr>
          <w:sz w:val="22"/>
          <w:szCs w:val="22"/>
          <w:u w:val="single"/>
          <w:lang w:val="hu-HU"/>
        </w:rPr>
      </w:pPr>
      <w:r w:rsidRPr="001C21EC">
        <w:rPr>
          <w:sz w:val="22"/>
          <w:szCs w:val="22"/>
          <w:u w:val="single"/>
          <w:lang w:val="hu-HU"/>
        </w:rPr>
        <w:t xml:space="preserve">Kapszulahéj </w:t>
      </w:r>
    </w:p>
    <w:p w14:paraId="7C673C5B" w14:textId="77777777" w:rsidR="001C21EC" w:rsidRPr="001C21EC" w:rsidRDefault="001C21EC">
      <w:pPr>
        <w:pStyle w:val="Default"/>
        <w:rPr>
          <w:sz w:val="22"/>
          <w:szCs w:val="22"/>
          <w:lang w:val="hu-HU"/>
        </w:rPr>
      </w:pPr>
      <w:proofErr w:type="gramStart"/>
      <w:r w:rsidRPr="001C21EC">
        <w:rPr>
          <w:sz w:val="22"/>
          <w:szCs w:val="22"/>
          <w:lang w:val="hu-HU"/>
        </w:rPr>
        <w:t>zselatin</w:t>
      </w:r>
      <w:proofErr w:type="gramEnd"/>
      <w:r w:rsidRPr="001C21EC">
        <w:rPr>
          <w:sz w:val="22"/>
          <w:szCs w:val="22"/>
          <w:lang w:val="hu-HU"/>
        </w:rPr>
        <w:t xml:space="preserve"> </w:t>
      </w:r>
    </w:p>
    <w:p w14:paraId="1F835DCE" w14:textId="77777777" w:rsidR="001C21EC" w:rsidRPr="001C21EC" w:rsidRDefault="001C21EC">
      <w:pPr>
        <w:pStyle w:val="Default"/>
        <w:rPr>
          <w:sz w:val="22"/>
          <w:szCs w:val="22"/>
          <w:lang w:val="hu-HU"/>
        </w:rPr>
      </w:pPr>
      <w:proofErr w:type="gramStart"/>
      <w:r w:rsidRPr="001C21EC">
        <w:rPr>
          <w:sz w:val="22"/>
          <w:szCs w:val="22"/>
          <w:lang w:val="hu-HU"/>
        </w:rPr>
        <w:t>titán-dioxid</w:t>
      </w:r>
      <w:proofErr w:type="gramEnd"/>
      <w:r w:rsidRPr="001C21EC">
        <w:rPr>
          <w:sz w:val="22"/>
          <w:szCs w:val="22"/>
          <w:lang w:val="hu-HU"/>
        </w:rPr>
        <w:t xml:space="preserve"> (E171) </w:t>
      </w:r>
    </w:p>
    <w:p w14:paraId="0DB26D4C" w14:textId="77777777" w:rsidR="001C21EC" w:rsidRPr="001C21EC" w:rsidRDefault="001C21EC">
      <w:pPr>
        <w:pStyle w:val="Default"/>
        <w:rPr>
          <w:sz w:val="22"/>
          <w:szCs w:val="22"/>
          <w:lang w:val="hu-HU"/>
        </w:rPr>
      </w:pPr>
      <w:proofErr w:type="gramStart"/>
      <w:r w:rsidRPr="001C21EC">
        <w:rPr>
          <w:sz w:val="22"/>
          <w:szCs w:val="22"/>
          <w:lang w:val="hu-HU"/>
        </w:rPr>
        <w:t>sárga</w:t>
      </w:r>
      <w:proofErr w:type="gramEnd"/>
      <w:r w:rsidRPr="001C21EC">
        <w:rPr>
          <w:sz w:val="22"/>
          <w:szCs w:val="22"/>
          <w:lang w:val="hu-HU"/>
        </w:rPr>
        <w:t xml:space="preserve"> vas-oxid (E172) </w:t>
      </w:r>
    </w:p>
    <w:p w14:paraId="1117BEB3" w14:textId="77777777" w:rsidR="001C21EC" w:rsidRDefault="001C21EC">
      <w:pPr>
        <w:pStyle w:val="Default"/>
        <w:rPr>
          <w:sz w:val="22"/>
          <w:szCs w:val="22"/>
          <w:lang w:val="hu-HU"/>
        </w:rPr>
      </w:pPr>
      <w:r w:rsidRPr="001C21EC">
        <w:rPr>
          <w:sz w:val="22"/>
          <w:szCs w:val="22"/>
          <w:lang w:val="hu-HU"/>
        </w:rPr>
        <w:t xml:space="preserve">brillantkék FCF (E133) </w:t>
      </w:r>
    </w:p>
    <w:p w14:paraId="56FB9472" w14:textId="77777777" w:rsidR="001C21EC" w:rsidRPr="001C21EC" w:rsidRDefault="001C21EC">
      <w:pPr>
        <w:pStyle w:val="Default"/>
        <w:rPr>
          <w:sz w:val="22"/>
          <w:szCs w:val="22"/>
          <w:lang w:val="hu-HU"/>
        </w:rPr>
      </w:pPr>
    </w:p>
    <w:p w14:paraId="0C7AB4D4" w14:textId="77777777" w:rsidR="001C21EC" w:rsidRPr="001C21EC" w:rsidRDefault="001C21EC">
      <w:pPr>
        <w:pStyle w:val="Defaul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Kapszula felirat (fekete tinta)</w:t>
      </w:r>
    </w:p>
    <w:p w14:paraId="5A77F391" w14:textId="28FB9CB5" w:rsidR="001C21EC" w:rsidRPr="001C21EC" w:rsidRDefault="001C21E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en-GB"/>
        </w:rPr>
        <w:t xml:space="preserve">~45%-os </w:t>
      </w:r>
      <w:r w:rsidRPr="001C21EC">
        <w:rPr>
          <w:sz w:val="22"/>
          <w:szCs w:val="22"/>
          <w:lang w:val="hu-HU"/>
        </w:rPr>
        <w:t xml:space="preserve">sellak </w:t>
      </w:r>
      <w:r>
        <w:rPr>
          <w:sz w:val="22"/>
          <w:szCs w:val="22"/>
          <w:lang w:val="hu-HU"/>
        </w:rPr>
        <w:t>máz (20% észterezett)</w:t>
      </w:r>
    </w:p>
    <w:p w14:paraId="46C7F79D" w14:textId="77777777" w:rsidR="001C21EC" w:rsidRPr="001C21EC" w:rsidRDefault="001C21EC">
      <w:pPr>
        <w:pStyle w:val="Default"/>
        <w:rPr>
          <w:sz w:val="22"/>
          <w:szCs w:val="22"/>
          <w:lang w:val="hu-HU"/>
        </w:rPr>
      </w:pPr>
      <w:proofErr w:type="gramStart"/>
      <w:r w:rsidRPr="001C21EC">
        <w:rPr>
          <w:sz w:val="22"/>
          <w:szCs w:val="22"/>
          <w:lang w:val="hu-HU"/>
        </w:rPr>
        <w:t>fekete</w:t>
      </w:r>
      <w:proofErr w:type="gramEnd"/>
      <w:r w:rsidRPr="001C21EC">
        <w:rPr>
          <w:sz w:val="22"/>
          <w:szCs w:val="22"/>
          <w:lang w:val="hu-HU"/>
        </w:rPr>
        <w:t xml:space="preserve"> vas-oxid (E172) </w:t>
      </w:r>
    </w:p>
    <w:p w14:paraId="00731822" w14:textId="77777777" w:rsidR="001C21EC" w:rsidRPr="001C21EC" w:rsidRDefault="001C21EC">
      <w:pPr>
        <w:pStyle w:val="Default"/>
        <w:rPr>
          <w:sz w:val="22"/>
          <w:szCs w:val="22"/>
          <w:lang w:val="hu-HU"/>
        </w:rPr>
      </w:pPr>
      <w:r w:rsidRPr="001C21EC">
        <w:rPr>
          <w:sz w:val="22"/>
          <w:szCs w:val="22"/>
          <w:lang w:val="hu-HU"/>
        </w:rPr>
        <w:t xml:space="preserve">propilénglikol (E1520) </w:t>
      </w:r>
    </w:p>
    <w:p w14:paraId="5A717883" w14:textId="77777777" w:rsidR="001C21EC" w:rsidRPr="001C21EC" w:rsidRDefault="001C21EC">
      <w:pPr>
        <w:tabs>
          <w:tab w:val="left" w:pos="6315"/>
        </w:tabs>
        <w:spacing w:line="240" w:lineRule="auto"/>
        <w:rPr>
          <w:szCs w:val="22"/>
        </w:rPr>
      </w:pPr>
      <w:r w:rsidRPr="001C21EC">
        <w:rPr>
          <w:szCs w:val="22"/>
        </w:rPr>
        <w:t>28%-os ammónium-hidroxid</w:t>
      </w:r>
    </w:p>
    <w:p w14:paraId="1AEC284E" w14:textId="77777777" w:rsidR="001C21EC" w:rsidRPr="001C21EC" w:rsidRDefault="001C21EC">
      <w:pPr>
        <w:tabs>
          <w:tab w:val="left" w:pos="6315"/>
        </w:tabs>
        <w:spacing w:line="240" w:lineRule="auto"/>
        <w:rPr>
          <w:szCs w:val="22"/>
        </w:rPr>
      </w:pPr>
    </w:p>
    <w:p w14:paraId="66C17B54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6.2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Inkompatibilitások</w:t>
      </w:r>
    </w:p>
    <w:p w14:paraId="27A5287F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60F67F5" w14:textId="77777777" w:rsidR="00F45C51" w:rsidRPr="00F06234" w:rsidRDefault="0019277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>Nem értelmezhető.</w:t>
      </w:r>
    </w:p>
    <w:p w14:paraId="4B45291D" w14:textId="77777777" w:rsidR="00F45C51" w:rsidRPr="00F06234" w:rsidRDefault="00F45C51">
      <w:pPr>
        <w:tabs>
          <w:tab w:val="clear" w:pos="567"/>
          <w:tab w:val="left" w:pos="2280"/>
        </w:tabs>
        <w:spacing w:line="240" w:lineRule="auto"/>
      </w:pPr>
    </w:p>
    <w:p w14:paraId="37472802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6.3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Felhasználhatósági időtartam</w:t>
      </w:r>
    </w:p>
    <w:p w14:paraId="3FD6B2D6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A979AFA" w14:textId="4F6E9B90" w:rsidR="00F45C51" w:rsidRDefault="00712B19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 xml:space="preserve">3 </w:t>
      </w:r>
      <w:r w:rsidR="00931C8F">
        <w:rPr>
          <w:rFonts w:eastAsia="Times New Roman"/>
          <w:noProof/>
          <w:snapToGrid/>
          <w:szCs w:val="22"/>
          <w:lang w:eastAsia="en-US"/>
        </w:rPr>
        <w:t>év</w:t>
      </w:r>
    </w:p>
    <w:p w14:paraId="3740C7FE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B451E1C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6.4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5A0F2E9" w14:textId="77777777" w:rsidR="00F45C51" w:rsidRDefault="00F45C51">
      <w:pPr>
        <w:spacing w:line="240" w:lineRule="auto"/>
        <w:ind w:left="567" w:hanging="567"/>
        <w:outlineLvl w:val="0"/>
        <w:rPr>
          <w:b/>
        </w:rPr>
      </w:pPr>
    </w:p>
    <w:p w14:paraId="7A93AD35" w14:textId="0A80A412" w:rsidR="00931C8F" w:rsidRDefault="00931C8F">
      <w:pPr>
        <w:spacing w:line="240" w:lineRule="auto"/>
        <w:ind w:left="567" w:hanging="567"/>
        <w:outlineLvl w:val="0"/>
        <w:rPr>
          <w:szCs w:val="22"/>
        </w:rPr>
      </w:pPr>
      <w:r>
        <w:rPr>
          <w:szCs w:val="22"/>
        </w:rPr>
        <w:t>Legfeljebb 30</w:t>
      </w:r>
      <w:r w:rsidR="003F2588" w:rsidRPr="00687BC3">
        <w:t> </w:t>
      </w:r>
      <w:r>
        <w:rPr>
          <w:szCs w:val="22"/>
        </w:rPr>
        <w:t>°C-on tárolandó.</w:t>
      </w:r>
    </w:p>
    <w:p w14:paraId="6371102A" w14:textId="77777777" w:rsidR="00931C8F" w:rsidRPr="00F06234" w:rsidRDefault="00931C8F">
      <w:pPr>
        <w:spacing w:line="240" w:lineRule="auto"/>
        <w:ind w:left="567" w:hanging="567"/>
        <w:outlineLvl w:val="0"/>
        <w:rPr>
          <w:b/>
        </w:rPr>
      </w:pPr>
    </w:p>
    <w:p w14:paraId="03861073" w14:textId="1B23FFF9" w:rsidR="00F45C51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6.5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Csomagolás típusa és kiszerelése </w:t>
      </w:r>
    </w:p>
    <w:p w14:paraId="4F1FA7AE" w14:textId="743F7FBB" w:rsidR="006044DC" w:rsidRDefault="006044DC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43140DDD" w14:textId="7453DC0B" w:rsidR="001D7A02" w:rsidRDefault="001D7A02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eastAsia="en-US"/>
        </w:rPr>
      </w:pPr>
      <w:r w:rsidRPr="001D7A02">
        <w:rPr>
          <w:rFonts w:eastAsia="Times New Roman"/>
          <w:bCs/>
          <w:noProof/>
          <w:snapToGrid/>
          <w:szCs w:val="22"/>
          <w:lang w:eastAsia="en-US"/>
        </w:rPr>
        <w:t>Al//PVC/PVDC buborékcsomagolás vagy naptárjelzéses buborékcsomagolás vagy adagonként perforált buborékcsomagolás</w:t>
      </w:r>
      <w:r>
        <w:rPr>
          <w:rFonts w:eastAsia="Times New Roman"/>
          <w:bCs/>
          <w:noProof/>
          <w:snapToGrid/>
          <w:szCs w:val="22"/>
          <w:lang w:eastAsia="en-US"/>
        </w:rPr>
        <w:t>.</w:t>
      </w:r>
    </w:p>
    <w:p w14:paraId="298F2A3B" w14:textId="77777777" w:rsidR="001D7A02" w:rsidRPr="001D7A02" w:rsidRDefault="001D7A02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bCs/>
          <w:noProof/>
          <w:snapToGrid/>
          <w:szCs w:val="22"/>
          <w:lang w:eastAsia="en-US"/>
        </w:rPr>
      </w:pPr>
    </w:p>
    <w:p w14:paraId="1A870722" w14:textId="04230B2D" w:rsidR="006044DC" w:rsidRPr="006044DC" w:rsidRDefault="006044D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>Dimetil-fumarát Sandoz 120</w:t>
      </w:r>
      <w:r w:rsidR="003F2588" w:rsidRPr="00F0442C">
        <w:rPr>
          <w:u w:val="single"/>
        </w:rPr>
        <w:t> </w:t>
      </w: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3B6F3306" w14:textId="4F707F82" w:rsidR="001D7A02" w:rsidRDefault="001D7A02">
      <w:pPr>
        <w:pStyle w:val="Default"/>
        <w:rPr>
          <w:sz w:val="22"/>
          <w:szCs w:val="22"/>
          <w:lang w:val="hu-HU"/>
        </w:rPr>
      </w:pPr>
      <w:r w:rsidRPr="006044DC">
        <w:rPr>
          <w:sz w:val="22"/>
          <w:szCs w:val="22"/>
          <w:lang w:val="hu-HU"/>
        </w:rPr>
        <w:t>14</w:t>
      </w:r>
      <w:r w:rsidR="003F2588" w:rsidRPr="00687BC3">
        <w:t> </w:t>
      </w:r>
      <w:r w:rsidRPr="006044DC">
        <w:rPr>
          <w:sz w:val="22"/>
          <w:szCs w:val="22"/>
          <w:lang w:val="hu-HU"/>
        </w:rPr>
        <w:t xml:space="preserve">db </w:t>
      </w:r>
      <w:r>
        <w:rPr>
          <w:sz w:val="22"/>
          <w:szCs w:val="22"/>
          <w:lang w:val="hu-HU"/>
        </w:rPr>
        <w:t xml:space="preserve">gyomornedv-ellenálló kemény </w:t>
      </w:r>
      <w:r w:rsidRPr="006044DC">
        <w:rPr>
          <w:sz w:val="22"/>
          <w:szCs w:val="22"/>
          <w:lang w:val="hu-HU"/>
        </w:rPr>
        <w:t xml:space="preserve">kapszula </w:t>
      </w:r>
      <w:r>
        <w:rPr>
          <w:sz w:val="22"/>
          <w:szCs w:val="22"/>
          <w:lang w:val="hu-HU"/>
        </w:rPr>
        <w:t>buborékcsomagolásban</w:t>
      </w:r>
    </w:p>
    <w:p w14:paraId="34054230" w14:textId="29D886FA" w:rsidR="001D7A02" w:rsidRDefault="001D7A02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14</w:t>
      </w:r>
      <w:r w:rsidR="003F2588" w:rsidRPr="00687BC3">
        <w:t> </w:t>
      </w:r>
      <w:r>
        <w:rPr>
          <w:sz w:val="22"/>
          <w:szCs w:val="22"/>
          <w:lang w:val="hu-HU"/>
        </w:rPr>
        <w:t>db</w:t>
      </w:r>
      <w:r w:rsidRPr="002418EB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gyomornedv-ellenálló kemény </w:t>
      </w:r>
      <w:r w:rsidRPr="006044DC">
        <w:rPr>
          <w:sz w:val="22"/>
          <w:szCs w:val="22"/>
          <w:lang w:val="hu-HU"/>
        </w:rPr>
        <w:t>kapszula</w:t>
      </w:r>
      <w:r>
        <w:rPr>
          <w:sz w:val="22"/>
          <w:szCs w:val="22"/>
          <w:lang w:val="hu-HU"/>
        </w:rPr>
        <w:t xml:space="preserve"> naptárjelzéses buborékcsomagolásban</w:t>
      </w:r>
    </w:p>
    <w:p w14:paraId="48C8F4DE" w14:textId="72BEFC1C" w:rsidR="001D7A02" w:rsidRPr="006044DC" w:rsidRDefault="001D7A02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6044DC">
        <w:rPr>
          <w:szCs w:val="22"/>
        </w:rPr>
        <w:t>14</w:t>
      </w:r>
      <w:r>
        <w:rPr>
          <w:szCs w:val="22"/>
        </w:rPr>
        <w:t>×</w:t>
      </w:r>
      <w:r w:rsidRPr="006044DC">
        <w:rPr>
          <w:szCs w:val="22"/>
        </w:rPr>
        <w:t>1</w:t>
      </w:r>
      <w:r w:rsidR="003F2588" w:rsidRPr="00687BC3">
        <w:t> </w:t>
      </w:r>
      <w:r w:rsidRPr="006044DC">
        <w:rPr>
          <w:szCs w:val="22"/>
        </w:rPr>
        <w:t xml:space="preserve">db </w:t>
      </w:r>
      <w:r>
        <w:rPr>
          <w:szCs w:val="22"/>
        </w:rPr>
        <w:t xml:space="preserve">gyomornedv-ellenálló kemény </w:t>
      </w:r>
      <w:r w:rsidRPr="006044DC">
        <w:rPr>
          <w:szCs w:val="22"/>
        </w:rPr>
        <w:t>kapszula adagonként perforált buborékcsomagolásban</w:t>
      </w:r>
    </w:p>
    <w:p w14:paraId="4931C28D" w14:textId="4929613E" w:rsidR="00931C8F" w:rsidRPr="006044DC" w:rsidRDefault="00931C8F">
      <w:pPr>
        <w:pStyle w:val="Default"/>
        <w:rPr>
          <w:sz w:val="22"/>
          <w:szCs w:val="22"/>
        </w:rPr>
      </w:pPr>
    </w:p>
    <w:p w14:paraId="1C035B45" w14:textId="23DAAF77" w:rsidR="006044DC" w:rsidRDefault="006044DC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 xml:space="preserve">Dimetil-fumarát Sandoz </w:t>
      </w:r>
      <w:r>
        <w:rPr>
          <w:rFonts w:eastAsia="Times New Roman"/>
          <w:noProof/>
          <w:snapToGrid/>
          <w:szCs w:val="22"/>
          <w:u w:val="single"/>
          <w:lang w:eastAsia="en-US"/>
        </w:rPr>
        <w:t>240</w:t>
      </w:r>
      <w:r w:rsidR="003F2588" w:rsidRPr="00F0442C">
        <w:rPr>
          <w:u w:val="single"/>
        </w:rPr>
        <w:t> </w:t>
      </w:r>
      <w:r w:rsidRPr="006044DC">
        <w:rPr>
          <w:rFonts w:eastAsia="Times New Roman"/>
          <w:noProof/>
          <w:snapToGrid/>
          <w:szCs w:val="22"/>
          <w:u w:val="single"/>
          <w:lang w:eastAsia="en-US"/>
        </w:rPr>
        <w:t>mg gyomornedv-ellenálló kemény kapszula</w:t>
      </w:r>
    </w:p>
    <w:p w14:paraId="06B74BCE" w14:textId="46FB9B20" w:rsidR="001D7A02" w:rsidRPr="006044DC" w:rsidRDefault="001D7A02">
      <w:pPr>
        <w:pStyle w:val="Default"/>
        <w:rPr>
          <w:sz w:val="22"/>
          <w:szCs w:val="22"/>
          <w:lang w:val="hu-HU"/>
        </w:rPr>
      </w:pPr>
      <w:r w:rsidRPr="006044DC">
        <w:rPr>
          <w:sz w:val="22"/>
          <w:szCs w:val="22"/>
          <w:lang w:val="hu-HU"/>
        </w:rPr>
        <w:t>56</w:t>
      </w:r>
      <w:r w:rsidR="003F2588" w:rsidRPr="00687BC3">
        <w:t> </w:t>
      </w:r>
      <w:r w:rsidRPr="006044DC">
        <w:rPr>
          <w:sz w:val="22"/>
          <w:szCs w:val="22"/>
          <w:lang w:val="hu-HU"/>
        </w:rPr>
        <w:t>db, 168</w:t>
      </w:r>
      <w:r w:rsidR="003F2588" w:rsidRPr="00687BC3">
        <w:t> </w:t>
      </w:r>
      <w:r w:rsidRPr="006044DC">
        <w:rPr>
          <w:sz w:val="22"/>
          <w:szCs w:val="22"/>
          <w:lang w:val="hu-HU"/>
        </w:rPr>
        <w:t>db vagy 196</w:t>
      </w:r>
      <w:r w:rsidR="003F2588" w:rsidRPr="00687BC3">
        <w:t> </w:t>
      </w:r>
      <w:r w:rsidRPr="006044DC">
        <w:rPr>
          <w:sz w:val="22"/>
          <w:szCs w:val="22"/>
          <w:lang w:val="hu-HU"/>
        </w:rPr>
        <w:t>db gyomornedv-ellenálló kemény kapszula buborékcsomagolásban</w:t>
      </w:r>
    </w:p>
    <w:p w14:paraId="40E3C938" w14:textId="6A66DD07" w:rsidR="001D7A02" w:rsidRPr="006044DC" w:rsidRDefault="001D7A02">
      <w:pPr>
        <w:pStyle w:val="Default"/>
        <w:rPr>
          <w:sz w:val="22"/>
          <w:szCs w:val="22"/>
          <w:lang w:val="hu-HU"/>
        </w:rPr>
      </w:pPr>
      <w:r w:rsidRPr="006044DC">
        <w:rPr>
          <w:sz w:val="22"/>
          <w:szCs w:val="22"/>
          <w:lang w:val="hu-HU"/>
        </w:rPr>
        <w:t>56</w:t>
      </w:r>
      <w:r w:rsidR="003F2588" w:rsidRPr="00687BC3">
        <w:t> </w:t>
      </w:r>
      <w:r w:rsidRPr="006044DC">
        <w:rPr>
          <w:sz w:val="22"/>
          <w:szCs w:val="22"/>
          <w:lang w:val="hu-HU"/>
        </w:rPr>
        <w:t>db, 168</w:t>
      </w:r>
      <w:r w:rsidR="003F2588" w:rsidRPr="00687BC3">
        <w:t> </w:t>
      </w:r>
      <w:r w:rsidRPr="006044DC">
        <w:rPr>
          <w:sz w:val="22"/>
          <w:szCs w:val="22"/>
          <w:lang w:val="hu-HU"/>
        </w:rPr>
        <w:t>db vagy 196</w:t>
      </w:r>
      <w:r w:rsidR="003F2588" w:rsidRPr="00687BC3">
        <w:t> </w:t>
      </w:r>
      <w:r w:rsidRPr="006044DC">
        <w:rPr>
          <w:sz w:val="22"/>
          <w:szCs w:val="22"/>
          <w:lang w:val="hu-HU"/>
        </w:rPr>
        <w:t>db gyomornedv-ellenálló kemény kapszula naptár</w:t>
      </w:r>
      <w:r>
        <w:rPr>
          <w:sz w:val="22"/>
          <w:szCs w:val="22"/>
          <w:lang w:val="hu-HU"/>
        </w:rPr>
        <w:t xml:space="preserve">jelzéses </w:t>
      </w:r>
      <w:r w:rsidRPr="006044DC">
        <w:rPr>
          <w:sz w:val="22"/>
          <w:szCs w:val="22"/>
          <w:lang w:val="hu-HU"/>
        </w:rPr>
        <w:t>buborékcsomagolásban</w:t>
      </w:r>
    </w:p>
    <w:p w14:paraId="7DAB49B3" w14:textId="642666FE" w:rsidR="001D7A02" w:rsidRDefault="001D7A02">
      <w:pPr>
        <w:pStyle w:val="Default"/>
        <w:rPr>
          <w:sz w:val="22"/>
          <w:szCs w:val="22"/>
          <w:lang w:val="hu-HU"/>
        </w:rPr>
      </w:pPr>
      <w:r w:rsidRPr="006044DC">
        <w:rPr>
          <w:sz w:val="22"/>
          <w:szCs w:val="22"/>
          <w:lang w:val="hu-HU"/>
        </w:rPr>
        <w:t>56</w:t>
      </w:r>
      <w:r>
        <w:rPr>
          <w:sz w:val="22"/>
          <w:szCs w:val="22"/>
          <w:lang w:val="hu-HU"/>
        </w:rPr>
        <w:t>×</w:t>
      </w:r>
      <w:r w:rsidRPr="006044DC">
        <w:rPr>
          <w:sz w:val="22"/>
          <w:szCs w:val="22"/>
          <w:lang w:val="hu-HU"/>
        </w:rPr>
        <w:t>1</w:t>
      </w:r>
      <w:r w:rsidR="003F2588" w:rsidRPr="00687BC3">
        <w:t> </w:t>
      </w:r>
      <w:r w:rsidRPr="006044DC">
        <w:rPr>
          <w:sz w:val="22"/>
          <w:szCs w:val="22"/>
          <w:lang w:val="hu-HU"/>
        </w:rPr>
        <w:t>db vagy 168</w:t>
      </w:r>
      <w:r>
        <w:rPr>
          <w:sz w:val="22"/>
          <w:szCs w:val="22"/>
          <w:lang w:val="hu-HU"/>
        </w:rPr>
        <w:t>×</w:t>
      </w:r>
      <w:r w:rsidRPr="006044DC">
        <w:rPr>
          <w:sz w:val="22"/>
          <w:szCs w:val="22"/>
          <w:lang w:val="hu-HU"/>
        </w:rPr>
        <w:t>1</w:t>
      </w:r>
      <w:r w:rsidR="003F2588" w:rsidRPr="00687BC3">
        <w:t> </w:t>
      </w:r>
      <w:r w:rsidRPr="006044DC">
        <w:rPr>
          <w:sz w:val="22"/>
          <w:szCs w:val="22"/>
          <w:lang w:val="hu-HU"/>
        </w:rPr>
        <w:t xml:space="preserve">db gyomornedv-ellenálló kemény kapszula adagonként perforált buborékcsomagolásban </w:t>
      </w:r>
    </w:p>
    <w:p w14:paraId="6153B59C" w14:textId="77777777" w:rsidR="001D7A02" w:rsidRPr="006044DC" w:rsidRDefault="001D7A02">
      <w:pPr>
        <w:spacing w:line="240" w:lineRule="auto"/>
        <w:rPr>
          <w:rFonts w:eastAsia="Times New Roman"/>
          <w:noProof/>
          <w:snapToGrid/>
          <w:szCs w:val="22"/>
          <w:u w:val="single"/>
          <w:lang w:eastAsia="en-US"/>
        </w:rPr>
      </w:pPr>
    </w:p>
    <w:p w14:paraId="7C436368" w14:textId="77777777" w:rsidR="00931C8F" w:rsidRDefault="00931C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szCs w:val="22"/>
        </w:rPr>
        <w:t>Nem feltétlenül mindegyik kiszerelés kerül kereskedelmi forgalomba.</w:t>
      </w:r>
      <w:r w:rsidR="0012137D">
        <w:rPr>
          <w:szCs w:val="22"/>
        </w:rPr>
        <w:t xml:space="preserve"> </w:t>
      </w:r>
    </w:p>
    <w:p w14:paraId="5D00BBEA" w14:textId="77777777" w:rsidR="00931C8F" w:rsidRPr="00F06234" w:rsidRDefault="00931C8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035F473" w14:textId="27D1D083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6.6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megsemmisítésre vonatkozó különleges óvintézkedések </w:t>
      </w:r>
      <w:r w:rsidR="00531A95">
        <w:rPr>
          <w:rFonts w:eastAsia="Times New Roman"/>
          <w:b/>
          <w:noProof/>
          <w:snapToGrid/>
          <w:szCs w:val="22"/>
          <w:lang w:eastAsia="en-US"/>
        </w:rPr>
        <w:t>és egyéb, a készítmény kezelésével kapcsolatos információk</w:t>
      </w:r>
    </w:p>
    <w:p w14:paraId="30EF9D98" w14:textId="77777777" w:rsidR="00BE793B" w:rsidRPr="00F06234" w:rsidRDefault="00BE793B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eastAsia="en-US"/>
        </w:rPr>
      </w:pPr>
    </w:p>
    <w:p w14:paraId="737DA470" w14:textId="0F7ADB62" w:rsidR="00F45C51" w:rsidRDefault="0019277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 xml:space="preserve">Bármilyen fel nem használt gyógyszer, illetve hulladékanyag megsemmisítését a </w:t>
      </w:r>
      <w:r w:rsidR="00127C1D" w:rsidRPr="00F06234">
        <w:rPr>
          <w:rFonts w:eastAsia="Times New Roman"/>
          <w:noProof/>
          <w:snapToGrid/>
          <w:szCs w:val="22"/>
          <w:lang w:eastAsia="en-US"/>
        </w:rPr>
        <w:t>gyógyszerekre vonatkozó</w:t>
      </w:r>
      <w:r w:rsidRPr="00F06234">
        <w:rPr>
          <w:rFonts w:eastAsia="Times New Roman"/>
          <w:noProof/>
          <w:snapToGrid/>
          <w:szCs w:val="22"/>
          <w:lang w:eastAsia="en-US"/>
        </w:rPr>
        <w:t xml:space="preserve"> előírások szerint kell végrehajtani.</w:t>
      </w:r>
    </w:p>
    <w:p w14:paraId="773F0508" w14:textId="47B0FA38" w:rsidR="00F83F09" w:rsidRDefault="00F83F09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0E992AF" w14:textId="77777777" w:rsidR="00B46390" w:rsidRDefault="00B46390" w:rsidP="00F0442C">
      <w:pPr>
        <w:spacing w:line="240" w:lineRule="auto"/>
        <w:rPr>
          <w:rFonts w:asciiTheme="majorBidi" w:hAnsiTheme="majorBidi" w:cstheme="majorBidi"/>
          <w:snapToGrid/>
          <w:lang w:eastAsia="en-US"/>
        </w:rPr>
      </w:pPr>
      <w:r>
        <w:rPr>
          <w:rFonts w:asciiTheme="majorBidi" w:hAnsiTheme="majorBidi" w:cstheme="majorBidi"/>
          <w:b/>
        </w:rPr>
        <w:t>Megjegyzés:</w:t>
      </w: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sym w:font="Wingdings" w:char="F058"/>
      </w:r>
      <w:r>
        <w:rPr>
          <w:rFonts w:asciiTheme="majorBidi" w:hAnsiTheme="majorBidi" w:cstheme="majorBidi"/>
        </w:rPr>
        <w:t xml:space="preserve"> (egy kereszt)</w:t>
      </w:r>
    </w:p>
    <w:p w14:paraId="6BAD10BF" w14:textId="77777777" w:rsidR="00B46390" w:rsidRDefault="00B46390" w:rsidP="00F0442C">
      <w:pPr>
        <w:spacing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Osztályozás: </w:t>
      </w:r>
      <w:r>
        <w:rPr>
          <w:rFonts w:asciiTheme="majorBidi" w:hAnsiTheme="majorBidi" w:cstheme="majorBidi"/>
          <w:b/>
        </w:rPr>
        <w:t>II./2 csoport</w:t>
      </w:r>
    </w:p>
    <w:p w14:paraId="69687309" w14:textId="77777777" w:rsidR="00B46390" w:rsidRDefault="00B46390" w:rsidP="00F0442C">
      <w:pPr>
        <w:spacing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Korlátozott érvényű orvosi rendelvényhez kötött, szakorvosi/kórházi diagnózist követően folyamatos szakorvosi ellenőrzés mellett alkalmazható gyógyszer (Sz).</w:t>
      </w:r>
    </w:p>
    <w:p w14:paraId="361A4B35" w14:textId="77777777" w:rsidR="00F45C51" w:rsidRPr="00F06234" w:rsidRDefault="00F45C51" w:rsidP="00FE2742">
      <w:pPr>
        <w:spacing w:line="240" w:lineRule="auto"/>
        <w:ind w:left="567" w:hanging="567"/>
        <w:outlineLvl w:val="0"/>
        <w:rPr>
          <w:b/>
        </w:rPr>
      </w:pPr>
    </w:p>
    <w:p w14:paraId="29C40719" w14:textId="77777777" w:rsidR="00F45C51" w:rsidRPr="00F06234" w:rsidRDefault="00F45C51" w:rsidP="003F7C47">
      <w:pPr>
        <w:spacing w:line="240" w:lineRule="auto"/>
        <w:ind w:left="567" w:hanging="567"/>
        <w:outlineLvl w:val="0"/>
        <w:rPr>
          <w:b/>
        </w:rPr>
      </w:pPr>
    </w:p>
    <w:p w14:paraId="60511190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JOGOSULTJA</w:t>
      </w:r>
    </w:p>
    <w:p w14:paraId="211BA618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3CBFA5F5" w14:textId="77777777" w:rsidR="00EC221F" w:rsidRDefault="0012137D">
      <w:pPr>
        <w:spacing w:line="240" w:lineRule="auto"/>
        <w:ind w:left="567" w:hanging="567"/>
        <w:outlineLvl w:val="0"/>
      </w:pPr>
      <w:r>
        <w:t>Sandoz Hungária Kft.</w:t>
      </w:r>
    </w:p>
    <w:p w14:paraId="1F4E8D89" w14:textId="77777777" w:rsidR="0012137D" w:rsidRDefault="0012137D">
      <w:pPr>
        <w:spacing w:line="240" w:lineRule="auto"/>
        <w:ind w:left="567" w:hanging="567"/>
        <w:outlineLvl w:val="0"/>
      </w:pPr>
      <w:r>
        <w:t>1114 Budapest</w:t>
      </w:r>
    </w:p>
    <w:p w14:paraId="239878F8" w14:textId="77777777" w:rsidR="0012137D" w:rsidRDefault="0012137D">
      <w:pPr>
        <w:spacing w:line="240" w:lineRule="auto"/>
        <w:ind w:left="567" w:hanging="567"/>
        <w:outlineLvl w:val="0"/>
      </w:pPr>
      <w:r>
        <w:t>Bartók Béla út 43-47.</w:t>
      </w:r>
    </w:p>
    <w:p w14:paraId="2B657E6A" w14:textId="77777777" w:rsidR="00494EB4" w:rsidRPr="00F06234" w:rsidRDefault="00494EB4">
      <w:pPr>
        <w:spacing w:line="240" w:lineRule="auto"/>
        <w:ind w:left="567" w:hanging="567"/>
        <w:outlineLvl w:val="0"/>
      </w:pPr>
      <w:r>
        <w:t>Magyarország</w:t>
      </w:r>
    </w:p>
    <w:p w14:paraId="6FAF6473" w14:textId="77777777" w:rsidR="00EC221F" w:rsidRPr="00F06234" w:rsidRDefault="00EC221F">
      <w:pPr>
        <w:spacing w:line="240" w:lineRule="auto"/>
        <w:ind w:left="567" w:hanging="567"/>
        <w:outlineLvl w:val="0"/>
        <w:rPr>
          <w:b/>
        </w:rPr>
      </w:pPr>
    </w:p>
    <w:p w14:paraId="37858F74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19DD2E4F" w14:textId="77777777" w:rsidR="00F45C51" w:rsidRPr="00F06234" w:rsidRDefault="0019277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55464605" w14:textId="77777777" w:rsidR="00F45C51" w:rsidRPr="00F06234" w:rsidRDefault="00F45C51">
      <w:pPr>
        <w:spacing w:line="240" w:lineRule="auto"/>
        <w:ind w:left="567" w:hanging="567"/>
        <w:outlineLvl w:val="0"/>
        <w:rPr>
          <w:b/>
        </w:rPr>
      </w:pPr>
    </w:p>
    <w:p w14:paraId="504D7934" w14:textId="3049F963" w:rsidR="001D7A02" w:rsidRPr="00F925A3" w:rsidRDefault="001D7A02">
      <w:pPr>
        <w:spacing w:line="240" w:lineRule="auto"/>
        <w:rPr>
          <w:szCs w:val="22"/>
          <w:u w:val="single"/>
        </w:rPr>
      </w:pPr>
      <w:r w:rsidRPr="00F925A3">
        <w:rPr>
          <w:szCs w:val="22"/>
          <w:u w:val="single"/>
        </w:rPr>
        <w:t xml:space="preserve">Dimetil-fumarát Sandoz </w:t>
      </w:r>
      <w:r>
        <w:rPr>
          <w:szCs w:val="22"/>
          <w:u w:val="single"/>
        </w:rPr>
        <w:t>120</w:t>
      </w:r>
      <w:r w:rsidR="00D12046" w:rsidRPr="00F0442C">
        <w:rPr>
          <w:u w:val="single"/>
        </w:rPr>
        <w:t> </w:t>
      </w:r>
      <w:r w:rsidRPr="00F925A3">
        <w:rPr>
          <w:szCs w:val="22"/>
          <w:u w:val="single"/>
        </w:rPr>
        <w:t>mg gyomornedv-ellenálló kemény kapszula</w:t>
      </w:r>
    </w:p>
    <w:p w14:paraId="4C34A2AE" w14:textId="77777777" w:rsidR="002C1C21" w:rsidRPr="002C1C21" w:rsidRDefault="002C1C21">
      <w:pPr>
        <w:rPr>
          <w:snapToGrid/>
          <w:szCs w:val="22"/>
          <w:lang w:eastAsia="en-US"/>
        </w:rPr>
      </w:pPr>
      <w:r w:rsidRPr="002C1C21">
        <w:rPr>
          <w:szCs w:val="22"/>
        </w:rPr>
        <w:t xml:space="preserve">OGYI-T-24155/01     14x      </w:t>
      </w:r>
      <w:r w:rsidRPr="002C1C21">
        <w:rPr>
          <w:szCs w:val="22"/>
          <w:lang w:val="en-US"/>
        </w:rPr>
        <w:t>Al//PVC/PVDC buborékcsomagolás</w:t>
      </w:r>
    </w:p>
    <w:p w14:paraId="1A51D7B0" w14:textId="77777777" w:rsidR="002C1C21" w:rsidRPr="002C1C21" w:rsidRDefault="002C1C21">
      <w:pPr>
        <w:rPr>
          <w:szCs w:val="22"/>
        </w:rPr>
      </w:pPr>
      <w:r w:rsidRPr="002C1C21">
        <w:rPr>
          <w:szCs w:val="22"/>
        </w:rPr>
        <w:t>OGYI-T-24155/02     14x      naptáras</w:t>
      </w:r>
      <w:r w:rsidRPr="002C1C21">
        <w:rPr>
          <w:szCs w:val="22"/>
          <w:lang w:val="en-US"/>
        </w:rPr>
        <w:t xml:space="preserve"> Al//PVC/PVDC buborékcsomagolás</w:t>
      </w:r>
    </w:p>
    <w:p w14:paraId="5A6AD23C" w14:textId="77777777" w:rsidR="002C1C21" w:rsidRPr="002C1C21" w:rsidRDefault="002C1C21">
      <w:pPr>
        <w:spacing w:line="240" w:lineRule="auto"/>
        <w:rPr>
          <w:szCs w:val="22"/>
          <w:lang w:val="en-US"/>
        </w:rPr>
      </w:pPr>
      <w:r w:rsidRPr="002C1C21">
        <w:rPr>
          <w:szCs w:val="22"/>
        </w:rPr>
        <w:t xml:space="preserve">OGYI-T-24155/03     14x1    </w:t>
      </w:r>
      <w:r w:rsidRPr="002C1C21">
        <w:rPr>
          <w:szCs w:val="22"/>
          <w:lang w:val="en-US"/>
        </w:rPr>
        <w:t>egyenként perforált Al//PVC/PVDC buborékcsomagolás</w:t>
      </w:r>
    </w:p>
    <w:p w14:paraId="5A3CD437" w14:textId="77777777" w:rsidR="001D7A02" w:rsidRPr="00F925A3" w:rsidRDefault="001D7A02">
      <w:pPr>
        <w:spacing w:line="240" w:lineRule="auto"/>
        <w:rPr>
          <w:szCs w:val="22"/>
          <w:u w:val="single"/>
        </w:rPr>
      </w:pPr>
    </w:p>
    <w:p w14:paraId="6AA62110" w14:textId="20F12003" w:rsidR="001D7A02" w:rsidRPr="00F925A3" w:rsidRDefault="001D7A02">
      <w:pPr>
        <w:spacing w:line="240" w:lineRule="auto"/>
        <w:rPr>
          <w:szCs w:val="22"/>
          <w:u w:val="single"/>
        </w:rPr>
      </w:pPr>
      <w:r w:rsidRPr="00F925A3">
        <w:rPr>
          <w:szCs w:val="22"/>
          <w:u w:val="single"/>
        </w:rPr>
        <w:t>Dimetil-fumarát Sandoz 240</w:t>
      </w:r>
      <w:r w:rsidR="00D12046" w:rsidRPr="00F0442C">
        <w:rPr>
          <w:u w:val="single"/>
        </w:rPr>
        <w:t> </w:t>
      </w:r>
      <w:r w:rsidRPr="00F925A3">
        <w:rPr>
          <w:szCs w:val="22"/>
          <w:u w:val="single"/>
        </w:rPr>
        <w:t>mg gyomornedv-ellenálló kemény kapszula</w:t>
      </w:r>
    </w:p>
    <w:p w14:paraId="0C56B41C" w14:textId="77777777" w:rsidR="002C1C21" w:rsidRPr="002C1C21" w:rsidRDefault="002C1C21">
      <w:pPr>
        <w:rPr>
          <w:snapToGrid/>
          <w:szCs w:val="22"/>
          <w:lang w:eastAsia="en-US"/>
        </w:rPr>
      </w:pPr>
      <w:r w:rsidRPr="002C1C21">
        <w:rPr>
          <w:szCs w:val="22"/>
        </w:rPr>
        <w:t xml:space="preserve">OGYI-T-24155/04     56x      </w:t>
      </w:r>
      <w:r w:rsidRPr="002C1C21">
        <w:rPr>
          <w:szCs w:val="22"/>
          <w:lang w:val="en-US"/>
        </w:rPr>
        <w:t>Al//PVC/PVDC buborékcsomagolás</w:t>
      </w:r>
    </w:p>
    <w:p w14:paraId="75484779" w14:textId="77777777" w:rsidR="002C1C21" w:rsidRPr="002C1C21" w:rsidRDefault="002C1C21">
      <w:pPr>
        <w:rPr>
          <w:szCs w:val="22"/>
        </w:rPr>
      </w:pPr>
      <w:r w:rsidRPr="002C1C21">
        <w:rPr>
          <w:szCs w:val="22"/>
        </w:rPr>
        <w:lastRenderedPageBreak/>
        <w:t>OGYI-T-24155/05     56x      naptáras</w:t>
      </w:r>
      <w:r w:rsidRPr="002C1C21">
        <w:rPr>
          <w:szCs w:val="22"/>
          <w:lang w:val="en-US"/>
        </w:rPr>
        <w:t xml:space="preserve"> Al//PVC/PVDC buborékcsomagolás</w:t>
      </w:r>
    </w:p>
    <w:p w14:paraId="70EADAB9" w14:textId="77777777" w:rsidR="002C1C21" w:rsidRPr="002C1C21" w:rsidRDefault="002C1C21">
      <w:pPr>
        <w:rPr>
          <w:szCs w:val="22"/>
        </w:rPr>
      </w:pPr>
      <w:r w:rsidRPr="002C1C21">
        <w:rPr>
          <w:szCs w:val="22"/>
        </w:rPr>
        <w:t xml:space="preserve">OGYI-T-24155/06     56x1    </w:t>
      </w:r>
      <w:r w:rsidRPr="002C1C21">
        <w:rPr>
          <w:szCs w:val="22"/>
          <w:lang w:val="en-US"/>
        </w:rPr>
        <w:t>egyenként perforált Al//PVC/PVDC buborékcsomagolás</w:t>
      </w:r>
    </w:p>
    <w:p w14:paraId="03656CAE" w14:textId="77777777" w:rsidR="0012137D" w:rsidRPr="00F06234" w:rsidRDefault="0012137D">
      <w:pPr>
        <w:spacing w:line="240" w:lineRule="auto"/>
        <w:rPr>
          <w:i/>
          <w:iCs/>
        </w:rPr>
      </w:pPr>
    </w:p>
    <w:p w14:paraId="5BA26D37" w14:textId="77777777" w:rsidR="00CA6136" w:rsidRPr="00F06234" w:rsidRDefault="00CA6136">
      <w:pPr>
        <w:spacing w:line="240" w:lineRule="auto"/>
        <w:ind w:left="567" w:hanging="567"/>
        <w:outlineLvl w:val="0"/>
        <w:rPr>
          <w:b/>
        </w:rPr>
      </w:pPr>
    </w:p>
    <w:p w14:paraId="0144CD5F" w14:textId="3784C621" w:rsidR="00F45C51" w:rsidRPr="00F06234" w:rsidRDefault="00192777">
      <w:pP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ELSŐ KIADÁSÁNAK/ MEGÚJÍTÁSÁNAK</w:t>
      </w:r>
      <w:r w:rsidRPr="00F06234">
        <w:rPr>
          <w:b/>
        </w:rPr>
        <w:t xml:space="preserve"> DÁTUMA</w:t>
      </w:r>
    </w:p>
    <w:p w14:paraId="478768B0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0C8041A" w14:textId="7665BDE4" w:rsidR="0029347B" w:rsidRPr="00F06234" w:rsidRDefault="00192777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06234">
        <w:rPr>
          <w:rFonts w:eastAsia="Times New Roman"/>
          <w:noProof/>
          <w:snapToGrid/>
          <w:szCs w:val="22"/>
          <w:lang w:eastAsia="en-US"/>
        </w:rPr>
        <w:t>A forgalomba hozatali engedély első kiadásának dátuma</w:t>
      </w:r>
      <w:r w:rsidR="00111AC4" w:rsidRPr="00F06234">
        <w:rPr>
          <w:rFonts w:eastAsia="Times New Roman"/>
          <w:noProof/>
          <w:snapToGrid/>
          <w:szCs w:val="22"/>
          <w:lang w:eastAsia="en-US"/>
        </w:rPr>
        <w:t>:</w:t>
      </w:r>
      <w:r w:rsidR="002C1C21" w:rsidRPr="00F06234"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2C1C21" w:rsidRPr="002C1C21">
        <w:rPr>
          <w:szCs w:val="22"/>
        </w:rPr>
        <w:t>2022. november 11.</w:t>
      </w:r>
    </w:p>
    <w:p w14:paraId="0452286C" w14:textId="77777777" w:rsidR="00F45C51" w:rsidRPr="00F06234" w:rsidRDefault="00F45C51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6CAD69F" w14:textId="77777777" w:rsidR="00CA6136" w:rsidRPr="00F06234" w:rsidRDefault="00CA6136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57BD284" w14:textId="77777777" w:rsidR="00531A95" w:rsidRDefault="00192777">
      <w:pPr>
        <w:spacing w:line="240" w:lineRule="auto"/>
        <w:ind w:left="567" w:hanging="567"/>
        <w:outlineLvl w:val="0"/>
        <w:rPr>
          <w:szCs w:val="22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SZÖVEG ELLENŐRZÉSÉNEK DÁTUMA</w:t>
      </w:r>
    </w:p>
    <w:p w14:paraId="1C24B8B0" w14:textId="77777777" w:rsidR="00531A95" w:rsidRDefault="00531A95">
      <w:pPr>
        <w:spacing w:line="240" w:lineRule="auto"/>
        <w:ind w:left="567" w:hanging="567"/>
        <w:outlineLvl w:val="0"/>
        <w:rPr>
          <w:szCs w:val="22"/>
        </w:rPr>
      </w:pPr>
    </w:p>
    <w:p w14:paraId="0C485939" w14:textId="6AA58249" w:rsidR="00F45C51" w:rsidRPr="002C1C21" w:rsidRDefault="00531A95">
      <w:pPr>
        <w:spacing w:line="240" w:lineRule="auto"/>
        <w:ind w:left="567" w:hanging="567"/>
        <w:outlineLvl w:val="0"/>
        <w:rPr>
          <w:szCs w:val="22"/>
        </w:rPr>
      </w:pPr>
      <w:r>
        <w:rPr>
          <w:szCs w:val="22"/>
        </w:rPr>
        <w:t>2026. április 9.</w:t>
      </w:r>
      <w:bookmarkStart w:id="18" w:name="_GoBack"/>
      <w:bookmarkEnd w:id="18"/>
    </w:p>
    <w:sectPr w:rsidR="00F45C51" w:rsidRPr="002C1C21" w:rsidSect="00031DEB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275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C2D10" w14:textId="77777777" w:rsidR="006006E8" w:rsidRDefault="006006E8">
      <w:pPr>
        <w:spacing w:line="240" w:lineRule="auto"/>
      </w:pPr>
      <w:r>
        <w:separator/>
      </w:r>
    </w:p>
  </w:endnote>
  <w:endnote w:type="continuationSeparator" w:id="0">
    <w:p w14:paraId="0BC90F4F" w14:textId="77777777" w:rsidR="006006E8" w:rsidRDefault="006006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88142" w14:textId="7E2F2419" w:rsidR="006006E8" w:rsidRPr="00F06234" w:rsidRDefault="006006E8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9FEBA" w14:textId="77777777" w:rsidR="006006E8" w:rsidRDefault="006006E8" w:rsidP="002C1C21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6006E8">
      <w:rPr>
        <w:rFonts w:ascii="Times New Roman" w:hAnsi="Times New Roman"/>
        <w:sz w:val="18"/>
        <w:szCs w:val="18"/>
      </w:rPr>
      <w:t>NNGYK/ETGY/9742/2026</w:t>
    </w:r>
  </w:p>
  <w:p w14:paraId="53F3FC90" w14:textId="7D0AA43E" w:rsidR="006006E8" w:rsidRPr="00F06234" w:rsidRDefault="006006E8" w:rsidP="002C1C21">
    <w:pPr>
      <w:pStyle w:val="llb"/>
      <w:tabs>
        <w:tab w:val="right" w:pos="8931"/>
      </w:tabs>
      <w:ind w:right="96"/>
      <w:rPr>
        <w:szCs w:val="24"/>
      </w:rPr>
    </w:pPr>
    <w:r>
      <w:rPr>
        <w:rFonts w:ascii="Times New Roman" w:hAnsi="Times New Roman"/>
        <w:sz w:val="18"/>
        <w:szCs w:val="18"/>
      </w:rPr>
      <w:t>NNGYK/ETGY/9743</w:t>
    </w:r>
    <w:r w:rsidRPr="006006E8">
      <w:rPr>
        <w:rFonts w:ascii="Times New Roman" w:hAnsi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22F72" w14:textId="77777777" w:rsidR="006006E8" w:rsidRDefault="006006E8">
      <w:pPr>
        <w:spacing w:line="240" w:lineRule="auto"/>
      </w:pPr>
      <w:r>
        <w:separator/>
      </w:r>
    </w:p>
  </w:footnote>
  <w:footnote w:type="continuationSeparator" w:id="0">
    <w:p w14:paraId="411A08F8" w14:textId="77777777" w:rsidR="006006E8" w:rsidRDefault="006006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190622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CCE0C2C" w14:textId="3B7A198D" w:rsidR="006006E8" w:rsidRPr="00F0442C" w:rsidRDefault="006006E8" w:rsidP="00F0442C">
        <w:pPr>
          <w:pStyle w:val="lfej"/>
          <w:jc w:val="center"/>
          <w:rPr>
            <w:sz w:val="18"/>
            <w:szCs w:val="18"/>
          </w:rPr>
        </w:pPr>
        <w:r w:rsidRPr="00F0442C">
          <w:rPr>
            <w:sz w:val="18"/>
            <w:szCs w:val="18"/>
          </w:rPr>
          <w:fldChar w:fldCharType="begin"/>
        </w:r>
        <w:r w:rsidRPr="00F0442C">
          <w:rPr>
            <w:sz w:val="18"/>
            <w:szCs w:val="18"/>
          </w:rPr>
          <w:instrText>PAGE   \* MERGEFORMAT</w:instrText>
        </w:r>
        <w:r w:rsidRPr="00F0442C">
          <w:rPr>
            <w:sz w:val="18"/>
            <w:szCs w:val="18"/>
          </w:rPr>
          <w:fldChar w:fldCharType="separate"/>
        </w:r>
        <w:r w:rsidR="00F0442C">
          <w:rPr>
            <w:noProof/>
            <w:sz w:val="18"/>
            <w:szCs w:val="18"/>
          </w:rPr>
          <w:t>20</w:t>
        </w:r>
        <w:r w:rsidRPr="00F0442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7"/>
  </w:num>
  <w:num w:numId="8">
    <w:abstractNumId w:val="20"/>
  </w:num>
  <w:num w:numId="9">
    <w:abstractNumId w:val="31"/>
  </w:num>
  <w:num w:numId="10">
    <w:abstractNumId w:val="11"/>
  </w:num>
  <w:num w:numId="11">
    <w:abstractNumId w:val="29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1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986"/>
    <w:rsid w:val="00000D62"/>
    <w:rsid w:val="00001587"/>
    <w:rsid w:val="00001B46"/>
    <w:rsid w:val="0000362A"/>
    <w:rsid w:val="000041D3"/>
    <w:rsid w:val="00005701"/>
    <w:rsid w:val="00006494"/>
    <w:rsid w:val="00007528"/>
    <w:rsid w:val="0001164F"/>
    <w:rsid w:val="000121D6"/>
    <w:rsid w:val="000150D3"/>
    <w:rsid w:val="000166C1"/>
    <w:rsid w:val="000176B9"/>
    <w:rsid w:val="000177FF"/>
    <w:rsid w:val="00017B74"/>
    <w:rsid w:val="00020AE8"/>
    <w:rsid w:val="00020D15"/>
    <w:rsid w:val="00023F29"/>
    <w:rsid w:val="00025EBE"/>
    <w:rsid w:val="00030445"/>
    <w:rsid w:val="00030A5F"/>
    <w:rsid w:val="000318C7"/>
    <w:rsid w:val="00031DEB"/>
    <w:rsid w:val="00032731"/>
    <w:rsid w:val="00033FDB"/>
    <w:rsid w:val="00034204"/>
    <w:rsid w:val="000344F6"/>
    <w:rsid w:val="00036493"/>
    <w:rsid w:val="00042263"/>
    <w:rsid w:val="000422C9"/>
    <w:rsid w:val="00043CBA"/>
    <w:rsid w:val="00043F0F"/>
    <w:rsid w:val="00044042"/>
    <w:rsid w:val="000441B6"/>
    <w:rsid w:val="00044F37"/>
    <w:rsid w:val="00046DCE"/>
    <w:rsid w:val="000472DF"/>
    <w:rsid w:val="000474D2"/>
    <w:rsid w:val="00047617"/>
    <w:rsid w:val="000479C5"/>
    <w:rsid w:val="00050C57"/>
    <w:rsid w:val="00050DFD"/>
    <w:rsid w:val="00051E01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0B26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5165"/>
    <w:rsid w:val="000A5FC7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27AC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0F5E18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0182"/>
    <w:rsid w:val="0012137D"/>
    <w:rsid w:val="00122AD8"/>
    <w:rsid w:val="00122D9F"/>
    <w:rsid w:val="00123688"/>
    <w:rsid w:val="00124491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F0A"/>
    <w:rsid w:val="00147524"/>
    <w:rsid w:val="0015116D"/>
    <w:rsid w:val="00151BA4"/>
    <w:rsid w:val="00151E9D"/>
    <w:rsid w:val="001529E1"/>
    <w:rsid w:val="00152F3B"/>
    <w:rsid w:val="00156654"/>
    <w:rsid w:val="0015672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4D2"/>
    <w:rsid w:val="00186A9D"/>
    <w:rsid w:val="001874A6"/>
    <w:rsid w:val="0018765B"/>
    <w:rsid w:val="00190913"/>
    <w:rsid w:val="001923AE"/>
    <w:rsid w:val="00192777"/>
    <w:rsid w:val="00195F65"/>
    <w:rsid w:val="001A07E2"/>
    <w:rsid w:val="001A1EEE"/>
    <w:rsid w:val="001A2018"/>
    <w:rsid w:val="001A3EE2"/>
    <w:rsid w:val="001A757B"/>
    <w:rsid w:val="001B01C8"/>
    <w:rsid w:val="001B0DDB"/>
    <w:rsid w:val="001B13F6"/>
    <w:rsid w:val="001B1747"/>
    <w:rsid w:val="001B1B4E"/>
    <w:rsid w:val="001B2D44"/>
    <w:rsid w:val="001B642D"/>
    <w:rsid w:val="001B752A"/>
    <w:rsid w:val="001C12E0"/>
    <w:rsid w:val="001C21EC"/>
    <w:rsid w:val="001C35E9"/>
    <w:rsid w:val="001C36BD"/>
    <w:rsid w:val="001C3733"/>
    <w:rsid w:val="001C4025"/>
    <w:rsid w:val="001C4C82"/>
    <w:rsid w:val="001C5B30"/>
    <w:rsid w:val="001C6502"/>
    <w:rsid w:val="001C6E07"/>
    <w:rsid w:val="001D27CD"/>
    <w:rsid w:val="001D3C05"/>
    <w:rsid w:val="001D47C1"/>
    <w:rsid w:val="001D52E3"/>
    <w:rsid w:val="001D6A28"/>
    <w:rsid w:val="001D6AF4"/>
    <w:rsid w:val="001D7A02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0C83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172A"/>
    <w:rsid w:val="00202E50"/>
    <w:rsid w:val="00205180"/>
    <w:rsid w:val="002059AF"/>
    <w:rsid w:val="00207F81"/>
    <w:rsid w:val="002109F4"/>
    <w:rsid w:val="00211B2E"/>
    <w:rsid w:val="00211FDA"/>
    <w:rsid w:val="002160C2"/>
    <w:rsid w:val="0021638E"/>
    <w:rsid w:val="0021734B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47298"/>
    <w:rsid w:val="0025261B"/>
    <w:rsid w:val="00252FFB"/>
    <w:rsid w:val="00253EB6"/>
    <w:rsid w:val="002542A8"/>
    <w:rsid w:val="00260A11"/>
    <w:rsid w:val="00260EC2"/>
    <w:rsid w:val="0026169A"/>
    <w:rsid w:val="00262763"/>
    <w:rsid w:val="00264BA9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8"/>
    <w:rsid w:val="00283D5A"/>
    <w:rsid w:val="002844B0"/>
    <w:rsid w:val="00285586"/>
    <w:rsid w:val="00286322"/>
    <w:rsid w:val="00287B8C"/>
    <w:rsid w:val="00290C3B"/>
    <w:rsid w:val="00291607"/>
    <w:rsid w:val="0029347B"/>
    <w:rsid w:val="00296C1F"/>
    <w:rsid w:val="002A025B"/>
    <w:rsid w:val="002A0C34"/>
    <w:rsid w:val="002A1B59"/>
    <w:rsid w:val="002A3666"/>
    <w:rsid w:val="002A41E6"/>
    <w:rsid w:val="002A5250"/>
    <w:rsid w:val="002A6144"/>
    <w:rsid w:val="002A7C47"/>
    <w:rsid w:val="002B0455"/>
    <w:rsid w:val="002B09DD"/>
    <w:rsid w:val="002B1223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1C21"/>
    <w:rsid w:val="002C33B3"/>
    <w:rsid w:val="002C44B0"/>
    <w:rsid w:val="002C45B8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3493"/>
    <w:rsid w:val="002D41F2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2EC5"/>
    <w:rsid w:val="00303DD5"/>
    <w:rsid w:val="003046D6"/>
    <w:rsid w:val="00305443"/>
    <w:rsid w:val="003062F8"/>
    <w:rsid w:val="00310764"/>
    <w:rsid w:val="00310D54"/>
    <w:rsid w:val="00312FFD"/>
    <w:rsid w:val="0031774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309"/>
    <w:rsid w:val="00345EDE"/>
    <w:rsid w:val="00347776"/>
    <w:rsid w:val="00351065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EBC"/>
    <w:rsid w:val="00363D7F"/>
    <w:rsid w:val="00366735"/>
    <w:rsid w:val="00367C66"/>
    <w:rsid w:val="0037233D"/>
    <w:rsid w:val="003728DD"/>
    <w:rsid w:val="003736EF"/>
    <w:rsid w:val="003737E3"/>
    <w:rsid w:val="00374F4A"/>
    <w:rsid w:val="00380D80"/>
    <w:rsid w:val="00381E38"/>
    <w:rsid w:val="00383C54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4B4E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2570"/>
    <w:rsid w:val="003C3BDE"/>
    <w:rsid w:val="003C64A0"/>
    <w:rsid w:val="003C7BA3"/>
    <w:rsid w:val="003D21C8"/>
    <w:rsid w:val="003D2303"/>
    <w:rsid w:val="003D4015"/>
    <w:rsid w:val="003D4E9C"/>
    <w:rsid w:val="003E038E"/>
    <w:rsid w:val="003E0BFC"/>
    <w:rsid w:val="003E0D78"/>
    <w:rsid w:val="003E3277"/>
    <w:rsid w:val="003E3A1D"/>
    <w:rsid w:val="003E6CA0"/>
    <w:rsid w:val="003F2588"/>
    <w:rsid w:val="003F2FDE"/>
    <w:rsid w:val="003F330B"/>
    <w:rsid w:val="003F5756"/>
    <w:rsid w:val="003F6AF4"/>
    <w:rsid w:val="003F6FDF"/>
    <w:rsid w:val="003F7C47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5E6F"/>
    <w:rsid w:val="00416231"/>
    <w:rsid w:val="004179C1"/>
    <w:rsid w:val="004208AB"/>
    <w:rsid w:val="004219EF"/>
    <w:rsid w:val="00423AEA"/>
    <w:rsid w:val="00424F4E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0FA4"/>
    <w:rsid w:val="00442C1B"/>
    <w:rsid w:val="004460E9"/>
    <w:rsid w:val="00447B6F"/>
    <w:rsid w:val="00453C11"/>
    <w:rsid w:val="0045524F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4F57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EB4"/>
    <w:rsid w:val="00494F35"/>
    <w:rsid w:val="00496414"/>
    <w:rsid w:val="00497246"/>
    <w:rsid w:val="00497A38"/>
    <w:rsid w:val="00497DCF"/>
    <w:rsid w:val="00497F75"/>
    <w:rsid w:val="004A2056"/>
    <w:rsid w:val="004A3815"/>
    <w:rsid w:val="004A45BD"/>
    <w:rsid w:val="004A4656"/>
    <w:rsid w:val="004A77B0"/>
    <w:rsid w:val="004B1CED"/>
    <w:rsid w:val="004B2CDE"/>
    <w:rsid w:val="004B34A7"/>
    <w:rsid w:val="004B3B06"/>
    <w:rsid w:val="004B4643"/>
    <w:rsid w:val="004B4AD0"/>
    <w:rsid w:val="004B7F67"/>
    <w:rsid w:val="004C1994"/>
    <w:rsid w:val="004C2F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CF5"/>
    <w:rsid w:val="00531A95"/>
    <w:rsid w:val="00531D11"/>
    <w:rsid w:val="00532D3F"/>
    <w:rsid w:val="0053383B"/>
    <w:rsid w:val="0053386D"/>
    <w:rsid w:val="005338EF"/>
    <w:rsid w:val="0053791F"/>
    <w:rsid w:val="00547538"/>
    <w:rsid w:val="00553BFA"/>
    <w:rsid w:val="00553D8D"/>
    <w:rsid w:val="0055599F"/>
    <w:rsid w:val="0055608E"/>
    <w:rsid w:val="00557431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A24"/>
    <w:rsid w:val="00575EB8"/>
    <w:rsid w:val="00582A9B"/>
    <w:rsid w:val="005832AB"/>
    <w:rsid w:val="0058437C"/>
    <w:rsid w:val="0058606E"/>
    <w:rsid w:val="00587706"/>
    <w:rsid w:val="00592790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0C4B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06E8"/>
    <w:rsid w:val="00603148"/>
    <w:rsid w:val="006044DC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27A26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2A2"/>
    <w:rsid w:val="00647E20"/>
    <w:rsid w:val="00650B42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038D"/>
    <w:rsid w:val="006D133F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4983"/>
    <w:rsid w:val="006E51A2"/>
    <w:rsid w:val="006F0D17"/>
    <w:rsid w:val="006F0DE2"/>
    <w:rsid w:val="006F3495"/>
    <w:rsid w:val="006F417D"/>
    <w:rsid w:val="006F5C83"/>
    <w:rsid w:val="006F67CC"/>
    <w:rsid w:val="006F67FF"/>
    <w:rsid w:val="006F7836"/>
    <w:rsid w:val="006F7BC2"/>
    <w:rsid w:val="00701C2D"/>
    <w:rsid w:val="00702162"/>
    <w:rsid w:val="00702286"/>
    <w:rsid w:val="00703930"/>
    <w:rsid w:val="00704070"/>
    <w:rsid w:val="007049C2"/>
    <w:rsid w:val="00705744"/>
    <w:rsid w:val="0070610E"/>
    <w:rsid w:val="00706FEA"/>
    <w:rsid w:val="00707759"/>
    <w:rsid w:val="00710081"/>
    <w:rsid w:val="00710B0D"/>
    <w:rsid w:val="00712B19"/>
    <w:rsid w:val="00713CB5"/>
    <w:rsid w:val="007153E5"/>
    <w:rsid w:val="0071558B"/>
    <w:rsid w:val="007179F8"/>
    <w:rsid w:val="00721189"/>
    <w:rsid w:val="007217D3"/>
    <w:rsid w:val="007221C3"/>
    <w:rsid w:val="00722F2C"/>
    <w:rsid w:val="007253A4"/>
    <w:rsid w:val="007254D1"/>
    <w:rsid w:val="00725B32"/>
    <w:rsid w:val="00725B3C"/>
    <w:rsid w:val="007264B0"/>
    <w:rsid w:val="007333CB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8C6"/>
    <w:rsid w:val="00755BAB"/>
    <w:rsid w:val="00757BA2"/>
    <w:rsid w:val="0076080E"/>
    <w:rsid w:val="00760A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6490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764E"/>
    <w:rsid w:val="007A06AC"/>
    <w:rsid w:val="007A30EC"/>
    <w:rsid w:val="007B1014"/>
    <w:rsid w:val="007B103F"/>
    <w:rsid w:val="007B1484"/>
    <w:rsid w:val="007B1A10"/>
    <w:rsid w:val="007B6659"/>
    <w:rsid w:val="007B7501"/>
    <w:rsid w:val="007B76AB"/>
    <w:rsid w:val="007B7DBD"/>
    <w:rsid w:val="007C45D3"/>
    <w:rsid w:val="007C597B"/>
    <w:rsid w:val="007C5C54"/>
    <w:rsid w:val="007C61CB"/>
    <w:rsid w:val="007C760C"/>
    <w:rsid w:val="007C7939"/>
    <w:rsid w:val="007D01FD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7F7C26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18D4"/>
    <w:rsid w:val="0082327D"/>
    <w:rsid w:val="0082433D"/>
    <w:rsid w:val="00826509"/>
    <w:rsid w:val="0083354D"/>
    <w:rsid w:val="0083561B"/>
    <w:rsid w:val="0083685F"/>
    <w:rsid w:val="00836C13"/>
    <w:rsid w:val="008371F6"/>
    <w:rsid w:val="00837371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945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64EF"/>
    <w:rsid w:val="008B7C45"/>
    <w:rsid w:val="008C1610"/>
    <w:rsid w:val="008C2F1E"/>
    <w:rsid w:val="008C30E5"/>
    <w:rsid w:val="008C3B5B"/>
    <w:rsid w:val="008C409F"/>
    <w:rsid w:val="008C602D"/>
    <w:rsid w:val="008C6BCC"/>
    <w:rsid w:val="008D037E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01A5"/>
    <w:rsid w:val="008E1B8C"/>
    <w:rsid w:val="008E480E"/>
    <w:rsid w:val="008E7C71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20A"/>
    <w:rsid w:val="00917C0F"/>
    <w:rsid w:val="00917D2A"/>
    <w:rsid w:val="0092040E"/>
    <w:rsid w:val="00920C6C"/>
    <w:rsid w:val="00921986"/>
    <w:rsid w:val="00921D0F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4777B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3EC6"/>
    <w:rsid w:val="00974518"/>
    <w:rsid w:val="00975B88"/>
    <w:rsid w:val="00976127"/>
    <w:rsid w:val="00980FE0"/>
    <w:rsid w:val="00983A15"/>
    <w:rsid w:val="00983D7E"/>
    <w:rsid w:val="009927BB"/>
    <w:rsid w:val="009928B7"/>
    <w:rsid w:val="0099321A"/>
    <w:rsid w:val="00993BF7"/>
    <w:rsid w:val="009960B7"/>
    <w:rsid w:val="00997986"/>
    <w:rsid w:val="009A09F6"/>
    <w:rsid w:val="009A1B3A"/>
    <w:rsid w:val="009A324E"/>
    <w:rsid w:val="009A3D53"/>
    <w:rsid w:val="009B39D3"/>
    <w:rsid w:val="009B4B50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68E9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E8A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A37"/>
    <w:rsid w:val="00A330C5"/>
    <w:rsid w:val="00A33E2F"/>
    <w:rsid w:val="00A34D76"/>
    <w:rsid w:val="00A35376"/>
    <w:rsid w:val="00A365D0"/>
    <w:rsid w:val="00A37428"/>
    <w:rsid w:val="00A402B8"/>
    <w:rsid w:val="00A434DD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0C7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2934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322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6A88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2FCD"/>
    <w:rsid w:val="00B33711"/>
    <w:rsid w:val="00B33DC3"/>
    <w:rsid w:val="00B3482A"/>
    <w:rsid w:val="00B34889"/>
    <w:rsid w:val="00B353AC"/>
    <w:rsid w:val="00B3652E"/>
    <w:rsid w:val="00B37550"/>
    <w:rsid w:val="00B402C6"/>
    <w:rsid w:val="00B41B3B"/>
    <w:rsid w:val="00B41DC1"/>
    <w:rsid w:val="00B425A1"/>
    <w:rsid w:val="00B43058"/>
    <w:rsid w:val="00B46390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3548"/>
    <w:rsid w:val="00B640CC"/>
    <w:rsid w:val="00B645B6"/>
    <w:rsid w:val="00B64DAE"/>
    <w:rsid w:val="00B667BF"/>
    <w:rsid w:val="00B67206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4DF5"/>
    <w:rsid w:val="00B96744"/>
    <w:rsid w:val="00BA2E12"/>
    <w:rsid w:val="00BA6419"/>
    <w:rsid w:val="00BA6550"/>
    <w:rsid w:val="00BA7F9C"/>
    <w:rsid w:val="00BB0EDC"/>
    <w:rsid w:val="00BB2437"/>
    <w:rsid w:val="00BB2F21"/>
    <w:rsid w:val="00BB32A1"/>
    <w:rsid w:val="00BB3642"/>
    <w:rsid w:val="00BB66AB"/>
    <w:rsid w:val="00BC08BA"/>
    <w:rsid w:val="00BC0AD6"/>
    <w:rsid w:val="00BC3584"/>
    <w:rsid w:val="00BC4673"/>
    <w:rsid w:val="00BD1F5B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476"/>
    <w:rsid w:val="00C11E4C"/>
    <w:rsid w:val="00C14792"/>
    <w:rsid w:val="00C14954"/>
    <w:rsid w:val="00C149FE"/>
    <w:rsid w:val="00C16BEB"/>
    <w:rsid w:val="00C1743B"/>
    <w:rsid w:val="00C17D23"/>
    <w:rsid w:val="00C20CA6"/>
    <w:rsid w:val="00C23394"/>
    <w:rsid w:val="00C23398"/>
    <w:rsid w:val="00C23B23"/>
    <w:rsid w:val="00C248F6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519A"/>
    <w:rsid w:val="00C46251"/>
    <w:rsid w:val="00C4790F"/>
    <w:rsid w:val="00C47A3A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B41"/>
    <w:rsid w:val="00C61EF0"/>
    <w:rsid w:val="00C6210E"/>
    <w:rsid w:val="00C62568"/>
    <w:rsid w:val="00C64143"/>
    <w:rsid w:val="00C6434D"/>
    <w:rsid w:val="00C652E5"/>
    <w:rsid w:val="00C659F1"/>
    <w:rsid w:val="00C66261"/>
    <w:rsid w:val="00C672D6"/>
    <w:rsid w:val="00C67446"/>
    <w:rsid w:val="00C7356B"/>
    <w:rsid w:val="00C745A8"/>
    <w:rsid w:val="00C74F91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ADB"/>
    <w:rsid w:val="00CB5C65"/>
    <w:rsid w:val="00CB62AC"/>
    <w:rsid w:val="00CB7335"/>
    <w:rsid w:val="00CB77EA"/>
    <w:rsid w:val="00CB7DF6"/>
    <w:rsid w:val="00CC1F08"/>
    <w:rsid w:val="00CC303F"/>
    <w:rsid w:val="00CC3C96"/>
    <w:rsid w:val="00CD077C"/>
    <w:rsid w:val="00CD1ACE"/>
    <w:rsid w:val="00CD1BB0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2046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45FF7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386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0F01"/>
    <w:rsid w:val="00D82FD7"/>
    <w:rsid w:val="00D83F43"/>
    <w:rsid w:val="00D84FA6"/>
    <w:rsid w:val="00D85ECC"/>
    <w:rsid w:val="00D864C7"/>
    <w:rsid w:val="00D86552"/>
    <w:rsid w:val="00D86EB7"/>
    <w:rsid w:val="00D9091A"/>
    <w:rsid w:val="00D91608"/>
    <w:rsid w:val="00D92B5E"/>
    <w:rsid w:val="00D93388"/>
    <w:rsid w:val="00D95457"/>
    <w:rsid w:val="00D95F8E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1245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41"/>
    <w:rsid w:val="00DC03EE"/>
    <w:rsid w:val="00DC1BA1"/>
    <w:rsid w:val="00DC36B8"/>
    <w:rsid w:val="00DC4CAB"/>
    <w:rsid w:val="00DC53F2"/>
    <w:rsid w:val="00DC6B01"/>
    <w:rsid w:val="00DC7778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5B0F"/>
    <w:rsid w:val="00DF171D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692E"/>
    <w:rsid w:val="00E1787C"/>
    <w:rsid w:val="00E2249E"/>
    <w:rsid w:val="00E22B76"/>
    <w:rsid w:val="00E234F1"/>
    <w:rsid w:val="00E2399E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1637"/>
    <w:rsid w:val="00E43AAA"/>
    <w:rsid w:val="00E44C62"/>
    <w:rsid w:val="00E5197E"/>
    <w:rsid w:val="00E54EF2"/>
    <w:rsid w:val="00E55FD9"/>
    <w:rsid w:val="00E60DC5"/>
    <w:rsid w:val="00E61A93"/>
    <w:rsid w:val="00E6231F"/>
    <w:rsid w:val="00E63559"/>
    <w:rsid w:val="00E64078"/>
    <w:rsid w:val="00E67180"/>
    <w:rsid w:val="00E676E2"/>
    <w:rsid w:val="00E709E5"/>
    <w:rsid w:val="00E74FA5"/>
    <w:rsid w:val="00E756A8"/>
    <w:rsid w:val="00E76032"/>
    <w:rsid w:val="00E768F2"/>
    <w:rsid w:val="00E77263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E14"/>
    <w:rsid w:val="00E93F3F"/>
    <w:rsid w:val="00E97944"/>
    <w:rsid w:val="00EA05D9"/>
    <w:rsid w:val="00EA0C7F"/>
    <w:rsid w:val="00EA1104"/>
    <w:rsid w:val="00EA1846"/>
    <w:rsid w:val="00EA18E1"/>
    <w:rsid w:val="00EA2E9B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655"/>
    <w:rsid w:val="00ED6CFA"/>
    <w:rsid w:val="00ED6D53"/>
    <w:rsid w:val="00EE0827"/>
    <w:rsid w:val="00EE1855"/>
    <w:rsid w:val="00EE2B68"/>
    <w:rsid w:val="00EE5CEC"/>
    <w:rsid w:val="00EE669D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442C"/>
    <w:rsid w:val="00F06234"/>
    <w:rsid w:val="00F1030E"/>
    <w:rsid w:val="00F10925"/>
    <w:rsid w:val="00F11FC9"/>
    <w:rsid w:val="00F12F6C"/>
    <w:rsid w:val="00F12F7D"/>
    <w:rsid w:val="00F13930"/>
    <w:rsid w:val="00F13DAE"/>
    <w:rsid w:val="00F1425C"/>
    <w:rsid w:val="00F155BC"/>
    <w:rsid w:val="00F157D8"/>
    <w:rsid w:val="00F172C9"/>
    <w:rsid w:val="00F201AD"/>
    <w:rsid w:val="00F21481"/>
    <w:rsid w:val="00F220BB"/>
    <w:rsid w:val="00F222BB"/>
    <w:rsid w:val="00F2491A"/>
    <w:rsid w:val="00F24C6C"/>
    <w:rsid w:val="00F24EF6"/>
    <w:rsid w:val="00F254E4"/>
    <w:rsid w:val="00F27AE8"/>
    <w:rsid w:val="00F31F6F"/>
    <w:rsid w:val="00F35D19"/>
    <w:rsid w:val="00F37007"/>
    <w:rsid w:val="00F3760A"/>
    <w:rsid w:val="00F41269"/>
    <w:rsid w:val="00F41319"/>
    <w:rsid w:val="00F41634"/>
    <w:rsid w:val="00F433C7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6CA3"/>
    <w:rsid w:val="00F57D1C"/>
    <w:rsid w:val="00F6086A"/>
    <w:rsid w:val="00F62824"/>
    <w:rsid w:val="00F62D7C"/>
    <w:rsid w:val="00F634C8"/>
    <w:rsid w:val="00F67155"/>
    <w:rsid w:val="00F70199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2526"/>
    <w:rsid w:val="00F827EA"/>
    <w:rsid w:val="00F83F09"/>
    <w:rsid w:val="00F85AA0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3363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88B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2742"/>
    <w:rsid w:val="00FE3C5F"/>
    <w:rsid w:val="00FE4705"/>
    <w:rsid w:val="00FE557C"/>
    <w:rsid w:val="00FE6D45"/>
    <w:rsid w:val="00FF0AEC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EA741F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1692E"/>
    <w:rPr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6006E8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8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0664A-A94C-4BEE-ACE1-19BB458E6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22</Pages>
  <Words>8788</Words>
  <Characters>62991</Characters>
  <Application>Microsoft Office Word</Application>
  <DocSecurity>0</DocSecurity>
  <Lines>524</Lines>
  <Paragraphs>143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71636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7</cp:revision>
  <dcterms:created xsi:type="dcterms:W3CDTF">2026-06-03T12:44:00Z</dcterms:created>
  <dcterms:modified xsi:type="dcterms:W3CDTF">2026-06-04T12:39:00Z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