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3A735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bookmarkStart w:id="0" w:name="_GoBack"/>
      <w:bookmarkEnd w:id="0"/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4C1268E8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94F5F26" w14:textId="0C72077A" w:rsidR="00C62638" w:rsidRPr="00726362" w:rsidRDefault="0053658F" w:rsidP="00C62638">
      <w:pPr>
        <w:widowControl w:val="0"/>
        <w:spacing w:after="0" w:line="240" w:lineRule="auto"/>
        <w:ind w:right="2"/>
        <w:jc w:val="both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Krusaxyl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60 mg filmtabletta</w:t>
      </w:r>
    </w:p>
    <w:p w14:paraId="750230F5" w14:textId="3AF6E214" w:rsidR="00C62638" w:rsidRPr="00726362" w:rsidRDefault="0053658F" w:rsidP="00C62638">
      <w:pPr>
        <w:widowControl w:val="0"/>
        <w:spacing w:after="0" w:line="240" w:lineRule="auto"/>
        <w:ind w:right="2"/>
        <w:jc w:val="both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Krusaxyl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9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0 mg filmtabletta</w:t>
      </w:r>
    </w:p>
    <w:p w14:paraId="701D2674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9592F4C" w14:textId="77777777" w:rsidR="00C62638" w:rsidRPr="00C62638" w:rsidRDefault="00C62638" w:rsidP="00C62638">
      <w:pPr>
        <w:widowControl w:val="0"/>
        <w:tabs>
          <w:tab w:val="left" w:pos="567"/>
          <w:tab w:val="left" w:pos="2268"/>
          <w:tab w:val="left" w:pos="2436"/>
          <w:tab w:val="left" w:pos="3261"/>
        </w:tabs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D783386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2.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MINŐSÉGI ÉS MENNYISÉGI ÖSSZETÉTEL</w:t>
      </w:r>
    </w:p>
    <w:p w14:paraId="675D8F5E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0B51F460" w14:textId="75FCC408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60 mg filmtabletta</w:t>
      </w:r>
    </w:p>
    <w:p w14:paraId="6218B79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tartalmaz</w:t>
      </w:r>
      <w:r w:rsidRPr="00C62638">
        <w:rPr>
          <w:rFonts w:ascii="Times New Roman" w:eastAsia="Times New Roman" w:hAnsi="Times New Roman" w:cs="Times New Roman"/>
          <w:spacing w:val="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filmtablettánként.</w:t>
      </w:r>
    </w:p>
    <w:p w14:paraId="694785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CC0195" w14:textId="081AA1BB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90 mg filmtabletta</w:t>
      </w:r>
    </w:p>
    <w:p w14:paraId="686597D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 mg tikagrelort tartalmaz</w:t>
      </w:r>
      <w:r w:rsidRPr="00C62638">
        <w:rPr>
          <w:rFonts w:ascii="Times New Roman" w:eastAsia="Times New Roman" w:hAnsi="Times New Roman" w:cs="Times New Roman"/>
          <w:spacing w:val="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filmtablettánként.</w:t>
      </w:r>
    </w:p>
    <w:p w14:paraId="1C7F879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6381C6A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segédanyagok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listáját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6.1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pontban.</w:t>
      </w:r>
    </w:p>
    <w:p w14:paraId="04AEFF37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48818ED6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2D5187E0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GYÓGYSZERFORMA</w:t>
      </w:r>
    </w:p>
    <w:p w14:paraId="2BD677F0" w14:textId="77777777" w:rsidR="00C62638" w:rsidRPr="00C62638" w:rsidRDefault="00C62638" w:rsidP="00C62638">
      <w:pPr>
        <w:widowControl w:val="0"/>
        <w:spacing w:after="0" w:line="240" w:lineRule="auto"/>
        <w:ind w:left="567" w:hanging="567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5DC40AA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Filmtabletta</w:t>
      </w:r>
      <w:r w:rsidRPr="00C62638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(tabletta).</w:t>
      </w:r>
    </w:p>
    <w:p w14:paraId="44DA7C8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CE8B757" w14:textId="2A5F5D98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u w:val="singl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60 mg filmtabletta</w:t>
      </w:r>
    </w:p>
    <w:p w14:paraId="5A69DBC2" w14:textId="40CAF5F6" w:rsidR="009B4422" w:rsidRPr="009B4422" w:rsidRDefault="009B4422" w:rsidP="009B44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Rózsaszínű, kerek, mindkét oldalán domború filmtabletta (megközelítőleg 8</w:t>
      </w:r>
      <w:r w:rsidR="00687CFF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mm átmérőjű), az egyik oldalán „60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” és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„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M” jelöléssel ellátva, a másik oldal sima. </w:t>
      </w:r>
    </w:p>
    <w:p w14:paraId="4349CCC5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141872C" w14:textId="4BACD575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u w:val="singl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90 mg filmtabletta</w:t>
      </w:r>
    </w:p>
    <w:p w14:paraId="128BBE55" w14:textId="6453A936" w:rsidR="009B4422" w:rsidRPr="009B4422" w:rsidRDefault="009B4422" w:rsidP="009B44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Sárga színű, kerek, mindkét oldalán domború filmtabletta (megközelítőleg 9</w:t>
      </w:r>
      <w:r w:rsidR="00687CFF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mm átmérőjű), az egyik oldalán „90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és „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M” jelöléssel ellátva, a másik oldal sima. </w:t>
      </w:r>
    </w:p>
    <w:p w14:paraId="66212A5D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1631FEF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2CCC7B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4.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KLINIKAI JELLEMZŐK</w:t>
      </w:r>
    </w:p>
    <w:p w14:paraId="3517E5D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0DA5CAC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4.1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Terápiás javallatok</w:t>
      </w:r>
    </w:p>
    <w:p w14:paraId="04222953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2D980BED" w14:textId="6629AE2C" w:rsidR="00C62638" w:rsidRPr="00F05CAA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F05CAA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 w:rsidRPr="00F05CAA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acetilszalicilsavval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(ASA)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együtt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adva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atherothromboticus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események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 xml:space="preserve">megelőzésére </w:t>
      </w:r>
      <w:r w:rsidRPr="00F05CAA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javallott</w:t>
      </w:r>
    </w:p>
    <w:p w14:paraId="3D0E5478" w14:textId="77777777" w:rsidR="00C62638" w:rsidRPr="00145C8B" w:rsidRDefault="00C62638" w:rsidP="00C6263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498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(ACS)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felnőtt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vagy</w:t>
      </w:r>
    </w:p>
    <w:p w14:paraId="69CB6379" w14:textId="77777777" w:rsidR="00C62638" w:rsidRPr="00145C8B" w:rsidRDefault="00C62638" w:rsidP="00C6263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498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olyan felnőtt betegeknél, akiknek az anamnézisben myocardialis infarctus (MI) szerepel, és nagy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náluk egy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atherothromboticus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esemény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kialakulásának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5.1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3AB3F7AB" w14:textId="77777777" w:rsidR="00C62638" w:rsidRPr="00F05CAA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5312561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Adagolás és alkalmazás</w:t>
      </w:r>
    </w:p>
    <w:p w14:paraId="6973ADF0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15E4B6C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Adagolás</w:t>
      </w:r>
    </w:p>
    <w:p w14:paraId="02444A3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E088C9" w14:textId="25E6B0A6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szedő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alacsony,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75–150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mg-os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fenntartó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dózisban acetilszalicilsavat is szedniük kell, kivéve, ha az kifejezetten ellenjavallt.</w:t>
      </w:r>
    </w:p>
    <w:p w14:paraId="10EC483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539B0B25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Acut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coronaria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szindrómák</w:t>
      </w:r>
    </w:p>
    <w:p w14:paraId="7E0767E0" w14:textId="37A1868C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-kezelést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egyetlen,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180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telítő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dózissal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kezdeni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(két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 mg-os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tabletta),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 kétszer 90 mg-mal kell folytatni. 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 90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-kezelés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hónapig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 betegeknél, kivéve, ha az abbahagyása klinikailag indokolt (lásd 5.1 pont).</w:t>
      </w:r>
    </w:p>
    <w:p w14:paraId="7D28E99E" w14:textId="77777777" w:rsid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8D6330" w14:textId="33EA30C4" w:rsidR="0092080F" w:rsidRDefault="0092080F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 után meg lehet fontolni az acetilszalicilsav abbahagyását az olyan akut coronaria szindrómás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betegeknél, akik percutan coronaria intervención (PCI) estek át és fokozott a vérzési kockázatuk.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Ebben az esetben, az önmagában adott tikagrelorral végzett 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kezeléssel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 kell folytatni a terápiát (lásd 4.4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2A6BB7A6" w14:textId="77777777" w:rsidR="0092080F" w:rsidRPr="00C62638" w:rsidRDefault="0092080F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974C4F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Anamnézisben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szereplő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infarctus</w:t>
      </w:r>
    </w:p>
    <w:p w14:paraId="38573A8E" w14:textId="3A084B29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 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adag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kiterjesztett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kezelésére,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 anamnézisében legalább egy éve myocardialis infarctus szerepel, és nagy náluk egy atherothromboticus esemény kockázata (lásd 5.1 pont). A kezelést lehetőség szerint a kezdeti, egy éves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90 mg vagy egyéb, adenozin-difoszfát- (ADP) receptor-inhibitor-kezelés után, megszakítás nélkül, fenntartó kezelésként lehet elkezdeni az olyan acut coronaria szindrómás betegeknél,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 nagy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atherothromboticus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kockázata. 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szintén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elkezdhető legfeljebb 2 évvel a MI után, vagy a korábbi ADP-receptor-inhibitor-kezelés leállítását követő egy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belül.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túli,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kiterjesztett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hatásosságáról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biztonságosságáról korlátozott mennyiségű adat áll rendelkezésre.</w:t>
      </w:r>
    </w:p>
    <w:p w14:paraId="056E3AD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0D44177" w14:textId="67F5A358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átállítás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dózisát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thrombocytagátló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gyógyszerek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utolsó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dózisának alkalmazása után 24 órával kell adni.</w:t>
      </w:r>
    </w:p>
    <w:p w14:paraId="19E059A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DB68C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 xml:space="preserve">Kihagyott 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u w:val="single"/>
          <w:lang w:eastAsia="zh-CN"/>
          <w14:ligatures w14:val="none"/>
        </w:rPr>
        <w:t>adag</w:t>
      </w:r>
    </w:p>
    <w:p w14:paraId="52506F37" w14:textId="6CD3D5B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elmulasztását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kerülni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Annak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betegnek,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elfelejt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bevenni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adag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filmtablettát, csak egyetlen tablettát kell bevennie (a következő adagját), a tervezett időben.</w:t>
      </w:r>
    </w:p>
    <w:p w14:paraId="72C77CA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05ED2E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Különleges</w:t>
      </w:r>
      <w:r w:rsidRPr="00145C8B">
        <w:rPr>
          <w:rFonts w:ascii="Times New Roman" w:eastAsia="SimSun" w:hAnsi="Times New Roman" w:cs="Times New Roman"/>
          <w:i/>
          <w:snapToGrid w:val="0"/>
          <w:spacing w:val="-14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betegcsoportok</w:t>
      </w:r>
    </w:p>
    <w:p w14:paraId="0068E7B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Idősek</w:t>
      </w:r>
    </w:p>
    <w:p w14:paraId="538EF1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Idős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eknél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pont).</w:t>
      </w:r>
    </w:p>
    <w:p w14:paraId="2DE53BF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3A538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Vesekárosodás</w:t>
      </w:r>
    </w:p>
    <w:p w14:paraId="2EA3A2A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Vesekárosodásban szenvedő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56A4ED5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31ED5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Májkárosodás</w:t>
      </w:r>
    </w:p>
    <w:p w14:paraId="6669CD3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tikagrelort súlyos májkárosodásban szenvedő betegeknél nem vizsgálták, és ezért alkalmazása ezeknél a betegeknél ellenjavallt (lásd 4.3 pont). Közepes fokú májkárosodásban szenvedő betegekkel kapcsolatban csak korlátozott mennyiségű információ áll rendelkezésre. Dózismódosítás nem javasolt,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elővigyázatossággal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alkalmazni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Enyhe fokú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májkárosodásban szenvedő betegeknél nem szükséges a dózis módosítása (lásd 5.2 pont).</w:t>
      </w:r>
    </w:p>
    <w:p w14:paraId="03F25E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1EF0DF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Gyermekek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serdülők</w:t>
      </w:r>
    </w:p>
    <w:p w14:paraId="320B553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biztonságosságát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18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évesnél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fiatalabb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gyermekek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és serdülők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esetében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igazolták. A tikagrelornak nincs vonatkozó javallata sarlósejtes vérszegénységben szenvedő gyermekek kezelésére (lásd 5.1 és 5.2 pont).</w:t>
      </w:r>
    </w:p>
    <w:p w14:paraId="77D1977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EABB02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alkalmazás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módja</w:t>
      </w:r>
    </w:p>
    <w:p w14:paraId="5B929E5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Szájon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alkalmazásra.</w:t>
      </w:r>
    </w:p>
    <w:p w14:paraId="22D244D5" w14:textId="11531DEA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bevehető étkezés közben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attól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függetlenül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is.</w:t>
      </w:r>
    </w:p>
    <w:p w14:paraId="77A75A3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Azoknál a betegeknél, akik nem képesek egészben lenyelni a 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tablettá(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ka)t, a tabletták finom porrá törhetők,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pohár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vízben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elkeverve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azonnal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megihatók.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poharat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félpohárnyi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vízzel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 kell öblíteni, és a pohár tartalmát meg kell inni. A keverék (CH8 vagy nagyobb átmérőjű) nazogasztrikus szondán át is alkalmazható. Fontos, hogy a keverék beadása után a nazogasztrikus szondát vízzel át kell öblíteni.</w:t>
      </w:r>
    </w:p>
    <w:p w14:paraId="6A3C208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 információkért lásd a 6.6 pontot.</w:t>
      </w:r>
    </w:p>
    <w:p w14:paraId="1FB9D31C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6E4A5C0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4.3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Ellenjavallatok</w:t>
      </w:r>
    </w:p>
    <w:p w14:paraId="7CB782A6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71C1A95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készítmény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hatóanyagával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6.1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pontban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felsorolt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bármely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segédanyagával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szembeni túlérzékenység (lásd 4.8 pont).</w:t>
      </w:r>
    </w:p>
    <w:p w14:paraId="7C349EC4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Aktív,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patológiás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vérzés.</w:t>
      </w:r>
    </w:p>
    <w:p w14:paraId="09BBC0D7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anamnézisben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szereplő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intracranialis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02E1A07F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májkárosodás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4.2,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24D6D7F1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tikagrelor egyidejű alkalmazása erős CYP3A4-inhibitorokkal (pl. ketokonazollal, klaritromicinnel,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nefazodonnal,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ritonavirrel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atazanavirrel),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mivel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alkalmazás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tikagrelor-expozíció jelentős emelkedéséhez vezethet (lásd 4.5 pont).</w:t>
      </w:r>
    </w:p>
    <w:p w14:paraId="61270E0B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252B681" w14:textId="77777777" w:rsidR="00C62638" w:rsidRPr="00C62638" w:rsidRDefault="00C62638" w:rsidP="007E1C5F">
      <w:pPr>
        <w:widowControl w:val="0"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figyelmeztetések és az alkalmazással kapcsolatos óvintézkedések</w:t>
      </w:r>
    </w:p>
    <w:p w14:paraId="2A304C08" w14:textId="77777777" w:rsidR="00C62638" w:rsidRPr="00C62638" w:rsidRDefault="00C62638" w:rsidP="007E1C5F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9E1883B" w14:textId="77777777" w:rsidR="00C62638" w:rsidRPr="00C62638" w:rsidRDefault="00C62638" w:rsidP="007E1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Vérzési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kockázat</w:t>
      </w:r>
    </w:p>
    <w:p w14:paraId="7C33F12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Azoknál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fokozott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kockázata,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tikagrelor alkalmazását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mérlegelni kell az atherothromboticus események prevenciója okozta kedvező hatással szemben (lásd 4.8 és 5.1 pont).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klinikailag indokolt,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akkor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betegcsoportoknál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elővigyázatossággal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kell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alkalmazni:</w:t>
      </w:r>
    </w:p>
    <w:p w14:paraId="6FB8894A" w14:textId="77777777" w:rsidR="00C62638" w:rsidRPr="00145C8B" w:rsidRDefault="00C62638" w:rsidP="00C62638">
      <w:pPr>
        <w:widowControl w:val="0"/>
        <w:numPr>
          <w:ilvl w:val="2"/>
          <w:numId w:val="3"/>
        </w:numPr>
        <w:autoSpaceDE w:val="0"/>
        <w:autoSpaceDN w:val="0"/>
        <w:spacing w:after="0" w:line="240" w:lineRule="auto"/>
        <w:ind w:left="709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vérzésre hajlamos betegek (pl. friss trauma, friss műtét, véralvadási zavar, aktív vagy a közelmúltban lezajlott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gastrointestinalis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vérzés)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fokozottabb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trauma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kockázata. A tikagrelor alkalmazása ellenjavallt olyan betegeknél, akiknek aktív, patológiás vérzésük van, akiknek az anamnézisében intracranialis vérzés szerepel, valamint olyan betegeknél,</w:t>
      </w:r>
      <w:r w:rsidRPr="00145C8B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akik súlyos májkárosodásban szenvednek (lásd 4.3 pont).</w:t>
      </w:r>
    </w:p>
    <w:p w14:paraId="1577C768" w14:textId="77777777" w:rsidR="00C62638" w:rsidRPr="00145C8B" w:rsidRDefault="00C62638" w:rsidP="00C6263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709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betegek,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akik a tikagrelor alkalmazásához képest 24 órán belül olyan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gyógyszereket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kapnak,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amelyek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növelhetik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 kockázatát (pl. nem-szteroid gyulladáscsökkentő gyógyszerek [NSAID-ok], orális antikoagulánsok és/vagy fibrinolitikumok).</w:t>
      </w:r>
    </w:p>
    <w:p w14:paraId="2F29AD6F" w14:textId="77777777" w:rsidR="00C62638" w:rsidRPr="00145C8B" w:rsidRDefault="00C62638" w:rsidP="00C62638">
      <w:pPr>
        <w:widowControl w:val="0"/>
        <w:autoSpaceDE w:val="0"/>
        <w:autoSpaceDN w:val="0"/>
        <w:spacing w:after="0" w:line="240" w:lineRule="auto"/>
        <w:ind w:left="709"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1E3148" w14:textId="77777777" w:rsidR="0092080F" w:rsidRDefault="0092080F" w:rsidP="0092080F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Két randomizált, kontrollos vizsgálat (TICO és TWILIGHT) az olyan akut coronaria szindrómás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betegeknél, akik percutan coronaria intervención (PCI) estek át gyógyszerkibocsátó stent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alkalmazásával, és akik a tikagrelorral és acetilszalicilsavval végzett kettős thrombocytaaggregáció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kezelést (dual antiplatelet therapy, DAPT) követően 3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 után abbahagyták az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acetilszalicilsav szedését, és az önmagában adott tikagrelorral végzett 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-k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ezeléssel (single antiplatelet therapy, SAPT) folytatták a terápiát 9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hónapig, illetve 12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hónapig, azt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mutatta a kettős 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proofErr w:type="gramEnd"/>
      <w:r w:rsidRPr="005511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5511D3">
        <w:rPr>
          <w:rFonts w:ascii="Times New Roman" w:eastAsia="Times New Roman" w:hAnsi="Times New Roman" w:cs="Times New Roman"/>
          <w:kern w:val="0"/>
          <w14:ligatures w14:val="none"/>
        </w:rPr>
        <w:t>folytatásához</w:t>
      </w:r>
      <w:proofErr w:type="gramEnd"/>
      <w:r w:rsidRPr="005511D3">
        <w:rPr>
          <w:rFonts w:ascii="Times New Roman" w:eastAsia="Times New Roman" w:hAnsi="Times New Roman" w:cs="Times New Roman"/>
          <w:kern w:val="0"/>
          <w14:ligatures w14:val="none"/>
        </w:rPr>
        <w:t xml:space="preserve"> viszonyítva, hogy csökkent 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vérzési kockázat anélkül, hogy jelentős cardiovascularis nemkívánatos eseményeket (major adverse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cardiovascular events, MACE) figyeltek volna meg. Azoknál a betegeknél, akiknél fokozott a vérzés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kockázata, az ASA-kezelés 3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 elteltével történő abbahagyására és a tikagrelor egyszeri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kezelésének 9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 történő folytatására vonatkozó döntést klinikai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megítélés alapján kell meghozni, figyelembe véve a vérzés kockázatát a thromboticus események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kockázatával szemben (lásd 4.2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1B80E9A8" w14:textId="77777777" w:rsidR="0092080F" w:rsidRDefault="0092080F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EF4E31" w14:textId="4260ED6B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thrombocyta-transzfúzió nem változtatta meg a tikagrelor thrombocytagátló hatását egészséges vizsgálati alanyoknál, és valószínűleg nincs klinikai előnye olyan betegeknél, akiknél vérzés áll fenn. Mivel a tikagrelor és a dezmopresszin együttes adása nem csökkentette a standardizált vérzési időt, ezért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valószínű,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dezmopresszin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4.5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3397A9F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5FF51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antifibrinolyticus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(aminokapronsav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tranexámsav)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és/vagy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rekombináns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faktor-kezelés fokozhatja a haemostasist. A vérzés okának azonosítása és a vérzés megszüntetése után a tikagrelor adása folytatható.</w:t>
      </w:r>
    </w:p>
    <w:p w14:paraId="684A726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B14E89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Műtét</w:t>
      </w:r>
    </w:p>
    <w:p w14:paraId="3C2AA6C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tanácsolni,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tervezett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bármilyen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új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szedése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 tájékoztassák kezelőorvosaikat és fogorvosaikat arról, hogy tikagrelort szednek.</w:t>
      </w:r>
    </w:p>
    <w:p w14:paraId="4B4D825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78E90E8" w14:textId="3CAF628A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 részt vevő, coronaria-bypass-graft műtéten (CABG) áteső betegeknél a tikagrelor alkalmazása esetén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fordult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 alkalmazásakor,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nappal állították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 vérzések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aránya a tikagrelor és 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alkalmazása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 hasonló volt,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amikor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kezelést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2 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nappal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állították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elektív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műtéten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esik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thrombocytagátló hatás nem kívánatos, akkor a tikagrelor adását a műtét előtt 5 nappal abba kell hagyni (lásd 5.1 pont).</w:t>
      </w:r>
    </w:p>
    <w:p w14:paraId="335A08C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103EF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Korábban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ischaemiás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stroke-on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átesett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betegek</w:t>
      </w:r>
    </w:p>
    <w:p w14:paraId="2A4C8729" w14:textId="2F641B61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korábban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ischaemiás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stroke-on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átesett,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legfeljebb 12 hónapig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kezelhetők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 (PLATO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vizsgálat).</w:t>
      </w:r>
    </w:p>
    <w:p w14:paraId="54EA0C4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1E5FE9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PEGASUS-vizsgálatban 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vettek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részt olyan betegek, akiknek az anamnézisében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 és korábban ischaemiás stroke-on estek át.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adatok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hiányában,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ezeknél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betegeknél az egy éven túli kezelés nem javasolt.</w:t>
      </w:r>
    </w:p>
    <w:p w14:paraId="5F640DC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70F32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Májkárosodás</w:t>
      </w:r>
    </w:p>
    <w:p w14:paraId="342D7FB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súlyos májkárosodásban szenvedő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ellenjavallt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4.3 pont). Közepes fokú májkárosodásban szenvedő betegeknél a tikagrelor alkalmazásával kapcsolatos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tapasztalatok korlátozottak,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elővigyázatosság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 5.2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5089EAD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560440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Betegek,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fennáll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bradycardiás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kockázata</w:t>
      </w:r>
    </w:p>
    <w:p w14:paraId="7C38F53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Holter EKG-monitorozás azt mutatta, hogy a javarészt tünetmentes ventricularis pauzák gyakorisága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során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megemelkedett, a klopidogrellel összehasonlítva. Azokat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betegeket, akiknél fokozott volt a bradycardiás események kockázata (például az olyan, pacemaker nélküli betegeket, akiknek sick sinus szindrómájuk, másod- vagy harmadfokú AV-blokkjuk, vagy bradycardiával összefüggő ájulásuk volt), a tikagrelor biztonságosságát és hatásosságát értékelő fő vizsgálatokból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kizárták.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korlátozott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tapasztalat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ezért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körültekintően kell alkalmazni (lásd 5.1 pont).</w:t>
      </w:r>
    </w:p>
    <w:p w14:paraId="302408C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171DDB5" w14:textId="2E7B2A83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Továbbá elővigyázatosság szükséges, ha a tikagrelort olyan gyógyszerekkel adják egyidejűleg, amelyekről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ismert,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bradycardiát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idéznek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Ugyanakkor,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tikagrelor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 olyan gyógyszer (pl. a betegek 96%-ánál béta-blokkoló, 33%-uknál kalciumcsatorna-blokkoló diltiazem és verapamil, 4%-uknál digoxin) egyidejű adását követően, amelyekről ismert, hogy bradycardiát idéznek elő, nem észleltek klinikailag jelentős mellékhatásokra utaló bizonyítékot (lásd 4.5 pont).</w:t>
      </w:r>
    </w:p>
    <w:p w14:paraId="38536F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D72633" w14:textId="461AA80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 Holter alvizsgálata során, az acut coronaria szindróma akut fázisa alatt 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alkalmazása mellett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 betegnek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másodperces vagy annál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hosszabb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ventricularis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pauzája,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 alkalmazásakor.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Holterrel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kimutatott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ventricularis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pauzák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2"/>
          <w:kern w:val="0"/>
          <w14:ligatures w14:val="none"/>
        </w:rPr>
        <w:t xml:space="preserve"> alkalmazásakor tapasztalt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növekedése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coronaria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akut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fázisa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krónikus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szívelégtelenségben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teljes vizsgálati populációban, de nem volt magasabb 1 hónapos tikagrelor-kezelés után vagy a klopidogrelhez képest. Ennek az eltérésnek, ebben a betegpopulációban nem volt kedvezőtlen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 következménye (beleértve a syncopét vagy a pacemaker-behelyezést) (lásd 5.1 pont).</w:t>
      </w:r>
    </w:p>
    <w:p w14:paraId="1FE1576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2E210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szedő betegeknél bradyarrhythmiás események és AV-blokk előfordulását jelentették a forgalomba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főként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amikor a szív ischaemiája és az egyidejűleg szedett, szívfrekvenciát csökkentő vagy a szív ingerületvezetését befolyásoló gyógyszerek potenciálisan zavaró tényezők lehetnek. 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 értékelni kell a betegek klinikai állapotát és az egyidejűleg szedett gyógyszereket, mint lehetséges kiváltó tényezőket.</w:t>
      </w:r>
    </w:p>
    <w:p w14:paraId="55B1765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160B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Dyspnoe</w:t>
      </w:r>
    </w:p>
    <w:p w14:paraId="2CB1C51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 kezelt betegeknél dyspnoéról számoltak be. A dyspnoe intenzitása rendszerint enyhe vagy közepes mértékű, és gyakran anélkül megszűnik, hogy a kezelés abbahagyására lenne szükség. Az asthmás/krónikus obstruktív tüdőbetegségben (COPD) szenvedő betegeknél a tikagrelor alkalmazáskor magasabb lehet a dyspnoe kialakulásának abszolút kockázata. A tikagrelort elővigyázatossággal kell alkalmazni olyan betegeknél, akiknek az anamnézisében asthma és/vagy COPD szerepel. A mechanizmus nem tisztázott. Ha egy beteg újonnan kialakult, tartós vagy súlyosbodó dyspnoéról számol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be, akkor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alaposan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vizsgálni,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tolerálja,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akkor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tikagrelor-kezelést le kell állítani. A további részleteket lásd a 4.8 pontban.</w:t>
      </w:r>
    </w:p>
    <w:p w14:paraId="3AE2CA0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96CB9F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Centrális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alvási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apnoe</w:t>
      </w:r>
    </w:p>
    <w:p w14:paraId="4B263F1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szedő betegeknél a forgalomba hozatalt követően centrális alvási apnoét jelentettek, beleértve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Cheyne–Stokes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légzést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is.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centrális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alvási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apnoe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gyanúja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felmerül,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 értékelést kell mérlegelni.</w:t>
      </w:r>
    </w:p>
    <w:p w14:paraId="155069A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F2A40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Kreatininszint</w:t>
      </w:r>
      <w:r w:rsidRPr="00C62638">
        <w:rPr>
          <w:rFonts w:ascii="Times New Roman" w:eastAsia="Times New Roman" w:hAnsi="Times New Roman" w:cs="Times New Roman"/>
          <w:spacing w:val="13"/>
          <w:kern w:val="0"/>
          <w:u w:val="single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emelkedés</w:t>
      </w:r>
    </w:p>
    <w:p w14:paraId="1F8C8C3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kreatininszint a tikagrelor-kezelés ideje alatt emelkedhet. A mechanizmus még nem tisztázott. A vesefunkciót a rutin orvosi gyakorlatnak megfelelően ellenőrizni kell. Acut coronaria szindrómás betegeknél a vesefunkció ellenőrzése egy hónappal a tikagrelor-kezelés elkezdése után is javasolt, és különös figyelmet kell fordítani a ≥ 75 éves betegekre, a közepes fokú vagy súlyos fokú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vesekárosodásban szenvedő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betegekre,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azokra,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egyidejűleg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angiotenzin-receptor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blokkoló (ARB) kezelést kapnak.</w:t>
      </w:r>
    </w:p>
    <w:p w14:paraId="6DED1A9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21D43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Húgysavszint</w:t>
      </w:r>
      <w:r w:rsidRPr="00C62638">
        <w:rPr>
          <w:rFonts w:ascii="Times New Roman" w:eastAsia="Times New Roman" w:hAnsi="Times New Roman" w:cs="Times New Roman"/>
          <w:spacing w:val="7"/>
          <w:kern w:val="0"/>
          <w:u w:val="single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emelkedés</w:t>
      </w:r>
    </w:p>
    <w:p w14:paraId="78D6449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tikagrelor-kezelés alatt hyperuricaemia fordulhat elő (lásd 4.8 pont). Elővigyázatosság javasolt azoknál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hyperuricaemia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köszvényes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arthritis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szerepel. A tikagrelor alkalmazása húgysav-nephropathiában szenvedő betegeknél elővigyázatosságból nem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javasolt.</w:t>
      </w:r>
    </w:p>
    <w:p w14:paraId="4F138C6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FD78EC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Thromboticus</w:t>
      </w:r>
      <w:r w:rsidRPr="00C62638">
        <w:rPr>
          <w:rFonts w:ascii="Times New Roman" w:eastAsia="Times New Roman" w:hAnsi="Times New Roman" w:cs="Times New Roman"/>
          <w:spacing w:val="-1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thrombocytopeniás</w:t>
      </w:r>
      <w:r w:rsidRPr="00C62638">
        <w:rPr>
          <w:rFonts w:ascii="Times New Roman" w:eastAsia="Times New Roman" w:hAnsi="Times New Roman" w:cs="Times New Roman"/>
          <w:spacing w:val="-1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purpura</w:t>
      </w:r>
      <w:r w:rsidRPr="00C62638">
        <w:rPr>
          <w:rFonts w:ascii="Times New Roman" w:eastAsia="Times New Roman" w:hAnsi="Times New Roman" w:cs="Times New Roman"/>
          <w:spacing w:val="-1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(TTP)</w:t>
      </w:r>
    </w:p>
    <w:p w14:paraId="0614D01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Thromboticus thrombocytopeniás purpura (TTP) nagyon ritka előfordulásáról számoltak be tikagrelor alkalmazása során. Thrombocytopenia és microangiopathiás haemolyticus anaemia jellemzi, mely</w:t>
      </w:r>
      <w:r w:rsidRPr="00C62638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akár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neurológiai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tünetekkel,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veseműködési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zavarral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lázzal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járhat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TTP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potenciálisan fatális állapot, mely azonnali kezelést tesz szükségessé, beleértve a plazmaferezist is.</w:t>
      </w:r>
    </w:p>
    <w:p w14:paraId="67802B2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3B04F38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heparin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indukálta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thrombocytopenia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(HIT –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heparin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induced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thrombocytopenia)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kimutatása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során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thrombocytafunkciós tesztekre gyakorolt zavaró hatás</w:t>
      </w:r>
    </w:p>
    <w:p w14:paraId="47FF52E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HIT kimutatásához a heparin-indukálta thrombocytaaktivációs (HIPA – heparin induced platelet activation) tesztet alkalmazzák, amely során heparin jelenlétében az egészséges donorok thrombocytái aktiválódnak a beteg szérumában lévő thrombocytaellenes faktor 4/heparin antitestek hatására. A HIT kimutatásakor a thrombocytafunkciós tesztek (beleértve, de nem kizárólag a HIPA teszt) hamis negatív eredményeiről számoltak be olyan betegeknél, akik tikagrelort kaptak. Ez összefügg a betegek szérumában/plazmájában jelen lévő tikagrelor általi P2Y12-receptor-gátlással az egészséges donorok thrombocytáin. A HIT kimutatásához használt thrombocytafunkciós tesztek értelmezéséhez szükség van az egyidejű tikagrelor-kezelés ismeretére.</w:t>
      </w:r>
    </w:p>
    <w:p w14:paraId="291BCE4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tikagrelor-kezelés folytatásának előny-kockázat arányának értékelésére van szükség olyan betegeknél, akiknél HIT alakult ki, figyelembe véve a prothrombotikus állapotukat, valamint az egyidejű antikoaguláns és tikagrelor-kezelés okozta vérzés megnövekedett kockázatát.</w:t>
      </w:r>
    </w:p>
    <w:p w14:paraId="2AC5E87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72FEB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>Egyéb</w:t>
      </w:r>
    </w:p>
    <w:p w14:paraId="27A14BEE" w14:textId="07ABDBA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fenntartó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klopidogrelhez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viszonyított relatív hatásossága között megfigyelt összefüggés alapján a tikagrelor és az acetilszalicilsav nagy fenntartó dózisának (&gt; 300 mg) egyidejű alkalmazása nem javasolt (lásd 5.1 pont).</w:t>
      </w:r>
    </w:p>
    <w:p w14:paraId="71EAA0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1A8EC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idő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előtti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abbahagyása</w:t>
      </w:r>
    </w:p>
    <w:p w14:paraId="02E4664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Bármilyen thrombocytagátló-kezelés, köztük a tikagrelor alkalmazásának idő előtti leállítása az alapbetegség következtében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eredetű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halálozás,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stroke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fokozott kockázatát eredményezheti. Ezért a kezelés idő előtti leállítását kerülni kell.</w:t>
      </w:r>
    </w:p>
    <w:p w14:paraId="0F3365B1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1D0F2D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4.5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Gyógyszerkölcsönhatások és egyéb interakciók</w:t>
      </w:r>
    </w:p>
    <w:p w14:paraId="08022F01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6D1F29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elsősorban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CYP3A4-szubsztrát,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enyhe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inhibitora.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P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glikoprotein-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(P-gp)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szubsztrát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gyenge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P-gp-inhibitor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növelheti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P-gp-szubsztrátok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expozícióját.</w:t>
      </w:r>
    </w:p>
    <w:p w14:paraId="4F551BD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19164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Gyógyszerek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más</w:t>
      </w:r>
      <w:r w:rsidRPr="00C62638">
        <w:rPr>
          <w:rFonts w:ascii="Times New Roman" w:eastAsia="Times New Roman" w:hAnsi="Times New Roman" w:cs="Times New Roman"/>
          <w:spacing w:val="-10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készítmények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tikagrelorra</w:t>
      </w:r>
      <w:r w:rsidRPr="00C62638">
        <w:rPr>
          <w:rFonts w:ascii="Times New Roman" w:eastAsia="Times New Roman" w:hAnsi="Times New Roman" w:cs="Times New Roman"/>
          <w:spacing w:val="-9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gyakorolt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hatása</w:t>
      </w:r>
    </w:p>
    <w:p w14:paraId="5077F369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</w:pPr>
    </w:p>
    <w:p w14:paraId="24C1F2A4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CYP3A4-inhibitorok</w:t>
      </w:r>
    </w:p>
    <w:p w14:paraId="3F863BD8" w14:textId="77777777" w:rsidR="00C62638" w:rsidRPr="00145C8B" w:rsidRDefault="00C62638" w:rsidP="00C62638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851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Erős CYP3A4-inhibitorok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– A ketokonazol és a tikagrelor együttes alkalmazása a tikagrelor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 2,4-szeresére</w:t>
      </w:r>
      <w:r w:rsidRPr="00145C8B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,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145C8B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pedig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7,3-szeresére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növelte.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aktív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metabolit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értéke 89%-kal,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AUC-értéke pedig 56%-kal csökkent. A CYP3A4 más, erős inhibitorainak (klaritromicin, nefazadon, ritonavir és atazanavir) várhatóan hasonló a hatása, ezért az erős CYP3A4-inhibitorok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ellenjavallt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(lásd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4.3</w:t>
      </w:r>
      <w:r w:rsidRPr="00145C8B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1BB2A523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Közepesen erős CYP3A4-inhibitorok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– A diltiazem és a tikagrelor együttes alkalmazása a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145C8B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69%-kal,</w:t>
      </w:r>
      <w:r w:rsidRPr="00145C8B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pedig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2,7-szeresére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növelte.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aktív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metabolit C</w:t>
      </w:r>
      <w:r w:rsidRPr="00145C8B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-értéke 38%-kal csökkent, AUC-értéke változatlan maradt. A tikagrelornak nem volt hatása a diltiazem plazmaszintjére. A CYP3A4 más, közepesen erős inhibitorainak (pl. amprenavir, aprepitant, eritromicin és flukonazol) várhatóan hasonló a hatása, és azok is adhatók együtt a tikagrelorral.0</w:t>
      </w:r>
    </w:p>
    <w:p w14:paraId="2F75F71F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tikagrelor expozíciójának 2-szeres növekedését figyelték meg napi nagy mennyiségű grépfrútlé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fogyasztását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(3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200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ml).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expozíció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ilyen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mértékű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növekedésének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legtöbb betegnél várhatóan nincs klinikai jelentősége.</w:t>
      </w:r>
    </w:p>
    <w:p w14:paraId="5B963E1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DD82244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CYP3A-induktorok</w:t>
      </w:r>
    </w:p>
    <w:p w14:paraId="57A7497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rifampicin</w:t>
      </w:r>
      <w:r w:rsidRPr="00C62638">
        <w:rPr>
          <w:rFonts w:ascii="Times New Roman" w:eastAsia="Times New Roman" w:hAnsi="Times New Roman" w:cs="Times New Roman"/>
          <w:spacing w:val="-7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7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73%-kal,</w:t>
      </w:r>
      <w:r w:rsidRPr="00C62638">
        <w:rPr>
          <w:rFonts w:ascii="Times New Roman" w:eastAsia="Times New Roman" w:hAnsi="Times New Roman" w:cs="Times New Roman"/>
          <w:spacing w:val="-9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>pedig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86%-kal csökkentette. Az aktív metabolit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-értéke változatlan maradt, AUC-értéke pedig 46%-kal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csökkent. Más CYP3A-induktorok (pl. fenitoin, karbamazepin és fenobarbitál) is várhatóan hasonlóan csökkentik a tikagrelor expozícióját. A tikagrelor és potens CYP3A-induktorok együttes alkalmazása csökkentheti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expozícióját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hatásosságát,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alkalmazásuk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nem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javasolt.</w:t>
      </w:r>
    </w:p>
    <w:p w14:paraId="47BB48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6E6CA7A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Ciklosporin</w:t>
      </w:r>
      <w:r w:rsidRPr="00C62638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(P-gp-</w:t>
      </w:r>
      <w:r w:rsidRPr="00C62638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és</w:t>
      </w:r>
      <w:r w:rsidRPr="00C62638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CYP3A-</w:t>
      </w: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inhibitor)</w:t>
      </w:r>
    </w:p>
    <w:p w14:paraId="0EF2B11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ciklosporin (600 mg) és a tikagrelor együttes alkalmazása a tikagrelor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-értékét 2,3-szeresére, AUC-értékét pedig 2,8-szeresére növelte. Az aktív metabolit AUC-értéke 32%-kal növekedett,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értéke pedig 15%-kal csökkent ciklosporin jelenlétében.</w:t>
      </w:r>
    </w:p>
    <w:p w14:paraId="0F819D0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72A45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tikagrelor-expozíciót esetleg szintén növelő más hatóanyagok, amelyek potens P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gp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inhibitorok és közepesen erős CYP3A4-inhibitorok is (pl. verapamil, kinidin), együttes alkalmazására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adatok.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 alkalmazás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elkerülhetetlen,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akkor az együttadást körültekintően kell végezni.</w:t>
      </w:r>
    </w:p>
    <w:p w14:paraId="1B173BF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6563C8D8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Egyéb</w:t>
      </w:r>
    </w:p>
    <w:p w14:paraId="401CF21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 farmakológiai interakciós vizsgálatok azt mutatták, hogy a tikagrelor heparinnal, enoxaparinnal és acetilszalicilsavval vagy dezmopresszinnel történő együttes adása a tikagrelor önmagában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adásához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képest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semmilyen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hatással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farmakokinetikájára, sem az ADP-indukálta thrombocytaaggregációra. Ha az klinikailag indokolt, akkor a haemostasist megváltoztató gyógyszereket elővigyázatossággal kell a tikagrelorral kombinációban adni.</w:t>
      </w:r>
    </w:p>
    <w:p w14:paraId="317F49B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B3C05F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orális P2Y12-inhibitorok, köztük a tikagrelor és aktív metabolitja, expozíciójának elhúzódását és csökkenését figyelték meg olyan acut coronaria szindrómás betegeknél, akiket morfinnal kezeltek (a tikagrelor expozíció 35%-os csökkenése). Ez a kölcsönhatás a csökkent gastrointestinalis motilitással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lehet kapcsolatos és egyéb opioidokra is vonatkozik. A klinikai jelentősége nem ismert, de az adatok a tikagrelor hatásosságának lehetséges csökkenését mutatják azoknál a betegeknél, akiket egyidejűleg tikagrelorral és morfinnal kezeltek. Azoknál az acut coronaria szindrómás betegeknél, akiknél a morfin adását nem lehet mellőzni és a gyors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-gátlás döntő fontosságú, parenterális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inhibitor alkalmazását lehet mérlegelni.</w:t>
      </w:r>
    </w:p>
    <w:p w14:paraId="48BE953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6E9AB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3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1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más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gyógyszerekre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gyakorolt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hatása</w:t>
      </w:r>
    </w:p>
    <w:p w14:paraId="783272D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6C6E7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CYP3A4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által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metabolizált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gyógyszerek</w:t>
      </w:r>
    </w:p>
    <w:p w14:paraId="54D65BF0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kern w:val="0"/>
          <w:position w:val="2"/>
          <w14:ligatures w14:val="none"/>
        </w:rPr>
        <w:t xml:space="preserve">Szimvasztatin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– A tikagrelor és a szimvasztatin együttes alkalmazása a szimvasztatin 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értékét 81%-kal,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pedig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56%-kal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növelte,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szimvasztatinsav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145C8B">
        <w:rPr>
          <w:rFonts w:ascii="Times New Roman" w:eastAsia="Times New Roman" w:hAnsi="Times New Roman" w:cs="Times New Roman"/>
          <w:spacing w:val="-1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64%-kal, AUC-értékét pedig 52%-kal növelte, néhány egyénnél az emelkedés 2-3-szoros volt. A tikagrelor és a napi 40 mg-ot meghaladó szimvasztatin-dózisok együttes alkalmazása szimvasztatin okozta mellékhatásokkal járhat, amit a lehetséges előnyökkel szemben mérlegelni kell. A szimvasztatinnak nem volt hatása a tikagrelor plazmaszintjére. A tikagrelornak hasonló hatása lehet a lovasztatinra. A tikagrelor és a 40 mg-nál nagyobb szimvasztatin- vagy lovasztatin-dózisok egyidejű alkalmazása nem javasolt.</w:t>
      </w:r>
    </w:p>
    <w:p w14:paraId="3E91F36F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kern w:val="0"/>
          <w:position w:val="2"/>
          <w14:ligatures w14:val="none"/>
        </w:rPr>
        <w:t>Atorvasztatin</w:t>
      </w:r>
      <w:r w:rsidRPr="00145C8B">
        <w:rPr>
          <w:rFonts w:ascii="Times New Roman" w:eastAsia="Times New Roman" w:hAnsi="Times New Roman" w:cs="Times New Roman"/>
          <w:i/>
          <w:spacing w:val="-2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–</w:t>
      </w:r>
      <w:r w:rsidRPr="00145C8B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atorvasztatin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együttes</w:t>
      </w:r>
      <w:r w:rsidRPr="00145C8B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alkalmazása</w:t>
      </w:r>
      <w:r w:rsidRPr="00145C8B">
        <w:rPr>
          <w:rFonts w:ascii="Times New Roman" w:eastAsia="Times New Roman" w:hAnsi="Times New Roman" w:cs="Times New Roman"/>
          <w:spacing w:val="-7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atorvasztatinsav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 23%-kal, AUC-értékét pedig 36%-kal növelte. Az AUC és a 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spacing w:val="31"/>
          <w:kern w:val="0"/>
          <w:sz w:val="14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hasonló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emelkedését észlelték minden atorvasztatinsav-metabolit esetén. Ezeket az emelkedéseket nem tartják klinikailag jelentősnek.</w:t>
      </w:r>
    </w:p>
    <w:p w14:paraId="0034BCB9" w14:textId="331944C2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Más, a CYP3A4 által metabolizált sztatinokra gyakorolt hasonló hatás nem zárható ki. A PLATO</w:t>
      </w:r>
      <w:r w:rsidR="00A97628"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különböző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sztatinokat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szedtek,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ezeket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gyógyszereket szedő PLATO</w:t>
      </w:r>
      <w:r w:rsidR="00A97628"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kohorsz 93%-ánál nem észleltek a sztatin biztonságosságával összefüggő problémát.</w:t>
      </w:r>
    </w:p>
    <w:p w14:paraId="0238BF0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063841" w14:textId="77777777" w:rsidR="00C62638" w:rsidRPr="00C62638" w:rsidRDefault="00C62638" w:rsidP="007E1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egy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enyhe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CYP3A4-inhibitor.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szűk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indexű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CYP3A4-szubsztrátok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(azaz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ciszaprid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ergot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alkaloidok)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javasolt, mivel a tikagrelor növelheti ezeknek a gyógyszereknek az expozícióját.</w:t>
      </w:r>
    </w:p>
    <w:p w14:paraId="47A8F85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84CA469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P-gp-szubsztrátok</w:t>
      </w:r>
      <w:r w:rsidRPr="00C62638">
        <w:rPr>
          <w:rFonts w:ascii="Times New Roman" w:eastAsia="SimSun" w:hAnsi="Times New Roman" w:cs="Times New Roman"/>
          <w:i/>
          <w:snapToGrid w:val="0"/>
          <w:spacing w:val="-12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(beleértve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a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digoxint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és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ciklosporint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val="en-GB" w:eastAsia="zh-CN"/>
          <w14:ligatures w14:val="none"/>
        </w:rPr>
        <w:t>is)</w:t>
      </w:r>
    </w:p>
    <w:p w14:paraId="6F4C127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digoxin egyidejű alkalmazása a digoxin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-értékét 75%-kal, AUC-értékét pedig 28%-kal növelte. A tikagrelorral történő együttes alkalmazásakor az átlagos mélyponti digoxin-szint mintegy 30%-kal nőtt, úgy, hogy néhány egyénnél a maximális emelkedés 2-szeres volt. A digoxin jelenléte nem befolyásolta a tikagrelor és aktív metabolitjának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 és AUC-értékét. Ezért a szűk terápiás indexű, P-gp-függő gyógyszerek, mint például a digoxin és a tikagrelor együttes adásakor megfelelő klinikai és/vagy laboratóriumi monitorozás javasolt.</w:t>
      </w:r>
    </w:p>
    <w:p w14:paraId="546CE2D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46AE1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ciklosporin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vérszintjére.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egyéb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P-gp-szubsztrátokra gyakorolt hatását nem vizsgálták.</w:t>
      </w:r>
    </w:p>
    <w:p w14:paraId="62908DD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9ECFB7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CYP2C9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által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metabolizált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gyógyszerek</w:t>
      </w:r>
    </w:p>
    <w:p w14:paraId="0D93926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tolbutamid 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plazmaszintjének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változását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sem idézte elő, ami arra utal, hogy a tikagrelor nem CYP2C9-inhibitor, és nem valószínű, hogy megváltoztatná olyan gyógyszerek CYP2C9 mediálta metabolizmusát, mint például a warfarin és a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tolbutamid.</w:t>
      </w:r>
    </w:p>
    <w:p w14:paraId="7165052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82E9A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Rozuvasztatin</w:t>
      </w:r>
    </w:p>
    <w:p w14:paraId="78499E2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befolyásolhatja a rozuvasztatin vesén át történő kiválasztását, ezáltal növelheti a rozuvasztatin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akkumulációjának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kockázatát.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mechanizmus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ismert,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néhány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rozuvasztatin együttes alkalmazása a vesefunkció romlásához, megnövekedett kreatin-foszfokináz- (CPK-) szinthez, és rhabdomyolysis kialakulásához vezetett.</w:t>
      </w:r>
    </w:p>
    <w:p w14:paraId="3B442D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890BB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Orális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fogamzásgátlók</w:t>
      </w:r>
    </w:p>
    <w:p w14:paraId="4193B4B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tikagrelor, valamint a levonorgesztrel és etinil-ösztradiol együttes alkalmazása megközelítőleg 20%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kal növelte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etinil-ösztradiol-expozíciót,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változtatta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levonorgesztrel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farmakokinetikáját. Nem várható az orális fogamzásgátlók hatásosságára gyakorolt, klinikailag jelentős hatás, ha a levonorgesztrelt és etinil-ösztradiolt egyidejűleg tikagrelorral adják.</w:t>
      </w:r>
    </w:p>
    <w:p w14:paraId="5A898C2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D297A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Gyógyszerek,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amelyekről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ismert,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hogy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bradycardiát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idéznek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eastAsia="zh-CN"/>
          <w14:ligatures w14:val="none"/>
        </w:rPr>
        <w:t>elő</w:t>
      </w:r>
    </w:p>
    <w:p w14:paraId="4F1183B7" w14:textId="6B6F9BF8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többnyire tünetmentes ventricularis pauzákra és bradycardiára vonatkozó megfigyelések miatt elővigyázatosság szükséges, ha a tikagrelort olyan gyógyszerekkel adják egyidejűleg, amelyekről ismert,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bradycardiát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idéznek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Ugyanakkor,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a tikagrelor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 több, ismerten bradycardiát előidéző gyógyszer (pl. a betegek 96%-ánál béta-blokkoló, 33%-ukál kalciumcsatorna-blokkoló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diltiazem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verapamil,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4%-ukál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digoxin)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adását követően nem észleltek klinikailag jelentős mellékhatásokra utaló bizonyítékot.</w:t>
      </w:r>
    </w:p>
    <w:p w14:paraId="6DF6E25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55FBC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egyidejű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kezelés</w:t>
      </w:r>
    </w:p>
    <w:p w14:paraId="04A9930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vizsgálatokban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kísérőbetegségek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gyakran adták együtt hosszú ideig acetilszalicilsavval, protonpumpa-inhibitorokkal, sztatinokkal, béta-blokkolókkal,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angiotenzin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konvertáló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enzim-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(ACE)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inhibitorokkal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angiotenzin-receptor-blokkolókkal,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rövid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ideig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heparinnal,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molekulatömegű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heparinnal,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intravénás GpIIb/IIIa-inhibitorokkal (lásd 5.1 pont). Ezeknek a gyógyszereknek az alkalmazásakor nem észleltek klinikailag jelentős, kedvezőtlen kölcsönhatásokra utaló bizonyítékot.</w:t>
      </w:r>
    </w:p>
    <w:p w14:paraId="78797BA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89C44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az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enoxaparin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dezmopresszin 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alkalmazásának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 aktivált parciális thromboplastinidő (aPTT), az aktivált alvadási idő (ACT) és a Xa-faktor mérési eredményeire. Ugyanakkor, a lehetséges farmakodinámiás kölcsönhatások miatt a tikagrelor és a haemostasist közismerten megváltoztató gyógyszerek egyidejű alkalmazásakor elővigyázatosság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szükséges.</w:t>
      </w:r>
    </w:p>
    <w:p w14:paraId="2B3AE4E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D6D46D8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SSRI-k (pl. paroxetin, szertralin és citaloprám) alkalmazásakor előforduló cutan vérzéses rendellenességekről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szóló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beszámolók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miatt,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SSRI-k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 esetén elővigyázatosság javasolt, mert ez növelheti a vérzés kockázatát.</w:t>
      </w:r>
    </w:p>
    <w:p w14:paraId="344391C7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F3C59C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4.6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Termékenység, terhesség és szoptatás</w:t>
      </w:r>
    </w:p>
    <w:p w14:paraId="694E1DDB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74DC5B9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Fogamzóképes</w:t>
      </w:r>
      <w:r w:rsidRPr="00C62638">
        <w:rPr>
          <w:rFonts w:ascii="Times New Roman" w:eastAsia="Times New Roman" w:hAnsi="Times New Roman" w:cs="Times New Roman"/>
          <w:spacing w:val="-11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>nők</w:t>
      </w:r>
    </w:p>
    <w:p w14:paraId="44B25B1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fogamzóképes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nőknek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ideje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alatt,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terhesség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elkerülése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érdekében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megfelelő fogamzásgátlást kell alkalmazniuk.</w:t>
      </w:r>
    </w:p>
    <w:p w14:paraId="095D53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66AB8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Terhesség</w:t>
      </w:r>
    </w:p>
    <w:p w14:paraId="69CE87D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terhes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tekintetében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információ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 korlátozott mennyiségű információ áll rendelkezésre.</w:t>
      </w:r>
    </w:p>
    <w:p w14:paraId="333E5FB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állatokkal végzett vizsgálatok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reprodukciós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igazoltak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5.3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alkalmazása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 javasolt terhesség alatt.</w:t>
      </w:r>
    </w:p>
    <w:p w14:paraId="7AEA6E5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987D7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Szoptatás</w:t>
      </w:r>
    </w:p>
    <w:p w14:paraId="0B1200FF" w14:textId="77777777" w:rsidR="00C62638" w:rsidRPr="00145C8B" w:rsidRDefault="00C62638" w:rsidP="00C6263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rendelkezésre álló, állatkísérletek során nyert farmakodinámiás / toxikológiai adatok a tikagrelor és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tikagrelor metabolitjainak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kiválasztódását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igazolták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anyatejbe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(lásd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5.3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pont). </w:t>
      </w:r>
      <w:r w:rsidRPr="00C62638">
        <w:rPr>
          <w:rFonts w:ascii="Times New Roman" w:eastAsia="SimSun" w:hAnsi="Times New Roman" w:cs="Times New Roman"/>
          <w:snapToGrid w:val="0"/>
          <w:color w:val="000000"/>
          <w:kern w:val="0"/>
          <w:lang w:val="fi-FI" w:eastAsia="zh-CN"/>
          <w14:ligatures w14:val="none"/>
        </w:rPr>
        <w:t>Az újszülött/csecsemő vonatkozásában a kockázatot nem lehet kizárni.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tikagrelor alkalmazása előtt el kell dönteni, hogy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szoptatást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függesztik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fel,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kezelést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szakítják meg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halasztják el, figyelembe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véve a szoptatás előnyét a gyermek, illetve a kezelés előnyét az anya szempontjából.</w:t>
      </w:r>
    </w:p>
    <w:p w14:paraId="4CBCE40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58556B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Termékenység</w:t>
      </w:r>
    </w:p>
    <w:p w14:paraId="675B457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nincs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hatással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hím 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nőstény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állatok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termékenységére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5.3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pont).</w:t>
      </w:r>
    </w:p>
    <w:p w14:paraId="338615BE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FCF67C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4.7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készítmény hatásai a gépjárművezetéshez és a gépek kezeléséhez szükséges képességekre</w:t>
      </w:r>
    </w:p>
    <w:p w14:paraId="3888D26E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3FDA890" w14:textId="4F503BD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nem, vagy csak elhanyagolható mértékben befolyásolja a gépjárművezetéshez és a gépek kezeléséhez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képességeket.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során szédülésről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zavartságról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számoltak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tüneteket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óvatosnak kell lenniük, amikor gépjárművet vezetnek vagy gépeket kezelnek.</w:t>
      </w:r>
    </w:p>
    <w:p w14:paraId="65389E03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812C31D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4.8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Nemkívánatos hatások, mellékhatások</w:t>
      </w:r>
    </w:p>
    <w:p w14:paraId="12D40A34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6B98181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biztonságossági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profil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összefoglalása</w:t>
      </w:r>
    </w:p>
    <w:p w14:paraId="44E2560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biztonságossági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profilját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nagyméretű,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III-as fázisú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értékelték (PLATO és PEGASUS), amelyekben több mint 39 000 beteg vett részt (lásd 5.1 pont).</w:t>
      </w:r>
    </w:p>
    <w:p w14:paraId="3A0BDCB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1ED72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 vizsgálatban a tikagrelort kapó betegeknél magasabb volt a vizsgálatban való részvétel nemkívánatos események miatti abbahagyása, mint a klopidogrel esetén (7,4% vs. 5,4%). A PEGASUS vizsgálatban a tikagrelort kapó betegeknél magasabb volt a vizsgálatban való részvétel nemkívánatos események miatti abbahagyása, mint a csak acetilszalicilsav-kezelést kapó betegeknél (16,1% 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adott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illetve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8,5%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monoterápia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esetén).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kezelt betegeknél a leggyakrabban jelentett mellékhatásokok a vérzés és a dyspnoe voltak (lásd 4.4 pont).</w:t>
      </w:r>
    </w:p>
    <w:p w14:paraId="5E3002D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EA3464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táblázatos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felsorolása</w:t>
      </w:r>
    </w:p>
    <w:p w14:paraId="1DE8E0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végzett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után,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forgalomba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szerzett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tapasztalatok alapján az alábbi mellékhatásokat azonosították (1. táblázat).</w:t>
      </w:r>
    </w:p>
    <w:p w14:paraId="09F1F37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1601F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MedDRA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szervrendszeri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kategóriánként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vannak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felsorolva.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szervrendszeri kategóriákon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belül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gyakorisági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kategóriák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vannak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rangsorolva.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gyakorisági kategóriákat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megegyezés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határozták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meg: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1/10),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1/100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Symbol" w:eastAsia="Times New Roman" w:hAnsi="Symbol" w:cs="Times New Roman"/>
          <w:kern w:val="0"/>
          <w14:ligatures w14:val="none"/>
        </w:rPr>
        <w:t>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1/1000 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Symbol" w:eastAsia="Times New Roman" w:hAnsi="Symbol" w:cs="Times New Roman"/>
          <w:kern w:val="0"/>
          <w14:ligatures w14:val="none"/>
        </w:rPr>
        <w:t>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1/100),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ritka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1/10 000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Symbol" w:eastAsia="Times New Roman" w:hAnsi="Symbol" w:cs="Times New Roman"/>
          <w:kern w:val="0"/>
          <w14:ligatures w14:val="none"/>
        </w:rPr>
        <w:t>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1/1000),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ritka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(&lt; 1/10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000), nem ismert (a gyakoriság a rendelkezésre álló adatokból nem állapítható meg).</w:t>
      </w:r>
      <w:proofErr w:type="gramEnd"/>
    </w:p>
    <w:p w14:paraId="4156EDA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E7CF9F" w14:textId="5413796C" w:rsidR="00C62638" w:rsidRPr="00C62638" w:rsidRDefault="00C62638" w:rsidP="00C62638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 táblázat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Gyakoriság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szervrendszeri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kat</w:t>
      </w:r>
      <w:r w:rsidR="00A9762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góriák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alapján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csoportosított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mellékhatások</w:t>
      </w:r>
    </w:p>
    <w:p w14:paraId="5E14EA31" w14:textId="77777777" w:rsidR="00C62638" w:rsidRPr="00C62638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</w:p>
    <w:tbl>
      <w:tblPr>
        <w:tblW w:w="920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1843"/>
        <w:gridCol w:w="1559"/>
        <w:gridCol w:w="1691"/>
        <w:gridCol w:w="1843"/>
      </w:tblGrid>
      <w:tr w:rsidR="00C62638" w:rsidRPr="00C62638" w14:paraId="44BF0B00" w14:textId="77777777" w:rsidTr="00AF59D4">
        <w:trPr>
          <w:cantSplit/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351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Szervrendszeri kategória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89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Nagyon gyakori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088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Gyakori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51A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Nem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gyakori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16E6FA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Nem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4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ismert</w:t>
            </w:r>
          </w:p>
        </w:tc>
      </w:tr>
      <w:tr w:rsidR="00C62638" w:rsidRPr="00C62638" w14:paraId="0734BC5E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5DFF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Jó-,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 xml:space="preserve"> rosszindulatú és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3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nem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meghatározott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4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 xml:space="preserve">daganatok (beleértve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3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cisztákat és polipokat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is)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957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D45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12E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tumor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EBF2D2B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E8CEEDB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0B7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Vérképzőszervi és nyirokrendszeri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27E6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323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vérképzőszervi betegségek okozta 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665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F0C26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4C1EC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thromboticus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thrombocytopeniás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purpura</w:t>
            </w:r>
            <w:r w:rsidRPr="00C62638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  <w:t>c</w:t>
            </w:r>
          </w:p>
        </w:tc>
      </w:tr>
      <w:tr w:rsidR="00C62638" w:rsidRPr="00C62638" w14:paraId="5B80A053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0FD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258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Immunrendszeri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75FD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498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432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40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túlérzékenység,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beleértve az</w:t>
            </w:r>
            <w:r w:rsidRPr="00C62638">
              <w:rPr>
                <w:rFonts w:ascii="Times New Roman" w:eastAsia="Times New Roman" w:hAnsi="Times New Roman" w:cs="Times New Roman"/>
                <w:spacing w:val="2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angiooedemát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is</w:t>
            </w:r>
            <w:r w:rsidRPr="00C62638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C8EC0A1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21E5A556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871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258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Anyagcsere-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és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 xml:space="preserve">táplálkozási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54C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hyperuricaemia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C90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323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köszvény/ köszvényes arthritis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0BF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F664804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18E8426A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48C9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Pszichiátriai kórképek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471D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D73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4165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zavartság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DEAEF3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58685526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894C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Idegrendszeri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7FF0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1EBC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323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szédülés, ájulás, fejfájás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CF89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28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intracranialis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vérzés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438F6F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43C53DF4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7BB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Szembetegségek és szemészeti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18D9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CF73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3B9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szemvérzés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1137D92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568E7D1F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936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fül és az egyensúly-érzékelő szerv betegségei és tünetei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C77D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EBD8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vertigo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AF04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fülvérzés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E197E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62F97805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EB2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Szívbetegségek és a szívvel kapcsolatos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D9D0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4F0C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EC9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F7E7FCB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bradyarrhythmia, AV-blokk</w:t>
            </w:r>
            <w:r w:rsidRPr="00C62638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  <w:t>c</w:t>
            </w:r>
          </w:p>
        </w:tc>
      </w:tr>
      <w:tr w:rsidR="00C62638" w:rsidRPr="00C62638" w14:paraId="2C34C15D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E399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76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Érbetegségek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47DF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26A3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hypotonia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0A96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BEE9E1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60003DD9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5C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76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Légzőrendszeri, mellkasi és mediastinalis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5272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dyspnoe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E946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légzőrendszeri 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f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83E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DB47BDB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666AC15B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9E0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Emésztőrendszeri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3C9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525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5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gastrointestinalis vérzés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g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, hasmenés, hányinger, dyspepsia, székrekedés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9E6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retroperitonealis vérzés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734FA15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B5D9BC2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B61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bőr és a bőr alatti szövet betegségei és tünetei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DAD9A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B75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subcutan vagy dermalis vérzés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h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, bőrkiütés, pruritus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B95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9C1D037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06032F7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29C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csont- és izomrendszer, valamint a kötőszövet betegségei és tünetei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C25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220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5CB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izomvérzések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4BA767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4EB95515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DEE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76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Vese- és húgyúti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663E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BC4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húgyúti vérzés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j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B0A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A33C27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3C151573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E36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nemi szervekkel és az emlőkkel kapcsolatos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4838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884D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95D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reproduktív rendszeri vérzések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7ADA80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192D012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B9F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Laboratóriumi és egyéb vizsgálatok eredményei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F740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320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35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emelkedett kreatininszint a vérben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d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55C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C8CD34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39B02CE5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049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Sérülés, mérgezés és a beavatkozással kapcsolatos szövődmények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4FE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95E4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beavatkozás utáni vérzés, traumás 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l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CD2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342EDF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</w:tbl>
    <w:p w14:paraId="36B712F4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a</w:t>
      </w:r>
      <w:proofErr w:type="gramEnd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ab/>
        <w:t>pl.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húgyhólyagrákból,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gyomorrákból,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vastagbélrákból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eredő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285EE93E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b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ab/>
        <w:t>pl.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véraláfutásra,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spontán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kialakuló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haematomára,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haemorrhagiás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diathesisre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való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fokozott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hajlam</w:t>
      </w:r>
    </w:p>
    <w:p w14:paraId="5C26B7C1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c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 forgalomba hozatalt követően azonosították</w:t>
      </w:r>
    </w:p>
    <w:p w14:paraId="546444D9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jc w:val="both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d</w:t>
      </w:r>
      <w:r w:rsidRPr="00145C8B">
        <w:rPr>
          <w:rFonts w:ascii="Times New Roman" w:eastAsia="SimSun" w:hAnsi="Times New Roman" w:cs="Times New Roman"/>
          <w:snapToGrid w:val="0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gyakoriságok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laboratóriumi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megfigyelésekből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származnak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(a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kezelés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elkezdésekor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referencia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tartományon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belüli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 annál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alacsonyabb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húgysavszint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emelkedése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normálérték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felső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határa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fölé.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kreatininszintnek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vizsgálat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megkezdésekor mérthez viszonyított, több mint 50%-os emelkedése), és nem nyers nemkívánatos esemény jelentési gyakoriság.</w:t>
      </w:r>
    </w:p>
    <w:p w14:paraId="25B21B97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e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15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conjunctivalis,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retinalis,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intraocularis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3CD932C4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f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12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epistaxis,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haemoptoe</w:t>
      </w:r>
    </w:p>
    <w:p w14:paraId="737D6AE8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g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11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gingiva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rectalis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gyomorfekély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2D7B4117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h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19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ecchymosis,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bőrvérzés,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petechiák</w:t>
      </w:r>
    </w:p>
    <w:p w14:paraId="6C7CDE1A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i</w:t>
      </w:r>
      <w:r w:rsidRPr="00145C8B">
        <w:rPr>
          <w:rFonts w:ascii="Times New Roman" w:eastAsia="SimSun" w:hAnsi="Times New Roman" w:cs="Times New Roman"/>
          <w:snapToGrid w:val="0"/>
          <w:spacing w:val="8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haemarthros,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izomvérzés</w:t>
      </w:r>
    </w:p>
    <w:p w14:paraId="0D6187FB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j</w:t>
      </w:r>
      <w:r w:rsidRPr="00145C8B">
        <w:rPr>
          <w:rFonts w:ascii="Times New Roman" w:eastAsia="SimSun" w:hAnsi="Times New Roman" w:cs="Times New Roman"/>
          <w:snapToGrid w:val="0"/>
          <w:spacing w:val="11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haematuria,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haemorrhagiás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cystitis</w:t>
      </w:r>
    </w:p>
    <w:p w14:paraId="71AA5776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k</w:t>
      </w:r>
      <w:r w:rsidRPr="00145C8B">
        <w:rPr>
          <w:rFonts w:ascii="Times New Roman" w:eastAsia="SimSun" w:hAnsi="Times New Roman" w:cs="Times New Roman"/>
          <w:snapToGrid w:val="0"/>
          <w:spacing w:val="14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hüvelyi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haematospermia,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postmenopausalis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2EEA3B4F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l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11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contusio,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traumás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haematoma,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traumás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6AF21FD6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m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13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beavatkozással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összefüggő,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spontán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traumás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65BC424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47D9F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Egyes kiválasztott</w:t>
      </w:r>
      <w:r w:rsidRPr="00C62638">
        <w:rPr>
          <w:rFonts w:ascii="Times New Roman" w:eastAsia="Times New Roman" w:hAnsi="Times New Roman" w:cs="Times New Roman"/>
          <w:spacing w:val="-13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1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leírása</w:t>
      </w:r>
    </w:p>
    <w:p w14:paraId="1980A9D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00C59E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Vérzés</w:t>
      </w:r>
    </w:p>
    <w:p w14:paraId="50AA42C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Vérzéssel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kapcsolatos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megállapítások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vizsgálatban</w:t>
      </w:r>
    </w:p>
    <w:p w14:paraId="2ED1647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 vizsgálatban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előforduló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vérzési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arányok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összefoglaló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eredményét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2.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táblázat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mutatja be.</w:t>
      </w:r>
    </w:p>
    <w:p w14:paraId="32076F89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ind w:right="1071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24EB9DA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 táblázat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összesített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események elemzése,</w:t>
      </w:r>
      <w:r w:rsidRPr="00C62638">
        <w:rPr>
          <w:rFonts w:ascii="Times New Roman" w:eastAsia="Times New Roman" w:hAnsi="Times New Roman" w:cs="Times New Roman"/>
          <w:b/>
          <w:bCs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Kaplan–Meier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-féle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becslés a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12. hónapban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(PLATO)</w:t>
      </w:r>
    </w:p>
    <w:p w14:paraId="013CCD4C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ind w:left="441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1459"/>
        <w:gridCol w:w="1450"/>
        <w:gridCol w:w="1128"/>
      </w:tblGrid>
      <w:tr w:rsidR="00C62638" w:rsidRPr="00C62638" w14:paraId="75CFB6E3" w14:textId="77777777" w:rsidTr="00AF59D4">
        <w:trPr>
          <w:trHeight w:hRule="exact" w:val="127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7BB5" w14:textId="77777777" w:rsidR="00C62638" w:rsidRPr="00C62638" w:rsidRDefault="00C62638" w:rsidP="007E1C5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90D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7" w:right="100" w:hanging="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90</w:t>
            </w:r>
            <w:r w:rsidRPr="00C62638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lang w:eastAsia="zh-CN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2"/>
                <w:kern w:val="0"/>
                <w:lang w:eastAsia="hu-HU"/>
                <w14:ligatures w14:val="none"/>
              </w:rPr>
              <w:t>mg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9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lang w:eastAsia="hu-HU"/>
                <w14:ligatures w14:val="none"/>
              </w:rPr>
              <w:t>tikagrelor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9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naponta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kétszer</w:t>
            </w:r>
          </w:p>
          <w:p w14:paraId="5EBB7563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9235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4110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01" w:right="156" w:hanging="14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klopidogrel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9186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E472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2"/>
                <w:kern w:val="0"/>
                <w:lang w:eastAsia="hu-HU"/>
                <w14:ligatures w14:val="none"/>
              </w:rPr>
              <w:t>p-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iCs/>
                <w:spacing w:val="-2"/>
                <w:kern w:val="0"/>
                <w:lang w:eastAsia="hu-HU"/>
                <w14:ligatures w14:val="none"/>
              </w:rPr>
              <w:t>érték*</w:t>
            </w:r>
          </w:p>
        </w:tc>
      </w:tr>
      <w:tr w:rsidR="00C62638" w:rsidRPr="00C62638" w14:paraId="12A8A4D3" w14:textId="77777777" w:rsidTr="00AF59D4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1BA0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 összes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980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11,6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0249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11,2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77C6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0,4336</w:t>
            </w:r>
          </w:p>
        </w:tc>
      </w:tr>
      <w:tr w:rsidR="00C62638" w:rsidRPr="00C62638" w14:paraId="1F0D9B49" w14:textId="77777777" w:rsidTr="00AF59D4">
        <w:trPr>
          <w:trHeight w:hRule="exact" w:val="56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E779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PLATO összes jelentős, halálos/életveszélyes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0F56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5,8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0BD1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5,8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25E6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0,6988</w:t>
            </w:r>
          </w:p>
        </w:tc>
      </w:tr>
      <w:tr w:rsidR="00C62638" w:rsidRPr="00C62638" w14:paraId="5CFCAB6C" w14:textId="77777777" w:rsidTr="00AF59D4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AF1DF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Nem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CABG, PLATO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D441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4,5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65BA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7F89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0,0264</w:t>
            </w:r>
          </w:p>
        </w:tc>
      </w:tr>
      <w:tr w:rsidR="00C62638" w:rsidRPr="00C62638" w14:paraId="28198255" w14:textId="77777777" w:rsidTr="00AF59D4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236D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Nem beavatkozásból eredő, PLATO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FA9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6593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2,3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76F6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0,0058</w:t>
            </w:r>
          </w:p>
        </w:tc>
      </w:tr>
      <w:tr w:rsidR="00C62638" w:rsidRPr="00C62638" w14:paraId="56BE125E" w14:textId="77777777" w:rsidTr="00AF59D4">
        <w:trPr>
          <w:trHeight w:hRule="exact" w:val="31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CE6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PLATO összes jelentős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 kisebb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D88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16,1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72C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14,6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38C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0,0084</w:t>
            </w:r>
          </w:p>
        </w:tc>
      </w:tr>
      <w:tr w:rsidR="00C62638" w:rsidRPr="00C62638" w14:paraId="635068C7" w14:textId="77777777" w:rsidTr="00AF59D4">
        <w:trPr>
          <w:trHeight w:hRule="exact" w:val="51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3857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62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Nem beavatkozásból eredő, PLATO jelentős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spacing w:val="26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kisebb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37C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5,9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66C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4,3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349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Symbol" w:eastAsia="SimSun" w:hAnsi="Symbol" w:cs="Times New Roman"/>
                <w:snapToGrid w:val="0"/>
                <w:kern w:val="0"/>
                <w:szCs w:val="20"/>
                <w:lang w:val="en-GB" w:eastAsia="zh-CN"/>
                <w14:ligatures w14:val="none"/>
              </w:rPr>
              <w:t></w:t>
            </w:r>
            <w:r w:rsidRPr="00C62638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val="en-GB" w:eastAsia="zh-CN"/>
                <w14:ligatures w14:val="none"/>
              </w:rPr>
              <w:t> 0,0001</w:t>
            </w:r>
          </w:p>
        </w:tc>
      </w:tr>
      <w:tr w:rsidR="00C62638" w:rsidRPr="00C62638" w14:paraId="713194ED" w14:textId="77777777" w:rsidTr="00AF59D4">
        <w:trPr>
          <w:trHeight w:hRule="exact"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08CC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 definíció szerinti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C37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7,9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8EB9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7,7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22F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0,5669</w:t>
            </w:r>
          </w:p>
        </w:tc>
      </w:tr>
      <w:tr w:rsidR="00C62638" w:rsidRPr="00C62638" w14:paraId="05B14499" w14:textId="77777777" w:rsidTr="00AF59D4">
        <w:trPr>
          <w:trHeight w:hRule="exact" w:val="34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B4C9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TIMI definíció szerinti jelentős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 kisebb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5C4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11,4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BE1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10,9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A8A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0,3272</w:t>
            </w:r>
          </w:p>
        </w:tc>
      </w:tr>
    </w:tbl>
    <w:p w14:paraId="7CA155F4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2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  <w:t>vérzési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2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  <w:t>kategóriák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2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20"/>
          <w:szCs w:val="20"/>
          <w:lang w:eastAsia="zh-CN"/>
          <w14:ligatures w14:val="none"/>
        </w:rPr>
        <w:t>meghatározásai:</w:t>
      </w:r>
    </w:p>
    <w:p w14:paraId="546B709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halálos/életveszélyes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&gt;</w:t>
      </w:r>
      <w:proofErr w:type="gramEnd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 50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18"/>
          <w:lang w:eastAsia="zh-CN"/>
          <w14:ligatures w14:val="none"/>
        </w:rPr>
        <w:t>≥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4 egys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18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vörösvértest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transzfúziót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igénylő;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halálos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kimenetelű;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intracranialis;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 szívtamponáddal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intrapericardialis;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pressor-kezelést vagy műtétet igénylő hypovolaemiás sokkal vagy súlyos hypotoniával járó vérzés.</w:t>
      </w:r>
    </w:p>
    <w:p w14:paraId="38CA5F7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30–50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2–3 egység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vörösvértest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transzfúziót igénylő;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 a beteg állapotát jelentősen rontó vérzés.</w:t>
      </w:r>
    </w:p>
    <w:p w14:paraId="46BE1F1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megállításához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kezeléséhez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orvosi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beavatkozás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szükséges.</w:t>
      </w:r>
    </w:p>
    <w:p w14:paraId="06BAB528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definíció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szerinti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&gt;50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vérzés.</w:t>
      </w:r>
    </w:p>
    <w:p w14:paraId="43C47B2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definíció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szerinti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30–50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vérzés.</w:t>
      </w:r>
    </w:p>
    <w:p w14:paraId="63B6374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*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 w:val="18"/>
          <w:szCs w:val="18"/>
          <w:lang w:eastAsia="zh-CN"/>
          <w14:ligatures w14:val="none"/>
        </w:rPr>
        <w:t>p-érték:</w:t>
      </w:r>
      <w:r w:rsidRPr="00145C8B">
        <w:rPr>
          <w:rFonts w:ascii="Times New Roman" w:eastAsia="SimSun" w:hAnsi="Times New Roman" w:cs="Times New Roman"/>
          <w:i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Cox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féle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arányos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hazárd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modellből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került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számításra,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úgy,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hogy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terápiás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csoport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volt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egyetlen,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feltáró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jellegű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változó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 w:val="18"/>
          <w:szCs w:val="18"/>
          <w:lang w:eastAsia="zh-CN"/>
          <w14:ligatures w14:val="none"/>
        </w:rPr>
        <w:t>.</w:t>
      </w:r>
    </w:p>
    <w:p w14:paraId="60746986" w14:textId="77777777" w:rsidR="00C62638" w:rsidRPr="00AF1962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D0130B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klopidogrel között nem volt különbség a PLATO jelentős halálos/életveszélyes vérzések,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 vérzések,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definíció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szerinti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TIMI definíció szerinti kisebb vérzések arányában (2. táblázat). Ugyanakkor több PLATO kombinált jelentős + kisebb vérzés alakult ki a tikagrelor, mint a klopidogrel esetén. A PLATO vizsgálatban részt vevő néhány betegnek halálos kimenetelű vérzése volt: 20 (0,2%) a tikagrelor és 23 (0,3%) a klopidogrel esetén (lásd 4.4 pont).</w:t>
      </w:r>
    </w:p>
    <w:p w14:paraId="61B7B48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9662A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életkor, a nem, a testtömeg, a rassz, a földrajzi régió, a kísérőbetegségek, az egyidejű kezelés és az anamnézis,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beleértve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stroke-ot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tranziens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ischaemiás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attak-ot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egyike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 sem az összes, sem a beavatkozással nem összefüggő, PLATO jelentős vérzés prediktív tényezője. Ennélfogva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bármely altípusú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kockázatának kitett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konkrét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azonosítottak.</w:t>
      </w:r>
    </w:p>
    <w:p w14:paraId="2753B44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37DB3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CABG-vel összefüggő vérzés:</w:t>
      </w:r>
    </w:p>
    <w:p w14:paraId="66E0A0A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 vizsgálatban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bypass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graft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(CABG)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átesett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1584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kohorsz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12%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a) 42%-ának volt PLATO jelentős halálos/életveszélyes vérzése, és nem volt különbség a terápiás csoportok között. Halálos kimenetelű CABG-vérzés mindkét terápiás csoportban 6 betegnél alakult ki (lásd 4.4 pont).</w:t>
      </w:r>
    </w:p>
    <w:p w14:paraId="527FBC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96E425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CABG-vel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beavatkozásból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eredő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vérzés:</w:t>
      </w:r>
    </w:p>
    <w:p w14:paraId="65F3583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 volt különbség a tikagrelor és a klopidogrel között a nem CABG-vel összefüggő PLATO definíció szerinti jelentős halálos/életveszélyes vérzésekben, de a PLATO definíció szerinti összes jelentős, a TIMI definíció szerinti jelentős és a TIMI definíció szerinti jelentős + kisebb vérzés gyakoribb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alkalmazása mellett.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Hasonlóképpen,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amikor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minden,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beavatkozással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 eltávolításra került, akkor több volt a vérzés a tikagrelor, mint a klopidogrel alkalmazása mellett (2. táblázat). A kezelésnek a beavatkozással nem összefüggő vérzés miatti felfüggesztése gyakoribb volt a tikagrelor (2,9%), mint a klopidogrel alkalmazása esetén (1,2%; p &lt; 0,001).</w:t>
      </w:r>
    </w:p>
    <w:p w14:paraId="438C56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CD23C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Intracranialis</w:t>
      </w:r>
      <w:r w:rsidRPr="00C62638">
        <w:rPr>
          <w:rFonts w:ascii="Times New Roman" w:eastAsia="Times New Roman" w:hAnsi="Times New Roman" w:cs="Times New Roman"/>
          <w:spacing w:val="1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vérzés:</w:t>
      </w:r>
    </w:p>
    <w:p w14:paraId="4DE296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intracranialis,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beavatkozással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fordult elő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(n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27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vérzés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26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betegnél;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0,3%)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(n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14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vérzés;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0,2%) alkalmazásakor,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melyek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közül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klopidogrellel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halálos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kimenetelű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halálos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kimenetelű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vérzésben nem volt különbség.</w:t>
      </w:r>
    </w:p>
    <w:p w14:paraId="08AD28D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604BFA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Vérzéssel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kapcsolatos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eredmények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 xml:space="preserve">PEGASUS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vizsgálatban</w:t>
      </w:r>
    </w:p>
    <w:p w14:paraId="2F38898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PEGASUS vizsgálatban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észlelt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összesített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eredményeit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3.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táblázat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mutatja be.</w:t>
      </w:r>
    </w:p>
    <w:p w14:paraId="270124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F3C330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ind w:left="1440" w:hanging="1440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 táblázat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ab/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összesített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elemzése,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Kaplan–Meier-féle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becslés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10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36.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hónapban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(PEGASUS)</w:t>
      </w:r>
    </w:p>
    <w:p w14:paraId="2F93EFC4" w14:textId="77777777" w:rsidR="00C62638" w:rsidRPr="00C62638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</w:p>
    <w:tbl>
      <w:tblPr>
        <w:tblW w:w="906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3"/>
        <w:gridCol w:w="1296"/>
        <w:gridCol w:w="1540"/>
        <w:gridCol w:w="1512"/>
        <w:gridCol w:w="1061"/>
      </w:tblGrid>
      <w:tr w:rsidR="00C62638" w:rsidRPr="00C62638" w14:paraId="287FFC8B" w14:textId="77777777" w:rsidTr="00AF59D4">
        <w:trPr>
          <w:trHeight w:hRule="exact" w:val="76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F843" w14:textId="77777777" w:rsidR="00C62638" w:rsidRPr="00C62638" w:rsidRDefault="00C62638" w:rsidP="00C6263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F5D0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3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Naponta kétszer 60</w:t>
            </w:r>
            <w:r w:rsidRPr="00C62638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2"/>
                <w:kern w:val="0"/>
                <w:lang w:eastAsia="hu-HU"/>
                <w14:ligatures w14:val="none"/>
              </w:rPr>
              <w:t>mg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 xml:space="preserve">tikagrelor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 xml:space="preserve"> ASA</w:t>
            </w:r>
          </w:p>
          <w:p w14:paraId="614BED60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6958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DE5A49" w14:textId="3310C674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ASA</w:t>
            </w:r>
            <w:r w:rsidR="009B4422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-</w:t>
            </w:r>
          </w:p>
          <w:p w14:paraId="453A7743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monoterápia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6996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2FE3" w14:textId="77777777" w:rsidR="00C62638" w:rsidRPr="00C62638" w:rsidRDefault="00C62638" w:rsidP="00C6263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4850497C" w14:textId="77777777" w:rsidTr="00AF59D4">
        <w:trPr>
          <w:trHeight w:hRule="exact" w:val="88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83BAF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</w:pPr>
          </w:p>
          <w:p w14:paraId="43E68496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Biztonságossági végpontok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4A6D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4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3"/>
                <w:kern w:val="0"/>
                <w:lang w:eastAsia="hu-HU"/>
                <w14:ligatures w14:val="none"/>
              </w:rPr>
              <w:t>KM%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32EE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lang w:eastAsia="hu-HU"/>
                <w14:ligatures w14:val="none"/>
              </w:rPr>
              <w:t>Kockázati arány</w:t>
            </w:r>
          </w:p>
          <w:p w14:paraId="1493ADB4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(95%-os CI)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7B92AF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3"/>
                <w:kern w:val="0"/>
                <w:lang w:eastAsia="hu-HU"/>
                <w14:ligatures w14:val="none"/>
              </w:rPr>
              <w:t>KM%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F135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kern w:val="0"/>
                <w:lang w:eastAsia="hu-HU"/>
                <w14:ligatures w14:val="none"/>
              </w:rPr>
              <w:t>p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-érték</w:t>
            </w:r>
          </w:p>
        </w:tc>
      </w:tr>
      <w:tr w:rsidR="00C62638" w:rsidRPr="00C62638" w14:paraId="21F2033A" w14:textId="77777777" w:rsidTr="00AF59D4">
        <w:trPr>
          <w:trHeight w:hRule="exact" w:val="264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E71C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TIMI definíció szerinti vérzési kategóriák</w:t>
            </w:r>
          </w:p>
        </w:tc>
      </w:tr>
      <w:tr w:rsidR="00C62638" w:rsidRPr="00C62638" w14:paraId="157E781F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8AAE" w14:textId="77777777" w:rsidR="00C62638" w:rsidRPr="00C62638" w:rsidRDefault="00C62638" w:rsidP="00C62638">
            <w:pPr>
              <w:keepNext/>
              <w:tabs>
                <w:tab w:val="left" w:pos="84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w w:val="95"/>
                <w:kern w:val="0"/>
                <w:lang w:eastAsia="hu-HU"/>
                <w14:ligatures w14:val="none"/>
              </w:rPr>
              <w:t>TIMI</w:t>
            </w:r>
            <w:r w:rsidRPr="00C62638">
              <w:rPr>
                <w:rFonts w:ascii="Times New Roman" w:eastAsia="Times New Roman" w:hAnsi="Times New Roman" w:cs="Times New Roman"/>
                <w:spacing w:val="-1"/>
                <w:w w:val="95"/>
                <w:kern w:val="0"/>
                <w:lang w:eastAsia="hu-HU"/>
                <w14:ligatures w14:val="none"/>
              </w:rPr>
              <w:tab/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2169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2,3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177B5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2,32</w:t>
            </w:r>
          </w:p>
          <w:p w14:paraId="138A4E4C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(1,68; 3,21)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A7088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F0B7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784B6649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2F65C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2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Végzetes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kimenetelű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EAA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3201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1,00</w:t>
            </w:r>
          </w:p>
          <w:p w14:paraId="5082168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(0,44; 2,27)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FCA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39F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1,0000</w:t>
            </w:r>
          </w:p>
        </w:tc>
      </w:tr>
      <w:tr w:rsidR="00C62638" w:rsidRPr="00C62638" w14:paraId="3B35261B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E9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2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Intracranialis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vérzés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F63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E09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1,33</w:t>
            </w:r>
          </w:p>
          <w:p w14:paraId="2A37CC9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(0,77; 2,31)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228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A84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0,3130</w:t>
            </w:r>
          </w:p>
        </w:tc>
      </w:tr>
      <w:tr w:rsidR="00C62638" w:rsidRPr="00C62638" w14:paraId="2BAAE3FC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3A2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2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Egyéb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F61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16D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3,61</w:t>
            </w:r>
          </w:p>
          <w:p w14:paraId="3358FBB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(2,31; 5,65)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876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F5D4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7A5038F3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F6F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 jelentős vagy kisebb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63E7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7169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2,54</w:t>
            </w:r>
          </w:p>
          <w:p w14:paraId="7D69D9D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(1,93;</w:t>
            </w: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3,35)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288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D29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241792B2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5C38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TIMI jelentős vagy 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kisebb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 vagy</w:t>
            </w:r>
            <w:r w:rsidRPr="00C62638">
              <w:rPr>
                <w:rFonts w:ascii="Times New Roman" w:eastAsia="Times New Roman" w:hAnsi="Times New Roman" w:cs="Times New Roman"/>
                <w:spacing w:val="24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orvosi kezelést igénylő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F89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7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16,6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0B8D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2,64</w:t>
            </w:r>
          </w:p>
          <w:p w14:paraId="3F30CC9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(2,35; 2,97)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136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7,0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225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015DDA08" w14:textId="77777777" w:rsidTr="00AF59D4">
        <w:trPr>
          <w:trHeight w:hRule="exact" w:val="264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8E7B" w14:textId="0A25FC6E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PLATO</w:t>
            </w:r>
            <w:r w:rsidR="00A9762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definíció szerinti vérzési kategóriák</w:t>
            </w:r>
          </w:p>
        </w:tc>
      </w:tr>
      <w:tr w:rsidR="00C62638" w:rsidRPr="00C62638" w14:paraId="284BE25F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141D" w14:textId="77777777" w:rsidR="00C62638" w:rsidRPr="00C62638" w:rsidRDefault="00C62638" w:rsidP="00C62638">
            <w:pPr>
              <w:widowControl w:val="0"/>
              <w:tabs>
                <w:tab w:val="left" w:pos="98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ab/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60A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A838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2,57</w:t>
            </w:r>
          </w:p>
          <w:p w14:paraId="1A45A61C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(1,95; 3,37)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3A6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ED5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5DD5018C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201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82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Végzetes/életveszélyes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FA6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2,4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B334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2,38</w:t>
            </w:r>
          </w:p>
          <w:p w14:paraId="0D8A985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(1,73; 3,26)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3E78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D5C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71202A5B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3D2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82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Egyéb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3DE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02B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3,37</w:t>
            </w:r>
          </w:p>
          <w:p w14:paraId="6673FB1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(1,95; 5,83)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9E4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686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42723935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D75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vagy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kisebb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265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7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15,2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EF5C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2,71</w:t>
            </w:r>
          </w:p>
          <w:p w14:paraId="767711F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(2,40; 3,08)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AED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6,2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8F31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</w:tbl>
    <w:p w14:paraId="3309724F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Vérzési</w:t>
      </w:r>
      <w:r w:rsidRPr="00145C8B">
        <w:rPr>
          <w:rFonts w:ascii="Times New Roman" w:eastAsia="SimSun" w:hAnsi="Times New Roman" w:cs="Times New Roman"/>
          <w:b/>
          <w:snapToGrid w:val="0"/>
          <w:spacing w:val="-1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kategória</w:t>
      </w:r>
      <w:r w:rsidRPr="00145C8B">
        <w:rPr>
          <w:rFonts w:ascii="Times New Roman" w:eastAsia="SimSun" w:hAnsi="Times New Roman" w:cs="Times New Roman"/>
          <w:b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>definíciók:</w:t>
      </w:r>
    </w:p>
    <w:p w14:paraId="0C73023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jelentős:</w:t>
      </w:r>
      <w:r w:rsidRPr="00145C8B">
        <w:rPr>
          <w:rFonts w:ascii="Times New Roman" w:eastAsia="SimSun" w:hAnsi="Times New Roman" w:cs="Times New Roman"/>
          <w:b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végzetes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kimenetelű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bármilyen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nyilvánvaló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 xml:space="preserve"> jelei,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amelyek 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(Hgb)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≥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50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esésével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járnak,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amikor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Hgb-érték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áll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rendelkezésre,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akkor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 haematocrit (Hct) 15%-os esése.</w:t>
      </w:r>
    </w:p>
    <w:p w14:paraId="3327BBD6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Végzetes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kimenetelű:</w:t>
      </w:r>
      <w:r w:rsidRPr="00145C8B">
        <w:rPr>
          <w:rFonts w:ascii="Times New Roman" w:eastAsia="SimSun" w:hAnsi="Times New Roman" w:cs="Times New Roman"/>
          <w:b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Olyan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vérzéses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esemény,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ami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7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napon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belül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közvetlenül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halálhoz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vezetett.</w:t>
      </w:r>
    </w:p>
    <w:p w14:paraId="165DD6C3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ICH:</w:t>
      </w:r>
      <w:r w:rsidRPr="00145C8B">
        <w:rPr>
          <w:rFonts w:ascii="Times New Roman" w:eastAsia="SimSun" w:hAnsi="Times New Roman" w:cs="Times New Roman"/>
          <w:b/>
          <w:snapToGrid w:val="0"/>
          <w:spacing w:val="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vérzés.</w:t>
      </w:r>
    </w:p>
    <w:p w14:paraId="2904BE66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jelentős: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végzetes,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intracranialis,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vérzés.</w:t>
      </w:r>
    </w:p>
    <w:p w14:paraId="3609147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30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–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50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csökkenése.</w:t>
      </w:r>
    </w:p>
    <w:p w14:paraId="1561EE2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orvosi</w:t>
      </w:r>
      <w:r w:rsidRPr="00145C8B">
        <w:rPr>
          <w:rFonts w:ascii="Times New Roman" w:eastAsia="SimSun" w:hAnsi="Times New Roman" w:cs="Times New Roman"/>
          <w:b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kezelést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igénylő: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Beavatkozást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igénylő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hospitalizációhoz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vezető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vizsgálatra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igénylő.</w:t>
      </w:r>
    </w:p>
    <w:p w14:paraId="68FACD85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 xml:space="preserve">PLATO jelentős végzetes/életveszélyes: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Végzetes kimenetelű vérzés VAGY bármilyen intracranialis vérzés VAGY intrapericardialis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szívtamponáddal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hypovolaemiás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shock-kal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10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súlyos,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presszorokat/inotróp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szereket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 műtétet igénylő hypotonia VAGY a haemoglobinszint klinikailag nyilv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á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nval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ó</w:t>
      </w:r>
      <w:proofErr w:type="gramStart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, &gt;</w:t>
      </w:r>
      <w:proofErr w:type="gramEnd"/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 50 g/l-es csökken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 xml:space="preserve">se, vagy 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≥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4 egys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 vörösv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rtest-transzf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ú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zi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ó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.</w:t>
      </w:r>
    </w:p>
    <w:p w14:paraId="78AB68B7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jelentős: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funkcióvesztést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okozó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30–50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g/l-es csökkenése, VAGY 2–3 egység vörösvértest-transzfúzió.</w:t>
      </w:r>
    </w:p>
    <w:p w14:paraId="62DD28EB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megállítása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kezelése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orvosi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beavatkozást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igényel.</w:t>
      </w:r>
    </w:p>
    <w:p w14:paraId="5977A3B3" w14:textId="77777777" w:rsidR="00C62638" w:rsidRPr="00AF1962" w:rsidRDefault="00C62638" w:rsidP="00C62638">
      <w:pPr>
        <w:widowControl w:val="0"/>
        <w:autoSpaceDE w:val="0"/>
        <w:autoSpaceDN w:val="0"/>
        <w:spacing w:after="0" w:line="240" w:lineRule="auto"/>
        <w:ind w:right="1071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5DCFEC2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PEGASUS vizsgálatban a naponta kétszer 60 mg tikagrelor alkalmazása esetén a TIMI jelentős vérzés aránya magasabb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 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monoterápia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végzetes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kimenetelű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nem észleltek megnövekedett vérzési kockázatot, és az intracranialis vérzések esetén csak kisfokú emelkedést figyeltek meg az acetilszalicilsav-monoterápiához képest. Volt néhány végzetes kimenetelű vérzéses esemény a vizsgálatban, 11 (0,3%) a 60 mg tikagrelor-kezelés és 12 (0,3%) az acetilszalicilsav-monoterápia esetén. A TIMI jelentős vérzés 60 mg tikagrelor alkalmazása mellett megfigyelt emelkedett kockázata elsősorban az egyéb TIMI jelentős vérzések magasabb gyakoriságának a következménye volt, amit az emésztőrendszeri szervrendszeri kategórián belüli események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eredményeztek.</w:t>
      </w:r>
    </w:p>
    <w:p w14:paraId="0CA49EF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73460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TIMI jelentős vérzésekéhez hasonló, emelkedett vérzési mintázatot észleltek a TIMI jelentős vagy kisebb,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kisebb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kategóriák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 3. táblázat). A kezelés vérzés miatti abbahagyása gyakoribb volt a 60 mg tikagrelor-kezelés, mint az acetilszalicilsav-monoterápia esetén (6,2% és 1,5%). Ezeknek a vérzéseknek a többsége kevésbé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 súlyos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(TIMI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orvosi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igénylő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besorolást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kapott),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például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epistaxis,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véraláfutás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haematoma.</w:t>
      </w:r>
    </w:p>
    <w:p w14:paraId="3B52E57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6390AE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60 mg tikagrelor vérzési profilja több, előre meghatározott alcsoportban (pl. életkor, nemi hovatartozás,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testtömeg,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rassz,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földrajzi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régió,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kísérőbetegségek,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anamnézis) konzisztens volt a TIMI jelentős, a TIMI jelentős vagy kisebb és a PLATO jelentős vérzéses események esetén.</w:t>
      </w:r>
    </w:p>
    <w:p w14:paraId="0563F4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99FA2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Intracranialis</w:t>
      </w:r>
      <w:r w:rsidRPr="00C62638">
        <w:rPr>
          <w:rFonts w:ascii="Times New Roman" w:eastAsia="Times New Roman" w:hAnsi="Times New Roman" w:cs="Times New Roman"/>
          <w:spacing w:val="1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vérzés:</w:t>
      </w:r>
    </w:p>
    <w:p w14:paraId="3C1E3AF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Spontán intracranialis vérzésekről hasonló arányokban számoltak be a 60 mg tikagrelor-kezelés és az acetilszalicilsav-monoterápia esetén (n = 13; 0,2% mindkét terápiás csoportban). A traumás és beavatkozást követő intracranialis vérzések egy kisfokú emelkedést mutattak a 60 mg tikagrelor-kezelés mellett (n = 15; 0,2%) az acetilszalicilsav-monoterápiához képest (n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= 10; 0,1%). Hat végzetes kimenetelű intracranialis vérzés fordult elő a 60 mg tikagrelor-kezelés, és 5 fatális intracranialis vérzés az acetilszalicilsav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monoterápia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mellett.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Figyelembe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véve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populáció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kísérőbetegségeit és cardiovascularis rizikótényezőit, az intracranialis vérzés incidenciája mindkét terápiás csoportban alacsony volt.</w:t>
      </w:r>
    </w:p>
    <w:p w14:paraId="6EC8707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1A90610D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Dyspnoe</w:t>
      </w:r>
    </w:p>
    <w:p w14:paraId="2FE7EA1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tikagrelorral kezelt betegek dyspnoéról, fulladásérzésről számoltak be. A PLATO vizsgálatban dyspnoéról mint nemkívánatos eseményről (dyspnoe, nyugalmi dyspnoe, terheléses dyspnoe, paroxysmalis nocturnalis dyspnoe és nocturnalis dyspnoe) összesen a tikagrelorral kezelt betegek 13,8%-ánál, és a klopidogrellel kezelt betegek 7,8%-ánál számoltak be. A PLATO vizsgálatban a vizsgálatot végzők a tikagrelort szedő betegek 2,2%-ánál, a klopidogrelt szedő betegek 0,6%-ánál értékelték úgy, hogy a dyspnoe ok-okozati összefüggésben van a kezeléssel, és csak néhány eset volt súlyos (0,14%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tikagrelor;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0,02%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legtöbb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tünet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intenzitása enyhe vagy közepesen súlyos volt, és a 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legtöbbről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mint a kezelés megkezdése után röviddel jelentkező egyetlen epizódról számoltak be.</w:t>
      </w:r>
    </w:p>
    <w:p w14:paraId="6F0C614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FDA4D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klopidogrelhez viszonyítva, a tikagrelorral kezelt asthmás/COPD-s betegeknél magasabb lehet a nem súlyos dyspnoe (3,29% a tikagrelor és 0,53% a klopidogrel esetén) és a súlyos dyspnoe (0,38% a tikagrelor és 0,00% a klopidogrel esetén) kialakulásának a kockázata. Abszolút értelemben, ez a kockázat magasabb volt, mint a teljes PLATO populációban. Azoknál a betegeknél, akiknek az anamnézisében asthma és/vagy COPD szerepel, a tikagrelort körültekintően kell alkalmazni (lásd 4.4 pont).</w:t>
      </w:r>
    </w:p>
    <w:p w14:paraId="45AA565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2BE9627" w14:textId="6E51B36B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esetek 30%-a 7 napon belül elmúlt. A 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 olyan betegek is részt vettek, akiknek</w:t>
      </w:r>
      <w:r w:rsidRPr="00C62638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vizsgálat megkezdésekor pangásos szívelégtelenségük, COPD-jük vagy asthmájuk volt. Ezek a betegek, valamint az idősek nagyobb valószínűséggel számoltak be dyspnoéról. A tikagrelor esetén a betegek 0,9%-a hagyta abba a vizsgálati gyógyszer szedését dyspnoe miatt, szemben a klopidogrelt szedő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0,1%-ával.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dyspnoe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 mellett jelentkező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előfordulási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gyakorisága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új vagy súlyosbodó szív- vagy tüdőbetegséggel (lásd 4.4 pont). A tikagrelor nincs hatással a légzésfunkciós vizsgálatokra.</w:t>
      </w:r>
    </w:p>
    <w:p w14:paraId="5493348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07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5206A4" w14:textId="4F5CF732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PEGASUS 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dyspnoéról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szedő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14,2%-ánál, az acetilszalicilsav-monoterápiát kapó betegek 5,5%-ánál számoltak be. A PLATO vizsgálathoz hasonlóan a legtöbb dyspnoe intenzitása enyhe vagy közepesen súlyos volt (lásd 4.4 pont). A dyspnoéról beszámoló betegek főként idősebbek voltak, és nagyobb arányban állt fenn náluk dyspno</w:t>
      </w:r>
      <w:r w:rsidR="00AF1962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 COPD vagy asthma a vizsgálat megkezdésekor.</w:t>
      </w:r>
    </w:p>
    <w:p w14:paraId="1BD589E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6A1787CE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Laboratóriumi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vizsgálatok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eredményei</w:t>
      </w:r>
    </w:p>
    <w:p w14:paraId="23C1C8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Húgysavszint-emelkedés: A PLATO vizsgálatban a szérumhúgysavszint a tikagrelort kapó betegek 22%-ánál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normálérték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felső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fölé,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szemben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13%-ával. A PEGASUS vizsgálatban ezek az arányok a következők voltak: 9,1% a 90 mg tikagrelor, 8,8% a 60 mg tikagrelor és 5,5% a placebo esetén. Az átlagos szérumhúgysavszint a tikagrelort kapóknál mintegy 15%-kal, míg a klopidogrelt kapóknál mintegy 7,5%-kal emelkedett, és a kezelés leállítását követően a tikagrelort kapóknál mintegy 7%-kal csökkent, de a klopidogrelt kapóknál nem észleltek csökkenést. A PEGASUS vizsgálatban az átlagos szérumhúgysavszint reverzibilis emelkedése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6,3%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volt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5,6%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esetén,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szemben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placebocsoportban észlelt 1,5%-os csökkenéssel. A PLATO vizsgálatban a köszvényes ízületi gyulladás gyakorisága 0,2% volt a tikagrelor, és 0,1% volt a klopidogrel esetén. A PEGASUS vizsgálatban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köszvényre/köszvényes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ízületi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gyulladásra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arányok a következők voltak: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1,6% a 90 mg tikagrelor, 1,5% a 60 mg tikagrelor és 1,1% a placebo esetén.</w:t>
      </w:r>
    </w:p>
    <w:p w14:paraId="5C348D3E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671B61B5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Feltételezett mellékhatások bejelentése</w:t>
      </w:r>
    </w:p>
    <w:p w14:paraId="208042F5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395818D" w14:textId="34A2BEF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egészségügyi szakembereket kérjük, hogy jelentsék be a feltételezett mellékhatásokat a hatóság részére az </w:t>
      </w:r>
      <w:hyperlink r:id="rId7" w:history="1">
        <w:r w:rsidRPr="00145C8B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V. füg</w:t>
        </w:r>
        <w:bookmarkStart w:id="1" w:name="_Hlt352075914"/>
        <w:bookmarkStart w:id="2" w:name="_Hlt352075915"/>
        <w:r w:rsidRPr="00145C8B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g</w:t>
        </w:r>
        <w:bookmarkEnd w:id="1"/>
        <w:bookmarkEnd w:id="2"/>
        <w:r w:rsidRPr="00145C8B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elékben</w:t>
        </w:r>
      </w:hyperlink>
      <w:r w:rsidRPr="00C62638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található elérhetőségek valamelyikén keresztül.</w:t>
      </w:r>
    </w:p>
    <w:p w14:paraId="4997E22D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62CCBE2C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4.9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Túladagolás</w:t>
      </w:r>
    </w:p>
    <w:p w14:paraId="63A8986A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55EC131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egyszeri,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legfeljebb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dózisig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jól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tolerálható.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egyszeri,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emelkedő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dózisokkal végzett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gastrointestinalis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dóziskorlátozó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tényező.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túladagolással járó, más, klinikailag jelentős mellékhatások közé tartozhat a dyspnoe és a ventricularis pauza (lásd 4.8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5CA456F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Túladagolás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fenti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potenciális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jelentkezhetnek,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mérlegeleni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EKG-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monitorozást.</w:t>
      </w:r>
    </w:p>
    <w:p w14:paraId="27A9B2E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3441FC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hatását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visszafordító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antidotum jelenleg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ismert,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dializálható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5.2 pont). A túladagolás kezelésének a helyi standard orvosi gyakorlatot kell követnie. A tikagrelor-túladagolás várható hatása a thrombocytagátlásból eredő, elhúzódó vérzési kockázat. Nem valószínű, hogy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thrombocytatranszfúzió klinikai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előnnyel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 azoknál 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 4.4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kialakulása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megfelelő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szupportív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intézkedéseket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tenni.</w:t>
      </w:r>
    </w:p>
    <w:p w14:paraId="627F87A5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Cs/>
          <w:snapToGrid w:val="0"/>
          <w:kern w:val="0"/>
          <w:szCs w:val="20"/>
          <w:u w:val="single"/>
          <w:lang w:eastAsia="zh-CN"/>
          <w14:ligatures w14:val="none"/>
        </w:rPr>
      </w:pPr>
    </w:p>
    <w:p w14:paraId="5183AF0A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43DEF444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FARMAKOLÓGIAI TULAJDONSÁGOK</w:t>
      </w:r>
    </w:p>
    <w:p w14:paraId="5B4DA22D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4C539182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5.1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Farmakodinámiás tulajdonságok</w:t>
      </w:r>
    </w:p>
    <w:p w14:paraId="3D01F70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6F8AD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Farmakoterápiás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csoport: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Thrombocytaaggregáció-gátlók,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kivéve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ATC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kód: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B01AC24</w:t>
      </w:r>
    </w:p>
    <w:p w14:paraId="452EEB4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05802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Hatásmechanizmus</w:t>
      </w:r>
    </w:p>
    <w:p w14:paraId="52112A55" w14:textId="1B5B14E9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tikagrelort tartalmaz, amely a ciklopentil-triazol-pirimidinek (CPTP) kémiai osztályának tagja, és egy orális, közvetlen hatású, szelektív és reverzibilisen kötődő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-receptor-antagonista, amely megakadályozza az ADP-által mediált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-dependens thrombocytaaktivációt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aggregációt. A tikagrelor nem akadályozza meg az ADP kötődését, viszont a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-receptorhoz kötődve megakadályozza az ADP-indukálta szignál-transzdukciót. Mivel a thrombocyták részt vesznek az atheroscleroticus betegség thromboticus szövődményeinek kialakulásában és/vagy kifejlődésében, a thrombocytafunkció gátlása kimutathatóan csökkenti a cardiovascularis események, például a halál, a myocardialis infarctus vagy a stroke, kockázatát.</w:t>
      </w:r>
    </w:p>
    <w:p w14:paraId="7791EF7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349DB53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ekvilibratív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nukleozid-transzporter-1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(ENT-1)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gátlásával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lokális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endogén adenozinszintet szintén növeli.</w:t>
      </w:r>
    </w:p>
    <w:p w14:paraId="213D4C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A3349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tikagrelor egészséges vizsgálati alanyoknál és acut coronaria szindrómás betegeknél dokumentáltan növeli a következő, adenozin-indukálta hatásokat: vasodilatatio (a koszorúerekben észlelt véráramlás-növekedések segítségével mérve egészséges önkénteseknél és acut coronaria szindrómás betegeknél; fejfájás), a thrombocytafunkció gátlása (emberi teljes vérben </w:t>
      </w:r>
      <w:r w:rsidRPr="00C62638">
        <w:rPr>
          <w:rFonts w:ascii="Times New Roman" w:eastAsia="Times New Roman" w:hAnsi="Times New Roman" w:cs="Times New Roman"/>
          <w:i/>
          <w:kern w:val="0"/>
          <w14:ligatures w14:val="none"/>
        </w:rPr>
        <w:t>in vitro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), valamint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dyspnoe.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megfigyelt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adenozinszint-emelkedések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közötti kapcsolat (például: morbiditás és mortalitás) azonban nem teljesen tisztázott.</w:t>
      </w:r>
    </w:p>
    <w:p w14:paraId="5B24D8D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A0CB5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Farmakodinámiás</w:t>
      </w:r>
      <w:r w:rsidRPr="00C62638">
        <w:rPr>
          <w:rFonts w:ascii="Times New Roman" w:eastAsia="Times New Roman" w:hAnsi="Times New Roman" w:cs="Times New Roman"/>
          <w:spacing w:val="1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hatások</w:t>
      </w:r>
    </w:p>
    <w:p w14:paraId="46A48FE8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-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hatás</w:t>
      </w:r>
      <w:r w:rsidRPr="00145C8B">
        <w:rPr>
          <w:rFonts w:ascii="Times New Roman" w:eastAsia="SimSun" w:hAnsi="Times New Roman" w:cs="Times New Roman"/>
          <w:i/>
          <w:snapToGrid w:val="0"/>
          <w:spacing w:val="-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kialakulása</w:t>
      </w:r>
    </w:p>
    <w:p w14:paraId="32319AF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acetilszalicilsavat kapó, stabil koszorúér-betegségben szenvedő betegeknél a tikagrelor farmakológiai hatása gyorsan kialakul, amit a 180 mg-os telítő tikagrelor-dózis után 0,5 órával a mintegy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41%-os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átlagos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thrombocytaaggregáció-gátlás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(inhibition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platelet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aggregation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IPA),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dózis beadása után 2–4 órával kialakuló, 89%-os maximális IPA-hatás igazolt, ami 2–8 órán át fennmaradt. A betegek 90%-ánál a dózis bevétele után 2 órával az IPA legnagyobb 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mértéke &gt;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 70%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volt.</w:t>
      </w:r>
    </w:p>
    <w:p w14:paraId="3411B2F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0C90E4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hatás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 xml:space="preserve"> megszűnése</w:t>
      </w:r>
    </w:p>
    <w:p w14:paraId="4B1F53C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Tervezett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bypass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graft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klopidogreléhez viszonyítva magasabb, ha azt a beavatkozás előtt 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kevesebb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mint 96 órával függesztik fel.</w:t>
      </w:r>
    </w:p>
    <w:p w14:paraId="0BDD775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384F73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 xml:space="preserve">Átállításra vonatkozó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információk</w:t>
      </w:r>
    </w:p>
    <w:p w14:paraId="6D4CB881" w14:textId="103DDD0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75 mg klopidgr</w:t>
      </w:r>
      <w:r w:rsidR="00AF1962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lről naponta kétszer 90 mg tikagrelorra történő átállás az IPA 26,4%-os abszolút emelkedését,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míg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tikagrelorról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klopidogrelre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átállás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IPA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24,5%-os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abszolút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csökkenését eredményezi. A betegek a thrombocytagátló hatás megszűnése nélkül átállíthatók klopidgrelről tikagrelorra (lásd 4.2 pont).</w:t>
      </w:r>
    </w:p>
    <w:p w14:paraId="334F22E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07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F9C88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hatásosság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biztonságosság</w:t>
      </w:r>
    </w:p>
    <w:p w14:paraId="728E1A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hatásosságára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biztonságosságára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bizonyíték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III-as fázisú vizsgálatból származik:</w:t>
      </w:r>
    </w:p>
    <w:p w14:paraId="50AD336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99966A" w14:textId="77777777" w:rsidR="00C62638" w:rsidRPr="00145C8B" w:rsidRDefault="00C62638" w:rsidP="00C62638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283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[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PLAT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elet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Inhibition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Patient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O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utcomes]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klopidogrel összehasonlítása, mindkettőt acetilszalicilsavval és egyéb standard kezelésekkel kombinálva.</w:t>
      </w:r>
    </w:p>
    <w:p w14:paraId="622C297C" w14:textId="77777777" w:rsidR="00C62638" w:rsidRPr="00145C8B" w:rsidRDefault="00C62638" w:rsidP="00C62638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283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PEGASUS TIMI-54- [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vention with Tica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relor of Second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ry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Thrombotic Events in High-Ri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Acute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Coronary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yndrome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Patients]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acetilszalicilsavval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kombinált tikagrelor és az acetilszalicilsav-monoterápia összehasonlítása.</w:t>
      </w:r>
    </w:p>
    <w:p w14:paraId="5340771A" w14:textId="77777777" w:rsidR="00C62638" w:rsidRPr="00AF1962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26005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PLATO vizsgálat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(acut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coronaria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szindrómák)</w:t>
      </w:r>
    </w:p>
    <w:p w14:paraId="2BE869B8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</w:pPr>
    </w:p>
    <w:p w14:paraId="0E2C766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PLATO vizsgálatban 18 624 olyan beteg vett részt, aki instabil angina, ST-elevációval nem járó myocardialis infarctus [NSTEMI] vagy ST-elevációval járó myocardialis infarctus [STEMI] tüneteinek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kialakulását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követő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24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órán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belül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jelentkezett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orvosnál,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elsőként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gyógyszeres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kezelést kapott, vagy percutan coronaria intervención (PCI) vagy coronaria-bypass-graft műtéten (CABG) esett át.</w:t>
      </w:r>
    </w:p>
    <w:p w14:paraId="5AC7675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ED39213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hatásosság</w:t>
      </w:r>
    </w:p>
    <w:p w14:paraId="0597C23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Acetilszalicilsavval naponta történő háttérkezelés mellett a naponta kétszer adott 90 mg tikagrelor a cardiovascularis eredetű halálozást, a myocardialis infarctust (MI) vagy a stroke-ot magában foglaló összetett végpont megelőzésében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jobbnak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bizonyult,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klopidogrel, 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különbség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 eredetű halálozásból és a myocardialis infarctusból adódott. A betegek egy 300 mg-os klopidogrel (600 mg is lehetséges volt, ha PCI-jük volt) vagy 180 mg-os tikagrelor telítő dózist kaptak.</w:t>
      </w:r>
    </w:p>
    <w:p w14:paraId="2A026D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26361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eredmény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korán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jelentkezett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30.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abszolút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kockázatcsökkenés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[ARR]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0,6%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,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relatív kockázatcsökkenés [RRR] pedig 12%), és a terápiás hatás a teljes 12 hónapos időszak alatt változatlanul fennmaradt, ami egy év alatt 1,9%-os ARR-t és 16%-os RRR-t eredményezett. Ez arra utal, hogy a betegek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 hónapig tartó naponta kétszer alkalmazott 90 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tikagrelor-kezelése megfelelő (lásd 4.2 pont). Ha 54 acut coronaria szindrómás beteget klopidogrel helyett tikagrelorral kezelnek, az 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atherothromboticus eseményt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megelőzni;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kezelése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eredetű halálesetet fog megelőzni (lásd 1. ábra és 4. táblázat).</w:t>
      </w:r>
    </w:p>
    <w:p w14:paraId="66F53A1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klopidogrelénél kedvezőbb terápiás hatása sok alcsoportban konzisztensnek tűnik, beleértve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testtömeget,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nemet,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szereplő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diabetes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mellitust,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tranziens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ischaemiás attak-ot vagy a nem vérzéses eredetű stroke-ot vagy a revascularisatiót, az egyidejű kezeléseket, beleértve a heparinokat, GpIIb/IIIa-inhibitorokat és a protonpumpa-inhibitorokat (lásd 4.5 pont), a jellemző esemény végső diagnózisát (STEMI, NSTEMI vagy instabil angina), valamint a randomizáció időpontjában tervezett terápiás módszert (invazív vagy gyógyszeres).</w:t>
      </w:r>
      <w:proofErr w:type="gramEnd"/>
    </w:p>
    <w:p w14:paraId="68C341C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földrajzi régióval összefüggésben egy gyengén szignifikáns terápiás interakciót észleltek, melynek következtében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elsődleges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kockázati aránya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(HR)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populáció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10%-át képviselő Észak-Amerikában a klopidogrel, míg a világ többi részén a tikagrelor esetén volt kedvezőbb (interakciós p-érték = 0,045). Előzetes elemzések egy, az acetilszalicilsav-dózissal való lehetséges összefüggésre utalnak, mivel az acetilszalicilsav növekvő dózisai esetén a tikagrelor hatásosságának csökkenését figyelték meg. A tikagrelor mellett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adott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naponkénti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fenntartó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dózisnak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75–150 mg-nak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lennie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 4.2 és 4.4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25BE4D1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9FA21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1. ábra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összetett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végpontba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tartozó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bármelyik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megjelenésének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becsült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kockázatát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mutatja.</w:t>
      </w:r>
    </w:p>
    <w:p w14:paraId="57199A6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444F2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left="1208" w:hanging="1208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ábra</w:t>
      </w:r>
      <w:r w:rsidRPr="00C62638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ab/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eredetű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halálozásból, myocardialis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infarctusból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stroke-ból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álló elsődleges klinikai összetett végpont analízise (PLATO)</w:t>
      </w:r>
    </w:p>
    <w:p w14:paraId="339D9C2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p w14:paraId="407C703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left="567" w:right="2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6938B4A7" wp14:editId="3F774FC0">
            <wp:extent cx="4937760" cy="3464159"/>
            <wp:effectExtent l="0" t="0" r="0" b="3175"/>
            <wp:docPr id="97955562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5556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7925" cy="347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9C4F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14:ligatures w14:val="none"/>
        </w:rPr>
      </w:pPr>
    </w:p>
    <w:p w14:paraId="233659E1" w14:textId="4BC8D9A6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tikagrelor a klopidogrelhez képest az instabil angina/NSTEMI és STEMI populációban egyaránt csökkentette az elsődleges összetett végpont kialakulásának előfordulását (4. táblázat). Így a naponta kétszer 90 mg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acetilszalicilsavval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alkalmazható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 (instabil angina, ST-elevációval nem járó myocardialis infarctus [NSTEMI] vagy ST-elevációval járó myocardialis infarctus [STEMI]), beleértve a gyógyszeresen kezelt betegeket és azokat is, akiket percutan coronaria intervencióval (PCI) vagy coronaria-bypass-grafttal (CABG) kezeltek.</w:t>
      </w:r>
    </w:p>
    <w:p w14:paraId="7722C2E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9C5680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táblázat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elsődleges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másodlagos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hatásossági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végpontok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analízise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(PLATO)</w:t>
      </w:r>
    </w:p>
    <w:p w14:paraId="07AF3350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1349"/>
        <w:gridCol w:w="1354"/>
        <w:gridCol w:w="960"/>
        <w:gridCol w:w="1531"/>
        <w:gridCol w:w="1080"/>
      </w:tblGrid>
      <w:tr w:rsidR="00C62638" w:rsidRPr="00C62638" w14:paraId="730169F5" w14:textId="77777777" w:rsidTr="00AF59D4">
        <w:trPr>
          <w:trHeight w:val="3287"/>
        </w:trPr>
        <w:tc>
          <w:tcPr>
            <w:tcW w:w="2088" w:type="dxa"/>
          </w:tcPr>
          <w:p w14:paraId="67502A20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-223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349" w:type="dxa"/>
            <w:vAlign w:val="center"/>
          </w:tcPr>
          <w:p w14:paraId="096CF1F5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39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90 mg 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 xml:space="preserve">tikagrelor naponta kétszer </w:t>
            </w: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(azoknak</w:t>
            </w:r>
            <w:r w:rsidRPr="00145C8B">
              <w:rPr>
                <w:rFonts w:ascii="Times New Roman" w:eastAsia="Times New Roman" w:hAnsi="Times New Roman" w:cs="Times New Roman"/>
                <w:b/>
                <w:spacing w:val="-14"/>
                <w:kern w:val="0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a 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 xml:space="preserve">betegeknek </w:t>
            </w:r>
            <w:r w:rsidRPr="00145C8B">
              <w:rPr>
                <w:rFonts w:ascii="Times New Roman" w:eastAsia="Times New Roman" w:hAnsi="Times New Roman" w:cs="Times New Roman"/>
                <w:b/>
                <w:spacing w:val="-10"/>
                <w:kern w:val="0"/>
                <w14:ligatures w14:val="none"/>
              </w:rPr>
              <w:t>a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 xml:space="preserve"> %-os aránya, </w:t>
            </w: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akiknél az 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>esemény bekövetke- zett)</w:t>
            </w:r>
          </w:p>
          <w:p w14:paraId="338AFFC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39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n</w:t>
            </w: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>9333</w:t>
            </w:r>
          </w:p>
        </w:tc>
        <w:tc>
          <w:tcPr>
            <w:tcW w:w="1354" w:type="dxa"/>
            <w:vAlign w:val="center"/>
          </w:tcPr>
          <w:p w14:paraId="76840CF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75 mg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 xml:space="preserve">klopidogrel naponta egyszer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(azoknak a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 xml:space="preserve">betegeknek </w:t>
            </w:r>
            <w:r w:rsidRPr="00C62638">
              <w:rPr>
                <w:rFonts w:ascii="Times New Roman" w:eastAsia="Times New Roman" w:hAnsi="Times New Roman" w:cs="Times New Roman"/>
                <w:b/>
                <w:spacing w:val="-10"/>
                <w:kern w:val="0"/>
                <w:lang w:val="en-US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 xml:space="preserve"> %-os aránya,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akiknél az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>esemény bekövetke- zett)</w:t>
            </w:r>
          </w:p>
          <w:p w14:paraId="42F3955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>9291</w:t>
            </w:r>
          </w:p>
        </w:tc>
        <w:tc>
          <w:tcPr>
            <w:tcW w:w="960" w:type="dxa"/>
            <w:vAlign w:val="center"/>
          </w:tcPr>
          <w:p w14:paraId="15B3EF8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>ARR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vertAlign w:val="superscript"/>
                <w:lang w:val="en-US"/>
                <w14:ligatures w14:val="none"/>
              </w:rPr>
              <w:t>a</w:t>
            </w:r>
          </w:p>
          <w:p w14:paraId="32F8391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>(%/év)</w:t>
            </w:r>
          </w:p>
        </w:tc>
        <w:tc>
          <w:tcPr>
            <w:tcW w:w="1531" w:type="dxa"/>
            <w:vAlign w:val="center"/>
          </w:tcPr>
          <w:p w14:paraId="77B2687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firstLine="4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RRR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vertAlign w:val="superscript"/>
                <w:lang w:val="en-US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 (%) (95%-os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lang w:val="en-US"/>
                <w14:ligatures w14:val="none"/>
              </w:rPr>
              <w:t>CI)</w:t>
            </w:r>
          </w:p>
        </w:tc>
        <w:tc>
          <w:tcPr>
            <w:tcW w:w="1080" w:type="dxa"/>
            <w:vAlign w:val="center"/>
          </w:tcPr>
          <w:p w14:paraId="125F746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i/>
                <w:spacing w:val="-2"/>
                <w:kern w:val="0"/>
                <w:lang w:val="en-US"/>
                <w14:ligatures w14:val="none"/>
              </w:rPr>
              <w:t>p-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>érték</w:t>
            </w:r>
          </w:p>
        </w:tc>
      </w:tr>
      <w:tr w:rsidR="00C62638" w:rsidRPr="00C62638" w14:paraId="16E04F18" w14:textId="77777777" w:rsidTr="00AF59D4">
        <w:trPr>
          <w:trHeight w:val="1012"/>
        </w:trPr>
        <w:tc>
          <w:tcPr>
            <w:tcW w:w="2088" w:type="dxa"/>
          </w:tcPr>
          <w:p w14:paraId="184AD45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 xml:space="preserve">Cardiovascularis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halálozás, MI (kivéve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néma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MI) vagy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stroke</w:t>
            </w:r>
          </w:p>
        </w:tc>
        <w:tc>
          <w:tcPr>
            <w:tcW w:w="1349" w:type="dxa"/>
            <w:vAlign w:val="center"/>
          </w:tcPr>
          <w:p w14:paraId="09C0DCA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9,3</w:t>
            </w:r>
          </w:p>
        </w:tc>
        <w:tc>
          <w:tcPr>
            <w:tcW w:w="1354" w:type="dxa"/>
            <w:vAlign w:val="center"/>
          </w:tcPr>
          <w:p w14:paraId="46DDE4B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10,9</w:t>
            </w:r>
          </w:p>
        </w:tc>
        <w:tc>
          <w:tcPr>
            <w:tcW w:w="960" w:type="dxa"/>
            <w:vAlign w:val="center"/>
          </w:tcPr>
          <w:p w14:paraId="499BDF2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1,9</w:t>
            </w:r>
          </w:p>
        </w:tc>
        <w:tc>
          <w:tcPr>
            <w:tcW w:w="1531" w:type="dxa"/>
            <w:vAlign w:val="center"/>
          </w:tcPr>
          <w:p w14:paraId="7BCBB3A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(8;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23)</w:t>
            </w:r>
          </w:p>
        </w:tc>
        <w:tc>
          <w:tcPr>
            <w:tcW w:w="1080" w:type="dxa"/>
            <w:vAlign w:val="center"/>
          </w:tcPr>
          <w:p w14:paraId="50B6FBA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0,0003</w:t>
            </w:r>
          </w:p>
        </w:tc>
      </w:tr>
      <w:tr w:rsidR="00C62638" w:rsidRPr="00C62638" w14:paraId="4BF0EE8A" w14:textId="77777777" w:rsidTr="00AF59D4">
        <w:trPr>
          <w:trHeight w:val="254"/>
        </w:trPr>
        <w:tc>
          <w:tcPr>
            <w:tcW w:w="2088" w:type="dxa"/>
          </w:tcPr>
          <w:p w14:paraId="36470C0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98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Invazív</w:t>
            </w:r>
            <w:r w:rsidRPr="00C62638">
              <w:rPr>
                <w:rFonts w:ascii="Times New Roman" w:eastAsia="Times New Roman" w:hAnsi="Times New Roman" w:cs="Times New Roman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szándék</w:t>
            </w:r>
          </w:p>
        </w:tc>
        <w:tc>
          <w:tcPr>
            <w:tcW w:w="1349" w:type="dxa"/>
            <w:vAlign w:val="center"/>
          </w:tcPr>
          <w:p w14:paraId="5EA47CB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8,5</w:t>
            </w:r>
          </w:p>
        </w:tc>
        <w:tc>
          <w:tcPr>
            <w:tcW w:w="1354" w:type="dxa"/>
            <w:vAlign w:val="center"/>
          </w:tcPr>
          <w:p w14:paraId="6751906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10,0</w:t>
            </w:r>
          </w:p>
        </w:tc>
        <w:tc>
          <w:tcPr>
            <w:tcW w:w="960" w:type="dxa"/>
            <w:vAlign w:val="center"/>
          </w:tcPr>
          <w:p w14:paraId="3F1EDA4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1,7</w:t>
            </w:r>
          </w:p>
        </w:tc>
        <w:tc>
          <w:tcPr>
            <w:tcW w:w="1531" w:type="dxa"/>
            <w:vAlign w:val="center"/>
          </w:tcPr>
          <w:p w14:paraId="1DA7A09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(6;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25)</w:t>
            </w:r>
          </w:p>
        </w:tc>
        <w:tc>
          <w:tcPr>
            <w:tcW w:w="1080" w:type="dxa"/>
            <w:vAlign w:val="center"/>
          </w:tcPr>
          <w:p w14:paraId="42C99F4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0,0025</w:t>
            </w:r>
          </w:p>
        </w:tc>
      </w:tr>
      <w:tr w:rsidR="00C62638" w:rsidRPr="00C62638" w14:paraId="11FAD1E8" w14:textId="77777777" w:rsidTr="00AF59D4">
        <w:trPr>
          <w:trHeight w:val="287"/>
        </w:trPr>
        <w:tc>
          <w:tcPr>
            <w:tcW w:w="2088" w:type="dxa"/>
          </w:tcPr>
          <w:p w14:paraId="74FC0C5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84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Gyógyszeres kezelés</w:t>
            </w:r>
          </w:p>
        </w:tc>
        <w:tc>
          <w:tcPr>
            <w:tcW w:w="1349" w:type="dxa"/>
            <w:vAlign w:val="center"/>
          </w:tcPr>
          <w:p w14:paraId="0472F24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11,3</w:t>
            </w:r>
          </w:p>
        </w:tc>
        <w:tc>
          <w:tcPr>
            <w:tcW w:w="1354" w:type="dxa"/>
            <w:vAlign w:val="center"/>
          </w:tcPr>
          <w:p w14:paraId="48C6358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13,2</w:t>
            </w:r>
          </w:p>
        </w:tc>
        <w:tc>
          <w:tcPr>
            <w:tcW w:w="960" w:type="dxa"/>
            <w:vAlign w:val="center"/>
          </w:tcPr>
          <w:p w14:paraId="7700A02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2,3</w:t>
            </w:r>
          </w:p>
        </w:tc>
        <w:tc>
          <w:tcPr>
            <w:tcW w:w="1531" w:type="dxa"/>
            <w:vAlign w:val="center"/>
          </w:tcPr>
          <w:p w14:paraId="6E0C309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15 (0,3;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27)</w:t>
            </w:r>
          </w:p>
        </w:tc>
        <w:tc>
          <w:tcPr>
            <w:tcW w:w="1080" w:type="dxa"/>
            <w:vAlign w:val="center"/>
          </w:tcPr>
          <w:p w14:paraId="64B1BF0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0,0444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val="en-US"/>
                <w14:ligatures w14:val="none"/>
              </w:rPr>
              <w:t>d</w:t>
            </w:r>
          </w:p>
        </w:tc>
      </w:tr>
      <w:tr w:rsidR="00C62638" w:rsidRPr="00C62638" w14:paraId="2CAE2A57" w14:textId="77777777" w:rsidTr="00AF59D4">
        <w:trPr>
          <w:trHeight w:val="508"/>
        </w:trPr>
        <w:tc>
          <w:tcPr>
            <w:tcW w:w="2088" w:type="dxa"/>
          </w:tcPr>
          <w:p w14:paraId="5E535AA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Cardiovascularis halálozás</w:t>
            </w:r>
          </w:p>
        </w:tc>
        <w:tc>
          <w:tcPr>
            <w:tcW w:w="1349" w:type="dxa"/>
            <w:vAlign w:val="center"/>
          </w:tcPr>
          <w:p w14:paraId="3EC9299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3,8</w:t>
            </w:r>
          </w:p>
        </w:tc>
        <w:tc>
          <w:tcPr>
            <w:tcW w:w="1354" w:type="dxa"/>
            <w:vAlign w:val="center"/>
          </w:tcPr>
          <w:p w14:paraId="464E0BF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4,8</w:t>
            </w:r>
          </w:p>
        </w:tc>
        <w:tc>
          <w:tcPr>
            <w:tcW w:w="960" w:type="dxa"/>
            <w:vAlign w:val="center"/>
          </w:tcPr>
          <w:p w14:paraId="3B2D780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1,1</w:t>
            </w:r>
          </w:p>
        </w:tc>
        <w:tc>
          <w:tcPr>
            <w:tcW w:w="1531" w:type="dxa"/>
            <w:vAlign w:val="center"/>
          </w:tcPr>
          <w:p w14:paraId="5A620C4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21 (9;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31)</w:t>
            </w:r>
          </w:p>
        </w:tc>
        <w:tc>
          <w:tcPr>
            <w:tcW w:w="1080" w:type="dxa"/>
            <w:vAlign w:val="center"/>
          </w:tcPr>
          <w:p w14:paraId="7E7D6C3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0,0013</w:t>
            </w:r>
          </w:p>
        </w:tc>
      </w:tr>
      <w:tr w:rsidR="00C62638" w:rsidRPr="00C62638" w14:paraId="767E42C8" w14:textId="77777777" w:rsidTr="00AF59D4">
        <w:trPr>
          <w:trHeight w:val="503"/>
        </w:trPr>
        <w:tc>
          <w:tcPr>
            <w:tcW w:w="2088" w:type="dxa"/>
          </w:tcPr>
          <w:p w14:paraId="309B1EDA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MI</w:t>
            </w:r>
            <w:r w:rsidRPr="00145C8B">
              <w:rPr>
                <w:rFonts w:ascii="Times New Roman" w:eastAsia="Times New Roman" w:hAnsi="Times New Roman" w:cs="Times New Roman"/>
                <w:spacing w:val="-5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(kivéve</w:t>
            </w:r>
            <w:r w:rsidRPr="00145C8B">
              <w:rPr>
                <w:rFonts w:ascii="Times New Roman" w:eastAsia="Times New Roman" w:hAnsi="Times New Roman" w:cs="Times New Roman"/>
                <w:spacing w:val="-4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a</w:t>
            </w:r>
            <w:r w:rsidRPr="00145C8B">
              <w:rPr>
                <w:rFonts w:ascii="Times New Roman" w:eastAsia="Times New Roman" w:hAnsi="Times New Roman" w:cs="Times New Roman"/>
                <w:spacing w:val="-4"/>
                <w:kern w:val="0"/>
                <w:lang w:val="pl-PL"/>
                <w14:ligatures w14:val="none"/>
              </w:rPr>
              <w:t xml:space="preserve"> néma MI)</w:t>
            </w:r>
            <w:r w:rsidRPr="00145C8B">
              <w:rPr>
                <w:rFonts w:ascii="Times New Roman" w:eastAsia="Times New Roman" w:hAnsi="Times New Roman" w:cs="Times New Roman"/>
                <w:spacing w:val="-4"/>
                <w:kern w:val="0"/>
                <w:vertAlign w:val="superscript"/>
                <w:lang w:val="pl-PL"/>
                <w14:ligatures w14:val="none"/>
              </w:rPr>
              <w:t>b</w:t>
            </w:r>
          </w:p>
        </w:tc>
        <w:tc>
          <w:tcPr>
            <w:tcW w:w="1349" w:type="dxa"/>
            <w:vAlign w:val="center"/>
          </w:tcPr>
          <w:p w14:paraId="49FB637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5,4</w:t>
            </w:r>
          </w:p>
        </w:tc>
        <w:tc>
          <w:tcPr>
            <w:tcW w:w="1354" w:type="dxa"/>
            <w:vAlign w:val="center"/>
          </w:tcPr>
          <w:p w14:paraId="4C23B70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6,4</w:t>
            </w:r>
          </w:p>
        </w:tc>
        <w:tc>
          <w:tcPr>
            <w:tcW w:w="960" w:type="dxa"/>
            <w:vAlign w:val="center"/>
          </w:tcPr>
          <w:p w14:paraId="113074F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1,1</w:t>
            </w:r>
          </w:p>
        </w:tc>
        <w:tc>
          <w:tcPr>
            <w:tcW w:w="1531" w:type="dxa"/>
            <w:vAlign w:val="center"/>
          </w:tcPr>
          <w:p w14:paraId="0B04B64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(5;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25)</w:t>
            </w:r>
          </w:p>
        </w:tc>
        <w:tc>
          <w:tcPr>
            <w:tcW w:w="1080" w:type="dxa"/>
            <w:vAlign w:val="center"/>
          </w:tcPr>
          <w:p w14:paraId="4ED257C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0,0045</w:t>
            </w:r>
          </w:p>
        </w:tc>
      </w:tr>
      <w:tr w:rsidR="00C62638" w:rsidRPr="00C62638" w14:paraId="0BB253A9" w14:textId="77777777" w:rsidTr="00AF59D4">
        <w:trPr>
          <w:trHeight w:val="253"/>
        </w:trPr>
        <w:tc>
          <w:tcPr>
            <w:tcW w:w="2088" w:type="dxa"/>
          </w:tcPr>
          <w:p w14:paraId="64D4FC8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Stroke</w:t>
            </w:r>
          </w:p>
        </w:tc>
        <w:tc>
          <w:tcPr>
            <w:tcW w:w="1349" w:type="dxa"/>
            <w:vAlign w:val="center"/>
          </w:tcPr>
          <w:p w14:paraId="59E882E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1,3</w:t>
            </w:r>
          </w:p>
        </w:tc>
        <w:tc>
          <w:tcPr>
            <w:tcW w:w="1354" w:type="dxa"/>
            <w:vAlign w:val="center"/>
          </w:tcPr>
          <w:p w14:paraId="47F3038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1,1</w:t>
            </w:r>
          </w:p>
        </w:tc>
        <w:tc>
          <w:tcPr>
            <w:tcW w:w="960" w:type="dxa"/>
            <w:vAlign w:val="center"/>
          </w:tcPr>
          <w:p w14:paraId="50DA440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–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0,2</w:t>
            </w:r>
          </w:p>
        </w:tc>
        <w:tc>
          <w:tcPr>
            <w:tcW w:w="1531" w:type="dxa"/>
            <w:vAlign w:val="center"/>
          </w:tcPr>
          <w:p w14:paraId="60719EE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–17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(–52;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9)</w:t>
            </w:r>
          </w:p>
        </w:tc>
        <w:tc>
          <w:tcPr>
            <w:tcW w:w="1080" w:type="dxa"/>
            <w:vAlign w:val="center"/>
          </w:tcPr>
          <w:p w14:paraId="01EA119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0,2249</w:t>
            </w:r>
          </w:p>
        </w:tc>
      </w:tr>
      <w:tr w:rsidR="00C62638" w:rsidRPr="00C62638" w14:paraId="5C29A492" w14:textId="77777777" w:rsidTr="00AF59D4">
        <w:trPr>
          <w:trHeight w:val="758"/>
        </w:trPr>
        <w:tc>
          <w:tcPr>
            <w:tcW w:w="2088" w:type="dxa"/>
          </w:tcPr>
          <w:p w14:paraId="53402089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Összmortalitás, MI (kivéve</w:t>
            </w:r>
            <w:r w:rsidRPr="00145C8B">
              <w:rPr>
                <w:rFonts w:ascii="Times New Roman" w:eastAsia="Times New Roman" w:hAnsi="Times New Roman" w:cs="Times New Roman"/>
                <w:spacing w:val="-13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a</w:t>
            </w:r>
            <w:r w:rsidRPr="00145C8B">
              <w:rPr>
                <w:rFonts w:ascii="Times New Roman" w:eastAsia="Times New Roman" w:hAnsi="Times New Roman" w:cs="Times New Roman"/>
                <w:spacing w:val="-13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néma</w:t>
            </w:r>
            <w:r w:rsidRPr="00145C8B">
              <w:rPr>
                <w:rFonts w:ascii="Times New Roman" w:eastAsia="Times New Roman" w:hAnsi="Times New Roman" w:cs="Times New Roman"/>
                <w:spacing w:val="-13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MI) vagy</w:t>
            </w:r>
            <w:r w:rsidRPr="00145C8B">
              <w:rPr>
                <w:rFonts w:ascii="Times New Roman" w:eastAsia="Times New Roman" w:hAnsi="Times New Roman" w:cs="Times New Roman"/>
                <w:spacing w:val="-6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spacing w:val="-2"/>
                <w:kern w:val="0"/>
                <w:lang w:val="pl-PL"/>
                <w14:ligatures w14:val="none"/>
              </w:rPr>
              <w:t>stroke</w:t>
            </w:r>
          </w:p>
        </w:tc>
        <w:tc>
          <w:tcPr>
            <w:tcW w:w="1349" w:type="dxa"/>
            <w:vAlign w:val="center"/>
          </w:tcPr>
          <w:p w14:paraId="5E2D03B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9,7</w:t>
            </w:r>
          </w:p>
        </w:tc>
        <w:tc>
          <w:tcPr>
            <w:tcW w:w="1354" w:type="dxa"/>
            <w:vAlign w:val="center"/>
          </w:tcPr>
          <w:p w14:paraId="7FF3AFB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11,5</w:t>
            </w:r>
          </w:p>
        </w:tc>
        <w:tc>
          <w:tcPr>
            <w:tcW w:w="960" w:type="dxa"/>
            <w:vAlign w:val="center"/>
          </w:tcPr>
          <w:p w14:paraId="42A8B01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2,1</w:t>
            </w:r>
          </w:p>
        </w:tc>
        <w:tc>
          <w:tcPr>
            <w:tcW w:w="1531" w:type="dxa"/>
            <w:vAlign w:val="center"/>
          </w:tcPr>
          <w:p w14:paraId="5C78F7A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(8;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23)</w:t>
            </w:r>
          </w:p>
        </w:tc>
        <w:tc>
          <w:tcPr>
            <w:tcW w:w="1080" w:type="dxa"/>
            <w:vAlign w:val="center"/>
          </w:tcPr>
          <w:p w14:paraId="27C2184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0,0001</w:t>
            </w:r>
          </w:p>
        </w:tc>
      </w:tr>
      <w:tr w:rsidR="00C62638" w:rsidRPr="00C62638" w14:paraId="783210CD" w14:textId="77777777" w:rsidTr="00AF59D4">
        <w:trPr>
          <w:trHeight w:val="1012"/>
        </w:trPr>
        <w:tc>
          <w:tcPr>
            <w:tcW w:w="2088" w:type="dxa"/>
          </w:tcPr>
          <w:p w14:paraId="449B53E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 xml:space="preserve">Cardiovascularis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halálozás,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összes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MI, stroke,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SRI,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RI,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 xml:space="preserve"> TIA,</w:t>
            </w:r>
          </w:p>
          <w:p w14:paraId="15EE76C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vagy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egyéb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 xml:space="preserve"> ATE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vertAlign w:val="superscript"/>
                <w:lang w:val="en-US"/>
                <w14:ligatures w14:val="none"/>
              </w:rPr>
              <w:t>c</w:t>
            </w:r>
          </w:p>
        </w:tc>
        <w:tc>
          <w:tcPr>
            <w:tcW w:w="1349" w:type="dxa"/>
            <w:vAlign w:val="center"/>
          </w:tcPr>
          <w:p w14:paraId="784E4F3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13,8</w:t>
            </w:r>
          </w:p>
        </w:tc>
        <w:tc>
          <w:tcPr>
            <w:tcW w:w="1354" w:type="dxa"/>
            <w:vAlign w:val="center"/>
          </w:tcPr>
          <w:p w14:paraId="6F418B9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15,7</w:t>
            </w:r>
          </w:p>
        </w:tc>
        <w:tc>
          <w:tcPr>
            <w:tcW w:w="960" w:type="dxa"/>
            <w:vAlign w:val="center"/>
          </w:tcPr>
          <w:p w14:paraId="4094993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2,1</w:t>
            </w:r>
          </w:p>
        </w:tc>
        <w:tc>
          <w:tcPr>
            <w:tcW w:w="1531" w:type="dxa"/>
            <w:vAlign w:val="center"/>
          </w:tcPr>
          <w:p w14:paraId="1FC599F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12 (5;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19)</w:t>
            </w:r>
          </w:p>
        </w:tc>
        <w:tc>
          <w:tcPr>
            <w:tcW w:w="1080" w:type="dxa"/>
            <w:vAlign w:val="center"/>
          </w:tcPr>
          <w:p w14:paraId="7AB1205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0,0006</w:t>
            </w:r>
          </w:p>
        </w:tc>
      </w:tr>
      <w:tr w:rsidR="00C62638" w:rsidRPr="00C62638" w14:paraId="6F70AA78" w14:textId="77777777" w:rsidTr="00AF59D4">
        <w:trPr>
          <w:trHeight w:val="307"/>
        </w:trPr>
        <w:tc>
          <w:tcPr>
            <w:tcW w:w="2088" w:type="dxa"/>
          </w:tcPr>
          <w:p w14:paraId="33BB840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98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Összmortalitás</w:t>
            </w:r>
          </w:p>
        </w:tc>
        <w:tc>
          <w:tcPr>
            <w:tcW w:w="1349" w:type="dxa"/>
            <w:vAlign w:val="center"/>
          </w:tcPr>
          <w:p w14:paraId="3BC4EE9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4,3</w:t>
            </w:r>
          </w:p>
        </w:tc>
        <w:tc>
          <w:tcPr>
            <w:tcW w:w="1354" w:type="dxa"/>
            <w:vAlign w:val="center"/>
          </w:tcPr>
          <w:p w14:paraId="0D02D05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5,4</w:t>
            </w:r>
          </w:p>
        </w:tc>
        <w:tc>
          <w:tcPr>
            <w:tcW w:w="960" w:type="dxa"/>
            <w:vAlign w:val="center"/>
          </w:tcPr>
          <w:p w14:paraId="40000C4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1,4</w:t>
            </w:r>
          </w:p>
        </w:tc>
        <w:tc>
          <w:tcPr>
            <w:tcW w:w="1531" w:type="dxa"/>
            <w:vAlign w:val="center"/>
          </w:tcPr>
          <w:p w14:paraId="5CE4A64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22 (11;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31)</w:t>
            </w:r>
          </w:p>
        </w:tc>
        <w:tc>
          <w:tcPr>
            <w:tcW w:w="1080" w:type="dxa"/>
            <w:vAlign w:val="center"/>
          </w:tcPr>
          <w:p w14:paraId="4ACB2C5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0,0003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val="en-US"/>
                <w14:ligatures w14:val="none"/>
              </w:rPr>
              <w:t>d</w:t>
            </w:r>
          </w:p>
        </w:tc>
      </w:tr>
      <w:tr w:rsidR="00C62638" w:rsidRPr="00C62638" w14:paraId="4A426208" w14:textId="77777777" w:rsidTr="00AF59D4">
        <w:trPr>
          <w:trHeight w:val="508"/>
        </w:trPr>
        <w:tc>
          <w:tcPr>
            <w:tcW w:w="2088" w:type="dxa"/>
          </w:tcPr>
          <w:p w14:paraId="5048A58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Definitív</w:t>
            </w:r>
            <w:r w:rsidRPr="00C62638">
              <w:rPr>
                <w:rFonts w:ascii="Times New Roman" w:eastAsia="Times New Roman" w:hAnsi="Times New Roman" w:cs="Times New Roman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stent-thrombosis</w:t>
            </w:r>
          </w:p>
        </w:tc>
        <w:tc>
          <w:tcPr>
            <w:tcW w:w="1349" w:type="dxa"/>
            <w:vAlign w:val="center"/>
          </w:tcPr>
          <w:p w14:paraId="0E02B6C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1,2</w:t>
            </w:r>
          </w:p>
        </w:tc>
        <w:tc>
          <w:tcPr>
            <w:tcW w:w="1354" w:type="dxa"/>
            <w:vAlign w:val="center"/>
          </w:tcPr>
          <w:p w14:paraId="192A095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1,7</w:t>
            </w:r>
          </w:p>
        </w:tc>
        <w:tc>
          <w:tcPr>
            <w:tcW w:w="960" w:type="dxa"/>
            <w:vAlign w:val="center"/>
          </w:tcPr>
          <w:p w14:paraId="7CB538C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0,6</w:t>
            </w:r>
          </w:p>
        </w:tc>
        <w:tc>
          <w:tcPr>
            <w:tcW w:w="1531" w:type="dxa"/>
            <w:vAlign w:val="center"/>
          </w:tcPr>
          <w:p w14:paraId="4F5012E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32 (8;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49)</w:t>
            </w:r>
          </w:p>
        </w:tc>
        <w:tc>
          <w:tcPr>
            <w:tcW w:w="1080" w:type="dxa"/>
            <w:vAlign w:val="center"/>
          </w:tcPr>
          <w:p w14:paraId="4DF1A48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0,0123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val="en-US"/>
                <w14:ligatures w14:val="none"/>
              </w:rPr>
              <w:t>d</w:t>
            </w:r>
          </w:p>
        </w:tc>
      </w:tr>
    </w:tbl>
    <w:p w14:paraId="6FB7983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proofErr w:type="gramStart"/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>a</w:t>
      </w:r>
      <w:proofErr w:type="gramEnd"/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ARR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abszolút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kockázatcsökkenés;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RRR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relatív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kockázatcsökkenés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(1–kockázati arány)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×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100%.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negatív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RRR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relatív kockázat növekedését jelzi.</w:t>
      </w:r>
    </w:p>
    <w:p w14:paraId="7157182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>b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Kivéve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néma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infarctust.</w:t>
      </w:r>
    </w:p>
    <w:p w14:paraId="35463D0D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 xml:space="preserve">c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SRI = súlyos, visszatérő ischaemia; RI = visszatérő ischaemia; TIA = tranziens ischaemiás attak; ATE = arteriás thromboticus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esemény.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összes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MI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tartalmazza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néma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MI-t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esemény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bekövetkezésének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dátuma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diagnosztizálás dátumára beállítva.</w:t>
      </w:r>
    </w:p>
    <w:p w14:paraId="62A0EE11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 xml:space="preserve">d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Nominális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szignifikancia-érték;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minden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más,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előre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definiált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hierarchikus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módszerrel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vizsgálva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formálisan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statisztikailag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szignifikáns.</w:t>
      </w:r>
    </w:p>
    <w:p w14:paraId="52D9F3E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6F4DE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genetikai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alvizsgálat</w:t>
      </w:r>
    </w:p>
    <w:p w14:paraId="5F0B332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 vizsgálatban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részt vevő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285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CYP2C19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ABCB1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genotipizálása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összefüggéseket jelzett a genotípus-csoportok és a PLATO vizsgálat eredményei között. A tikagrelornak a jelentős cardiovascularis események csökkentésében mutatott, klopidogrelhez viszonyított kedvezőbb hatását nem befolyásolta jelentősen a betegek CYP2C19- vagy ABCB1-genotípusa. A PLATO vizsgálat egészéhez hasonlóan, a tikagrelor és a klopidogrel között a CYP2C19- vagy ABCB1-genotípustól függetlenül nem volt különbség a PLATO definíció szerinti összes jelentős vérzésben. A nem CABG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vel összefüggő, jelentős vérzés gyakoribb volt a tikagrelor, mint a klopidogrel esetén azoknál a betegeknél,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CYP2C19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működő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allél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hiányzott,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klopidogrelhez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hasonló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 azoknál a betegeknél, akiknél nem hiányzott működő allél.</w:t>
      </w:r>
    </w:p>
    <w:p w14:paraId="4BB5985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A2E8AD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Kombinált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hatásossági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biztonságossági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kompozit</w:t>
      </w:r>
    </w:p>
    <w:p w14:paraId="54C4F3DD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kombinált hatásossági és biztonságossági kompozit (cardiovascularis halálozás, MI, stroke vagy a PLATO definíció szerinti összes jelentős vérzés) azt jelzi, hogy az acut coronaria szindrómát követő 12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hónapban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tikagrelornak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klopidogrelhez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viszonyított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kedvezőbb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szüntetik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 a jelentős vérzéses események (ARR 1,4%, RRR 8%, HR 0,92; p = 0,0257).</w:t>
      </w:r>
    </w:p>
    <w:p w14:paraId="22CC35E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F3CF03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biztonságosság</w:t>
      </w:r>
    </w:p>
    <w:p w14:paraId="2FD7DC7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Holter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alvizsgálat:</w:t>
      </w:r>
    </w:p>
    <w:p w14:paraId="0730EE4A" w14:textId="107C29DD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 vizsgálat alatt a ventricularis pauzák és egyéb, arrhythmiás epizódok kialakulásának vizsgálata érdekében a vizsgálatot végzők közel 3000 betegből álló alcsoport</w:t>
      </w:r>
      <w:r w:rsidR="009B4422">
        <w:rPr>
          <w:rFonts w:ascii="Times New Roman" w:eastAsia="Times New Roman" w:hAnsi="Times New Roman" w:cs="Times New Roman"/>
          <w:kern w:val="0"/>
          <w14:ligatures w14:val="none"/>
        </w:rPr>
        <w:t>nál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Holter-monitorral végeztek vizsgálatot, és közülük mintegy 2000 betegnél az acut coronaria szindróma akut fázisa alatt és utána egy hónappal is elvégezték a vizsgálatot. A vizsgált elsődleges változó a ≥ 3 másodperces ventricularis pauzák megjelenése volt. A tikagrelorral kezelt betegeknél az akut fázisban több volt a ventricularis pauza (6,0%), mint a klopidogrel-kezelés mellett (3,5%), és több volt 1 hónappal később is, a tikagrelor esetén 2,2%, a klopidogrel esetén pedig 1,6% (lásd 4.4 pont). A ventricularis pauzák gyakoribbá válása az acut coronaria szindróma akut fázisában még kifejezettebb volt azoknál a 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krónikus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szívelégtelenség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(9,2% vs. 5,4% azoknál a betegeknél, akiknek az anamnézisében nem volt krónikus szívelégtelenség; a klopidogrellel kezelt betegeknél pedig 4,0% az anamnézisben szereplő vs. 3,6% az anamnézisben nem szereplő krónikus szívelégtelenség). Ez a különbség nem jelentkezett 1 hónap múlva: a tikagrelort kapó betegeknél</w:t>
      </w:r>
      <w:r w:rsidRPr="00C62638" w:rsidDel="00D77CD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2,0% vs. 2,1% az anamnézisben szereplő, ill. nem szereplő krónikus szívelégtelenség esetén fennálló arány, a klopidogrelt kapó betegeknél pedig 3,8% vs.1,4%. Ennek a különbségnek azonban ebben a betegpopulációban nem volt kedvezőtlen klinikai következménye (a pacemaker beültetést is beleértve).</w:t>
      </w:r>
    </w:p>
    <w:p w14:paraId="7B323D6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516BC023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PEGASUS vizsgálat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(anamnézisben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szereplő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infarctus)</w:t>
      </w:r>
    </w:p>
    <w:p w14:paraId="2DB6DF7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PEGASUS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TIMI-54 vizsgálat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21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162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beteggel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végzett,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eseményvezérelt,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randomizált,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kettős vak,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placebokontrollos,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párhuzamos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csoportú,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nemzetközi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multicentrikus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azzal</w:t>
      </w:r>
      <w:r w:rsidRPr="00C62638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céllal, hogy felmérje az atherothromboticus események kis dózisú acetilszalicilsavval kombinált (75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150 mg), 2 dózisban adott tikagrelorral történő prevencióját (naponta kétszer 90 mg vagy naponta kétszer 60 mg), az önmagában adott acetilszalicilsavhoz képest, olyan betegeknél, akiknek a kórelőzményében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szerepel, 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atherothrombosis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tényezőivel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rendelkeznek.</w:t>
      </w:r>
      <w:proofErr w:type="gramEnd"/>
    </w:p>
    <w:p w14:paraId="5BA7055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18578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 a betegek voltak alkalmasak a részvételre, akik 50 évesek vagy idősebbek voltak, akiknek az anamnézisében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randomizáció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1–3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évvel),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atherothrombosis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kockázati tényezői közül legalább eggyel rendelkeztek: életkor ≥ 65 év, gyógyszeres kezelést igénylő diabetes mellitus, egy második korábbi MI, több érre terjedő koszorúér-betegség vagy krónikus, nem végstádiumú veseműködési zavar.</w:t>
      </w:r>
    </w:p>
    <w:p w14:paraId="686539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49A29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 betegek nem voltak alkalmasak a vizsgálatban való részvételre, ha P2Y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-receptor-antagonista-,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dipiridamol-,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cilosztazol-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antikoaguláns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tervezték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náluk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időszak alatt, ha véralvadási zavaruk volt, vagy a kórelőzményükben ischaemiás stroke vagy intracranialis vérzés, központi idegrendszeri daganat vagy intracranialis vascularis rendellenesség szerepelt; ha a megelőző 6 hónapban gastrointestinalis vérzésük, vagy az előző 30 napon belül nagy műtétjük volt.</w:t>
      </w:r>
    </w:p>
    <w:p w14:paraId="39EEC3D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DC9C53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hatásosság</w:t>
      </w:r>
    </w:p>
    <w:p w14:paraId="0565E7FC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31815B21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ind w:left="993" w:right="2" w:hanging="99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ábra</w:t>
      </w:r>
      <w:r w:rsidRPr="00C62638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ab/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eredetű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halálozásból, myocardialis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infarctusból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stroke-ból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álló elsődleges klinikai összetett végpont analízise (PEGASUS)</w:t>
      </w:r>
    </w:p>
    <w:p w14:paraId="4A91DDC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5F3B3BE2" wp14:editId="7E7543B6">
            <wp:extent cx="5473700" cy="3492093"/>
            <wp:effectExtent l="0" t="0" r="0" b="0"/>
            <wp:docPr id="74415052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1505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5621" cy="349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4E3A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5CE0310" w14:textId="77777777" w:rsidR="00C62638" w:rsidRPr="00145C8B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5. táblázat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–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elsődleges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másodlagos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hatásossági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végpontok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analízise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Cs w:val="20"/>
          <w:lang w:eastAsia="zh-CN"/>
          <w14:ligatures w14:val="none"/>
        </w:rPr>
        <w:t>(PEGASUS)</w:t>
      </w:r>
    </w:p>
    <w:p w14:paraId="0B5859A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tbl>
      <w:tblPr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1262"/>
        <w:gridCol w:w="988"/>
        <w:gridCol w:w="1257"/>
        <w:gridCol w:w="1353"/>
        <w:gridCol w:w="1079"/>
        <w:gridCol w:w="1165"/>
      </w:tblGrid>
      <w:tr w:rsidR="00C62638" w:rsidRPr="00C62638" w14:paraId="2B78BF3D" w14:textId="77777777" w:rsidTr="00AF59D4">
        <w:trPr>
          <w:trHeight w:val="810"/>
        </w:trPr>
        <w:tc>
          <w:tcPr>
            <w:tcW w:w="1728" w:type="dxa"/>
            <w:tcBorders>
              <w:bottom w:val="single" w:sz="6" w:space="0" w:color="000000"/>
              <w:right w:val="single" w:sz="6" w:space="0" w:color="000000"/>
            </w:tcBorders>
          </w:tcPr>
          <w:p w14:paraId="5774112A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14:ligatures w14:val="none"/>
              </w:rPr>
            </w:pPr>
          </w:p>
        </w:tc>
        <w:tc>
          <w:tcPr>
            <w:tcW w:w="350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36CA0" w14:textId="7352906A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07" w:right="128"/>
              <w:jc w:val="center"/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Naponta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kétszer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60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mg</w:t>
            </w:r>
            <w:r w:rsidRPr="00C62638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ti</w:t>
            </w:r>
            <w:r w:rsidR="00A9762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k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 xml:space="preserve">agrelor 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  <w:t>+ASA</w:t>
            </w:r>
          </w:p>
          <w:p w14:paraId="562AEC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07" w:right="128"/>
              <w:jc w:val="center"/>
              <w:rPr>
                <w:rFonts w:ascii="Times New Roman" w:eastAsia="Times New Roman" w:hAnsi="Times New Roman" w:cs="Times New Roman"/>
                <w:b/>
                <w:spacing w:val="-13"/>
                <w:kern w:val="0"/>
                <w:sz w:val="20"/>
                <w:lang w:val="en-US"/>
                <w14:ligatures w14:val="none"/>
              </w:rPr>
            </w:pPr>
          </w:p>
          <w:p w14:paraId="47D1E4C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07" w:right="128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13"/>
                <w:kern w:val="0"/>
                <w:sz w:val="20"/>
                <w:lang w:val="en-US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spacing w:val="-12"/>
                <w:kern w:val="0"/>
                <w:sz w:val="2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7045</w:t>
            </w:r>
          </w:p>
        </w:tc>
        <w:tc>
          <w:tcPr>
            <w:tcW w:w="243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4345D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2" w:right="14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ASA</w:t>
            </w:r>
            <w:r w:rsidRPr="00C62638">
              <w:rPr>
                <w:rFonts w:ascii="Times New Roman" w:eastAsia="Times New Roman" w:hAnsi="Times New Roman" w:cs="Times New Roman"/>
                <w:b/>
                <w:spacing w:val="-13"/>
                <w:kern w:val="0"/>
                <w:sz w:val="20"/>
                <w:lang w:val="en-US"/>
                <w14:ligatures w14:val="none"/>
              </w:rPr>
              <w:t>-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monoterápia</w:t>
            </w:r>
          </w:p>
          <w:p w14:paraId="61DC34B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2" w:right="14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</w:p>
          <w:p w14:paraId="57DFD70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2" w:right="14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n =7067</w:t>
            </w:r>
          </w:p>
        </w:tc>
        <w:tc>
          <w:tcPr>
            <w:tcW w:w="116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49135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i/>
                <w:kern w:val="0"/>
                <w:sz w:val="20"/>
                <w:lang w:val="en-US"/>
                <w14:ligatures w14:val="none"/>
              </w:rPr>
              <w:t>p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-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érték</w:t>
            </w:r>
          </w:p>
        </w:tc>
      </w:tr>
      <w:tr w:rsidR="00C62638" w:rsidRPr="00C62638" w14:paraId="76FCBAFE" w14:textId="77777777" w:rsidTr="00AF59D4">
        <w:trPr>
          <w:trHeight w:val="1036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D429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Jellemző tulajdonságok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0032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Betegek akiknél esemény zajlott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6C64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KM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10"/>
                <w:kern w:val="0"/>
                <w:sz w:val="20"/>
                <w:lang w:val="en-US"/>
                <w14:ligatures w14:val="none"/>
              </w:rPr>
              <w:t>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70EE5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6"/>
                <w:kern w:val="0"/>
                <w:sz w:val="20"/>
                <w:lang w:val="en-US"/>
                <w14:ligatures w14:val="none"/>
              </w:rPr>
              <w:t xml:space="preserve">HR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 xml:space="preserve">(95%-os 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  <w:t>CI)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4CFC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58" w:firstLine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Betegek akiknél esemény zajlott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30FE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6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KM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10"/>
                <w:kern w:val="0"/>
                <w:sz w:val="20"/>
                <w:lang w:val="en-US"/>
                <w14:ligatures w14:val="none"/>
              </w:rPr>
              <w:t>%</w:t>
            </w:r>
          </w:p>
        </w:tc>
        <w:tc>
          <w:tcPr>
            <w:tcW w:w="11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99512BD" w14:textId="77777777" w:rsidR="00C62638" w:rsidRPr="00C62638" w:rsidRDefault="00C62638" w:rsidP="00C6263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 w:val="2"/>
                <w:szCs w:val="2"/>
                <w:lang w:val="en-GB" w:eastAsia="zh-CN"/>
                <w14:ligatures w14:val="none"/>
              </w:rPr>
            </w:pPr>
          </w:p>
        </w:tc>
      </w:tr>
      <w:tr w:rsidR="00C62638" w:rsidRPr="00C62638" w14:paraId="56FD28F6" w14:textId="77777777" w:rsidTr="00AF59D4">
        <w:trPr>
          <w:trHeight w:val="456"/>
        </w:trPr>
        <w:tc>
          <w:tcPr>
            <w:tcW w:w="883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89E966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Elsődleges</w:t>
            </w:r>
            <w:r w:rsidRPr="00C62638">
              <w:rPr>
                <w:rFonts w:ascii="Times New Roman" w:eastAsia="Times New Roman" w:hAnsi="Times New Roman" w:cs="Times New Roman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végpont</w:t>
            </w:r>
          </w:p>
        </w:tc>
      </w:tr>
      <w:tr w:rsidR="00C62638" w:rsidRPr="00C62638" w14:paraId="1A8397FD" w14:textId="77777777" w:rsidTr="00AF59D4">
        <w:trPr>
          <w:trHeight w:val="81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5802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 w:hanging="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kern w:val="0"/>
                <w:sz w:val="20"/>
                <w14:ligatures w14:val="none"/>
              </w:rPr>
              <w:t xml:space="preserve">CV eredetű </w:t>
            </w:r>
            <w:r w:rsidRPr="00145C8B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14:ligatures w14:val="none"/>
              </w:rPr>
              <w:t>halálozás/MI/stro</w:t>
            </w:r>
            <w:r w:rsidRPr="00145C8B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14:ligatures w14:val="none"/>
              </w:rPr>
              <w:t>ke összetett végpont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21B1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487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(6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,9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7384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7,8%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792C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0,84</w:t>
            </w:r>
          </w:p>
          <w:p w14:paraId="0175B31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(0,74;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0,95)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64E71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578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 xml:space="preserve"> (8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,2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2B78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9,0%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84858C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5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0,0043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lang w:val="en-US"/>
                <w14:ligatures w14:val="none"/>
              </w:rPr>
              <w:t xml:space="preserve"> (s)</w:t>
            </w:r>
          </w:p>
        </w:tc>
      </w:tr>
      <w:tr w:rsidR="00C62638" w:rsidRPr="00C62638" w14:paraId="6A31997D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6A891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CV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 xml:space="preserve"> halálozás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A42C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174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(2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,5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1673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2,9%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1CAC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0,83</w:t>
            </w:r>
          </w:p>
          <w:p w14:paraId="6EAC07C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(0,68;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1,01)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464C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210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(3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,0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B9C6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3,4%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5FD1C4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0,0676</w:t>
            </w:r>
          </w:p>
        </w:tc>
      </w:tr>
      <w:tr w:rsidR="00C62638" w:rsidRPr="00C62638" w14:paraId="74A45A15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DA533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lang w:val="en-US"/>
                <w14:ligatures w14:val="none"/>
              </w:rPr>
              <w:t>MI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8042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285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,0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53B5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4,5%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416DC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0,84</w:t>
            </w:r>
          </w:p>
          <w:p w14:paraId="261CBBC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(0,72;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0,98)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D081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338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,8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BBCF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5,2%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85DE19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0,0314</w:t>
            </w:r>
          </w:p>
        </w:tc>
      </w:tr>
      <w:tr w:rsidR="00C62638" w:rsidRPr="00C62638" w14:paraId="05AC81BB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0DD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Stroke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08D8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 xml:space="preserve">91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(1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,3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20F0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1,5%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6F54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0,75</w:t>
            </w:r>
          </w:p>
          <w:p w14:paraId="51EC830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(0,57;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0,98)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C76E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122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(1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,7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9FB9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1,9%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CD6C0B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0,0337</w:t>
            </w:r>
          </w:p>
        </w:tc>
      </w:tr>
      <w:tr w:rsidR="00C62638" w:rsidRPr="00C62638" w14:paraId="12C70EEC" w14:textId="77777777" w:rsidTr="00AF59D4">
        <w:trPr>
          <w:trHeight w:val="444"/>
        </w:trPr>
        <w:tc>
          <w:tcPr>
            <w:tcW w:w="883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5F9949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Másodlagos</w:t>
            </w:r>
            <w:r w:rsidRPr="00C62638">
              <w:rPr>
                <w:rFonts w:ascii="Times New Roman" w:eastAsia="Times New Roman" w:hAnsi="Times New Roman" w:cs="Times New Roman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végpont</w:t>
            </w:r>
          </w:p>
        </w:tc>
      </w:tr>
      <w:tr w:rsidR="00C62638" w:rsidRPr="00C62638" w14:paraId="2A4F4EC2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43CF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CV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 xml:space="preserve"> halálozás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2AEC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174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(2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,5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28289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2,9%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A90A7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5" w:right="12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0,83</w:t>
            </w:r>
          </w:p>
          <w:p w14:paraId="120304C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(0,68;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1,01)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BB4D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210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(3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,0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6695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3,4%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3F2F28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–</w:t>
            </w:r>
          </w:p>
        </w:tc>
      </w:tr>
      <w:tr w:rsidR="00C62638" w:rsidRPr="00C62638" w14:paraId="7E7E6BD0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3F8D2BE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Összmortalitás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5DA75C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289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,1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8E4BE2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4,7%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A60228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5" w:right="12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0,89</w:t>
            </w:r>
          </w:p>
          <w:p w14:paraId="251A7E8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(0,76;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1,04)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473B0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326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</w:t>
            </w:r>
            <w:proofErr w:type="gramStart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,6</w:t>
            </w:r>
            <w:proofErr w:type="gramEnd"/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558E3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5,2%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1E2EA50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–</w:t>
            </w:r>
          </w:p>
        </w:tc>
      </w:tr>
    </w:tbl>
    <w:p w14:paraId="52FAFC14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kockázati arányt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 w:val="18"/>
          <w:szCs w:val="20"/>
          <w:lang w:eastAsia="zh-CN"/>
          <w14:ligatures w14:val="none"/>
        </w:rPr>
        <w:t>p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-értékeket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tikagrelor vs.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acetilszalicilsav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monoterápia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esetén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Cox-féle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arányos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hazárd modellből került külön-külön számításra, úgy, hogy a terápiás csoport volt az egyetlen, feltáró jellegű változó.</w:t>
      </w:r>
    </w:p>
    <w:p w14:paraId="01A56C4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KM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százalékarány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36.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hónapban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került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kiszámításra.</w:t>
      </w:r>
    </w:p>
    <w:p w14:paraId="4238821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Megjegyzés: a cardiovascularis eredetű halálozás, MI és stroke összetevők esetén az első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események száma minden egyes összetevő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esetén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első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aktuális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száma,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adódik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hozzá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összetett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végpontban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lévő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események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számához.</w:t>
      </w:r>
    </w:p>
    <w:p w14:paraId="0CE29395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(s)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Statisztikai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szignifikanciát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jelez.</w:t>
      </w:r>
    </w:p>
    <w:p w14:paraId="6B446C0E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2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CI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konfidencia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intervallum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CV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cardiovascularis;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HR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relatív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hazárd;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KM =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Kaplan–Meier;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MI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infarctus; n = betegek száma</w:t>
      </w:r>
      <w:r w:rsidRPr="00145C8B">
        <w:rPr>
          <w:rFonts w:ascii="Times New Roman" w:eastAsia="SimSun" w:hAnsi="Times New Roman" w:cs="Times New Roman"/>
          <w:snapToGrid w:val="0"/>
          <w:kern w:val="0"/>
          <w:sz w:val="20"/>
          <w:szCs w:val="20"/>
          <w:lang w:eastAsia="zh-CN"/>
          <w14:ligatures w14:val="none"/>
        </w:rPr>
        <w:t>.</w:t>
      </w:r>
    </w:p>
    <w:p w14:paraId="3AF2466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B82C34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 a naponta kétszer 60 mg-os, mind a naponta kétszer 90 mg-os, acetilszalicilsavval kombinált tikagrelor adagolási rend jobb volt az atherothromboticus események megelőzésében, mint a monoterápiában adott acetilszalicilsav (összetett végpont: cardiovascularis eredetű halálozás, MI és stroke),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konzisztens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mutatott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időszak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alatt,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16%-os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relatív kockázatcsökkenést (RRR) és 1,27%-os abszolút kockázatcsökkenést (ARR) eredményezett a 60 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valamint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15%-os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RRR-t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1,19%-os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ARR-t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eredményezett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tikagrelor-kezelés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esetén.</w:t>
      </w:r>
      <w:proofErr w:type="gramEnd"/>
    </w:p>
    <w:p w14:paraId="628AD5B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365DD9" w14:textId="2D9D4A24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Noha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 mg-os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 mg-os tikagrelor-dózis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profilja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hasonló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bizonyíték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arra,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alacsonyabb dózis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tolerabilitása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dyspnoéra vonatkozó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profilja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jobb. Ezért azoknál a betegeknél, akiknek az anamnézisében MI szerepel, és magas náluk az atherothromboticus események kialakulásának a kockázata, az atherothromboticus események (cardiovascularis eredetű halálozás, MI és stroke) megelőzésére csak az acetilszalicilsavval együtt adott, naponta kétszer 60 mg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javasolt.</w:t>
      </w:r>
    </w:p>
    <w:p w14:paraId="57BB0B6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B213E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önmagában adott acetilszalicilsavhoz képest a naponta kétszer 60 mg tikagrelor jelentősen csökkentette a cardiovascularis eredetű halálozás, MI és stroke elsődleges összetett végpontot. Az összes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összetevő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hozzájárult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elsődleges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összetett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csökkenéséhez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(cardiovascularis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eredetű halálozás 17% RRR, MI 16% RRR és stroke 25% RRR).</w:t>
      </w:r>
    </w:p>
    <w:p w14:paraId="73B2D52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EA7BDD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összetett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relatív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kockázatcsökkenés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1–360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között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(17%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RRR), valamint a 361. napot követően (16% RRR) hasonló volt. A tikagrelor hatásosságára és biztonságosságára vonatkozóan korlátozott mennyiségű adat áll rendelkezésre a 3 éven túli, kiterjesztett kezeléssel kapcsolatosan.</w:t>
      </w:r>
    </w:p>
    <w:p w14:paraId="7429B89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9B657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Klinikailag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stabil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évvel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korábbi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ADP-receptor-inhibitor-kezelés befejezése után történő, naponta kétszer 60 mg tikagrelor-kezelés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bevezetésének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előnyére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 volt bizonyíték (nem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 eredetű halálozás, MI és stroke elsődleges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végpontban, míg növekedés volt a jelentős vérzés esetében) (lásd még 4.2 pont).</w:t>
      </w:r>
    </w:p>
    <w:p w14:paraId="0791C8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EB3770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biztonságosság</w:t>
      </w:r>
    </w:p>
    <w:p w14:paraId="45E93FA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naponta kétszer adott 60 mg tikagrelor-kezelés során a kezelés vérzés és dyspnoe következtében történő abbahagyásának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aránya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≥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(42%),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fiatalabb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 (23–31%),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placebohoz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viszonyítva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az arányok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10%-nál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eltérést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(42% vs. 29%) mutattak a ≥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.</w:t>
      </w:r>
    </w:p>
    <w:p w14:paraId="203AA41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04B593F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Gyermekek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serdülők</w:t>
      </w:r>
    </w:p>
    <w:p w14:paraId="44FB535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randomizált,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kettős vak,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párhuzamos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csoportos,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III-as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fázisú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(HESTIA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3)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vizsgálatba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193 gyermek- és serdülőkorú (2 évestől betöltött 18 éves korig), sarlósejtes vérszegénységben szenvedő beteget randomizáltak, akik vagy 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placebót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vagy a testtömegüktől függően, napi kétszer 15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45 mg dózistartományban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kaptak.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dinamikus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egyensúlyi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állapotban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bevétele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35%-os, 2 órával a dózis bevétele után pedig 56%-os thrombocytagátlást eredményezett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(medián értékek)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8B9D35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ED0E5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vaso-okkluzív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krízis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előfordulása tekintetében,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tikagrelornak</w:t>
      </w:r>
      <w:r w:rsidRPr="00C62638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előnye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placebóhoz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képest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.</w:t>
      </w:r>
    </w:p>
    <w:p w14:paraId="204CDF5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40204F51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Európai Gyógyszerügynökség gyermekek és serdülők esetén minden korosztálynál eltekint a tikagrelor-tartalmú referenciakészítmény vizsgálati eredményeinek benyújtási kötelezettségétől acut coronaria szindrómában, és ha az anamnézisben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(MI)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pont, gyermekgyógyászati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alkalmazásra vonatkozó információk).</w:t>
      </w:r>
    </w:p>
    <w:p w14:paraId="328F99F0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A1158EA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5.2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Farmakokinetikai tulajdonságok</w:t>
      </w:r>
    </w:p>
    <w:p w14:paraId="168CE2DA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35E7708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lineáris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farmakokinetikát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mutat,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tikagrelor, valamint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(AR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C124910XX) expozíciója 1260 mg-ig megközelítőleg a dózissal arányosak.</w:t>
      </w:r>
    </w:p>
    <w:p w14:paraId="0AD3DE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D0231D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Felszívódás</w:t>
      </w:r>
    </w:p>
    <w:p w14:paraId="583ED0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felszívódása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gyors,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medián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kb. 1,5 óra.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fő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keringő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metabolit,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AR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C124910XX (szintén aktív) tikagrelorból történő képződése gyors, a medián t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</w:t>
      </w:r>
      <w:r w:rsidRPr="00C62638">
        <w:rPr>
          <w:rFonts w:ascii="Times New Roman" w:eastAsia="Times New Roman" w:hAnsi="Times New Roman" w:cs="Times New Roman"/>
          <w:spacing w:val="32"/>
          <w:kern w:val="0"/>
          <w:sz w:val="14"/>
          <w14:ligatures w14:val="none"/>
        </w:rPr>
        <w:t>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-érték kb. 2,5 óra. Egyetlen 90 mg-os tikagrelor dózis egészséges alanyoknak, éhgyomorra történő, </w:t>
      </w:r>
      <w:r w:rsidRPr="00C62638">
        <w:rPr>
          <w:rFonts w:ascii="Times New Roman" w:eastAsia="Times New Roman" w:hAnsi="Times New Roman" w:cs="Times New Roman"/>
          <w:i/>
          <w:kern w:val="0"/>
          <w:position w:val="2"/>
          <w14:ligatures w14:val="none"/>
        </w:rPr>
        <w:t xml:space="preserve">per os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adását követően 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23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értéke 529 ng/ml, az AUC értéke pedig 3451 ng × óra/ml. A metabolit/anyavegyület arány 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31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mellett 0,28, az AUC esetén pedig 0,42. A tikagrelor és az AR-C124910XX farmakokinetikai tulajdonságai azoknál a betegeknél, akiknek az anamnézisében MI szerepel, általánosságban az acut coronaria szindrómás populációéhoz hasonló volt. A PEGASUS vizsgálat populációs farmakokinetikai analízise alapján dinamikus egyensúlyi állapotban a medián C</w:t>
      </w:r>
      <w:r w:rsidRPr="00C62638">
        <w:rPr>
          <w:rFonts w:ascii="Times New Roman" w:eastAsia="Times New Roman" w:hAnsi="Times New Roman" w:cs="Times New Roman"/>
          <w:kern w:val="0"/>
          <w:position w:val="2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391 ng/ml, az AUC pedig 3801 ng × óra/ml volt 60 mg tikagrelor alkalmazása esetén. Dinamikus egyensúlyi állapotban a C</w:t>
      </w:r>
      <w:r w:rsidRPr="00C62638">
        <w:rPr>
          <w:rFonts w:ascii="Times New Roman" w:eastAsia="Times New Roman" w:hAnsi="Times New Roman" w:cs="Times New Roman"/>
          <w:kern w:val="0"/>
          <w:position w:val="2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627 ng/ml, az AUC pedig 6255 ng × óra/ml volt 90 mg tikagrelor alkalmazása esetén.</w:t>
      </w:r>
    </w:p>
    <w:p w14:paraId="7CDF53F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1EA55F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tikagrelor átlagos abszolút biohasznosulását 36%-osnak becsülték. Magas zsírtartalmú étel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fogyasztása a tikagrelor AUC-értékének 21%-os növekedését, és az aktív metabolit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-értékének 22%-os csökkenését idézte elő, de nem befolyásolta a tikagrelor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 vagy az aktív metabolit AUC-értékét. Ezeknek a kis változásoknak a klinikai jelentőségét minimálisnak tekintik, ezért a tikagrelor étkezés közben vagy attól függetlenül is adható. A tikagrelor és az aktív metabolit is P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gp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szubsztrát.</w:t>
      </w:r>
    </w:p>
    <w:p w14:paraId="49462A3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3CF96D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 összetört, vízzel elkevert tabletta formájában szájon át beadott, vagy nazogasztrikus szondán keresztül a gyomorba juttatott tikagrelor biohasznosulása a tikagrelor és az aktív metabolit AUC- és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tekintve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egészben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alkalmazott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tablettákéhoz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hasonló.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összetört,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vízzel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elkevert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tikagrelor-tabletták kezdeti expozíciója (0,5 és 1 órával a dózis beadása után) magasabb volt, mint az egészben alkalmazott tablettáké; ezt követően (2–48 óra elteltével) általánosságban azonos koncentrációs profilt mutatott.</w:t>
      </w:r>
    </w:p>
    <w:p w14:paraId="6DDA9BC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9734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Eloszlás</w:t>
      </w:r>
    </w:p>
    <w:p w14:paraId="21B8969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dinamikus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egyensúlyi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megoszlási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térfogata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87,5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liter.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nagymértékben kötődik a human plazmaproteinhez (&gt; 99,0%).</w:t>
      </w:r>
    </w:p>
    <w:p w14:paraId="41769B7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35FD7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Biotranszformáció</w:t>
      </w:r>
    </w:p>
    <w:p w14:paraId="7848A5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metabolizmusáért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kialakulásáért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felelős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enzim,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 más, CYP3A-szubsztrátokkal való interakciójuk az aktiváción át az inhibícióig terjed.</w:t>
      </w:r>
    </w:p>
    <w:p w14:paraId="15F49F9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9A1B6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fő</w:t>
      </w:r>
      <w:r w:rsidRPr="00C62638">
        <w:rPr>
          <w:rFonts w:ascii="Times New Roman" w:eastAsia="Times New Roman" w:hAnsi="Times New Roman" w:cs="Times New Roman"/>
          <w:spacing w:val="-1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metabolitja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AR-C124910XX,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ami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thrombocyta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P2Y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spacing w:val="20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ADP-receptorához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történő </w:t>
      </w:r>
      <w:r w:rsidRPr="00C62638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in vitro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kötődés mérése alapján szintén aktív. Az aktív metabolit szisztémás expozíciója a tikagrelor esetén elért expozíció megközelítőleg a 30–40%-a.</w:t>
      </w:r>
    </w:p>
    <w:p w14:paraId="071ADC5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700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2C83FB3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Elimináció</w:t>
      </w:r>
    </w:p>
    <w:p w14:paraId="5E48CE8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eliminációjának elsődleges útvonala a hepaticus metabolizmus. Radioaktív izotóppal jelölt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adásakor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átlagosan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visszanyerhető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radioaktivitás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mintegy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84%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(57,8%-a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székletből, 26,5%-a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vizeletből).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vizeletből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visszanyerhető tikagrelor 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egyaránt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kevesebb,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mint a dózis 1%-a. Az aktív metabolit eliminációjának elsődleges útvonala legnagyobb valószínűséggel a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biliaris szekréció. Az átlagos t</w:t>
      </w:r>
      <w:r w:rsidRPr="00C62638">
        <w:rPr>
          <w:rFonts w:ascii="Times New Roman" w:eastAsia="Times New Roman" w:hAnsi="Times New Roman" w:cs="Times New Roman"/>
          <w:kern w:val="0"/>
          <w:sz w:val="14"/>
          <w:vertAlign w:val="subscript"/>
          <w14:ligatures w14:val="none"/>
        </w:rPr>
        <w:t>1/2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a tikagrelor esetén mintegy 7 óra, és az aktív metabolit esetén pedig kb. 8,5 óra volt.</w:t>
      </w:r>
    </w:p>
    <w:p w14:paraId="2A29278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DE4F3F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Különleges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betegcsoportok</w:t>
      </w:r>
    </w:p>
    <w:p w14:paraId="7692D842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5"/>
          <w14:ligatures w14:val="none"/>
        </w:rPr>
      </w:pPr>
    </w:p>
    <w:p w14:paraId="7A7F5AE7" w14:textId="77777777" w:rsidR="00C62638" w:rsidRPr="00145C8B" w:rsidRDefault="00C62638" w:rsidP="007E1C5F">
      <w:pPr>
        <w:keepNext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Idős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ek</w:t>
      </w:r>
    </w:p>
    <w:p w14:paraId="02CF44B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populációs farmakokinetikai analízisek során idős (≥ 75 év), acut coronaria szindrómás betegeknél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magasabb expozíciót észleltek mind a tikagrelor (a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27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és az AUC esetén is egyaránt kb. 25%-kal),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pedig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fiatalabb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betegeknél. Ezeket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különbségeket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tartják klinikailag jelentősnek (lásd 4.2 pont).</w:t>
      </w:r>
    </w:p>
    <w:p w14:paraId="648C9AA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11658B6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Gyermekek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serdülők</w:t>
      </w:r>
    </w:p>
    <w:p w14:paraId="5155E64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Sarlósejtes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vérszegénységben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 gyermekeknél korlátozott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mennyiségű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rendelkezésre (lásd 4.2 és 5.1 pont).</w:t>
      </w:r>
    </w:p>
    <w:p w14:paraId="6770196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528C0B31" w14:textId="4C67C611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HESTIA 3 vizsgálatban 2 évestől betöltött 18 éves korig vettek részt betegek, akik testtömege ≥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 kg–≤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24 kg</w:t>
      </w:r>
      <w:proofErr w:type="gramStart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&gt;</w:t>
      </w:r>
      <w:proofErr w:type="gramEnd"/>
      <w:r w:rsidRPr="00C62638">
        <w:rPr>
          <w:rFonts w:ascii="Times New Roman" w:eastAsia="Times New Roman" w:hAnsi="Times New Roman" w:cs="Times New Roman"/>
          <w:kern w:val="0"/>
          <w14:ligatures w14:val="none"/>
        </w:rPr>
        <w:t> 24 kg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≤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48 kg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 &gt; 48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 15 mg-os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szájban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diszpergálódó, gyermekeknek való tabletta formájában kaptak ti</w:t>
      </w:r>
      <w:r w:rsidR="00AF1962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agrelort, 15 mg, 30 mg és 45 mg dózisban naponta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kétszer. 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populációs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farmakokinetikai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analízis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alapján,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dinamikus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egyensúlyi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állapotban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átlagos AUC-érték 1095 ng ×óra/ml és 1458 ng×óra/ml tartományban, a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 143 ng/ml és 206 ng/ml tartományban változott.</w:t>
      </w:r>
    </w:p>
    <w:p w14:paraId="6196312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59E8F458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eastAsia="zh-CN"/>
          <w14:ligatures w14:val="none"/>
        </w:rPr>
        <w:t>Nem</w:t>
      </w:r>
    </w:p>
    <w:p w14:paraId="58F2B6D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metabolit-expozíciót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észleltek,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férfiaknál.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különbségeket nem tartják klinikailag jelentősnek.</w:t>
      </w:r>
    </w:p>
    <w:p w14:paraId="725E803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69E42C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Vesekárosodás</w:t>
      </w:r>
    </w:p>
    <w:p w14:paraId="2F63415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expozíciója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megközelítőleg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20%-kal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alacsonyabb,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expozíciója pedig megközelítőleg 17%-kal magasabb volt a súlyos fokú vesekárosodásban szenvedő betegeknél (kreatinin-clearance &lt; 30 ml/perc), mint az egészséges veseműködésűeknél.</w:t>
      </w:r>
    </w:p>
    <w:p w14:paraId="0DCE091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3F551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Azoknál 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hemodialízis-kezelésben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részesülő,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végstádiumú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vesebetegségben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betegeknél,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akiknek a dialízismentes napon 90 mg tikagrelort adtak, az AUC- és 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-értékük 38%-kal és 51%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kal magasabb volt, a normális veseműködésű alanyokhoz képest. Az expozíció hasonló növekedését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figyelték meg, amikor a tikagrelort közvetlenül a dialízis-kezelés előtt adták (49% és 61%), azt mutatva, hogy a tikagrelor nem dializálható. Az aktív metabolit expozíciója kisebb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mértékben emelkedett (AUC 13–14% és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32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17–36%). A tikagrelor thrombocytaaggregáció-gátló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(inhibition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platelet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aggregation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– IPA)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végstádiumú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vesebetegségben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 független volt a dialízis-kezeléstől, és hasonló volt a normális veseműködésű alanyokéhoz (lásd 4.2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7CB0A48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70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A5BAD2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Májkárosodás</w:t>
      </w:r>
    </w:p>
    <w:p w14:paraId="33FCDF0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 tikagrelor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-értéke 12%-kal, AUC-értéke 23%-kal volt magasabb az enyhe fokú májkárosodásban szenvedő betegeknél, mint a nekik megfelelő, de egészséges egyéneknél, ugyanakkor a tikagrelor IPA-hatása a két csoport esetén hasonló volt. Az enyhe fokú májkárosodásban szenvedő betegeknél a dózis módosítása nem szükséges. A tikagrelort súlyos fokú májkárosodásban szenvedő betegeknél nem vizsgálták, és a közepes fokú májkárosodásban szenvedő betegeknél nincs farmakokinetikai információ. Azoknál a betegeknél, akiknél a vizsgálat megkezdésekor egy vagy több májfunkciós vizsgálati eredmény közepes vagy súlyos mértékben megemelkedett, a tikagrelor-plazmakoncentráció átlagosan hasonló vagy kissé magasabb volt, mint azoknál, akiknél a kiindulási értékek nem voltak emelkedettek. A közepes fokú májkárosodásban szenvedő betegek esetén nem javasolt a dózis módosítása (lásd 4.2 és 4.4 pont).</w:t>
      </w:r>
    </w:p>
    <w:p w14:paraId="070520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6ABAE737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 xml:space="preserve">Etnikai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hovatartozás</w:t>
      </w:r>
    </w:p>
    <w:p w14:paraId="1F452A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Ázsiai eredetű betegeknél az átlagos biohasznosulás 39%-kal magasabb, mint a kaukázusi betegeknél. A magukat fekete bőrűnek mondó betegeknél a tikagrelor biohasznosulása 18%-kal alacsonyabb volt,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kaukázusi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betegeknél.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farmakológiai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vizsgálatokban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tikagrelor-expozíció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(C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21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és AUC)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japán személyeknél mintegy 40%-kal (testtömegre történő korrekciót követően 20%-kal) magasabb volt, mint a kaukázusiaknál. A saját magukat spanyolajkúnak vagy latinamerikainak azonosító betegeknél az expozíció hasonló volt, mint a kaukázusiaknál.</w:t>
      </w:r>
    </w:p>
    <w:p w14:paraId="3B7A9F8C" w14:textId="77777777" w:rsidR="00C62638" w:rsidRPr="00C62638" w:rsidRDefault="00C62638" w:rsidP="00C62638">
      <w:pPr>
        <w:widowControl w:val="0"/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i/>
          <w:noProof/>
          <w:snapToGrid w:val="0"/>
          <w:kern w:val="0"/>
          <w:szCs w:val="24"/>
          <w:lang w:eastAsia="zh-CN"/>
          <w14:ligatures w14:val="none"/>
        </w:rPr>
      </w:pPr>
    </w:p>
    <w:p w14:paraId="6A479DEA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5.3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preklinikai biztonságossági vizsgálatok eredményei</w:t>
      </w:r>
    </w:p>
    <w:p w14:paraId="588214F7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116B245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hagyományos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farmakológiai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biztonságossági,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egyszeri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ismételt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adagolású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dózistoxicitási 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genotoxicitási vizsgálatokból származó, a tikagrelorral és annak fő metabolitjával kapcsolatos nem klinikai jellegű adatok azt igazolták, hogy </w:t>
      </w: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a készítmény alkalmazásakor humán vonatkozásban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mellékhatások elfogadhatatlan</w:t>
      </w: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kockázata nem várható.</w:t>
      </w:r>
    </w:p>
    <w:p w14:paraId="565E0AE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D600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állatfajnál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klinikailag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relaváns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expozíciós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szintek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gastrointestinalis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irritációt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figyeltek meg (lásd 4.8 pont).</w:t>
      </w:r>
    </w:p>
    <w:p w14:paraId="5CDC8AF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CB95A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Nőstény patkányoknál a tikagrelor nagy dózisban a méhdaganatok (adenocarcinomák) és a májadenomák magasabb előfordulási gyakoriságát mutatta. A méhdaganatok kialakulásának mechanizmusa valószínűleg a hormonális egyensúly felborulása, ami patkányoknál tumorok kialakulásához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vezethet.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májadenomák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kialakulási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mechanizmusa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valószínűleg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májban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lévő, a rágcsálókra jellemző enzim indukciója. Ezért a karcinogenitási eredmények emberek esetében valószínűleg irrelevánsnak tekinthetők.</w:t>
      </w:r>
    </w:p>
    <w:p w14:paraId="0437CC9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B01F1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Patkányoknál anyai toxicitást okozó dózisok mellett (5,1-es biztonságossági határ) kismértékű fejlődési anomáliákat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észleltek.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Nyulaknál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anyai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okozó,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dózisok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magzatoknál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máj érésének és a csontváz fejlődésének kisfokú késését észlelték (4,5-es biztonságossági határ).</w:t>
      </w:r>
    </w:p>
    <w:p w14:paraId="5EA64AB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8E1F4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Patkányokkal és nyulakkal végzett vizsgálatok az anyai testtömeg-növekedés enyhe csökkenésével, valamint a neonatális életképesség és a születési súly csökkenésével, és lassabb növekedéssel járó reprodukciós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mutattak.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nőstény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patkányoknál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szabálytalan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(elsősorban megnyúlt) ciklusokat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idézett elő, de összességében nem befolyásolta a hím és a nőstény patkányok fertilitását. A radioaktív izotóppal jelölt tikagrelorral végzett farmakokinetikai vizsgálatok azt mutatták, hogy az anyavegyület és annak metabolitjai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patkányoknál kiválasztódnak az anyatejbe (lásd 4.6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6352F933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12F16E3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68DB186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GYÓGYSZERÉSZETI JELLEMZŐK</w:t>
      </w:r>
    </w:p>
    <w:p w14:paraId="04E017DC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23FFF80C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6.1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Segédanyagok felsorolása</w:t>
      </w:r>
    </w:p>
    <w:p w14:paraId="2DDBA380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E1C4448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:u w:val="single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:u w:val="single"/>
          <w14:ligatures w14:val="none"/>
        </w:rPr>
        <w:t>Tablettamag</w:t>
      </w:r>
    </w:p>
    <w:p w14:paraId="7D7475BD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proofErr w:type="gramStart"/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mannit</w:t>
      </w:r>
      <w:proofErr w:type="gramEnd"/>
      <w:r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(E421)</w:t>
      </w:r>
    </w:p>
    <w:p w14:paraId="77D5CFF7" w14:textId="77777777" w:rsidR="00C62638" w:rsidRPr="00145C8B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alacsony</w:t>
      </w:r>
      <w:r w:rsidRPr="00145C8B">
        <w:rPr>
          <w:rFonts w:ascii="Times New Roman" w:eastAsia="SimSun" w:hAnsi="Times New Roman" w:cs="Times New Roman"/>
          <w:bCs/>
          <w:snapToGrid w:val="0"/>
          <w:kern w:val="0"/>
          <w:szCs w:val="20"/>
          <w:lang w:val="de-DE" w:eastAsia="zh-CN"/>
          <w14:ligatures w14:val="none"/>
        </w:rPr>
        <w:t xml:space="preserve"> szubsztitúciós fokú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hidroxipropilcellulóz</w:t>
      </w:r>
    </w:p>
    <w:p w14:paraId="60981DC1" w14:textId="77777777" w:rsidR="00C62638" w:rsidRPr="00145C8B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kalcium-hidrogén-foszfát-dihidrát</w:t>
      </w:r>
    </w:p>
    <w:p w14:paraId="46BA6C06" w14:textId="77777777" w:rsidR="00C62638" w:rsidRPr="00145C8B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C62638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magnézium-sztearát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(E470b)</w:t>
      </w:r>
    </w:p>
    <w:p w14:paraId="78CF0622" w14:textId="77777777" w:rsidR="00C62638" w:rsidRPr="00C62638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TimesNewRoman" w:hAnsi="Times New Roman" w:cs="Times New Roman"/>
          <w:b/>
          <w:snapToGrid w:val="0"/>
          <w:color w:val="00000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szilícium-dioxid-tartalmú hidroxipropilcellulóz (E463)</w:t>
      </w:r>
    </w:p>
    <w:p w14:paraId="392B2C08" w14:textId="77777777" w:rsidR="00C62638" w:rsidRPr="00C62638" w:rsidRDefault="00C62638" w:rsidP="00C62638">
      <w:pPr>
        <w:widowControl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44F51D" w14:textId="77777777" w:rsidR="00C62638" w:rsidRPr="00C62638" w:rsidRDefault="00C62638" w:rsidP="00C62638">
      <w:pPr>
        <w:widowControl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Filmbevonat</w:t>
      </w:r>
    </w:p>
    <w:p w14:paraId="187C3AF2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hipromellóz</w:t>
      </w:r>
      <w:proofErr w:type="gramEnd"/>
      <w:r w:rsidRPr="00C62638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 xml:space="preserve"> 2910 (E464)</w:t>
      </w:r>
    </w:p>
    <w:p w14:paraId="70EE0E7B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titán-dioxid (E171)</w:t>
      </w:r>
    </w:p>
    <w:p w14:paraId="77AE8A34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makrogol 400 (E1521)</w:t>
      </w:r>
    </w:p>
    <w:p w14:paraId="7DF8E11A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talkum (E553b)</w:t>
      </w:r>
    </w:p>
    <w:p w14:paraId="4FE09828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vörös vas-oxid (E172) (csak a 60 mg-os filmtablettában)</w:t>
      </w:r>
    </w:p>
    <w:p w14:paraId="763A1E27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sárga</w:t>
      </w:r>
      <w:proofErr w:type="gramEnd"/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vas-oxid (E172)</w:t>
      </w:r>
    </w:p>
    <w:p w14:paraId="2EA3C664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gramStart"/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fekete</w:t>
      </w:r>
      <w:proofErr w:type="gramEnd"/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vas-oxid (E172) (csak a 60 mg-os filmtablettában)</w:t>
      </w:r>
    </w:p>
    <w:p w14:paraId="5BFEA67F" w14:textId="77777777" w:rsidR="00C62638" w:rsidRPr="00C62638" w:rsidRDefault="00C62638" w:rsidP="00C62638">
      <w:pPr>
        <w:widowControl w:val="0"/>
        <w:spacing w:after="0" w:line="240" w:lineRule="auto"/>
        <w:ind w:right="170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3462A81" w14:textId="77777777" w:rsidR="00C62638" w:rsidRPr="00C62638" w:rsidRDefault="00C62638" w:rsidP="00C62638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6.2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Inkompatibilitások</w:t>
      </w:r>
    </w:p>
    <w:p w14:paraId="45D984EF" w14:textId="77777777" w:rsidR="00C62638" w:rsidRPr="00C62638" w:rsidRDefault="00C62638" w:rsidP="00C62638">
      <w:pPr>
        <w:keepNext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4CD9825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Nem értelmezhető.</w:t>
      </w:r>
    </w:p>
    <w:p w14:paraId="1E529CAF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6251A5DC" w14:textId="77777777" w:rsidR="00C62638" w:rsidRPr="00C62638" w:rsidRDefault="00C62638" w:rsidP="007E1C5F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6.3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Felhasználhatósági időtartam</w:t>
      </w:r>
    </w:p>
    <w:p w14:paraId="7154E347" w14:textId="77777777" w:rsidR="00C62638" w:rsidRPr="00C62638" w:rsidRDefault="00C62638" w:rsidP="007E1C5F">
      <w:pPr>
        <w:keepNext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0A00C62" w14:textId="74546A2D" w:rsidR="00C62638" w:rsidRPr="00C62638" w:rsidRDefault="00F943C5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  <w:t>4</w:t>
      </w:r>
      <w:r w:rsidR="00C62638"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 év</w:t>
      </w:r>
    </w:p>
    <w:p w14:paraId="7707F386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0716596A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6.4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tárolási előírások</w:t>
      </w:r>
    </w:p>
    <w:p w14:paraId="7F70E330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8C8A4AC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 a gyógyszer nem igényel különleges tárolást.</w:t>
      </w:r>
    </w:p>
    <w:p w14:paraId="34621441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1AFDD2D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6.5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Csomagolás típusa és kiszerelése </w:t>
      </w:r>
    </w:p>
    <w:p w14:paraId="42C4DFD7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5CC0271" w14:textId="106BACDB" w:rsidR="00C62638" w:rsidRPr="00145C8B" w:rsidRDefault="0053658F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Krusaxyl</w:t>
      </w:r>
      <w:r w:rsidR="00C62638" w:rsidRPr="00145C8B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 xml:space="preserve"> 60 mg filmtabletta</w:t>
      </w:r>
    </w:p>
    <w:p w14:paraId="431090D4" w14:textId="52B45688" w:rsidR="00F81D51" w:rsidRPr="00487590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color w:val="000000"/>
          <w:kern w:val="0"/>
          <w14:ligatures w14:val="none"/>
        </w:rPr>
      </w:pP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60</w:t>
      </w:r>
      <w:r w:rsidRPr="00487590">
        <w:rPr>
          <w:rFonts w:ascii="Times New Roman" w:eastAsia="TimesNewRoman" w:hAnsi="Times New Roman" w:cs="Times New Roman"/>
          <w:color w:val="000000"/>
          <w:kern w:val="0"/>
          <w14:ligatures w14:val="none"/>
        </w:rPr>
        <w:t xml:space="preserve"> db vagy 180 db filmtabletta </w:t>
      </w:r>
      <w:r w:rsidRPr="0048759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PVC/PVDC//Al buborékcsomagolás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 xml:space="preserve">ban </w:t>
      </w: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 xml:space="preserve">nap és hold </w:t>
      </w:r>
      <w:r>
        <w:rPr>
          <w:rFonts w:ascii="Times New Roman" w:eastAsia="Times New Roman" w:hAnsi="Times New Roman" w:cs="Times New Roman"/>
          <w:kern w:val="0"/>
          <w14:ligatures w14:val="none"/>
        </w:rPr>
        <w:t>szimbólum</w:t>
      </w:r>
      <w:r w:rsidR="00F777B7">
        <w:rPr>
          <w:rFonts w:ascii="Times New Roman" w:eastAsia="Times New Roman" w:hAnsi="Times New Roman" w:cs="Times New Roman"/>
          <w:kern w:val="0"/>
          <w14:ligatures w14:val="none"/>
        </w:rPr>
        <w:t>okkal ellátva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>dobozban.</w:t>
      </w:r>
    </w:p>
    <w:p w14:paraId="6D90E825" w14:textId="210BE28E" w:rsidR="00F81D51" w:rsidRPr="00DA5AE4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14 db, 56 db vagy 168 db filmtabletta PVC/PVDC//Al </w:t>
      </w:r>
      <w:r w:rsidR="004151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naptárjelzéses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buborékcsomagolásban 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(nap és hold szimbólum</w:t>
      </w:r>
      <w:r w:rsidR="00F777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okkal ellátva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)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6B26D4C4" w14:textId="77777777" w:rsidR="00F81D51" w:rsidRPr="00DA5AE4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14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db, 56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db, 60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db, 168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 vagy 180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 filmtabletta adagonként perforált PVC/PVDC//Al buborékcsomagolásban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6A6EFA20" w14:textId="77777777" w:rsidR="00C62638" w:rsidRPr="00145C8B" w:rsidRDefault="00C62638" w:rsidP="00C62638">
      <w:pPr>
        <w:tabs>
          <w:tab w:val="left" w:pos="567"/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</w:p>
    <w:p w14:paraId="3E7E8327" w14:textId="75DB0569" w:rsidR="00C62638" w:rsidRPr="00C62638" w:rsidRDefault="0053658F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u w:val="single"/>
          <w:lang w:val="en-US"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u w:val="single"/>
          <w:lang w:val="en-US" w:eastAsia="zh-CN"/>
          <w14:ligatures w14:val="none"/>
        </w:rPr>
        <w:t>Krusaxyl</w:t>
      </w:r>
      <w:r w:rsidR="00C62638" w:rsidRPr="00C62638">
        <w:rPr>
          <w:rFonts w:ascii="Times New Roman" w:eastAsia="SimSun" w:hAnsi="Times New Roman" w:cs="Times New Roman"/>
          <w:snapToGrid w:val="0"/>
          <w:kern w:val="0"/>
          <w:u w:val="single"/>
          <w:lang w:val="en-US" w:eastAsia="zh-CN"/>
          <w14:ligatures w14:val="none"/>
        </w:rPr>
        <w:t xml:space="preserve"> 90 mg filmtabletta</w:t>
      </w:r>
    </w:p>
    <w:p w14:paraId="6D7A4034" w14:textId="5FFF19B5" w:rsidR="00F81D51" w:rsidRPr="00487590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color w:val="000000"/>
          <w:kern w:val="0"/>
          <w14:ligatures w14:val="none"/>
        </w:rPr>
      </w:pP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60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 db, 100 db vagy 180 db filmtabletta PVC/PVDC//Al buborékcsomagolásban </w:t>
      </w: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 xml:space="preserve">nap és hold </w:t>
      </w:r>
      <w:r>
        <w:rPr>
          <w:rFonts w:ascii="Times New Roman" w:eastAsia="Times New Roman" w:hAnsi="Times New Roman" w:cs="Times New Roman"/>
          <w:kern w:val="0"/>
          <w14:ligatures w14:val="none"/>
        </w:rPr>
        <w:t>szimbólu</w:t>
      </w:r>
      <w:r w:rsidR="00F777B7">
        <w:rPr>
          <w:rFonts w:ascii="Times New Roman" w:eastAsia="Times New Roman" w:hAnsi="Times New Roman" w:cs="Times New Roman"/>
          <w:kern w:val="0"/>
          <w14:ligatures w14:val="none"/>
        </w:rPr>
        <w:t>mokkal ellátva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>dobozban.</w:t>
      </w:r>
    </w:p>
    <w:p w14:paraId="7C4C9E44" w14:textId="43A68BA8" w:rsidR="00F81D51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14 db, 56 db vagy 168 db filmtabletta PVC/PVDC//Al </w:t>
      </w:r>
      <w:r w:rsidR="004151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naptárjelzéses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buborékcsomagolásban 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(nap és hold szimbólum</w:t>
      </w:r>
      <w:r w:rsidR="00F777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okkal ellátva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)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7D4A317B" w14:textId="5F1C4B5B" w:rsidR="00F81D51" w:rsidRPr="00F81D51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F81D51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14 × 1 db, 56 × 1 db, 60 × 1 db,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 </w:t>
      </w:r>
      <w:r w:rsidRPr="00F81D51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100 ×1 db,168 × 1 db vagy 180 × 1 db filmtabletta adagonként perforált PVC/PVDC//Al buborékcsomagolásban</w:t>
      </w:r>
      <w:r w:rsidR="00AE31E8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F81D51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6407F569" w14:textId="77777777" w:rsidR="00C62638" w:rsidRPr="00145C8B" w:rsidRDefault="00C62638" w:rsidP="00C62638">
      <w:pPr>
        <w:widowControl w:val="0"/>
        <w:spacing w:after="0" w:line="240" w:lineRule="auto"/>
        <w:ind w:right="-2"/>
        <w:jc w:val="both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05EB794" w14:textId="77777777" w:rsidR="00C62638" w:rsidRPr="00145C8B" w:rsidRDefault="00C62638" w:rsidP="00C62638">
      <w:pPr>
        <w:widowControl w:val="0"/>
        <w:spacing w:after="0" w:line="240" w:lineRule="auto"/>
        <w:ind w:right="-2"/>
        <w:jc w:val="both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Nem feltétlenül mindegyik kiszerelés kerül kereskedelmi forgalomba.</w:t>
      </w:r>
    </w:p>
    <w:p w14:paraId="6CB57AF6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093B132D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6.6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megsemmisítésre vonatkozó különleges óvintézkedések</w:t>
      </w:r>
    </w:p>
    <w:p w14:paraId="3A5B56BA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D1AEBF2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Azoknak a betegeknek, akik nem tudják a tablettá(ka)t egészben lenyelni, a tabletták finom porrá törhetők, és fél pohár vízben elkeverve azonnal megihatók. A poharat további fél pohár vízzel ki kell öblíteni, és a pohár tartalmát meg kell inni. A finom porrá zúzott és fél pohár vízben elkevert tabletták (CH8 vagy nagyobb átmérőjű) nazogasztrikus szondán át is beadhatók. Fontos, hogy a keverék beadása után a nazogasztrikus csövet vízzel át kell öblíteni.</w:t>
      </w:r>
    </w:p>
    <w:p w14:paraId="6CDA7C9A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4EB0A0C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Bármilyen fel nem használt gyógyszer, illetve hulladékanyag megsemmisítését a gyógyszerekre vonatkozó előírások szerint kell végrehajtani.</w:t>
      </w:r>
    </w:p>
    <w:p w14:paraId="17ED29A1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093AC6BA" w14:textId="77777777" w:rsidR="009B4422" w:rsidRPr="00145C8B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Megjegyzés</w:t>
      </w:r>
      <w:r w:rsidRPr="009B4422">
        <w:rPr>
          <w:rFonts w:ascii="Times New Roman" w:eastAsia="Times New Roman" w:hAnsi="Times New Roman" w:cs="Times New Roman"/>
          <w:noProof/>
          <w:kern w:val="0"/>
          <w14:ligatures w14:val="none"/>
        </w:rPr>
        <w:t>:</w:t>
      </w:r>
      <w:r w:rsidRPr="009B4422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 xml:space="preserve"> </w:t>
      </w:r>
      <w:r w:rsidRPr="009B4422">
        <w:rPr>
          <w:rFonts w:ascii="Times New Roman" w:eastAsia="Times New Roman" w:hAnsi="Times New Roman" w:cs="Times New Roman"/>
          <w:noProof/>
          <w:kern w:val="0"/>
          <w:lang w:val="en-GB"/>
          <w14:ligatures w14:val="none"/>
        </w:rPr>
        <w:sym w:font="Wingdings" w:char="F058"/>
      </w:r>
      <w:r w:rsidRPr="00145C8B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(egy keresztes)</w:t>
      </w:r>
    </w:p>
    <w:p w14:paraId="2EE68D73" w14:textId="77777777" w:rsidR="009B4422" w:rsidRPr="009B4422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Osztályozás: II./1. csoport</w:t>
      </w:r>
    </w:p>
    <w:p w14:paraId="5DCD35A0" w14:textId="77777777" w:rsidR="009B4422" w:rsidRPr="009B4422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noProof/>
          <w:kern w:val="0"/>
          <w14:ligatures w14:val="none"/>
        </w:rPr>
        <w:t>Korlátozott érvényű orvosi rendelvényhez kötött, szakorvosi/kórházi diagnózist követő járóbeteg-ellátásban alkalmazható gyógyszer (J).</w:t>
      </w:r>
    </w:p>
    <w:p w14:paraId="248F3034" w14:textId="77777777" w:rsidR="009B4422" w:rsidRPr="009B4422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0C3518A" w14:textId="77777777" w:rsidR="009B4422" w:rsidRPr="00C62638" w:rsidRDefault="009B4422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6A442086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7.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JOGOSULTJA</w:t>
      </w:r>
    </w:p>
    <w:p w14:paraId="52A0A9DE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8A1952B" w14:textId="77777777" w:rsidR="00C62638" w:rsidRPr="00C62638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MSN Labs Europe Limited</w:t>
      </w:r>
    </w:p>
    <w:p w14:paraId="69E4858F" w14:textId="77777777" w:rsidR="00C62638" w:rsidRPr="00C62638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KW20A, Corradino Park</w:t>
      </w:r>
    </w:p>
    <w:p w14:paraId="7EE4B15C" w14:textId="77777777" w:rsidR="00C62638" w:rsidRPr="00C62638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Paola PLA 3000</w:t>
      </w:r>
    </w:p>
    <w:p w14:paraId="267524A3" w14:textId="77777777" w:rsidR="00C62638" w:rsidRPr="00C62638" w:rsidRDefault="00C62638" w:rsidP="00C62638">
      <w:pPr>
        <w:widowControl w:val="0"/>
        <w:spacing w:after="0" w:line="240" w:lineRule="auto"/>
        <w:ind w:right="1700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Málta</w:t>
      </w:r>
    </w:p>
    <w:p w14:paraId="770B51C2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84C89CC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B4F1692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8.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SZÁMA(I)</w:t>
      </w:r>
    </w:p>
    <w:p w14:paraId="2421D979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4B71BB78" w14:textId="2B1DEEEB" w:rsidR="00AF59D4" w:rsidRPr="003D067C" w:rsidRDefault="0053658F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Krusaxyl</w:t>
      </w:r>
      <w:r w:rsidR="00AF59D4" w:rsidRPr="003D067C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60 mg filmtabletta</w:t>
      </w:r>
    </w:p>
    <w:p w14:paraId="6531CA46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229DDE9" w14:textId="6BC83B03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01           14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naptárje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lzéses buborékcsomagolásban</w:t>
      </w:r>
    </w:p>
    <w:p w14:paraId="5B32FE7F" w14:textId="1AC9ED5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02           56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elzéses buborékcsomagolásban</w:t>
      </w:r>
    </w:p>
    <w:p w14:paraId="4E5A3995" w14:textId="36A3C3CC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03           60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765FF519" w14:textId="29B993CD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04           168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naptárje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lzéses buborékcsomagolásban</w:t>
      </w:r>
    </w:p>
    <w:p w14:paraId="5A4AB678" w14:textId="3B642587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05           180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7F46F321" w14:textId="26CE633E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06           14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      PVC/PVDC//Al adagonként 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perforált buborékcsomagolásban</w:t>
      </w:r>
    </w:p>
    <w:p w14:paraId="5FEA3B83" w14:textId="10C70031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</w:t>
      </w:r>
      <w:r w:rsidR="00ED68DA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24458/</w:t>
      </w:r>
      <w:proofErr w:type="gramStart"/>
      <w:r w:rsidR="00ED68DA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07           56</w:t>
      </w:r>
      <w:proofErr w:type="gramEnd"/>
      <w:r w:rsidR="00ED68DA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perforált buborékcsomagolásban</w:t>
      </w:r>
    </w:p>
    <w:p w14:paraId="37F9FA9D" w14:textId="366365A5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08           60</w:t>
      </w:r>
      <w:proofErr w:type="gramEnd"/>
      <w:r w:rsidR="00D511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perforált buborékcsomagolásban</w:t>
      </w:r>
    </w:p>
    <w:p w14:paraId="0C1033B4" w14:textId="37070789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09           168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perforált buborékcsomagolásban</w:t>
      </w:r>
    </w:p>
    <w:p w14:paraId="649C2B9F" w14:textId="5E15038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10           180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56426B8C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D24AC35" w14:textId="78DD4541" w:rsidR="00AF59D4" w:rsidRPr="003D067C" w:rsidRDefault="0053658F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Krusaxyl</w:t>
      </w:r>
      <w:r w:rsidR="00AF59D4" w:rsidRPr="003D067C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90 mg filmtabletta</w:t>
      </w:r>
    </w:p>
    <w:p w14:paraId="12EF38A3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E5C6E59" w14:textId="41EDBBE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11           14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naptárje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lzéses buborékcsomagolásban</w:t>
      </w:r>
    </w:p>
    <w:p w14:paraId="3B0241D2" w14:textId="2D4B9F6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12           56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naptárjelzéses buborékcsomag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olásban</w:t>
      </w:r>
    </w:p>
    <w:p w14:paraId="60A3E7EF" w14:textId="0237577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13           60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0B05A314" w14:textId="32A674EC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14           100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724DF547" w14:textId="4EB718D8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15           168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naptárjelzéses buborékc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somagolásban</w:t>
      </w:r>
    </w:p>
    <w:p w14:paraId="33C79BC8" w14:textId="32455B49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16           180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0BB00C38" w14:textId="0344D526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17           14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7BD17B89" w14:textId="0AFBD459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18           56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      PVC/PVDC//Al adagonként perforált 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buborékcsomagolásban</w:t>
      </w:r>
    </w:p>
    <w:p w14:paraId="2E7D23A4" w14:textId="48F07DA1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19           60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11CD2193" w14:textId="1BA17A22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20           100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058DB376" w14:textId="17C30638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21           168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    PVC/PVDC//Al adagonként 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perforált buborékcsomagolásban</w:t>
      </w:r>
    </w:p>
    <w:p w14:paraId="282A6C0B" w14:textId="27B866ED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</w:t>
      </w:r>
      <w:proofErr w:type="gramStart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22           180</w:t>
      </w:r>
      <w:proofErr w:type="gramEnd"/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perforált bubor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ékcsomagolásban</w:t>
      </w:r>
    </w:p>
    <w:p w14:paraId="7E7FA1FB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DAA722" w14:textId="77777777" w:rsidR="00AF59D4" w:rsidRPr="00AF59D4" w:rsidRDefault="00AF59D4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05780B7" w14:textId="77777777" w:rsidR="00C62638" w:rsidRPr="00C62638" w:rsidRDefault="00C62638" w:rsidP="007E1C5F">
      <w:pPr>
        <w:keepNext/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9.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ELSŐ KIADÁSÁNAK/ MEGÚJÍTÁSÁNAK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DÁTUMA</w:t>
      </w:r>
    </w:p>
    <w:p w14:paraId="47F1BBFB" w14:textId="77777777" w:rsidR="00C62638" w:rsidRPr="00C62638" w:rsidRDefault="00C62638" w:rsidP="007E1C5F">
      <w:pPr>
        <w:keepNext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FC55B4F" w14:textId="10502791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A forgalomba hozatali engedély első kiadásának dátuma:</w:t>
      </w:r>
      <w:r w:rsidR="00AF59D4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2024. szeptember 27.</w:t>
      </w:r>
    </w:p>
    <w:p w14:paraId="714CB858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748EF39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40E1CDF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10.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SZÖVEG ELLENŐRZÉSÉNEK DÁTUMA</w:t>
      </w:r>
    </w:p>
    <w:p w14:paraId="1C767593" w14:textId="748261C7" w:rsid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8EE06BA" w14:textId="32F97102" w:rsidR="00AF59D4" w:rsidRPr="00C62638" w:rsidRDefault="00F943C5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  <w:t>2026. június 27.</w:t>
      </w:r>
    </w:p>
    <w:p w14:paraId="381E2927" w14:textId="77777777" w:rsidR="00145300" w:rsidRDefault="00145300"/>
    <w:sectPr w:rsidR="00145300" w:rsidSect="00C62638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4070C" w14:textId="77777777" w:rsidR="00A97628" w:rsidRDefault="00A97628">
      <w:pPr>
        <w:spacing w:after="0" w:line="240" w:lineRule="auto"/>
      </w:pPr>
      <w:r>
        <w:separator/>
      </w:r>
    </w:p>
  </w:endnote>
  <w:endnote w:type="continuationSeparator" w:id="0">
    <w:p w14:paraId="47F82507" w14:textId="77777777" w:rsidR="00A97628" w:rsidRDefault="00A9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1C5D9" w14:textId="77777777" w:rsidR="003B5077" w:rsidRDefault="00F943C5" w:rsidP="00AF59D4">
    <w:pPr>
      <w:pStyle w:val="llb"/>
      <w:rPr>
        <w:sz w:val="18"/>
        <w:szCs w:val="18"/>
        <w:lang w:eastAsia="hu-HU"/>
      </w:rPr>
    </w:pPr>
    <w:r w:rsidRPr="00F943C5">
      <w:rPr>
        <w:sz w:val="18"/>
        <w:szCs w:val="18"/>
        <w:lang w:eastAsia="hu-HU"/>
      </w:rPr>
      <w:t>NNGYK/ETGY/9235/2026</w:t>
    </w:r>
  </w:p>
  <w:p w14:paraId="2BCAE009" w14:textId="26712A20" w:rsidR="00A97628" w:rsidRPr="009E0B16" w:rsidRDefault="003B5077" w:rsidP="00AF59D4">
    <w:pPr>
      <w:pStyle w:val="llb"/>
      <w:rPr>
        <w:sz w:val="18"/>
        <w:szCs w:val="18"/>
      </w:rPr>
    </w:pPr>
    <w:r>
      <w:rPr>
        <w:sz w:val="18"/>
        <w:szCs w:val="18"/>
        <w:lang w:eastAsia="hu-HU"/>
      </w:rPr>
      <w:t>NNGYK/ETGY/9236</w:t>
    </w:r>
    <w:r w:rsidRPr="003B5077">
      <w:rPr>
        <w:sz w:val="18"/>
        <w:szCs w:val="18"/>
        <w:lang w:eastAsia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D3504" w14:textId="77777777" w:rsidR="00A97628" w:rsidRDefault="00A97628">
      <w:pPr>
        <w:spacing w:after="0" w:line="240" w:lineRule="auto"/>
      </w:pPr>
      <w:r>
        <w:separator/>
      </w:r>
    </w:p>
  </w:footnote>
  <w:footnote w:type="continuationSeparator" w:id="0">
    <w:p w14:paraId="6CDBCF6E" w14:textId="77777777" w:rsidR="00A97628" w:rsidRDefault="00A9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511517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D16D1CC" w14:textId="48D64638" w:rsidR="00A97628" w:rsidRPr="007E1C5F" w:rsidRDefault="00A97628" w:rsidP="007E1C5F">
        <w:pPr>
          <w:pStyle w:val="lfej"/>
          <w:jc w:val="center"/>
          <w:rPr>
            <w:sz w:val="18"/>
            <w:szCs w:val="18"/>
          </w:rPr>
        </w:pPr>
        <w:r w:rsidRPr="007E1C5F">
          <w:rPr>
            <w:sz w:val="18"/>
            <w:szCs w:val="18"/>
          </w:rPr>
          <w:fldChar w:fldCharType="begin"/>
        </w:r>
        <w:r w:rsidRPr="007E1C5F">
          <w:rPr>
            <w:sz w:val="18"/>
            <w:szCs w:val="18"/>
          </w:rPr>
          <w:instrText>PAGE   \* MERGEFORMAT</w:instrText>
        </w:r>
        <w:r w:rsidRPr="007E1C5F">
          <w:rPr>
            <w:sz w:val="18"/>
            <w:szCs w:val="18"/>
          </w:rPr>
          <w:fldChar w:fldCharType="separate"/>
        </w:r>
        <w:r w:rsidR="0060334C" w:rsidRPr="0060334C">
          <w:rPr>
            <w:noProof/>
            <w:sz w:val="18"/>
            <w:szCs w:val="18"/>
            <w:lang w:val="hu-HU"/>
          </w:rPr>
          <w:t>23</w:t>
        </w:r>
        <w:r w:rsidRPr="007E1C5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37ACA"/>
    <w:multiLevelType w:val="hybridMultilevel"/>
    <w:tmpl w:val="BBE030FC"/>
    <w:lvl w:ilvl="0" w:tplc="BBF06390">
      <w:numFmt w:val="bullet"/>
      <w:lvlText w:val="-"/>
      <w:lvlJc w:val="left"/>
      <w:pPr>
        <w:ind w:left="78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1F7400FE">
      <w:numFmt w:val="bullet"/>
      <w:lvlText w:val="•"/>
      <w:lvlJc w:val="left"/>
      <w:pPr>
        <w:ind w:left="1772" w:hanging="284"/>
      </w:pPr>
      <w:rPr>
        <w:rFonts w:hint="default"/>
        <w:lang w:val="hu-HU" w:eastAsia="en-US" w:bidi="ar-SA"/>
      </w:rPr>
    </w:lvl>
    <w:lvl w:ilvl="2" w:tplc="8646BAFA">
      <w:numFmt w:val="bullet"/>
      <w:lvlText w:val="•"/>
      <w:lvlJc w:val="left"/>
      <w:pPr>
        <w:ind w:left="2765" w:hanging="284"/>
      </w:pPr>
      <w:rPr>
        <w:rFonts w:hint="default"/>
        <w:lang w:val="hu-HU" w:eastAsia="en-US" w:bidi="ar-SA"/>
      </w:rPr>
    </w:lvl>
    <w:lvl w:ilvl="3" w:tplc="A36AADB4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 w:tplc="69CA0CC4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 w:tplc="21BCA0DA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 w:tplc="702E1F90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 w:tplc="194AA4FE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 w:tplc="1B04ABBC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1" w15:restartNumberingAfterBreak="0">
    <w:nsid w:val="08DF0252"/>
    <w:multiLevelType w:val="hybridMultilevel"/>
    <w:tmpl w:val="7640D7B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F22341"/>
    <w:multiLevelType w:val="multilevel"/>
    <w:tmpl w:val="3ADE9EB8"/>
    <w:lvl w:ilvl="0">
      <w:start w:val="4"/>
      <w:numFmt w:val="decimal"/>
      <w:lvlText w:val="%1"/>
      <w:lvlJc w:val="left"/>
      <w:pPr>
        <w:ind w:left="782" w:hanging="567"/>
      </w:pPr>
      <w:rPr>
        <w:rFonts w:hint="default"/>
        <w:lang w:val="hu-HU" w:eastAsia="en-US" w:bidi="ar-SA"/>
      </w:rPr>
    </w:lvl>
    <w:lvl w:ilvl="1">
      <w:start w:val="5"/>
      <w:numFmt w:val="decimal"/>
      <w:lvlText w:val="%1.%2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3" w15:restartNumberingAfterBreak="0">
    <w:nsid w:val="1BFF37AA"/>
    <w:multiLevelType w:val="hybridMultilevel"/>
    <w:tmpl w:val="46D84F14"/>
    <w:lvl w:ilvl="0" w:tplc="040E0001">
      <w:start w:val="1"/>
      <w:numFmt w:val="bullet"/>
      <w:lvlText w:val=""/>
      <w:lvlJc w:val="left"/>
      <w:pPr>
        <w:ind w:left="782" w:hanging="284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•"/>
      <w:lvlJc w:val="left"/>
      <w:pPr>
        <w:ind w:left="1772" w:hanging="284"/>
      </w:pPr>
      <w:rPr>
        <w:rFonts w:hint="default"/>
        <w:lang w:val="hu-HU" w:eastAsia="en-US" w:bidi="ar-SA"/>
      </w:rPr>
    </w:lvl>
    <w:lvl w:ilvl="2" w:tplc="FFFFFFFF">
      <w:numFmt w:val="bullet"/>
      <w:lvlText w:val="•"/>
      <w:lvlJc w:val="left"/>
      <w:pPr>
        <w:ind w:left="2765" w:hanging="284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4" w15:restartNumberingAfterBreak="0">
    <w:nsid w:val="1CF75A19"/>
    <w:multiLevelType w:val="hybridMultilevel"/>
    <w:tmpl w:val="8A72B3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C14EDA"/>
    <w:multiLevelType w:val="hybridMultilevel"/>
    <w:tmpl w:val="4426D32E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957E8"/>
    <w:multiLevelType w:val="hybridMultilevel"/>
    <w:tmpl w:val="6504B04A"/>
    <w:lvl w:ilvl="0" w:tplc="A67EAB86">
      <w:start w:val="1"/>
      <w:numFmt w:val="decimal"/>
      <w:lvlText w:val="%1."/>
      <w:lvlJc w:val="left"/>
      <w:pPr>
        <w:ind w:left="441" w:hanging="22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E4D8F632">
      <w:numFmt w:val="bullet"/>
      <w:lvlText w:val="•"/>
      <w:lvlJc w:val="left"/>
      <w:pPr>
        <w:ind w:left="1466" w:hanging="226"/>
      </w:pPr>
      <w:rPr>
        <w:rFonts w:hint="default"/>
        <w:lang w:val="hu-HU" w:eastAsia="en-US" w:bidi="ar-SA"/>
      </w:rPr>
    </w:lvl>
    <w:lvl w:ilvl="2" w:tplc="7F7A062C">
      <w:numFmt w:val="bullet"/>
      <w:lvlText w:val="•"/>
      <w:lvlJc w:val="left"/>
      <w:pPr>
        <w:ind w:left="2493" w:hanging="226"/>
      </w:pPr>
      <w:rPr>
        <w:rFonts w:hint="default"/>
        <w:lang w:val="hu-HU" w:eastAsia="en-US" w:bidi="ar-SA"/>
      </w:rPr>
    </w:lvl>
    <w:lvl w:ilvl="3" w:tplc="0838C7D0">
      <w:numFmt w:val="bullet"/>
      <w:lvlText w:val="•"/>
      <w:lvlJc w:val="left"/>
      <w:pPr>
        <w:ind w:left="3519" w:hanging="226"/>
      </w:pPr>
      <w:rPr>
        <w:rFonts w:hint="default"/>
        <w:lang w:val="hu-HU" w:eastAsia="en-US" w:bidi="ar-SA"/>
      </w:rPr>
    </w:lvl>
    <w:lvl w:ilvl="4" w:tplc="093C8CAC">
      <w:numFmt w:val="bullet"/>
      <w:lvlText w:val="•"/>
      <w:lvlJc w:val="left"/>
      <w:pPr>
        <w:ind w:left="4546" w:hanging="226"/>
      </w:pPr>
      <w:rPr>
        <w:rFonts w:hint="default"/>
        <w:lang w:val="hu-HU" w:eastAsia="en-US" w:bidi="ar-SA"/>
      </w:rPr>
    </w:lvl>
    <w:lvl w:ilvl="5" w:tplc="4AE47682">
      <w:numFmt w:val="bullet"/>
      <w:lvlText w:val="•"/>
      <w:lvlJc w:val="left"/>
      <w:pPr>
        <w:ind w:left="5572" w:hanging="226"/>
      </w:pPr>
      <w:rPr>
        <w:rFonts w:hint="default"/>
        <w:lang w:val="hu-HU" w:eastAsia="en-US" w:bidi="ar-SA"/>
      </w:rPr>
    </w:lvl>
    <w:lvl w:ilvl="6" w:tplc="C2584544">
      <w:numFmt w:val="bullet"/>
      <w:lvlText w:val="•"/>
      <w:lvlJc w:val="left"/>
      <w:pPr>
        <w:ind w:left="6599" w:hanging="226"/>
      </w:pPr>
      <w:rPr>
        <w:rFonts w:hint="default"/>
        <w:lang w:val="hu-HU" w:eastAsia="en-US" w:bidi="ar-SA"/>
      </w:rPr>
    </w:lvl>
    <w:lvl w:ilvl="7" w:tplc="A4D4FB1A">
      <w:numFmt w:val="bullet"/>
      <w:lvlText w:val="•"/>
      <w:lvlJc w:val="left"/>
      <w:pPr>
        <w:ind w:left="7625" w:hanging="226"/>
      </w:pPr>
      <w:rPr>
        <w:rFonts w:hint="default"/>
        <w:lang w:val="hu-HU" w:eastAsia="en-US" w:bidi="ar-SA"/>
      </w:rPr>
    </w:lvl>
    <w:lvl w:ilvl="8" w:tplc="98FEF2A8">
      <w:numFmt w:val="bullet"/>
      <w:lvlText w:val="•"/>
      <w:lvlJc w:val="left"/>
      <w:pPr>
        <w:ind w:left="8652" w:hanging="226"/>
      </w:pPr>
      <w:rPr>
        <w:rFonts w:hint="default"/>
        <w:lang w:val="hu-HU" w:eastAsia="en-US" w:bidi="ar-SA"/>
      </w:rPr>
    </w:lvl>
  </w:abstractNum>
  <w:abstractNum w:abstractNumId="7" w15:restartNumberingAfterBreak="0">
    <w:nsid w:val="63626C3F"/>
    <w:multiLevelType w:val="hybridMultilevel"/>
    <w:tmpl w:val="E5523BF4"/>
    <w:lvl w:ilvl="0" w:tplc="712039BC">
      <w:numFmt w:val="bullet"/>
      <w:lvlText w:val=""/>
      <w:lvlJc w:val="left"/>
      <w:pPr>
        <w:ind w:left="782" w:hanging="35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58FC2424">
      <w:numFmt w:val="bullet"/>
      <w:lvlText w:val="•"/>
      <w:lvlJc w:val="left"/>
      <w:pPr>
        <w:ind w:left="1772" w:hanging="356"/>
      </w:pPr>
      <w:rPr>
        <w:rFonts w:hint="default"/>
        <w:lang w:val="hu-HU" w:eastAsia="en-US" w:bidi="ar-SA"/>
      </w:rPr>
    </w:lvl>
    <w:lvl w:ilvl="2" w:tplc="FB9AF876">
      <w:numFmt w:val="bullet"/>
      <w:lvlText w:val="•"/>
      <w:lvlJc w:val="left"/>
      <w:pPr>
        <w:ind w:left="2765" w:hanging="356"/>
      </w:pPr>
      <w:rPr>
        <w:rFonts w:hint="default"/>
        <w:lang w:val="hu-HU" w:eastAsia="en-US" w:bidi="ar-SA"/>
      </w:rPr>
    </w:lvl>
    <w:lvl w:ilvl="3" w:tplc="4E50E174">
      <w:numFmt w:val="bullet"/>
      <w:lvlText w:val="•"/>
      <w:lvlJc w:val="left"/>
      <w:pPr>
        <w:ind w:left="3757" w:hanging="356"/>
      </w:pPr>
      <w:rPr>
        <w:rFonts w:hint="default"/>
        <w:lang w:val="hu-HU" w:eastAsia="en-US" w:bidi="ar-SA"/>
      </w:rPr>
    </w:lvl>
    <w:lvl w:ilvl="4" w:tplc="A6D8469C">
      <w:numFmt w:val="bullet"/>
      <w:lvlText w:val="•"/>
      <w:lvlJc w:val="left"/>
      <w:pPr>
        <w:ind w:left="4750" w:hanging="356"/>
      </w:pPr>
      <w:rPr>
        <w:rFonts w:hint="default"/>
        <w:lang w:val="hu-HU" w:eastAsia="en-US" w:bidi="ar-SA"/>
      </w:rPr>
    </w:lvl>
    <w:lvl w:ilvl="5" w:tplc="4EF2226E">
      <w:numFmt w:val="bullet"/>
      <w:lvlText w:val="•"/>
      <w:lvlJc w:val="left"/>
      <w:pPr>
        <w:ind w:left="5742" w:hanging="356"/>
      </w:pPr>
      <w:rPr>
        <w:rFonts w:hint="default"/>
        <w:lang w:val="hu-HU" w:eastAsia="en-US" w:bidi="ar-SA"/>
      </w:rPr>
    </w:lvl>
    <w:lvl w:ilvl="6" w:tplc="21E00580">
      <w:numFmt w:val="bullet"/>
      <w:lvlText w:val="•"/>
      <w:lvlJc w:val="left"/>
      <w:pPr>
        <w:ind w:left="6735" w:hanging="356"/>
      </w:pPr>
      <w:rPr>
        <w:rFonts w:hint="default"/>
        <w:lang w:val="hu-HU" w:eastAsia="en-US" w:bidi="ar-SA"/>
      </w:rPr>
    </w:lvl>
    <w:lvl w:ilvl="7" w:tplc="3924A294">
      <w:numFmt w:val="bullet"/>
      <w:lvlText w:val="•"/>
      <w:lvlJc w:val="left"/>
      <w:pPr>
        <w:ind w:left="7727" w:hanging="356"/>
      </w:pPr>
      <w:rPr>
        <w:rFonts w:hint="default"/>
        <w:lang w:val="hu-HU" w:eastAsia="en-US" w:bidi="ar-SA"/>
      </w:rPr>
    </w:lvl>
    <w:lvl w:ilvl="8" w:tplc="B194EC7A">
      <w:numFmt w:val="bullet"/>
      <w:lvlText w:val="•"/>
      <w:lvlJc w:val="left"/>
      <w:pPr>
        <w:ind w:left="8720" w:hanging="356"/>
      </w:pPr>
      <w:rPr>
        <w:rFonts w:hint="default"/>
        <w:lang w:val="hu-HU" w:eastAsia="en-US" w:bidi="ar-SA"/>
      </w:rPr>
    </w:lvl>
  </w:abstractNum>
  <w:abstractNum w:abstractNumId="8" w15:restartNumberingAfterBreak="0">
    <w:nsid w:val="656352E4"/>
    <w:multiLevelType w:val="hybridMultilevel"/>
    <w:tmpl w:val="854E74D0"/>
    <w:lvl w:ilvl="0" w:tplc="040E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9" w15:restartNumberingAfterBreak="0">
    <w:nsid w:val="6FD218FE"/>
    <w:multiLevelType w:val="multilevel"/>
    <w:tmpl w:val="023E7752"/>
    <w:lvl w:ilvl="0">
      <w:start w:val="5"/>
      <w:numFmt w:val="decimal"/>
      <w:lvlText w:val="%1"/>
      <w:lvlJc w:val="left"/>
      <w:pPr>
        <w:ind w:left="216" w:hanging="336"/>
      </w:pPr>
      <w:rPr>
        <w:rFonts w:hint="default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216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985" w:hanging="284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088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94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96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499" w:hanging="284"/>
      </w:pPr>
      <w:rPr>
        <w:rFonts w:hint="default"/>
        <w:lang w:val="hu-HU" w:eastAsia="en-US" w:bidi="ar-SA"/>
      </w:rPr>
    </w:lvl>
  </w:abstractNum>
  <w:abstractNum w:abstractNumId="10" w15:restartNumberingAfterBreak="0">
    <w:nsid w:val="78B04C1C"/>
    <w:multiLevelType w:val="hybridMultilevel"/>
    <w:tmpl w:val="2D3A8A54"/>
    <w:lvl w:ilvl="0" w:tplc="586820BE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14ED358">
      <w:numFmt w:val="bullet"/>
      <w:lvlText w:val="•"/>
      <w:lvlJc w:val="left"/>
      <w:pPr>
        <w:ind w:left="1772" w:hanging="284"/>
      </w:pPr>
      <w:rPr>
        <w:rFonts w:hint="default"/>
        <w:lang w:val="hu-HU" w:eastAsia="en-US" w:bidi="ar-SA"/>
      </w:rPr>
    </w:lvl>
    <w:lvl w:ilvl="2" w:tplc="74B0F392">
      <w:numFmt w:val="bullet"/>
      <w:lvlText w:val="•"/>
      <w:lvlJc w:val="left"/>
      <w:pPr>
        <w:ind w:left="2765" w:hanging="284"/>
      </w:pPr>
      <w:rPr>
        <w:rFonts w:hint="default"/>
        <w:lang w:val="hu-HU" w:eastAsia="en-US" w:bidi="ar-SA"/>
      </w:rPr>
    </w:lvl>
    <w:lvl w:ilvl="3" w:tplc="B9A23460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 w:tplc="CD6061A2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 w:tplc="182A85B4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 w:tplc="F3046BBC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 w:tplc="646849F8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 w:tplc="43A21B0A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11" w15:restartNumberingAfterBreak="0">
    <w:nsid w:val="7F192FED"/>
    <w:multiLevelType w:val="multilevel"/>
    <w:tmpl w:val="A18A9A48"/>
    <w:lvl w:ilvl="0">
      <w:start w:val="5"/>
      <w:numFmt w:val="decimal"/>
      <w:lvlText w:val="%1."/>
      <w:lvlJc w:val="left"/>
      <w:pPr>
        <w:ind w:left="435" w:hanging="2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882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08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94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9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499" w:hanging="567"/>
      </w:pPr>
      <w:rPr>
        <w:rFonts w:hint="default"/>
        <w:lang w:val="hu-HU" w:eastAsia="en-US" w:bidi="ar-SA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2"/>
  </w:num>
  <w:num w:numId="5">
    <w:abstractNumId w:val="11"/>
  </w:num>
  <w:num w:numId="6">
    <w:abstractNumId w:val="10"/>
  </w:num>
  <w:num w:numId="7">
    <w:abstractNumId w:val="6"/>
  </w:num>
  <w:num w:numId="8">
    <w:abstractNumId w:val="1"/>
  </w:num>
  <w:num w:numId="9">
    <w:abstractNumId w:val="3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638"/>
    <w:rsid w:val="00145300"/>
    <w:rsid w:val="00145C8B"/>
    <w:rsid w:val="00200A59"/>
    <w:rsid w:val="00256696"/>
    <w:rsid w:val="00286BAE"/>
    <w:rsid w:val="00347DE1"/>
    <w:rsid w:val="00362735"/>
    <w:rsid w:val="003B5077"/>
    <w:rsid w:val="003D067C"/>
    <w:rsid w:val="004151B7"/>
    <w:rsid w:val="00484841"/>
    <w:rsid w:val="004C4AFA"/>
    <w:rsid w:val="0053658F"/>
    <w:rsid w:val="00574E70"/>
    <w:rsid w:val="0060334C"/>
    <w:rsid w:val="00607283"/>
    <w:rsid w:val="006125F0"/>
    <w:rsid w:val="00687CFF"/>
    <w:rsid w:val="0069241F"/>
    <w:rsid w:val="006B554E"/>
    <w:rsid w:val="00726362"/>
    <w:rsid w:val="007B56E9"/>
    <w:rsid w:val="007E1C5F"/>
    <w:rsid w:val="00862812"/>
    <w:rsid w:val="008819B2"/>
    <w:rsid w:val="00890C17"/>
    <w:rsid w:val="008921D4"/>
    <w:rsid w:val="0092080F"/>
    <w:rsid w:val="00926E63"/>
    <w:rsid w:val="00995D6F"/>
    <w:rsid w:val="009B4422"/>
    <w:rsid w:val="00A0208D"/>
    <w:rsid w:val="00A97628"/>
    <w:rsid w:val="00AE31E8"/>
    <w:rsid w:val="00AF1962"/>
    <w:rsid w:val="00AF59D4"/>
    <w:rsid w:val="00C62638"/>
    <w:rsid w:val="00D03B2F"/>
    <w:rsid w:val="00D51138"/>
    <w:rsid w:val="00D94581"/>
    <w:rsid w:val="00E83A17"/>
    <w:rsid w:val="00ED68DA"/>
    <w:rsid w:val="00F05CAA"/>
    <w:rsid w:val="00F178D0"/>
    <w:rsid w:val="00F777B7"/>
    <w:rsid w:val="00F81D51"/>
    <w:rsid w:val="00F86325"/>
    <w:rsid w:val="00F943C5"/>
    <w:rsid w:val="00FD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6F7C7F"/>
  <w15:chartTrackingRefBased/>
  <w15:docId w15:val="{5F278E35-EC7B-496F-B6EB-591836C4D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62638"/>
    <w:pPr>
      <w:widowControl w:val="0"/>
      <w:autoSpaceDE w:val="0"/>
      <w:autoSpaceDN w:val="0"/>
      <w:spacing w:before="20" w:after="0" w:line="240" w:lineRule="auto"/>
      <w:ind w:left="105"/>
      <w:outlineLvl w:val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msor2">
    <w:name w:val="heading 2"/>
    <w:basedOn w:val="Norml"/>
    <w:link w:val="Cmsor2Char"/>
    <w:uiPriority w:val="9"/>
    <w:unhideWhenUsed/>
    <w:qFormat/>
    <w:rsid w:val="00C62638"/>
    <w:pPr>
      <w:widowControl w:val="0"/>
      <w:autoSpaceDE w:val="0"/>
      <w:autoSpaceDN w:val="0"/>
      <w:spacing w:after="0" w:line="240" w:lineRule="auto"/>
      <w:ind w:left="215"/>
      <w:outlineLvl w:val="1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62638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C62638"/>
    <w:rPr>
      <w:rFonts w:ascii="Times New Roman" w:eastAsia="Times New Roman" w:hAnsi="Times New Roman" w:cs="Times New Roman"/>
      <w:b/>
      <w:bCs/>
      <w:kern w:val="0"/>
      <w14:ligatures w14:val="none"/>
    </w:rPr>
  </w:style>
  <w:style w:type="numbering" w:customStyle="1" w:styleId="Nemlista1">
    <w:name w:val="Nem lista1"/>
    <w:next w:val="Nemlista"/>
    <w:uiPriority w:val="99"/>
    <w:semiHidden/>
    <w:unhideWhenUsed/>
    <w:rsid w:val="00C62638"/>
  </w:style>
  <w:style w:type="character" w:styleId="Hiperhivatkozs">
    <w:name w:val="Hyperlink"/>
    <w:rsid w:val="00C62638"/>
    <w:rPr>
      <w:rFonts w:cs="Times New Roman"/>
      <w:color w:val="0000FF"/>
      <w:u w:val="single"/>
    </w:rPr>
  </w:style>
  <w:style w:type="paragraph" w:customStyle="1" w:styleId="EMEAEnBodyText">
    <w:name w:val="EMEA En Body Text"/>
    <w:basedOn w:val="Norml"/>
    <w:rsid w:val="00C62638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Listaszerbekezds">
    <w:name w:val="List Paragraph"/>
    <w:basedOn w:val="Norml"/>
    <w:uiPriority w:val="1"/>
    <w:qFormat/>
    <w:rsid w:val="00C62638"/>
    <w:pPr>
      <w:widowControl w:val="0"/>
      <w:autoSpaceDE w:val="0"/>
      <w:autoSpaceDN w:val="0"/>
      <w:spacing w:after="0" w:line="240" w:lineRule="auto"/>
      <w:ind w:left="739" w:hanging="568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C626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customStyle="1" w:styleId="Rcsostblzat1">
    <w:name w:val="Rácsos táblázat1"/>
    <w:basedOn w:val="Normltblzat"/>
    <w:next w:val="Rcsostblzat"/>
    <w:uiPriority w:val="39"/>
    <w:rsid w:val="00C62638"/>
    <w:pPr>
      <w:spacing w:after="0" w:line="240" w:lineRule="auto"/>
    </w:pPr>
    <w:rPr>
      <w:rFonts w:eastAsia="SimSu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62638"/>
    <w:pPr>
      <w:tabs>
        <w:tab w:val="left" w:pos="567"/>
      </w:tabs>
      <w:spacing w:after="0" w:line="240" w:lineRule="auto"/>
    </w:pPr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2638"/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  <w:style w:type="paragraph" w:styleId="Vltozat">
    <w:name w:val="Revision"/>
    <w:hidden/>
    <w:uiPriority w:val="99"/>
    <w:semiHidden/>
    <w:rsid w:val="00C62638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C62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C62638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62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C62638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C626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C62638"/>
    <w:rPr>
      <w:rFonts w:ascii="Times New Roman" w:eastAsia="Times New Roman" w:hAnsi="Times New Roman" w:cs="Times New Roman"/>
      <w:kern w:val="0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C6263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62638"/>
    <w:pPr>
      <w:tabs>
        <w:tab w:val="left" w:pos="567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62638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6263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62638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  <w14:ligatures w14:val="none"/>
    </w:rPr>
  </w:style>
  <w:style w:type="character" w:customStyle="1" w:styleId="rynqvb">
    <w:name w:val="rynqvb"/>
    <w:basedOn w:val="Bekezdsalapbettpusa"/>
    <w:rsid w:val="00C62638"/>
  </w:style>
  <w:style w:type="character" w:styleId="Kiemels2">
    <w:name w:val="Strong"/>
    <w:basedOn w:val="Bekezdsalapbettpusa"/>
    <w:uiPriority w:val="22"/>
    <w:qFormat/>
    <w:rsid w:val="00C62638"/>
    <w:rPr>
      <w:b/>
      <w:bCs/>
    </w:rPr>
  </w:style>
  <w:style w:type="table" w:styleId="Rcsostblzat">
    <w:name w:val="Table Grid"/>
    <w:basedOn w:val="Normltblzat"/>
    <w:uiPriority w:val="39"/>
    <w:rsid w:val="00C62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25</Pages>
  <Words>9740</Words>
  <Characters>67206</Characters>
  <Application>Microsoft Office Word</Application>
  <DocSecurity>0</DocSecurity>
  <Lines>560</Lines>
  <Paragraphs>153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HU_OGYI_7.1</cp:lastModifiedBy>
  <cp:revision>5</cp:revision>
  <dcterms:created xsi:type="dcterms:W3CDTF">2026-07-02T12:55:00Z</dcterms:created>
  <dcterms:modified xsi:type="dcterms:W3CDTF">2026-07-17T09:32:00Z</dcterms:modified>
</cp:coreProperties>
</file>