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3A735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4C1268E8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94F5F26" w14:textId="0C72077A" w:rsidR="00C62638" w:rsidRPr="00726362" w:rsidRDefault="0053658F" w:rsidP="00C62638">
      <w:pPr>
        <w:widowControl w:val="0"/>
        <w:spacing w:after="0" w:line="240" w:lineRule="auto"/>
        <w:ind w:right="2"/>
        <w:jc w:val="both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Krusaxyl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60 mg filmtabletta</w:t>
      </w:r>
    </w:p>
    <w:p w14:paraId="750230F5" w14:textId="3AF6E214" w:rsidR="00C62638" w:rsidRPr="00726362" w:rsidRDefault="0053658F" w:rsidP="00C62638">
      <w:pPr>
        <w:widowControl w:val="0"/>
        <w:spacing w:after="0" w:line="240" w:lineRule="auto"/>
        <w:ind w:right="2"/>
        <w:jc w:val="both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Krusaxyl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9</w:t>
      </w:r>
      <w:r w:rsidR="00C62638" w:rsidRPr="0072636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0 mg filmtabletta</w:t>
      </w:r>
    </w:p>
    <w:p w14:paraId="701D2674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9592F4C" w14:textId="77777777" w:rsidR="00C62638" w:rsidRPr="00C62638" w:rsidRDefault="00C62638" w:rsidP="00C62638">
      <w:pPr>
        <w:widowControl w:val="0"/>
        <w:tabs>
          <w:tab w:val="left" w:pos="567"/>
          <w:tab w:val="left" w:pos="2268"/>
          <w:tab w:val="left" w:pos="2436"/>
          <w:tab w:val="left" w:pos="3261"/>
        </w:tabs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D783386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2.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MINŐSÉGI ÉS MENNYISÉGI ÖSSZETÉTEL</w:t>
      </w:r>
    </w:p>
    <w:p w14:paraId="675D8F5E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0B51F460" w14:textId="75FCC408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60 mg filmtabletta</w:t>
      </w:r>
    </w:p>
    <w:p w14:paraId="6218B79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tartalmaz</w:t>
      </w:r>
      <w:r w:rsidRPr="00C62638">
        <w:rPr>
          <w:rFonts w:ascii="Times New Roman" w:eastAsia="Times New Roman" w:hAnsi="Times New Roman" w:cs="Times New Roman"/>
          <w:spacing w:val="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filmtablettánként.</w:t>
      </w:r>
    </w:p>
    <w:p w14:paraId="694785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CC0195" w14:textId="081AA1BB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90 mg filmtabletta</w:t>
      </w:r>
    </w:p>
    <w:p w14:paraId="686597D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 mg tikagrelort tartalmaz</w:t>
      </w:r>
      <w:r w:rsidRPr="00C62638">
        <w:rPr>
          <w:rFonts w:ascii="Times New Roman" w:eastAsia="Times New Roman" w:hAnsi="Times New Roman" w:cs="Times New Roman"/>
          <w:spacing w:val="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filmtablettánként.</w:t>
      </w:r>
    </w:p>
    <w:p w14:paraId="1C7F879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6381C6A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segédanyagok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listáját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6.1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pontban.</w:t>
      </w:r>
    </w:p>
    <w:p w14:paraId="04AEFF37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48818ED6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2D5187E0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GYÓGYSZERFORMA</w:t>
      </w:r>
    </w:p>
    <w:p w14:paraId="2BD677F0" w14:textId="77777777" w:rsidR="00C62638" w:rsidRPr="00C62638" w:rsidRDefault="00C62638" w:rsidP="00C62638">
      <w:pPr>
        <w:widowControl w:val="0"/>
        <w:spacing w:after="0" w:line="240" w:lineRule="auto"/>
        <w:ind w:left="567" w:hanging="567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5DC40AA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Filmtabletta</w:t>
      </w:r>
      <w:r w:rsidRPr="00C62638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(tabletta).</w:t>
      </w:r>
    </w:p>
    <w:p w14:paraId="44DA7C8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CE8B757" w14:textId="2A5F5D98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u w:val="singl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60 mg filmtabletta</w:t>
      </w:r>
    </w:p>
    <w:p w14:paraId="5A69DBC2" w14:textId="40CAF5F6" w:rsidR="009B4422" w:rsidRPr="009B4422" w:rsidRDefault="009B4422" w:rsidP="009B44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Rózsaszínű, kerek, mindkét oldalán domború filmtabletta (megközelítőleg 8</w:t>
      </w:r>
      <w:r w:rsidR="00687CFF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mm átmérőjű), az egyik oldalán „60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” és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„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M” jelöléssel ellátva, a másik oldal sima. </w:t>
      </w:r>
    </w:p>
    <w:p w14:paraId="4349CCC5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141872C" w14:textId="4BACD575" w:rsidR="00C62638" w:rsidRPr="00C62638" w:rsidRDefault="0053658F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:u w:val="singl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Krusaxyl</w:t>
      </w:r>
      <w:r w:rsidR="00C62638"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 90 mg filmtabletta</w:t>
      </w:r>
    </w:p>
    <w:p w14:paraId="128BBE55" w14:textId="6453A936" w:rsidR="009B4422" w:rsidRPr="009B4422" w:rsidRDefault="009B4422" w:rsidP="009B442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Sárga színű, kerek, mindkét oldalán domború filmtabletta (megközelítőleg 9</w:t>
      </w:r>
      <w:r w:rsidR="00687CFF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>mm átmérőjű), az egyik oldalán „90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62812">
        <w:rPr>
          <w:rFonts w:ascii="Times New Roman" w:eastAsia="Times New Roman" w:hAnsi="Times New Roman" w:cs="Times New Roman"/>
          <w:kern w:val="0"/>
          <w14:ligatures w14:val="none"/>
        </w:rPr>
        <w:t>és „</w:t>
      </w:r>
      <w:r w:rsidRPr="009B4422">
        <w:rPr>
          <w:rFonts w:ascii="Times New Roman" w:eastAsia="Times New Roman" w:hAnsi="Times New Roman" w:cs="Times New Roman"/>
          <w:kern w:val="0"/>
          <w14:ligatures w14:val="none"/>
        </w:rPr>
        <w:t xml:space="preserve">M” jelöléssel ellátva, a másik oldal sima. </w:t>
      </w:r>
    </w:p>
    <w:p w14:paraId="66212A5D" w14:textId="77777777" w:rsidR="00C62638" w:rsidRPr="00C62638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1631FEF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2CCC7B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4.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KLINIKAI JELLEMZŐK</w:t>
      </w:r>
    </w:p>
    <w:p w14:paraId="3517E5D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0DA5CAC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4.1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Terápiás javallatok</w:t>
      </w:r>
    </w:p>
    <w:p w14:paraId="04222953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2D980BED" w14:textId="6629AE2C" w:rsidR="00C62638" w:rsidRPr="00F05CAA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F05CAA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 w:rsidRPr="00F05CAA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acetilszalicilsavval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(ASA)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együtt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adva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atherothromboticus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>események</w:t>
      </w:r>
      <w:r w:rsidRPr="00F05CAA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F05CAA">
        <w:rPr>
          <w:rFonts w:ascii="Times New Roman" w:eastAsia="Times New Roman" w:hAnsi="Times New Roman" w:cs="Times New Roman"/>
          <w:kern w:val="0"/>
          <w14:ligatures w14:val="none"/>
        </w:rPr>
        <w:t xml:space="preserve">megelőzésére </w:t>
      </w:r>
      <w:r w:rsidRPr="00F05CAA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javallott</w:t>
      </w:r>
    </w:p>
    <w:p w14:paraId="3D0E5478" w14:textId="77777777" w:rsidR="00C62638" w:rsidRPr="00145C8B" w:rsidRDefault="00C62638" w:rsidP="00C6263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498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(ACS)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felnőtt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vagy</w:t>
      </w:r>
    </w:p>
    <w:p w14:paraId="69CB6379" w14:textId="77777777" w:rsidR="00C62638" w:rsidRPr="00145C8B" w:rsidRDefault="00C62638" w:rsidP="00C62638">
      <w:pPr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498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olyan felnőtt betegeknél, akiknek az anamnézisben myocardialis infarctus (MI) szerepel, és nagy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náluk egy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atherothromboticus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esemény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kialakulásának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kockázata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5.1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3AB3F7AB" w14:textId="77777777" w:rsidR="00C62638" w:rsidRPr="00F05CAA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5312561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Adagolás és alkalmazás</w:t>
      </w:r>
    </w:p>
    <w:p w14:paraId="6973ADF0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15E4B6C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Adagolás</w:t>
      </w:r>
    </w:p>
    <w:p w14:paraId="02444A3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E088C9" w14:textId="25E6B0A6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szedő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alacsony,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75–150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mg-os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fenntartó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dózisban acetilszalicilsavat is szedniük kell, kivéve, ha az kifejezetten ellenjavallt.</w:t>
      </w:r>
    </w:p>
    <w:p w14:paraId="10EC483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539B0B25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Acut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coronaria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szindrómák</w:t>
      </w:r>
    </w:p>
    <w:p w14:paraId="7E0767E0" w14:textId="37A1868C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-kezelést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egyetlen,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180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telítő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dózissal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kezdeni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(két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 mg-os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tabletta),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 kétszer 90 mg-mal kell folytatni. 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 90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-kezelés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hónapig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 betegeknél, kivéve, ha az abbahagyása klinikailag indokolt (lásd 5.1 pont).</w:t>
      </w:r>
    </w:p>
    <w:p w14:paraId="7D28E99E" w14:textId="77777777" w:rsid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8D6330" w14:textId="33EA30C4" w:rsidR="0092080F" w:rsidRDefault="0092080F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 után meg lehet fontolni az acetilszalicilsav abbahagyását az olyan akut coronaria szindrómás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betegeknél, akik percutan coronaria intervención (PCI) estek át és fokozott a vérzési kockázatuk.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Ebben az esetben, az önmagában adott tikagrelorral végzett 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kezeléssel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 kell folytatni a terápiát (lásd 4.4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2A6BB7A6" w14:textId="77777777" w:rsidR="0092080F" w:rsidRPr="00C62638" w:rsidRDefault="0092080F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974C4F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Anamnézisben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szereplő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infarctus</w:t>
      </w:r>
    </w:p>
    <w:p w14:paraId="38573A8E" w14:textId="3A084B29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 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adag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kiterjesztett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kezelésére,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az anamnézisében legalább egy éve myocardialis infarctus szerepel, és nagy náluk egy atherothromboticus esemény kockázata (lásd 5.1 pont). A kezelést lehetőség szerint a kezdeti, egy éves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90 mg vagy egyéb, adenozin-difoszfát- (ADP) receptor-inhibitor-kezelés után, megszakítás nélkül, fenntartó kezelésként lehet elkezdeni az olyan acut coronaria szindrómás betegeknél,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 nagy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atherothromboticus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kockázata. 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szintén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elkezdhető legfeljebb 2 évvel a MI után, vagy a korábbi ADP-receptor-inhibitor-kezelés leállítását követő egy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belül.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túli,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kiterjesztett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hatásosságáról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biztonságosságáról korlátozott mennyiségű adat áll rendelkezésre.</w:t>
      </w:r>
    </w:p>
    <w:p w14:paraId="056E3AD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0D44177" w14:textId="67F5A358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átállítás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dózisát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egyéb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thrombocytagátló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gyógyszerek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utolsó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dózisának alkalmazása után 24 órával kell adni.</w:t>
      </w:r>
    </w:p>
    <w:p w14:paraId="19E059A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DB68C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 xml:space="preserve">Kihagyott 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u w:val="single"/>
          <w:lang w:eastAsia="zh-CN"/>
          <w14:ligatures w14:val="none"/>
        </w:rPr>
        <w:t>adag</w:t>
      </w:r>
    </w:p>
    <w:p w14:paraId="52506F37" w14:textId="6CD3D5B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elmulasztását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kerülni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Annak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betegnek,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elfelejt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bevenni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adag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filmtablettát, csak egyetlen tablettát kell bevennie (a következő adagját), a tervezett időben.</w:t>
      </w:r>
    </w:p>
    <w:p w14:paraId="72C77CA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05ED2E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Különleges</w:t>
      </w:r>
      <w:r w:rsidRPr="00145C8B">
        <w:rPr>
          <w:rFonts w:ascii="Times New Roman" w:eastAsia="SimSun" w:hAnsi="Times New Roman" w:cs="Times New Roman"/>
          <w:i/>
          <w:snapToGrid w:val="0"/>
          <w:spacing w:val="-14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betegcsoportok</w:t>
      </w:r>
    </w:p>
    <w:p w14:paraId="0068E7B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Idősek</w:t>
      </w:r>
    </w:p>
    <w:p w14:paraId="538EF1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Idős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eknél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pont).</w:t>
      </w:r>
    </w:p>
    <w:p w14:paraId="2DE53BF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3A538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Vesekárosodás</w:t>
      </w:r>
    </w:p>
    <w:p w14:paraId="2EA3A2A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Vesekárosodásban szenvedő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56A4ED5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31ED5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Májkárosodás</w:t>
      </w:r>
    </w:p>
    <w:p w14:paraId="6669CD3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tikagrelort súlyos májkárosodásban szenvedő betegeknél nem vizsgálták, és ezért alkalmazása ezeknél a betegeknél ellenjavallt (lásd 4.3 pont). Közepes fokú májkárosodásban szenvedő betegekkel kapcsolatban csak korlátozott mennyiségű információ áll rendelkezésre. Dózismódosítás nem javasolt,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elővigyázatossággal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alkalmazni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Enyhe fokú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májkárosodásban szenvedő betegeknél nem szükséges a dózis módosítása (lásd 5.2 pont).</w:t>
      </w:r>
    </w:p>
    <w:p w14:paraId="03F25E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1EF0DF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Gyermekek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serdülők</w:t>
      </w:r>
    </w:p>
    <w:p w14:paraId="320B553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biztonságosságát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18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évesnél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fiatalabb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gyermekek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és serdülők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esetében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igazolták. A tikagrelornak nincs vonatkozó javallata sarlósejtes vérszegénységben szenvedő gyermekek kezelésére (lásd 5.1 és 5.2 pont).</w:t>
      </w:r>
    </w:p>
    <w:p w14:paraId="77D1977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EABB02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alkalmazás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módja</w:t>
      </w:r>
    </w:p>
    <w:p w14:paraId="5B929E5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Szájon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alkalmazásra.</w:t>
      </w:r>
    </w:p>
    <w:p w14:paraId="22D244D5" w14:textId="11531DEA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bevehető étkezés közben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attól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függetlenül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is.</w:t>
      </w:r>
    </w:p>
    <w:p w14:paraId="77A75A3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Azoknál a betegeknél, akik nem képesek egészben lenyelni a tablettá(ka)t, a tabletták finom porrá törhetők,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pohár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vízben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elkeverve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azonnal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megihatók.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poharat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félpohárnyi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vízzel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 kell öblíteni, és a pohár tartalmát meg kell inni. A keverék (CH8 vagy nagyobb átmérőjű) nazogasztrikus szondán át is alkalmazható. Fontos, hogy a keverék beadása után a nazogasztrikus szondát vízzel át kell öblíteni.</w:t>
      </w:r>
    </w:p>
    <w:p w14:paraId="1FB9D31C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6E4A5C0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4.3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Ellenjavallatok</w:t>
      </w:r>
    </w:p>
    <w:p w14:paraId="7CB782A6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71C1A95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készítmény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hatóanyagával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6.1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pontban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felsorolt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bármely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segédanyagával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szembeni túlérzékenység (lásd 4.8 pont).</w:t>
      </w:r>
    </w:p>
    <w:p w14:paraId="7C349EC4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Aktív,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patológiás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vérzés.</w:t>
      </w:r>
    </w:p>
    <w:p w14:paraId="09BBC0D7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anamnézisben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szereplő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intracranialis</w:t>
      </w:r>
      <w:r w:rsidRPr="00145C8B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4.8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02E1A07F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Súlyos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májkárosodás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4.2,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5.2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24D6D7F1" w14:textId="77777777" w:rsidR="00C62638" w:rsidRPr="00145C8B" w:rsidRDefault="00C62638" w:rsidP="00C6263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tikagrelor egyidejű alkalmazása erős CYP3A4-inhibitorokkal (pl. ketokonazollal, klaritromicinnel,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nefazodonnal,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ritonavirrel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atazanavirrel),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mivel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alkalmazás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tikagrelor-expozíció jelentős emelkedéséhez vezethet (lásd 4.5 pont).</w:t>
      </w:r>
    </w:p>
    <w:p w14:paraId="61270E0B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252B681" w14:textId="77777777" w:rsidR="00C62638" w:rsidRPr="00C62638" w:rsidRDefault="00C62638" w:rsidP="007E1C5F">
      <w:pPr>
        <w:widowControl w:val="0"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figyelmeztetések és az alkalmazással kapcsolatos óvintézkedések</w:t>
      </w:r>
    </w:p>
    <w:p w14:paraId="2A304C08" w14:textId="77777777" w:rsidR="00C62638" w:rsidRPr="00C62638" w:rsidRDefault="00C62638" w:rsidP="007E1C5F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9E1883B" w14:textId="77777777" w:rsidR="00C62638" w:rsidRPr="00C62638" w:rsidRDefault="00C62638" w:rsidP="007E1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Vérzési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kockázat</w:t>
      </w:r>
    </w:p>
    <w:p w14:paraId="7C33F12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Azoknál 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fokozott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kockázata,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 tikagrelor alkalmazását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mérlegelni kell az atherothromboticus események prevenciója okozta kedvező hatással szemben (lásd 4.8 és 5.1 pont).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klinikailag indokolt,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akkor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betegcsoportoknál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elővigyázatossággal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kell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alkalmazni:</w:t>
      </w:r>
    </w:p>
    <w:p w14:paraId="6FB8894A" w14:textId="77777777" w:rsidR="00C62638" w:rsidRPr="00145C8B" w:rsidRDefault="00C62638" w:rsidP="00C62638">
      <w:pPr>
        <w:widowControl w:val="0"/>
        <w:numPr>
          <w:ilvl w:val="2"/>
          <w:numId w:val="3"/>
        </w:numPr>
        <w:autoSpaceDE w:val="0"/>
        <w:autoSpaceDN w:val="0"/>
        <w:spacing w:after="0" w:line="240" w:lineRule="auto"/>
        <w:ind w:left="709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vérzésre hajlamos betegek (pl. friss trauma, friss műtét, véralvadási zavar, aktív vagy a közelmúltban lezajlott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gastrointestinalis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vérzés)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fokozottabb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trauma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kockázata. A tikagrelor alkalmazása ellenjavallt olyan betegeknél, akiknek aktív, patológiás vérzésük van, akiknek az anamnézisében intracranialis vérzés szerepel, valamint olyan betegeknél,</w:t>
      </w:r>
      <w:r w:rsidRPr="00145C8B">
        <w:rPr>
          <w:rFonts w:ascii="Times New Roman" w:eastAsia="Times New Roman" w:hAnsi="Times New Roman" w:cs="Times New Roman"/>
          <w:spacing w:val="4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akik súlyos májkárosodásban szenvednek (lásd 4.3 pont).</w:t>
      </w:r>
    </w:p>
    <w:p w14:paraId="1577C768" w14:textId="77777777" w:rsidR="00C62638" w:rsidRPr="00145C8B" w:rsidRDefault="00C62638" w:rsidP="00C62638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709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olyan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betegek,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akik a tikagrelor alkalmazásához képest 24 órán belül olyan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gyógyszereket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kapnak,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amelyek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növelhetik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vérzés kockázatát (pl. nem-szteroid gyulladáscsökkentő gyógyszerek [NSAID-ok], orális antikoagulánsok és/vagy fibrinolitikumok).</w:t>
      </w:r>
    </w:p>
    <w:p w14:paraId="2F29AD6F" w14:textId="77777777" w:rsidR="00C62638" w:rsidRPr="00145C8B" w:rsidRDefault="00C62638" w:rsidP="00C62638">
      <w:pPr>
        <w:widowControl w:val="0"/>
        <w:autoSpaceDE w:val="0"/>
        <w:autoSpaceDN w:val="0"/>
        <w:spacing w:after="0" w:line="240" w:lineRule="auto"/>
        <w:ind w:left="709"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1E3148" w14:textId="77777777" w:rsidR="0092080F" w:rsidRDefault="0092080F" w:rsidP="0092080F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Két randomizált, kontrollos vizsgálat (TICO és TWILIGHT) az olyan akut coronaria szindrómás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betegeknél, akik percutan coronaria intervención (PCI) estek át gyógyszerkibocsátó stent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alkalmazásával, és akik a tikagrelorral és acetilszalicilsavval végzett kettős thrombocytaaggregáció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kezelést (dual antiplatelet therapy, DAPT) követően 3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 után abbahagyták az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acetilszalicilsav szedését, és az önmagában adott tikagrelorral végzett 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-k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ezeléssel (single antiplatelet therapy, SAPT) folytatták a terápiát 9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hónapig, illetve 12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hónapig, azt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mutatta a kettős 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 folytatásához viszonyítva, hogy csökkent 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vérzési kockázat anélkül, hogy jelentős cardiovascularis nemkívánatos eseményeket (major adverse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cardiovascular events, MACE) figyeltek volna meg. Azoknál a betegeknél, akiknél fokozott a vérzés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kockázata, az ASA-kezelés 3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 elteltével történő abbahagyására és a tikagrelor egyszeri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thrombocytaaggregáció-gátló</w:t>
      </w:r>
      <w:r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kezelésének 9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hónapig történő folytatására vonatkozó döntést klinikai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megítélés alapján kell meghozni, figyelembe véve a vérzés kockázatát a thromboticus események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kockázatával szemben (lásd 4.2</w:t>
      </w:r>
      <w:r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5511D3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1B80E9A8" w14:textId="77777777" w:rsidR="0092080F" w:rsidRDefault="0092080F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EF4E31" w14:textId="4260ED6B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thrombocyta-transzfúzió nem változtatta meg a tikagrelor thrombocytagátló hatását egészséges vizsgálati alanyoknál, és valószínűleg nincs klinikai előnye olyan betegeknél, akiknél vérzés áll fenn. Mivel a tikagrelor és a dezmopresszin együttes adása nem csökkentette a standardizált vérzési időt, ezért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valószínű,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dezmopresszin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4.5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3397A9F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5FF51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antifibrinolyticus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(aminokapronsav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tranexámsav)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és/vagy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rekombináns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faktor-kezelés fokozhatja a haemostasist. A vérzés okának azonosítása és a vérzés megszüntetése után a tikagrelor adása folytatható.</w:t>
      </w:r>
    </w:p>
    <w:p w14:paraId="684A726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B14E89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Műtét</w:t>
      </w:r>
    </w:p>
    <w:p w14:paraId="3C2AA6C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tanácsolni,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tervezett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bármilyen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új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szedése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 tájékoztassák kezelőorvosaikat és fogorvosaikat arról, hogy tikagrelort szednek.</w:t>
      </w:r>
    </w:p>
    <w:p w14:paraId="4B4D825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78E90E8" w14:textId="3CAF628A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 részt vevő, coronaria-bypass-graft műtéten (CABG) áteső betegeknél a tikagrelor alkalmazása esetén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fordult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 alkalmazásakor,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nappal állították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 vérzések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aránya a tikagrelor és 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alkalmazása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 hasonló volt,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amikor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kezelést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2 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nappal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állították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4.8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elektív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műtéten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esik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thrombocytagátló hatás nem kívánatos, akkor a tikagrelor adását a műtét előtt 5 nappal abba kell hagyni (lásd 5.1 pont).</w:t>
      </w:r>
    </w:p>
    <w:p w14:paraId="335A08C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0103EF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Korábban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ischaemiás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stroke-on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átesett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betegek</w:t>
      </w:r>
    </w:p>
    <w:p w14:paraId="2A4C8729" w14:textId="2F641B61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korábban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ischaemiás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stroke-on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átesett,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legfeljebb 12 hónapig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kezelhetők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 (PLATO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vizsgálat).</w:t>
      </w:r>
    </w:p>
    <w:p w14:paraId="54EA0C4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1E5FE9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PEGASUS-vizsgálatban 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vettek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részt olyan betegek, akiknek az anamnézisében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 és korábban ischaemiás stroke-on estek át.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adatok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hiányában,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ezeknél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betegeknél az egy éven túli kezelés nem javasolt.</w:t>
      </w:r>
    </w:p>
    <w:p w14:paraId="5F640DC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70F32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Májkárosodás</w:t>
      </w:r>
    </w:p>
    <w:p w14:paraId="342D7FB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súlyos májkárosodásban szenvedő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ellenjavallt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4.3 pont). Közepes fokú májkárosodásban szenvedő betegeknél a tikagrelor alkalmazásával kapcsolatos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tapasztalatok korlátozottak,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elővigyázatosság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 5.2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5089EAD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560440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Betegek,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fennáll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bradycardiás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kockázata</w:t>
      </w:r>
    </w:p>
    <w:p w14:paraId="7C38F53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Holter EKG-monitorozás azt mutatta, hogy a javarészt tünetmentes ventricularis pauzák gyakorisága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során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megemelkedett, a klopidogrellel összehasonlítva. Azokat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betegeket, akiknél fokozott volt a bradycardiás események kockázata (például az olyan, pacemaker nélküli betegeket, akiknek sick sinus szindrómájuk, másod- vagy harmadfokú AV-blokkjuk, vagy bradycardiával összefüggő ájulásuk volt), a tikagrelor biztonságosságát és hatásosságát értékelő fő vizsgálatokból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kizárták.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korlátozott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tapasztalat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miatt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ezért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körültekintően kell alkalmazni (lásd 5.1 pont).</w:t>
      </w:r>
    </w:p>
    <w:p w14:paraId="302408C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171DDB5" w14:textId="2E7B2A83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Továbbá elővigyázatosság szükséges, ha a tikagrelort olyan gyógyszerekkel adják egyidejűleg, amelyekről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ismert,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bradycardiát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idéznek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Ugyanakkor,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 tikagrelor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 olyan gyógyszer (pl. a betegek 96%-ánál béta-blokkoló, 33%-uknál kalciumcsatorna-blokkoló diltiazem és verapamil, 4%-uknál digoxin) egyidejű adását követően, amelyekről ismert, hogy bradycardiát idéznek elő, nem észleltek klinikailag jelentős mellékhatásokra utaló bizonyítékot (lásd 4.5 pont).</w:t>
      </w:r>
    </w:p>
    <w:p w14:paraId="38536F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D72633" w14:textId="461AA80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 Holter alvizsgálata során, az acut coronaria szindróma akut fázisa alatt 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alkalmazása mellett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 betegnek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másodperces vagy annál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hosszabb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ventricularis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pauzája,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 alkalmazásakor.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Holterrel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kimutatott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ventricularis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pauzák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2"/>
          <w:kern w:val="0"/>
          <w14:ligatures w14:val="none"/>
        </w:rPr>
        <w:t xml:space="preserve"> alkalmazásakor tapasztalt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növekedése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coronaria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akut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fázisa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krónikus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szívelégtelenségben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teljes vizsgálati populációban, de nem volt magasabb 1 hónapos tikagrelor-kezelés után vagy a klopidogrelhez képest. Ennek az eltérésnek, ebben a betegpopulációban nem volt kedvezőtlen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 következménye (beleértve a syncopét vagy a pacemaker-behelyezést) (lásd 5.1 pont).</w:t>
      </w:r>
    </w:p>
    <w:p w14:paraId="1FE1576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2E210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szedő betegeknél bradyarrhythmiás események és AV-blokk előfordulását jelentették a forgalomba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hozatalt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4.8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főként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amikor a szív ischaemiája és az egyidejűleg szedett, szívfrekvenciát csökkentő vagy a szív ingerületvezetését befolyásoló gyógyszerek potenciálisan zavaró tényezők lehetnek. 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módosítása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 értékelni kell a betegek klinikai állapotát és az egyidejűleg szedett gyógyszereket, mint lehetséges kiváltó tényezőket.</w:t>
      </w:r>
    </w:p>
    <w:p w14:paraId="55B1765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160B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Dyspnoe</w:t>
      </w:r>
    </w:p>
    <w:p w14:paraId="2CB1C51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 kezelt betegeknél dyspnoéról számoltak be. A dyspnoe intenzitása rendszerint enyhe vagy közepes mértékű, és gyakran anélkül megszűnik, hogy a kezelés abbahagyására lenne szükség. Az asthmás/krónikus obstruktív tüdőbetegségben (COPD) szenvedő betegeknél a tikagrelor alkalmazáskor magasabb lehet a dyspnoe kialakulásának abszolút kockázata. A tikagrelort elővigyázatossággal kell alkalmazni olyan betegeknél, akiknek az anamnézisében asthma és/vagy COPD szerepel. A mechanizmus nem tisztázott. Ha egy beteg újonnan kialakult, tartós vagy súlyosbodó dyspnoéról számol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be, akkor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alaposan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vizsgálni,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tolerálja,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akkor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tikagrelor-kezelést le kell állítani. A további részleteket lásd a 4.8 pontban.</w:t>
      </w:r>
    </w:p>
    <w:p w14:paraId="3AE2CA0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96CB9F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Centrális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alvási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apnoe</w:t>
      </w:r>
    </w:p>
    <w:p w14:paraId="4B263F1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szedő betegeknél a forgalomba hozatalt követően centrális alvási apnoét jelentettek, beleértve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Cheyne–Stokes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légzést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is.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centrális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alvási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apnoe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gyanúja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felmerül,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 értékelést kell mérlegelni.</w:t>
      </w:r>
    </w:p>
    <w:p w14:paraId="155069A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8F2A40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Kreatininszint</w:t>
      </w:r>
      <w:r w:rsidRPr="00C62638">
        <w:rPr>
          <w:rFonts w:ascii="Times New Roman" w:eastAsia="Times New Roman" w:hAnsi="Times New Roman" w:cs="Times New Roman"/>
          <w:spacing w:val="13"/>
          <w:kern w:val="0"/>
          <w:u w:val="single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emelkedés</w:t>
      </w:r>
    </w:p>
    <w:p w14:paraId="1F8C8C3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kreatininszint a tikagrelor-kezelés ideje alatt emelkedhet. A mechanizmus még nem tisztázott. A vesefunkciót a rutin orvosi gyakorlatnak megfelelően ellenőrizni kell. Acut coronaria szindrómás betegeknél a vesefunkció ellenőrzése egy hónappal a tikagrelor-kezelés elkezdése után is javasolt, és különös figyelmet kell fordítani a ≥ 75 éves betegekre, a közepes fokú vagy súlyos fokú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vesekárosodásban szenvedő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betegekre,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azokra,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egyidejűleg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angiotenzin-receptor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blokkoló (ARB) kezelést kapnak.</w:t>
      </w:r>
    </w:p>
    <w:p w14:paraId="6DED1A9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21D43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Húgysavszint</w:t>
      </w:r>
      <w:r w:rsidRPr="00C62638">
        <w:rPr>
          <w:rFonts w:ascii="Times New Roman" w:eastAsia="Times New Roman" w:hAnsi="Times New Roman" w:cs="Times New Roman"/>
          <w:spacing w:val="7"/>
          <w:kern w:val="0"/>
          <w:u w:val="single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emelkedés</w:t>
      </w:r>
    </w:p>
    <w:p w14:paraId="78D6449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tikagrelor-kezelés alatt hyperuricaemia fordulhat elő (lásd 4.8 pont). Elővigyázatosság javasolt azoknál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hyperuricaemia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köszvényes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arthritis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szerepel. A tikagrelor alkalmazása húgysav-nephropathiában szenvedő betegeknél elővigyázatosságból nem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javasolt.</w:t>
      </w:r>
    </w:p>
    <w:p w14:paraId="4F138C6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BFD78EC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Thromboticus</w:t>
      </w:r>
      <w:r w:rsidRPr="00C62638">
        <w:rPr>
          <w:rFonts w:ascii="Times New Roman" w:eastAsia="Times New Roman" w:hAnsi="Times New Roman" w:cs="Times New Roman"/>
          <w:spacing w:val="-1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thrombocytopeniás</w:t>
      </w:r>
      <w:r w:rsidRPr="00C62638">
        <w:rPr>
          <w:rFonts w:ascii="Times New Roman" w:eastAsia="Times New Roman" w:hAnsi="Times New Roman" w:cs="Times New Roman"/>
          <w:spacing w:val="-1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purpura</w:t>
      </w:r>
      <w:r w:rsidRPr="00C62638">
        <w:rPr>
          <w:rFonts w:ascii="Times New Roman" w:eastAsia="Times New Roman" w:hAnsi="Times New Roman" w:cs="Times New Roman"/>
          <w:spacing w:val="-1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(TTP)</w:t>
      </w:r>
    </w:p>
    <w:p w14:paraId="0614D01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Thromboticus thrombocytopeniás purpura (TTP) nagyon ritka előfordulásáról számoltak be tikagrelor alkalmazása során. Thrombocytopenia és microangiopathiás haemolyticus anaemia jellemzi, mely</w:t>
      </w:r>
      <w:r w:rsidRPr="00C62638">
        <w:rPr>
          <w:rFonts w:ascii="Times New Roman" w:eastAsia="Times New Roman" w:hAnsi="Times New Roman" w:cs="Times New Roman"/>
          <w:spacing w:val="4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akár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neurológiai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tünetekkel,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veseműködési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zavarral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lázzal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járhat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TTP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potenciálisan fatális állapot, mely azonnali kezelést tesz szükségessé, beleértve a plazmaferezist is.</w:t>
      </w:r>
    </w:p>
    <w:p w14:paraId="67802B2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3B04F38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heparin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indukálta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thrombocytopenia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(HIT –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heparin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induced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thrombocytopenia)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kimutatása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során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thrombocytafunkciós tesztekre gyakorolt zavaró hatás</w:t>
      </w:r>
    </w:p>
    <w:p w14:paraId="47FF52E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HIT kimutatásához a heparin-indukálta thrombocytaaktivációs (HIPA – heparin induced platelet activation) tesztet alkalmazzák, amely során heparin jelenlétében az egészséges donorok thrombocytái aktiválódnak a beteg szérumában lévő thrombocytaellenes faktor 4/heparin antitestek hatására. A HIT kimutatásakor a thrombocytafunkciós tesztek (beleértve, de nem kizárólag a HIPA teszt) hamis negatív eredményeiről számoltak be olyan betegeknél, akik tikagrelort kaptak. Ez összefügg a betegek szérumában/plazmájában jelen lévő tikagrelor általi P2Y12-receptor-gátlással az egészséges donorok thrombocytáin. A HIT kimutatásához használt thrombocytafunkciós tesztek értelmezéséhez szükség van az egyidejű tikagrelor-kezelés ismeretére.</w:t>
      </w:r>
    </w:p>
    <w:p w14:paraId="291BCE4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tikagrelor-kezelés folytatásának előny-kockázat arányának értékelésére van szükség olyan betegeknél, akiknél HIT alakult ki, figyelembe véve a prothrombotikus állapotukat, valamint az egyidejű antikoaguláns és tikagrelor-kezelés okozta vérzés megnövekedett kockázatát.</w:t>
      </w:r>
    </w:p>
    <w:p w14:paraId="2AC5E87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572FEB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>Egyéb</w:t>
      </w:r>
    </w:p>
    <w:p w14:paraId="27A14BEE" w14:textId="07ABDBA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fenntartó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klopidogrelhez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viszonyított relatív hatásossága között megfigyelt összefüggés alapján a tikagrelor és az acetilszalicilsav nagy fenntartó dózisának (&gt; 300 mg) egyidejű alkalmazása nem javasolt (lásd 5.1 pont).</w:t>
      </w:r>
    </w:p>
    <w:p w14:paraId="71EAA0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1A8EC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idő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előtti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abbahagyása</w:t>
      </w:r>
    </w:p>
    <w:p w14:paraId="02E4664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Bármilyen thrombocytagátló-kezelés, köztük a tikagrelor alkalmazásának idő előtti leállítása az alapbetegség következtében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eredetű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halálozás,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stroke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fokozott kockázatát eredményezheti. Ezért a kezelés idő előtti leállítását kerülni kell.</w:t>
      </w:r>
    </w:p>
    <w:p w14:paraId="0F3365B1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1D0F2D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4.5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Gyógyszerkölcsönhatások és egyéb interakciók</w:t>
      </w:r>
    </w:p>
    <w:p w14:paraId="08022F01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6D1F29C" w14:textId="0D694E81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elsősorban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CYP3A4-szubsztrát,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enyhe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inhibitora.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P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glikoprotein-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(P-gp)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szubsztrát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gyenge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P-gp-inhibitor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növelheti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P-gp-szubsztrátok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expozícióját.</w:t>
      </w:r>
      <w:r w:rsidR="0034000E" w:rsidRPr="0034000E">
        <w:t xml:space="preserve"> </w:t>
      </w:r>
      <w:r w:rsidR="0034000E" w:rsidRPr="0034000E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 tikagrelor egy emlőrákrezisztencia-protein- (breast cancer resistance protein, BCRP) inhibitor.</w:t>
      </w:r>
    </w:p>
    <w:p w14:paraId="4F551BD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19164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Gyógyszerek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más</w:t>
      </w:r>
      <w:r w:rsidRPr="00C62638">
        <w:rPr>
          <w:rFonts w:ascii="Times New Roman" w:eastAsia="Times New Roman" w:hAnsi="Times New Roman" w:cs="Times New Roman"/>
          <w:spacing w:val="-10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készítmények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tikagrelorra</w:t>
      </w:r>
      <w:r w:rsidRPr="00C62638">
        <w:rPr>
          <w:rFonts w:ascii="Times New Roman" w:eastAsia="Times New Roman" w:hAnsi="Times New Roman" w:cs="Times New Roman"/>
          <w:spacing w:val="-9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gyakorolt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hatása</w:t>
      </w:r>
    </w:p>
    <w:p w14:paraId="5077F369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</w:pPr>
    </w:p>
    <w:p w14:paraId="24C1F2A4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CYP3A4-inhibitorok</w:t>
      </w:r>
    </w:p>
    <w:p w14:paraId="3F863BD8" w14:textId="77777777" w:rsidR="00C62638" w:rsidRPr="00145C8B" w:rsidRDefault="00C62638" w:rsidP="00C62638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851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Erős CYP3A4-inhibitorok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– A ketokonazol és a tikagrelor együttes alkalmazása a tikagrelor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 2,4-szeresére</w:t>
      </w:r>
      <w:r w:rsidRPr="00145C8B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,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145C8B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pedig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7,3-szeresére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növelte.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aktív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metabolit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értéke 89%-kal,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AUC-értéke pedig 56%-kal csökkent. A CYP3A4 más, erős inhibitorainak (klaritromicin, nefazadon, ritonavir és atazanavir) várhatóan hasonló a hatása, ezért az erős CYP3A4-inhibitorok</w:t>
      </w:r>
      <w:r w:rsidRPr="00145C8B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ellenjavallt</w:t>
      </w:r>
      <w:r w:rsidRPr="00145C8B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(lásd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4.3</w:t>
      </w:r>
      <w:r w:rsidRPr="00145C8B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1BB2A523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Közepesen erős CYP3A4-inhibitorok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– A diltiazem és a tikagrelor együttes alkalmazása a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145C8B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69%-kal,</w:t>
      </w:r>
      <w:r w:rsidRPr="00145C8B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pedig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2,7-szeresére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növelte.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aktív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metabolit C</w:t>
      </w:r>
      <w:r w:rsidRPr="00145C8B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-értéke 38%-kal csökkent, AUC-értéke változatlan maradt. A tikagrelornak nem volt hatása a diltiazem plazmaszintjére. A CYP3A4 más, közepesen erős inhibitorainak (pl. amprenavir, aprepitant, eritromicin és flukonazol) várhatóan hasonló a hatása, és azok is adhatók együtt a tikagrelorral.0</w:t>
      </w:r>
    </w:p>
    <w:p w14:paraId="2F75F71F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tikagrelor expozíciójának 2-szeres növekedését figyelték meg napi nagy mennyiségű grépfrútlé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fogyasztását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(3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200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ml).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expozíció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ilyen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mértékű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növekedésének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legtöbb betegnél várhatóan nincs klinikai jelentősége.</w:t>
      </w:r>
    </w:p>
    <w:p w14:paraId="5B963E1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DD82244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CYP3A-induktorok</w:t>
      </w:r>
    </w:p>
    <w:p w14:paraId="57A7497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rifampicin</w:t>
      </w:r>
      <w:r w:rsidRPr="00C62638">
        <w:rPr>
          <w:rFonts w:ascii="Times New Roman" w:eastAsia="Times New Roman" w:hAnsi="Times New Roman" w:cs="Times New Roman"/>
          <w:spacing w:val="-7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7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73%-kal,</w:t>
      </w:r>
      <w:r w:rsidRPr="00C62638">
        <w:rPr>
          <w:rFonts w:ascii="Times New Roman" w:eastAsia="Times New Roman" w:hAnsi="Times New Roman" w:cs="Times New Roman"/>
          <w:spacing w:val="-9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>pedig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86%-kal csökkentette. Az aktív metabolit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-értéke változatlan maradt, AUC-értéke pedig 46%-kal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csökkent. Más CYP3A-induktorok (pl. fenitoin, karbamazepin és fenobarbitál) is várhatóan hasonlóan csökkentik a tikagrelor expozícióját. A tikagrelor és potens CYP3A-induktorok együttes alkalmazása csökkentheti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expozícióját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hatásosságát,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alkalmazásuk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nem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javasolt.</w:t>
      </w:r>
    </w:p>
    <w:p w14:paraId="47BB48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6E6CA7A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Ciklosporin</w:t>
      </w:r>
      <w:r w:rsidRPr="00C62638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(P-gp-</w:t>
      </w:r>
      <w:r w:rsidRPr="00C62638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és</w:t>
      </w:r>
      <w:r w:rsidRPr="00C62638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CYP3A-</w:t>
      </w: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inhibitor)</w:t>
      </w:r>
    </w:p>
    <w:p w14:paraId="0EF2B11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ciklosporin (600 mg) és a tikagrelor együttes alkalmazása a tikagrelor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-értékét 2,3-szeresére, AUC-értékét pedig 2,8-szeresére növelte. Az aktív metabolit AUC-értéke 32%-kal növekedett,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értéke pedig 15%-kal csökkent ciklosporin jelenlétében.</w:t>
      </w:r>
    </w:p>
    <w:p w14:paraId="0F819D0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72A45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és a tikagrelor-expozíciót esetleg szintén növelő más hatóanyagok, amelyek potens P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gp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inhibitorok és közepesen erős CYP3A4-inhibitorok is (pl. verapamil, kinidin), együttes alkalmazására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adatok.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 alkalmazás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elkerülhetetlen,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akkor az együttadást körültekintően kell végezni.</w:t>
      </w:r>
    </w:p>
    <w:p w14:paraId="1B173BF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6563C8D8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Egyéb</w:t>
      </w:r>
    </w:p>
    <w:p w14:paraId="401CF21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 farmakológiai interakciós vizsgálatok azt mutatták, hogy a tikagrelor heparinnal, enoxaparinnal és acetilszalicilsavval vagy dezmopresszinnel történő együttes adása a tikagrelor önmagában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adásához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képest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semmilyen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hatással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farmakokinetikájára, sem az ADP-indukálta thrombocytaaggregációra. Ha az klinikailag indokolt, akkor a haemostasist megváltoztató gyógyszereket elővigyázatossággal kell a tikagrelorral kombinációban adni.</w:t>
      </w:r>
    </w:p>
    <w:p w14:paraId="317F49B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B3C05F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orális P2Y12-inhibitorok, köztük a tikagrelor és aktív metabolitja, expozíciójának elhúzódását és csökkenését figyelték meg olyan acut coronaria szindrómás betegeknél, akiket morfinnal kezeltek (a tikagrelor expozíció 35%-os csökkenése). Ez a kölcsönhatás a csökkent gastrointestinalis motilitással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lehet kapcsolatos és egyéb opioidokra is vonatkozik. A klinikai jelentősége nem ismert, de az adatok a tikagrelor hatásosságának lehetséges csökkenését mutatják azoknál a betegeknél, akiket egyidejűleg tikagrelorral és morfinnal kezeltek. Azoknál az acut coronaria szindrómás betegeknél, akiknél a morfin adását nem lehet mellőzni és a gyors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-gátlás döntő fontosságú, parenterális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inhibitor alkalmazását lehet mérlegelni.</w:t>
      </w:r>
    </w:p>
    <w:p w14:paraId="48BE953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26E9AB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3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1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más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gyógyszerekre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gyakorolt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hatása</w:t>
      </w:r>
    </w:p>
    <w:p w14:paraId="783272D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6C6E7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CYP3A4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által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metabolizált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gyógyszerek</w:t>
      </w:r>
    </w:p>
    <w:p w14:paraId="54D65BF0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kern w:val="0"/>
          <w:position w:val="2"/>
          <w14:ligatures w14:val="none"/>
        </w:rPr>
        <w:t xml:space="preserve">Szimvasztatin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– A tikagrelor és a szimvasztatin együttes alkalmazása a szimvasztatin 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értékét 81%-kal,</w:t>
      </w:r>
      <w:r w:rsidRPr="00145C8B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AUC-értékét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pedig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56%-kal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növelte,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szimvasztatinsav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145C8B">
        <w:rPr>
          <w:rFonts w:ascii="Times New Roman" w:eastAsia="Times New Roman" w:hAnsi="Times New Roman" w:cs="Times New Roman"/>
          <w:spacing w:val="-1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64%-kal, AUC-értékét pedig 52%-kal növelte, néhány egyénnél az emelkedés 2-3-szoros volt. A tikagrelor és a napi 40 mg-ot meghaladó szimvasztatin-dózisok együttes alkalmazása szimvasztatin okozta mellékhatásokkal járhat, amit a lehetséges előnyökkel szemben mérlegelni kell. A szimvasztatinnak nem volt hatása a tikagrelor plazmaszintjére. A tikagrelornak hasonló hatása lehet a lovasztatinra. A tikagrelor és a 40 mg-nál nagyobb szimvasztatin- vagy lovasztatin-dózisok egyidejű alkalmazása nem javasolt.</w:t>
      </w:r>
    </w:p>
    <w:p w14:paraId="3E91F36F" w14:textId="77777777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i/>
          <w:kern w:val="0"/>
          <w:position w:val="2"/>
          <w14:ligatures w14:val="none"/>
        </w:rPr>
        <w:t>Atorvasztatin</w:t>
      </w:r>
      <w:r w:rsidRPr="00145C8B">
        <w:rPr>
          <w:rFonts w:ascii="Times New Roman" w:eastAsia="Times New Roman" w:hAnsi="Times New Roman" w:cs="Times New Roman"/>
          <w:i/>
          <w:spacing w:val="-2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–</w:t>
      </w:r>
      <w:r w:rsidRPr="00145C8B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atorvasztatin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együttes</w:t>
      </w:r>
      <w:r w:rsidRPr="00145C8B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alkalmazása</w:t>
      </w:r>
      <w:r w:rsidRPr="00145C8B">
        <w:rPr>
          <w:rFonts w:ascii="Times New Roman" w:eastAsia="Times New Roman" w:hAnsi="Times New Roman" w:cs="Times New Roman"/>
          <w:spacing w:val="-7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atorvasztatinsav</w:t>
      </w:r>
      <w:r w:rsidRPr="00145C8B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 23%-kal, AUC-értékét pedig 36%-kal növelte. Az AUC és a C</w:t>
      </w:r>
      <w:r w:rsidRPr="00145C8B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145C8B">
        <w:rPr>
          <w:rFonts w:ascii="Times New Roman" w:eastAsia="Times New Roman" w:hAnsi="Times New Roman" w:cs="Times New Roman"/>
          <w:spacing w:val="31"/>
          <w:kern w:val="0"/>
          <w:sz w:val="14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hasonló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emelkedését észlelték minden atorvasztatinsav-metabolit esetén. Ezeket az emelkedéseket nem tartják klinikailag jelentősnek.</w:t>
      </w:r>
    </w:p>
    <w:p w14:paraId="0034BCB9" w14:textId="331944C2" w:rsidR="00C62638" w:rsidRPr="00145C8B" w:rsidRDefault="00C62638" w:rsidP="00C62638">
      <w:pPr>
        <w:widowControl w:val="0"/>
        <w:numPr>
          <w:ilvl w:val="2"/>
          <w:numId w:val="4"/>
        </w:numPr>
        <w:autoSpaceDE w:val="0"/>
        <w:autoSpaceDN w:val="0"/>
        <w:spacing w:after="0" w:line="240" w:lineRule="auto"/>
        <w:ind w:left="851" w:right="2" w:hanging="425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Más, a CYP3A4 által metabolizált sztatinokra gyakorolt hasonló hatás nem zárható ki. A PLATO</w:t>
      </w:r>
      <w:r w:rsidR="00A97628"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145C8B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kapó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különböző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sztatinokat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szedtek,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ezeket</w:t>
      </w:r>
      <w:r w:rsidRPr="00145C8B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gyógyszereket szedő PLATO</w:t>
      </w:r>
      <w:r w:rsidR="00A97628"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kohorsz 93%-ánál nem észleltek a sztatin biztonságosságával összefüggő problémát.</w:t>
      </w:r>
    </w:p>
    <w:p w14:paraId="0238BF0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063841" w14:textId="77777777" w:rsidR="00C62638" w:rsidRPr="00C62638" w:rsidRDefault="00C62638" w:rsidP="007E1C5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egy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enyhe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CYP3A4-inhibitor.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szűk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indexű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CYP3A4-szubsztrátok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(azaz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ciszaprid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ergot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alkaloidok)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javasolt, mivel a tikagrelor növelheti ezeknek a gyógyszereknek az expozícióját.</w:t>
      </w:r>
    </w:p>
    <w:p w14:paraId="47A8F85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84CA469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P-gp-szubsztrátok</w:t>
      </w:r>
      <w:r w:rsidRPr="00C62638">
        <w:rPr>
          <w:rFonts w:ascii="Times New Roman" w:eastAsia="SimSun" w:hAnsi="Times New Roman" w:cs="Times New Roman"/>
          <w:i/>
          <w:snapToGrid w:val="0"/>
          <w:spacing w:val="-12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(beleértve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a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digoxint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és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val="en-GB" w:eastAsia="zh-CN"/>
          <w14:ligatures w14:val="none"/>
        </w:rPr>
        <w:t>ciklosporint</w:t>
      </w:r>
      <w:r w:rsidRPr="00C62638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val="en-GB"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val="en-GB" w:eastAsia="zh-CN"/>
          <w14:ligatures w14:val="none"/>
        </w:rPr>
        <w:t>is)</w:t>
      </w:r>
    </w:p>
    <w:p w14:paraId="6F4C127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és a digoxin egyidejű alkalmazása a digoxin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-értékét 75%-kal, AUC-értékét pedig 28%-kal növelte. A tikagrelorral történő együttes alkalmazásakor az átlagos mélyponti digoxin-szint mintegy 30%-kal nőtt, úgy, hogy néhány egyénnél a maximális emelkedés 2-szeres volt. A digoxin jelenléte nem befolyásolta a tikagrelor és aktív metabolitjának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 és AUC-értékét. Ezért a szűk terápiás indexű, P-gp-függő gyógyszerek, mint például a digoxin és a tikagrelor együttes adásakor megfelelő klinikai és/vagy laboratóriumi monitorozás javasolt.</w:t>
      </w:r>
    </w:p>
    <w:p w14:paraId="546CE2D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46AE1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ciklosporin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vérszintjére.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egyéb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P-gp-szubsztrátokra gyakorolt hatását nem vizsgálták.</w:t>
      </w:r>
    </w:p>
    <w:p w14:paraId="62908DD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E9ECFB7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CYP2C9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által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metabolizált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gyógyszerek</w:t>
      </w:r>
    </w:p>
    <w:p w14:paraId="0D93926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tolbutamid 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gyógyszer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plazmaszintjének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változását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sem idézte elő, ami arra utal, hogy a tikagrelor nem CYP2C9-inhibitor, és nem valószínű, hogy megváltoztatná olyan gyógyszerek CYP2C9 mediálta metabolizmusát, mint például a warfarin és a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tolbutamid.</w:t>
      </w:r>
    </w:p>
    <w:p w14:paraId="7165052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1802E9" w14:textId="77777777" w:rsidR="00E32DAE" w:rsidRPr="00E32DAE" w:rsidRDefault="00E32DAE" w:rsidP="00E32DAE">
      <w:pPr>
        <w:keepNext/>
        <w:suppressAutoHyphens/>
        <w:spacing w:after="0" w:line="260" w:lineRule="exact"/>
        <w:rPr>
          <w:rFonts w:ascii="Times New Roman" w:eastAsia="Times New Roman" w:hAnsi="Times New Roman" w:cs="Times New Roman"/>
          <w:i/>
          <w:iCs/>
          <w:kern w:val="0"/>
          <w:szCs w:val="20"/>
          <w:u w:val="single"/>
          <w14:ligatures w14:val="none"/>
        </w:rPr>
      </w:pPr>
      <w:r w:rsidRPr="00E32DAE">
        <w:rPr>
          <w:rFonts w:ascii="Times New Roman" w:eastAsia="Times New Roman" w:hAnsi="Times New Roman" w:cs="Times New Roman"/>
          <w:i/>
          <w:iCs/>
          <w:kern w:val="0"/>
          <w:szCs w:val="20"/>
          <w:u w:val="single"/>
          <w14:ligatures w14:val="none"/>
        </w:rPr>
        <w:t>Rozuvasztatin</w:t>
      </w:r>
      <w:bookmarkStart w:id="0" w:name="_GoBack"/>
      <w:bookmarkEnd w:id="0"/>
      <w:r w:rsidRPr="00E32DAE">
        <w:rPr>
          <w:rFonts w:ascii="Times New Roman" w:eastAsia="Times New Roman" w:hAnsi="Times New Roman" w:cs="Times New Roman"/>
          <w:i/>
          <w:iCs/>
          <w:kern w:val="0"/>
          <w:szCs w:val="20"/>
          <w:u w:val="single"/>
          <w14:ligatures w14:val="none"/>
        </w:rPr>
        <w:t xml:space="preserve"> (BCRP</w:t>
      </w:r>
      <w:r w:rsidRPr="00E32DAE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>-</w:t>
      </w:r>
      <w:r w:rsidRPr="00E32DAE">
        <w:rPr>
          <w:rFonts w:ascii="Times New Roman" w:eastAsia="Times New Roman" w:hAnsi="Times New Roman" w:cs="Times New Roman"/>
          <w:i/>
          <w:iCs/>
          <w:kern w:val="0"/>
          <w:szCs w:val="20"/>
          <w:u w:val="single"/>
          <w14:ligatures w14:val="none"/>
        </w:rPr>
        <w:t>szubsztrát)</w:t>
      </w:r>
    </w:p>
    <w:p w14:paraId="6D344C81" w14:textId="77777777" w:rsidR="00E32DAE" w:rsidRPr="00E32DAE" w:rsidRDefault="00E32DAE" w:rsidP="00E32DAE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E32DAE">
        <w:rPr>
          <w:rFonts w:ascii="Times New Roman" w:eastAsia="Times New Roman" w:hAnsi="Times New Roman" w:cs="Times New Roman"/>
          <w:kern w:val="0"/>
          <w:szCs w:val="20"/>
          <w14:ligatures w14:val="none"/>
        </w:rPr>
        <w:t>A tikagrelorról kimutatták, hogy a rozuvasztatin C</w:t>
      </w:r>
      <w:r w:rsidRPr="00E32DAE">
        <w:rPr>
          <w:rFonts w:ascii="Times New Roman" w:eastAsia="Times New Roman" w:hAnsi="Times New Roman" w:cs="Times New Roman"/>
          <w:kern w:val="0"/>
          <w:szCs w:val="20"/>
          <w:vertAlign w:val="subscript"/>
          <w14:ligatures w14:val="none"/>
        </w:rPr>
        <w:t>max</w:t>
      </w:r>
      <w:r w:rsidRPr="00E32DAE">
        <w:rPr>
          <w:rFonts w:ascii="Times New Roman" w:eastAsia="Times New Roman" w:hAnsi="Times New Roman" w:cs="Times New Roman"/>
          <w:kern w:val="0"/>
          <w:szCs w:val="20"/>
          <w14:ligatures w14:val="none"/>
        </w:rPr>
        <w:noBreakHyphen/>
        <w:t>át körülbelül 2,5</w:t>
      </w:r>
      <w:r w:rsidRPr="00E32DAE">
        <w:rPr>
          <w:rFonts w:ascii="Times New Roman" w:eastAsia="Times New Roman" w:hAnsi="Times New Roman" w:cs="Times New Roman"/>
          <w:kern w:val="0"/>
          <w:szCs w:val="20"/>
          <w14:ligatures w14:val="none"/>
        </w:rPr>
        <w:noBreakHyphen/>
        <w:t>szeresére, AUC</w:t>
      </w:r>
      <w:r w:rsidRPr="00E32DAE">
        <w:rPr>
          <w:rFonts w:ascii="Times New Roman" w:eastAsia="Times New Roman" w:hAnsi="Times New Roman" w:cs="Times New Roman"/>
          <w:kern w:val="0"/>
          <w:szCs w:val="20"/>
          <w14:ligatures w14:val="none"/>
        </w:rPr>
        <w:noBreakHyphen/>
        <w:t>jét pedig körülbelül 2,4</w:t>
      </w:r>
      <w:r w:rsidRPr="00E32DAE">
        <w:rPr>
          <w:rFonts w:ascii="Times New Roman" w:eastAsia="Times New Roman" w:hAnsi="Times New Roman" w:cs="Times New Roman"/>
          <w:kern w:val="0"/>
          <w:szCs w:val="20"/>
          <w14:ligatures w14:val="none"/>
        </w:rPr>
        <w:noBreakHyphen/>
        <w:t>szeresére növeli, ami a myopathia, ezen belül a rhabdomyolysis fokozott kockázatát eredményezheti. A rozuvasztatin alkalmazása során a jelentős cardiovascularis nemkívánatos események megelőzésének előnyeit a rozuvasztatin magasabb plazmakoncentrációinak kockázataival összevetve kell mérlegelni.</w:t>
      </w:r>
    </w:p>
    <w:p w14:paraId="5819A523" w14:textId="7A0F6141" w:rsidR="0034000E" w:rsidRDefault="0034000E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B13011C" w14:textId="77777777" w:rsidR="00E32DAE" w:rsidRPr="00C62638" w:rsidRDefault="00E32DAE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1890BB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Orális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fogamzásgátlók</w:t>
      </w:r>
    </w:p>
    <w:p w14:paraId="4193B4B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tikagrelor, valamint a levonorgesztrel és etinil-ösztradiol együttes alkalmazása megközelítőleg 20%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kal növelte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etinil-ösztradiol-expozíciót,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változtatta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levonorgesztrel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farmakokinetikáját. Nem várható az orális fogamzásgátlók hatásosságára gyakorolt, klinikailag jelentős hatás, ha a levonorgesztrelt és etinil-ösztradiolt egyidejűleg tikagrelorral adják.</w:t>
      </w:r>
    </w:p>
    <w:p w14:paraId="5A898C2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D297A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Gyógyszerek,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amelyekről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ismert,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hogy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bradycardiát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idéznek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eastAsia="zh-CN"/>
          <w14:ligatures w14:val="none"/>
        </w:rPr>
        <w:t>elő</w:t>
      </w:r>
    </w:p>
    <w:p w14:paraId="4F1183B7" w14:textId="6B6F9BF8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többnyire tünetmentes ventricularis pauzákra és bradycardiára vonatkozó megfigyelések miatt elővigyázatosság szükséges, ha a tikagrelort olyan gyógyszerekkel adják egyidejűleg, amelyekről ismert,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bradycardiát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idéznek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Ugyanakkor,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a tikagrelor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 több, ismerten bradycardiát előidéző gyógyszer (pl. a betegek 96%-ánál béta-blokkoló, 33%-ukál kalciumcsatorna-blokkoló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diltiazem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verapamil,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4%-ukál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digoxin)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adását követően nem észleltek klinikailag jelentős mellékhatásokra utaló bizonyítékot.</w:t>
      </w:r>
    </w:p>
    <w:p w14:paraId="6DF6E25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55FBC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egyidejű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kezelés</w:t>
      </w:r>
    </w:p>
    <w:p w14:paraId="04A9930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vizsgálatokban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kísérőbetegségek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kezelésére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 gyakran adták együtt hosszú ideig acetilszalicilsavval, protonpumpa-inhibitorokkal, sztatinokkal, béta-blokkolókkal,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angiotenzin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konvertáló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enzim-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(ACE)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inhibitorokkal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angiotenzin-receptor-blokkolókkal,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rövid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ideig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heparinnal,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molekulatömegű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heparinnal,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intravénás GpIIb/IIIa-inhibitorokkal (lásd 5.1 pont). Ezeknek a gyógyszereknek az alkalmazásakor nem észleltek klinikailag jelentős, kedvezőtlen kölcsönhatásokra utaló bizonyítékot.</w:t>
      </w:r>
    </w:p>
    <w:p w14:paraId="78797BA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89C44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az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enoxaparin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dezmopresszin 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alkalmazásának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az aktivált parciális thromboplastinidő (aPTT), az aktivált alvadási idő (ACT) és a Xa-faktor mérési eredményeire. Ugyanakkor, a lehetséges farmakodinámiás kölcsönhatások miatt a tikagrelor és a haemostasist közismerten megváltoztató gyógyszerek egyidejű alkalmazásakor elővigyázatosság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szükséges.</w:t>
      </w:r>
    </w:p>
    <w:p w14:paraId="2B3AE4E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D6D46D8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SSRI-k (pl. paroxetin, szertralin és citaloprám) alkalmazásakor előforduló cutan vérzéses rendellenességekről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szóló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beszámolók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miatt,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SSRI-k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 esetén elővigyázatosság javasolt, mert ez növelheti a vérzés kockázatát.</w:t>
      </w:r>
    </w:p>
    <w:p w14:paraId="344391C7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F3C59CF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4.6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Termékenység, terhesség és szoptatás</w:t>
      </w:r>
    </w:p>
    <w:p w14:paraId="694E1DDB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74DC5B9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Fogamzóképes</w:t>
      </w:r>
      <w:r w:rsidRPr="00C62638">
        <w:rPr>
          <w:rFonts w:ascii="Times New Roman" w:eastAsia="Times New Roman" w:hAnsi="Times New Roman" w:cs="Times New Roman"/>
          <w:spacing w:val="-11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5"/>
          <w:kern w:val="0"/>
          <w:u w:val="single"/>
          <w14:ligatures w14:val="none"/>
        </w:rPr>
        <w:t>nők</w:t>
      </w:r>
    </w:p>
    <w:p w14:paraId="44B25B1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fogamzóképes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nőknek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ideje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alatt,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terhesség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elkerülése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érdekében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megfelelő fogamzásgátlást kell alkalmazniuk.</w:t>
      </w:r>
    </w:p>
    <w:p w14:paraId="095D53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66AB8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Terhesség</w:t>
      </w:r>
    </w:p>
    <w:p w14:paraId="69CE87D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terhes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tekintetében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rendelkezésre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információ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 korlátozott mennyiségű információ áll rendelkezésre.</w:t>
      </w:r>
    </w:p>
    <w:p w14:paraId="333E5FB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állatokkal végzett vizsgálatok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reprodukciós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igazoltak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5.3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alkalmazása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 javasolt terhesség alatt.</w:t>
      </w:r>
    </w:p>
    <w:p w14:paraId="7AEA6E5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987D7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Szoptatás</w:t>
      </w:r>
    </w:p>
    <w:p w14:paraId="0B1200FF" w14:textId="77777777" w:rsidR="00C62638" w:rsidRPr="00145C8B" w:rsidRDefault="00C62638" w:rsidP="00C6263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rendelkezésre álló, állatkísérletek során nyert farmakodinámiás / toxikológiai adatok a tikagrelor és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tikagrelor metabolitjainak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kiválasztódását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igazolták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anyatejbe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(lásd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5.3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pont). </w:t>
      </w:r>
      <w:r w:rsidRPr="00C62638">
        <w:rPr>
          <w:rFonts w:ascii="Times New Roman" w:eastAsia="SimSun" w:hAnsi="Times New Roman" w:cs="Times New Roman"/>
          <w:snapToGrid w:val="0"/>
          <w:color w:val="000000"/>
          <w:kern w:val="0"/>
          <w:lang w:val="fi-FI" w:eastAsia="zh-CN"/>
          <w14:ligatures w14:val="none"/>
        </w:rPr>
        <w:t>Az újszülött/csecsemő vonatkozásában a kockázatot nem lehet kizárni.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tikagrelor alkalmazása előtt el kell dönteni, hogy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szoptatást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függesztik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fel,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kezelést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szakítják meg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/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halasztják el, figyelembe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véve a szoptatás előnyét a gyermek, illetve a kezelés előnyét az anya szempontjából.</w:t>
      </w:r>
    </w:p>
    <w:p w14:paraId="4CBCE40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58556B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Termékenység</w:t>
      </w:r>
    </w:p>
    <w:p w14:paraId="675B457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nincs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hatással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hím 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nőstény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állatok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termékenységére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5.3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pont).</w:t>
      </w:r>
    </w:p>
    <w:p w14:paraId="338615BE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FCF67C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4.7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készítmény hatásai a gépjárművezetéshez és a gépek kezeléséhez szükséges képességekre</w:t>
      </w:r>
    </w:p>
    <w:p w14:paraId="3888D26E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3FDA890" w14:textId="4F503BD0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nem, vagy csak elhanyagolható mértékben befolyásolja a gépjárművezetéshez és a gépek kezeléséhez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szükséges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képességeket.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során szédülésről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zavartságról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számoltak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ezeket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tüneteket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óvatosnak kell lenniük, amikor gépjárművet vezetnek vagy gépeket kezelnek.</w:t>
      </w:r>
    </w:p>
    <w:p w14:paraId="65389E03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812C31D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4.8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Nemkívánatos hatások, mellékhatások</w:t>
      </w:r>
    </w:p>
    <w:p w14:paraId="12D40A34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</w:p>
    <w:p w14:paraId="6B98181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biztonságossági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profil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összefoglalása</w:t>
      </w:r>
    </w:p>
    <w:p w14:paraId="44E2560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biztonságossági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profilját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nagyméretű,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III-as fázisú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értékelték (PLATO és PEGASUS), amelyekben több mint 39 000 beteg vett részt (lásd 5.1 pont).</w:t>
      </w:r>
    </w:p>
    <w:p w14:paraId="3A0BDCB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1ED72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 vizsgálatban a tikagrelort kapó betegeknél magasabb volt a vizsgálatban való részvétel nemkívánatos események miatti abbahagyása, mint a klopidogrel esetén (7,4% vs. 5,4%). A PEGASUS vizsgálatban a tikagrelort kapó betegeknél magasabb volt a vizsgálatban való részvétel nemkívánatos események miatti abbahagyása, mint a csak acetilszalicilsav-kezelést kapó betegeknél (16,1% 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adott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illetve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8,5%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monoterápia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esetén).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kezelt betegeknél a leggyakrabban jelentett mellékhatásokok a vérzés és a dyspnoe voltak (lásd 4.4 pont).</w:t>
      </w:r>
    </w:p>
    <w:p w14:paraId="5E3002D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2EA3464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táblázatos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felsorolása</w:t>
      </w:r>
    </w:p>
    <w:p w14:paraId="1DE8E0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végzett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után,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forgalomba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hozatalt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követően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szerzett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tapasztalatok alapján az alábbi mellékhatásokat azonosították (1. táblázat).</w:t>
      </w:r>
    </w:p>
    <w:p w14:paraId="09F1F37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1601F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MedDRA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szervrendszeri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kategóriánként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vannak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felsorolva.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szervrendszeri kategóriákon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belül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gyakorisági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kategóriák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szerint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vannak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rangsorolva.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gyakorisági kategóriákat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alábbi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megegyezés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szerint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határozták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meg: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1/10),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1/100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Symbol" w:eastAsia="Times New Roman" w:hAnsi="Symbol" w:cs="Times New Roman"/>
          <w:kern w:val="0"/>
          <w14:ligatures w14:val="none"/>
        </w:rPr>
        <w:t>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1/1000 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Symbol" w:eastAsia="Times New Roman" w:hAnsi="Symbol" w:cs="Times New Roman"/>
          <w:kern w:val="0"/>
          <w14:ligatures w14:val="none"/>
        </w:rPr>
        <w:t>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1/100),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ritka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(≥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1/10 000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Symbol" w:eastAsia="Times New Roman" w:hAnsi="Symbol" w:cs="Times New Roman"/>
          <w:kern w:val="0"/>
          <w14:ligatures w14:val="none"/>
        </w:rPr>
        <w:t>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1/1000),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ritka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(&lt; 1/10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000), nem ismert (a gyakoriság a rendelkezésre álló adatokból nem állapítható meg).</w:t>
      </w:r>
    </w:p>
    <w:p w14:paraId="4156EDA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 w:firstLine="14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E7CF9F" w14:textId="5413796C" w:rsidR="00C62638" w:rsidRPr="00C62638" w:rsidRDefault="00C62638" w:rsidP="00C62638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 táblázat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Gyakoriság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szervrendszeri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kat</w:t>
      </w:r>
      <w:r w:rsidR="00A9762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góriák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alapján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csoportosított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mellékhatások</w:t>
      </w:r>
    </w:p>
    <w:p w14:paraId="5E14EA31" w14:textId="77777777" w:rsidR="00C62638" w:rsidRPr="00C62638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</w:p>
    <w:tbl>
      <w:tblPr>
        <w:tblW w:w="920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1843"/>
        <w:gridCol w:w="1559"/>
        <w:gridCol w:w="1691"/>
        <w:gridCol w:w="1843"/>
      </w:tblGrid>
      <w:tr w:rsidR="00C62638" w:rsidRPr="00C62638" w14:paraId="44BF0B00" w14:textId="77777777" w:rsidTr="00AF59D4">
        <w:trPr>
          <w:cantSplit/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351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Szervrendszeri kategória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89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Nagyon gyakori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088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Gyakori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51A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Nem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gyakori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16E6FA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Nem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4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ismert</w:t>
            </w:r>
          </w:p>
        </w:tc>
      </w:tr>
      <w:tr w:rsidR="00C62638" w:rsidRPr="00C62638" w14:paraId="0734BC5E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5DFF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Jó-,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 xml:space="preserve"> rosszindulatú és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3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nem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meghatározott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4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 xml:space="preserve">daganatok (beleértve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3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cisztákat és polipokat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is)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957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CD45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12E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tumor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EBF2D2B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E8CEEDB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0B7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Vérképzőszervi és nyirokrendszeri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27E6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323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vérképzőszervi betegségek okozta 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665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F0C26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4C1EC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thromboticus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thrombocytopeniás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purpura</w:t>
            </w:r>
            <w:r w:rsidRPr="00C62638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  <w:t>c</w:t>
            </w:r>
          </w:p>
        </w:tc>
      </w:tr>
      <w:tr w:rsidR="00C62638" w:rsidRPr="00C62638" w14:paraId="5B80A053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40FD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258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Immunrendszeri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75FD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498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432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40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túlérzékenység,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beleértve az</w:t>
            </w:r>
            <w:r w:rsidRPr="00C62638">
              <w:rPr>
                <w:rFonts w:ascii="Times New Roman" w:eastAsia="Times New Roman" w:hAnsi="Times New Roman" w:cs="Times New Roman"/>
                <w:spacing w:val="2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angiooedemát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is</w:t>
            </w:r>
            <w:r w:rsidRPr="00C62638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  <w:t>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C8EC0A1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21E5A556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871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258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Anyagcsere-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és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 xml:space="preserve">táplálkozási 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54C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hyperuricaemia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C90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323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köszvény/ köszvényes arthritis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0BF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F664804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18E8426A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48C9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>Pszichiátriai kórképek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471D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D73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4165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zavartság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DEAEF3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58685526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894C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Idegrendszeri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7FF0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1EBC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323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szédülés, ájulás, fejfájás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CF89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28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intracranialis</w:t>
            </w:r>
            <w:r w:rsidRPr="00C62638">
              <w:rPr>
                <w:rFonts w:ascii="Times New Roman" w:eastAsia="Times New Roman" w:hAnsi="Times New Roman" w:cs="Times New Roman"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vérzés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438F6F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43C53DF4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7BB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Szembetegségek és szemészeti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18D9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CF73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3B9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szemvérzés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1137D92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568E7D1F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936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fül és az egyensúly-érzékelő szerv betegségei és tünetei</w:t>
            </w:r>
            <w:r w:rsidRPr="00C62638">
              <w:rPr>
                <w:rFonts w:ascii="Times New Roman" w:eastAsia="Times New Roman" w:hAnsi="Times New Roman" w:cs="Times New Roman"/>
                <w:i/>
                <w:iCs/>
                <w:spacing w:val="-1"/>
                <w:kern w:val="0"/>
                <w:lang w:eastAsia="hu-HU"/>
                <w14:ligatures w14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C77D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EBD8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vertigo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AF04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fülvérzés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1E197E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62F97805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EB2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Szívbetegségek és a szívvel kapcsolatos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D9D0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4F0C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EC9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F7E7FCB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bradyarrhythmia, AV-blokk</w:t>
            </w:r>
            <w:r w:rsidRPr="00C62638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hu-HU"/>
                <w14:ligatures w14:val="none"/>
              </w:rPr>
              <w:t>c</w:t>
            </w:r>
          </w:p>
        </w:tc>
      </w:tr>
      <w:tr w:rsidR="00C62638" w:rsidRPr="00C62638" w14:paraId="2C34C15D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E399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76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Érbetegségek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47DF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26A3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hypotonia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0A96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BEE9E1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60003DD9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5C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76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Légzőrendszeri, mellkasi és mediastinalis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5272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dyspnoe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E946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légzőrendszeri 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f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83E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DB47BDB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666AC15B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9E0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Emésztőrendszeri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3C9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525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5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gastrointestinalis vérzés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g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, hasmenés, hányinger, dyspepsia, székrekedés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9E6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retroperitonealis vérzés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734FA15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B5D9BC2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8B61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bőr és a bőr alatti szövet betegségei és tünetei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DAD9A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9B75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subcutan vagy dermalis vérzés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h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, bőrkiütés, pruritus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B95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9C1D037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06032F7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29C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csont- és izomrendszer, valamint a kötőszövet betegségei és tünetei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C25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220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5CB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izomvérzések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4BA767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4EB95515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DEE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476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  <w:t>Vese- és húgyúti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663E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4BC4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húgyúti vérzés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j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6B0A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A33C27F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3C151573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E36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A nemi szervekkel és az emlőkkel kapcsolatos betegségek és tünetek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D4838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884D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95D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reproduktív rendszeri vérzések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eastAsia="hu-HU"/>
                <w14:ligatures w14:val="none"/>
              </w:rPr>
              <w:t>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7ADA80E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0192D012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B9F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Laboratóriumi és egyéb vizsgálatok eredményei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FF740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320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35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emelkedett kreatininszint a vérben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d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55C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C8CD34C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39B02CE5" w14:textId="77777777" w:rsidTr="00AF59D4">
        <w:trPr>
          <w:cantSplit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049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 w:right="121"/>
              <w:rPr>
                <w:rFonts w:ascii="Times New Roman" w:eastAsia="Times New Roman" w:hAnsi="Times New Roman" w:cs="Times New Roman"/>
                <w:i/>
                <w:iCs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lang w:eastAsia="hu-HU"/>
                <w14:ligatures w14:val="none"/>
              </w:rPr>
              <w:t>Sérülés, mérgezés és a beavatkozással kapcsolatos szövődmények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4FE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95E4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beavatkozás utáni vérzés, traumás vérzések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vertAlign w:val="superscript"/>
                <w:lang w:eastAsia="hu-HU"/>
                <w14:ligatures w14:val="none"/>
              </w:rPr>
              <w:t>l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CD2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342EDF9" w14:textId="77777777" w:rsidR="00C62638" w:rsidRPr="00C62638" w:rsidRDefault="00C62638" w:rsidP="00C626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</w:tbl>
    <w:p w14:paraId="36B712F4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ab/>
        <w:t>pl.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húgyhólyagrákból,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gyomorrákból,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vastagbélrákból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eredő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285EE93E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b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ab/>
        <w:t>pl.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véraláfutásra,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spontán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kialakuló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haematomára,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haemorrhagiás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diathesisre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való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fokozott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hajlam</w:t>
      </w:r>
    </w:p>
    <w:p w14:paraId="5C26B7C1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c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 forgalomba hozatalt követően azonosították</w:t>
      </w:r>
    </w:p>
    <w:p w14:paraId="546444D9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jc w:val="both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d</w:t>
      </w:r>
      <w:r w:rsidRPr="00145C8B">
        <w:rPr>
          <w:rFonts w:ascii="Times New Roman" w:eastAsia="SimSun" w:hAnsi="Times New Roman" w:cs="Times New Roman"/>
          <w:snapToGrid w:val="0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gyakoriságok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laboratóriumi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megfigyelésekből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származnak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(a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kezelés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elkezdésekor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referencia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tartományon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belüli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 annál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alacsonyabb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húgysavszint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emelkedése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normálérték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felső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határa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fölé.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kreatininszintnek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vizsgálat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megkezdésekor mérthez viszonyított, több mint 50%-os emelkedése), és nem nyers nemkívánatos esemény jelentési gyakoriság.</w:t>
      </w:r>
    </w:p>
    <w:p w14:paraId="25B21B97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e</w:t>
      </w:r>
      <w:r w:rsidRPr="00145C8B">
        <w:rPr>
          <w:rFonts w:ascii="Times New Roman" w:eastAsia="SimSun" w:hAnsi="Times New Roman" w:cs="Times New Roman"/>
          <w:snapToGrid w:val="0"/>
          <w:spacing w:val="15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conjunctivalis,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retinalis,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intraocularis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3CD932C4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f</w:t>
      </w:r>
      <w:r w:rsidRPr="00145C8B">
        <w:rPr>
          <w:rFonts w:ascii="Times New Roman" w:eastAsia="SimSun" w:hAnsi="Times New Roman" w:cs="Times New Roman"/>
          <w:snapToGrid w:val="0"/>
          <w:spacing w:val="12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epistaxis,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haemoptoe</w:t>
      </w:r>
    </w:p>
    <w:p w14:paraId="737D6AE8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g</w:t>
      </w:r>
      <w:r w:rsidRPr="00145C8B">
        <w:rPr>
          <w:rFonts w:ascii="Times New Roman" w:eastAsia="SimSun" w:hAnsi="Times New Roman" w:cs="Times New Roman"/>
          <w:snapToGrid w:val="0"/>
          <w:spacing w:val="11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gingiva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rectalis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gyomorfekély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2D7B4117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h</w:t>
      </w:r>
      <w:r w:rsidRPr="00145C8B">
        <w:rPr>
          <w:rFonts w:ascii="Times New Roman" w:eastAsia="SimSun" w:hAnsi="Times New Roman" w:cs="Times New Roman"/>
          <w:snapToGrid w:val="0"/>
          <w:spacing w:val="19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ecchymosis,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bőrvérzés,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petechiák</w:t>
      </w:r>
    </w:p>
    <w:p w14:paraId="6C7CDE1A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i</w:t>
      </w:r>
      <w:r w:rsidRPr="00145C8B">
        <w:rPr>
          <w:rFonts w:ascii="Times New Roman" w:eastAsia="SimSun" w:hAnsi="Times New Roman" w:cs="Times New Roman"/>
          <w:snapToGrid w:val="0"/>
          <w:spacing w:val="8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haemarthros,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izomvérzés</w:t>
      </w:r>
    </w:p>
    <w:p w14:paraId="0D6187FB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j</w:t>
      </w:r>
      <w:r w:rsidRPr="00145C8B">
        <w:rPr>
          <w:rFonts w:ascii="Times New Roman" w:eastAsia="SimSun" w:hAnsi="Times New Roman" w:cs="Times New Roman"/>
          <w:snapToGrid w:val="0"/>
          <w:spacing w:val="11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haematuria,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haemorrhagiás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cystitis</w:t>
      </w:r>
    </w:p>
    <w:p w14:paraId="71AA5776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k</w:t>
      </w:r>
      <w:r w:rsidRPr="00145C8B">
        <w:rPr>
          <w:rFonts w:ascii="Times New Roman" w:eastAsia="SimSun" w:hAnsi="Times New Roman" w:cs="Times New Roman"/>
          <w:snapToGrid w:val="0"/>
          <w:spacing w:val="14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hüvelyi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haematospermia,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postmenopausalis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2EEA3B4F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l</w:t>
      </w:r>
      <w:r w:rsidRPr="00145C8B">
        <w:rPr>
          <w:rFonts w:ascii="Times New Roman" w:eastAsia="SimSun" w:hAnsi="Times New Roman" w:cs="Times New Roman"/>
          <w:snapToGrid w:val="0"/>
          <w:spacing w:val="11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contusio,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traumás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haematoma,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traumás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6AF21FD6" w14:textId="77777777" w:rsidR="00C62638" w:rsidRPr="00145C8B" w:rsidRDefault="00C62638" w:rsidP="00C62638">
      <w:pPr>
        <w:widowControl w:val="0"/>
        <w:spacing w:after="0" w:line="240" w:lineRule="auto"/>
        <w:ind w:left="426" w:right="2" w:hanging="284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vertAlign w:val="superscript"/>
          <w:lang w:eastAsia="zh-CN"/>
          <w14:ligatures w14:val="none"/>
        </w:rPr>
        <w:t>m</w:t>
      </w:r>
      <w:r w:rsidRPr="00145C8B">
        <w:rPr>
          <w:rFonts w:ascii="Times New Roman" w:eastAsia="SimSun" w:hAnsi="Times New Roman" w:cs="Times New Roman"/>
          <w:snapToGrid w:val="0"/>
          <w:spacing w:val="13"/>
          <w:kern w:val="0"/>
          <w:position w:val="6"/>
          <w:sz w:val="18"/>
          <w:szCs w:val="18"/>
          <w:lang w:eastAsia="zh-CN"/>
          <w14:ligatures w14:val="none"/>
        </w:rPr>
        <w:tab/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pl.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beavatkozással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összefüggő,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spontán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traumás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</w:t>
      </w:r>
    </w:p>
    <w:p w14:paraId="65BC424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47D9F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Egyes kiválasztott</w:t>
      </w:r>
      <w:r w:rsidRPr="00C62638">
        <w:rPr>
          <w:rFonts w:ascii="Times New Roman" w:eastAsia="Times New Roman" w:hAnsi="Times New Roman" w:cs="Times New Roman"/>
          <w:spacing w:val="-13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12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leírása</w:t>
      </w:r>
    </w:p>
    <w:p w14:paraId="1980A9D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800C59E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Vérzés</w:t>
      </w:r>
    </w:p>
    <w:p w14:paraId="50AA42C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Vérzéssel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kapcsolatos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megállapítások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vizsgálatban</w:t>
      </w:r>
    </w:p>
    <w:p w14:paraId="2ED1647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 vizsgálatban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előforduló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vérzési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arányok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összefoglaló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eredményét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2.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táblázat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mutatja be.</w:t>
      </w:r>
    </w:p>
    <w:p w14:paraId="32076F89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ind w:right="1071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24EB9DA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 táblázat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összesített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események elemzése,</w:t>
      </w:r>
      <w:r w:rsidRPr="00C62638">
        <w:rPr>
          <w:rFonts w:ascii="Times New Roman" w:eastAsia="Times New Roman" w:hAnsi="Times New Roman" w:cs="Times New Roman"/>
          <w:b/>
          <w:bCs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Kaplan–Meier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-féle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becslés a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12. hónapban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(PLATO)</w:t>
      </w:r>
    </w:p>
    <w:p w14:paraId="013CCD4C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ind w:left="441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1459"/>
        <w:gridCol w:w="1450"/>
        <w:gridCol w:w="1128"/>
      </w:tblGrid>
      <w:tr w:rsidR="00C62638" w:rsidRPr="00C62638" w14:paraId="75CFB6E3" w14:textId="77777777" w:rsidTr="00AF59D4">
        <w:trPr>
          <w:trHeight w:hRule="exact" w:val="127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7BB5" w14:textId="77777777" w:rsidR="00C62638" w:rsidRPr="00C62638" w:rsidRDefault="00C62638" w:rsidP="007E1C5F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290D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7" w:right="100" w:hanging="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90</w:t>
            </w:r>
            <w:r w:rsidRPr="00C62638">
              <w:rPr>
                <w:rFonts w:ascii="Times New Roman" w:eastAsia="SimSun" w:hAnsi="Times New Roman" w:cs="Times New Roman"/>
                <w:b/>
                <w:bCs/>
                <w:snapToGrid w:val="0"/>
                <w:kern w:val="0"/>
                <w:lang w:eastAsia="zh-CN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2"/>
                <w:kern w:val="0"/>
                <w:lang w:eastAsia="hu-HU"/>
                <w14:ligatures w14:val="none"/>
              </w:rPr>
              <w:t>mg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9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lang w:eastAsia="hu-HU"/>
                <w14:ligatures w14:val="none"/>
              </w:rPr>
              <w:t>tikagrelor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9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naponta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kétszer</w:t>
            </w:r>
          </w:p>
          <w:p w14:paraId="5EBB7563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8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9235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4110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01" w:right="156" w:hanging="14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klopidogrel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n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9186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E472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229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2"/>
                <w:kern w:val="0"/>
                <w:lang w:eastAsia="hu-HU"/>
                <w14:ligatures w14:val="none"/>
              </w:rPr>
              <w:t>p-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iCs/>
                <w:spacing w:val="-2"/>
                <w:kern w:val="0"/>
                <w:lang w:eastAsia="hu-HU"/>
                <w14:ligatures w14:val="none"/>
              </w:rPr>
              <w:t>érték*</w:t>
            </w:r>
          </w:p>
        </w:tc>
      </w:tr>
      <w:tr w:rsidR="00C62638" w:rsidRPr="00C62638" w14:paraId="12A8A4D3" w14:textId="77777777" w:rsidTr="00AF59D4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81BA0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 összes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980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11,6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0249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11,2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D77C6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0,4336</w:t>
            </w:r>
          </w:p>
        </w:tc>
      </w:tr>
      <w:tr w:rsidR="00C62638" w:rsidRPr="00C62638" w14:paraId="1F0D9B49" w14:textId="77777777" w:rsidTr="00AF59D4">
        <w:trPr>
          <w:trHeight w:hRule="exact" w:val="569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E779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PLATO összes jelentős, halálos/életveszélyes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>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80F56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5,8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0BD1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5,8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F25E6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0,6988</w:t>
            </w:r>
          </w:p>
        </w:tc>
      </w:tr>
      <w:tr w:rsidR="00C62638" w:rsidRPr="00C62638" w14:paraId="5CFCAB6C" w14:textId="77777777" w:rsidTr="00AF59D4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AF1DF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Nem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CABG, PLATO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D441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4,5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465BA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7F89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0,0264</w:t>
            </w:r>
          </w:p>
        </w:tc>
      </w:tr>
      <w:tr w:rsidR="00C62638" w:rsidRPr="00C62638" w14:paraId="28198255" w14:textId="77777777" w:rsidTr="00AF59D4">
        <w:trPr>
          <w:trHeight w:hRule="exact" w:val="26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236D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Nem beavatkozásból eredő, PLATO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FA9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6593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2,3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76F67" w14:textId="77777777" w:rsidR="00C62638" w:rsidRPr="00C62638" w:rsidRDefault="00C62638" w:rsidP="007E1C5F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0,0058</w:t>
            </w:r>
          </w:p>
        </w:tc>
      </w:tr>
      <w:tr w:rsidR="00C62638" w:rsidRPr="00C62638" w14:paraId="56BE125E" w14:textId="77777777" w:rsidTr="00AF59D4">
        <w:trPr>
          <w:trHeight w:hRule="exact" w:val="312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CE6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PLATO összes jelentős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 kisebb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D88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16,1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72CF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14,6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38C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0,0084</w:t>
            </w:r>
          </w:p>
        </w:tc>
      </w:tr>
      <w:tr w:rsidR="00C62638" w:rsidRPr="00C62638" w14:paraId="635068C7" w14:textId="77777777" w:rsidTr="00AF59D4">
        <w:trPr>
          <w:trHeight w:hRule="exact" w:val="51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3857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62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Nem beavatkozásból eredő, PLATO jelentős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spacing w:val="26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kisebb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37C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5,9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66C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4,3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349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Symbol" w:eastAsia="SimSun" w:hAnsi="Symbol" w:cs="Times New Roman"/>
                <w:snapToGrid w:val="0"/>
                <w:kern w:val="0"/>
                <w:szCs w:val="20"/>
                <w:lang w:val="en-GB" w:eastAsia="zh-CN"/>
                <w14:ligatures w14:val="none"/>
              </w:rPr>
              <w:t></w:t>
            </w:r>
            <w:r w:rsidRPr="00C62638">
              <w:rPr>
                <w:rFonts w:ascii="Times New Roman" w:eastAsia="SimSun" w:hAnsi="Times New Roman" w:cs="Times New Roman"/>
                <w:snapToGrid w:val="0"/>
                <w:kern w:val="0"/>
                <w:szCs w:val="20"/>
                <w:lang w:val="en-GB" w:eastAsia="zh-CN"/>
                <w14:ligatures w14:val="none"/>
              </w:rPr>
              <w:t> 0,0001</w:t>
            </w:r>
          </w:p>
        </w:tc>
      </w:tr>
      <w:tr w:rsidR="00C62638" w:rsidRPr="00C62638" w14:paraId="713194ED" w14:textId="77777777" w:rsidTr="00AF59D4">
        <w:trPr>
          <w:trHeight w:hRule="exact" w:val="3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08CC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TIMI definíció szerinti jelentős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C37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7,9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8EB9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7,7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22F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0,5669</w:t>
            </w:r>
          </w:p>
        </w:tc>
      </w:tr>
      <w:tr w:rsidR="00C62638" w:rsidRPr="00C62638" w14:paraId="05B14499" w14:textId="77777777" w:rsidTr="00AF59D4">
        <w:trPr>
          <w:trHeight w:hRule="exact" w:val="34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B4C9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TIMI definíció szerinti jelentős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 xml:space="preserve"> kisebb vérzés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5C4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11,4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BE1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10,9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A8A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0,3272</w:t>
            </w:r>
          </w:p>
        </w:tc>
      </w:tr>
    </w:tbl>
    <w:p w14:paraId="7CA155F4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2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  <w:t>vérzési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2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20"/>
          <w:szCs w:val="20"/>
          <w:lang w:eastAsia="zh-CN"/>
          <w14:ligatures w14:val="none"/>
        </w:rPr>
        <w:t>kategóriák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2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20"/>
          <w:szCs w:val="20"/>
          <w:lang w:eastAsia="zh-CN"/>
          <w14:ligatures w14:val="none"/>
        </w:rPr>
        <w:t>meghatározásai:</w:t>
      </w:r>
    </w:p>
    <w:p w14:paraId="546B709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halálos/életveszélyes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&gt; 50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18"/>
          <w:lang w:eastAsia="zh-CN"/>
          <w14:ligatures w14:val="none"/>
        </w:rPr>
        <w:t>≥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4 egys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18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vörösvértest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transzfúziót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igénylő;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halálos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kimenetelű;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intracranialis;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 szívtamponáddal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intrapericardialis;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pressor-kezelést vagy műtétet igénylő hypovolaemiás sokkal vagy súlyos hypotoniával járó vérzés.</w:t>
      </w:r>
    </w:p>
    <w:p w14:paraId="38CA5F7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30–50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2–3 egység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vörösvértest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transzfúziót igénylő;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 a beteg állapotát jelentősen rontó vérzés.</w:t>
      </w:r>
    </w:p>
    <w:p w14:paraId="46BE1F1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megállításához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kezeléséhez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orvosi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beavatkozás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szükséges.</w:t>
      </w:r>
    </w:p>
    <w:p w14:paraId="06BAB528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definíció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szerinti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&gt;50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u w:val="single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40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vérzés.</w:t>
      </w:r>
    </w:p>
    <w:p w14:paraId="43C47B2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definíció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szerinti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18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30–50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csökkenésével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járó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vérzés.</w:t>
      </w:r>
    </w:p>
    <w:p w14:paraId="63B6374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*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 w:val="18"/>
          <w:szCs w:val="18"/>
          <w:lang w:eastAsia="zh-CN"/>
          <w14:ligatures w14:val="none"/>
        </w:rPr>
        <w:t>p-érték:</w:t>
      </w:r>
      <w:r w:rsidRPr="00145C8B">
        <w:rPr>
          <w:rFonts w:ascii="Times New Roman" w:eastAsia="SimSun" w:hAnsi="Times New Roman" w:cs="Times New Roman"/>
          <w:i/>
          <w:snapToGrid w:val="0"/>
          <w:spacing w:val="-1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Cox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féle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arányos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hazárd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modellből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került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számításra,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úgy,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hogy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terápiás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csoport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volt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egyetlen,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feltáró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jellegű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változó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 w:val="18"/>
          <w:szCs w:val="18"/>
          <w:lang w:eastAsia="zh-CN"/>
          <w14:ligatures w14:val="none"/>
        </w:rPr>
        <w:t>.</w:t>
      </w:r>
    </w:p>
    <w:p w14:paraId="60746986" w14:textId="77777777" w:rsidR="00C62638" w:rsidRPr="00AF1962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D0130B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és a klopidogrel között nem volt különbség a PLATO jelentős halálos/életveszélyes vérzések,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 vérzések,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definíció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szerinti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vérzések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TIMI definíció szerinti kisebb vérzések arányában (2. táblázat). Ugyanakkor több PLATO kombinált jelentős + kisebb vérzés alakult ki a tikagrelor, mint a klopidogrel esetén. A PLATO vizsgálatban részt vevő néhány betegnek halálos kimenetelű vérzése volt: 20 (0,2%) a tikagrelor és 23 (0,3%) a klopidogrel esetén (lásd 4.4 pont).</w:t>
      </w:r>
    </w:p>
    <w:p w14:paraId="61B7B48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9662A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életkor, a nem, a testtömeg, a rassz, a földrajzi régió, a kísérőbetegségek, az egyidejű kezelés és az anamnézis,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beleértve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stroke-ot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tranziens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ischaemiás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attak-ot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egyike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 sem az összes, sem a beavatkozással nem összefüggő, PLATO jelentős vérzés prediktív tényezője. Ennélfogva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bármely altípusú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kockázatának kitett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konkrét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csoportot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azonosítottak.</w:t>
      </w:r>
    </w:p>
    <w:p w14:paraId="2753B44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37DB3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CABG-vel összefüggő vérzés:</w:t>
      </w:r>
    </w:p>
    <w:p w14:paraId="66E0A0A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 vizsgálatban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bypass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graft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(CABG)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átesett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1584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kohorsz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12%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a) 42%-ának volt PLATO jelentős halálos/életveszélyes vérzése, és nem volt különbség a terápiás csoportok között. Halálos kimenetelű CABG-vérzés mindkét terápiás csoportban 6 betegnél alakult ki (lásd 4.4 pont).</w:t>
      </w:r>
    </w:p>
    <w:p w14:paraId="527FBC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96E425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CABG-vel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beavatkozásból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eredő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vérzés:</w:t>
      </w:r>
    </w:p>
    <w:p w14:paraId="65F3583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 volt különbség a tikagrelor és a klopidogrel között a nem CABG-vel összefüggő PLATO definíció szerinti jelentős halálos/életveszélyes vérzésekben, de a PLATO definíció szerinti összes jelentős, a TIMI definíció szerinti jelentős és a TIMI definíció szerinti jelentős + kisebb vérzés gyakoribb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alkalmazása mellett.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Hasonlóképpen,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amikor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minden,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beavatkozással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 eltávolításra került, akkor több volt a vérzés a tikagrelor, mint a klopidogrel alkalmazása mellett (2. táblázat). A kezelésnek a beavatkozással nem összefüggő vérzés miatti felfüggesztése gyakoribb volt a tikagrelor (2,9%), mint a klopidogrel alkalmazása esetén (1,2%; p &lt; 0,001).</w:t>
      </w:r>
    </w:p>
    <w:p w14:paraId="438C56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CD23C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Intracranialis</w:t>
      </w:r>
      <w:r w:rsidRPr="00C62638">
        <w:rPr>
          <w:rFonts w:ascii="Times New Roman" w:eastAsia="Times New Roman" w:hAnsi="Times New Roman" w:cs="Times New Roman"/>
          <w:spacing w:val="1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vérzés:</w:t>
      </w:r>
    </w:p>
    <w:p w14:paraId="4DE296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intracranialis,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beavatkozással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fordult elő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(n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27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vérzés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26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betegnél;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0,3%)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(n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14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vérzés;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0,2%) alkalmazásakor,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melyek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közül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klopidogrellel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halálos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kimenetelű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halálos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kimenetelű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vérzésben nem volt különbség.</w:t>
      </w:r>
    </w:p>
    <w:p w14:paraId="08AD28D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604BFA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Vérzéssel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kapcsolatos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eredmények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 xml:space="preserve">PEGASUS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vizsgálatban</w:t>
      </w:r>
    </w:p>
    <w:p w14:paraId="2F38898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PEGASUS vizsgálatban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észlelt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összesített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eredményeit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3.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táblázat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mutatja be.</w:t>
      </w:r>
    </w:p>
    <w:p w14:paraId="270124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F3C330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ind w:left="1440" w:hanging="1440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 táblázat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ab/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összesített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események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elemzése,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Kaplan–Meier-féle</w:t>
      </w:r>
      <w:r w:rsidRPr="00C62638">
        <w:rPr>
          <w:rFonts w:ascii="Times New Roman" w:eastAsia="Times New Roman" w:hAnsi="Times New Roman" w:cs="Times New Roman"/>
          <w:b/>
          <w:bCs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becslés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10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36.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hónapban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(PEGASUS)</w:t>
      </w:r>
    </w:p>
    <w:p w14:paraId="2F93EFC4" w14:textId="77777777" w:rsidR="00C62638" w:rsidRPr="00C62638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</w:p>
    <w:tbl>
      <w:tblPr>
        <w:tblW w:w="906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53"/>
        <w:gridCol w:w="1296"/>
        <w:gridCol w:w="1540"/>
        <w:gridCol w:w="1512"/>
        <w:gridCol w:w="1061"/>
      </w:tblGrid>
      <w:tr w:rsidR="00C62638" w:rsidRPr="00C62638" w14:paraId="287FFC8B" w14:textId="77777777" w:rsidTr="00AF59D4">
        <w:trPr>
          <w:trHeight w:hRule="exact" w:val="76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F843" w14:textId="77777777" w:rsidR="00C62638" w:rsidRPr="00C62638" w:rsidRDefault="00C62638" w:rsidP="00C6263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DF5D0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3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Naponta kétszer 60</w:t>
            </w:r>
            <w:r w:rsidRPr="00C62638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2"/>
                <w:kern w:val="0"/>
                <w:lang w:eastAsia="hu-HU"/>
                <w14:ligatures w14:val="none"/>
              </w:rPr>
              <w:t>mg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 xml:space="preserve">tikagrelor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+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 xml:space="preserve"> ASA</w:t>
            </w:r>
          </w:p>
          <w:p w14:paraId="614BED60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6958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DE5A49" w14:textId="3310C674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ASA</w:t>
            </w:r>
            <w:r w:rsidR="009B4422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-</w:t>
            </w:r>
          </w:p>
          <w:p w14:paraId="453A7743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5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monoterápia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20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1"/>
                <w:kern w:val="0"/>
                <w:lang w:eastAsia="hu-HU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kern w:val="0"/>
                <w:lang w:eastAsia="hu-HU"/>
                <w14:ligatures w14:val="none"/>
              </w:rPr>
              <w:t>6996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2FE3" w14:textId="77777777" w:rsidR="00C62638" w:rsidRPr="00C62638" w:rsidRDefault="00C62638" w:rsidP="00C62638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</w:p>
        </w:tc>
      </w:tr>
      <w:tr w:rsidR="00C62638" w:rsidRPr="00C62638" w14:paraId="4850497C" w14:textId="77777777" w:rsidTr="00AF59D4">
        <w:trPr>
          <w:trHeight w:hRule="exact" w:val="88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83BAF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</w:pPr>
          </w:p>
          <w:p w14:paraId="43E68496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Biztonságossági végpontok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4A6D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4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3"/>
                <w:kern w:val="0"/>
                <w:lang w:eastAsia="hu-HU"/>
                <w14:ligatures w14:val="none"/>
              </w:rPr>
              <w:t>KM%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932EE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lang w:eastAsia="hu-HU"/>
                <w14:ligatures w14:val="none"/>
              </w:rPr>
              <w:t>Kockázati arány</w:t>
            </w:r>
          </w:p>
          <w:p w14:paraId="1493ADB4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(95%-os CI)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7B92AF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50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3"/>
                <w:kern w:val="0"/>
                <w:lang w:eastAsia="hu-HU"/>
                <w14:ligatures w14:val="none"/>
              </w:rPr>
              <w:t>KM%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F135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kern w:val="0"/>
                <w:lang w:eastAsia="hu-HU"/>
                <w14:ligatures w14:val="none"/>
              </w:rPr>
              <w:t>p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-érték</w:t>
            </w:r>
          </w:p>
        </w:tc>
      </w:tr>
      <w:tr w:rsidR="00C62638" w:rsidRPr="00C62638" w14:paraId="21F2033A" w14:textId="77777777" w:rsidTr="00AF59D4">
        <w:trPr>
          <w:trHeight w:hRule="exact" w:val="264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E71C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TIMI definíció szerinti vérzési kategóriák</w:t>
            </w:r>
          </w:p>
        </w:tc>
      </w:tr>
      <w:tr w:rsidR="00C62638" w:rsidRPr="00C62638" w14:paraId="157E781F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8AAE" w14:textId="77777777" w:rsidR="00C62638" w:rsidRPr="00C62638" w:rsidRDefault="00C62638" w:rsidP="00C62638">
            <w:pPr>
              <w:keepNext/>
              <w:tabs>
                <w:tab w:val="left" w:pos="84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w w:val="95"/>
                <w:kern w:val="0"/>
                <w:lang w:eastAsia="hu-HU"/>
                <w14:ligatures w14:val="none"/>
              </w:rPr>
              <w:t>TIMI</w:t>
            </w:r>
            <w:r w:rsidRPr="00C62638">
              <w:rPr>
                <w:rFonts w:ascii="Times New Roman" w:eastAsia="Times New Roman" w:hAnsi="Times New Roman" w:cs="Times New Roman"/>
                <w:spacing w:val="-1"/>
                <w:w w:val="95"/>
                <w:kern w:val="0"/>
                <w:lang w:eastAsia="hu-HU"/>
                <w14:ligatures w14:val="none"/>
              </w:rPr>
              <w:tab/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F2169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2,3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177B5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2,32</w:t>
            </w:r>
          </w:p>
          <w:p w14:paraId="138A4E4C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(1,68; 3,21)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A7088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F0B7" w14:textId="77777777" w:rsidR="00C62638" w:rsidRPr="00C62638" w:rsidRDefault="00C62638" w:rsidP="00C62638">
            <w:pPr>
              <w:keepNext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784B6649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2F65C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2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Végzetes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kimenetelű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1EAA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0,3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3201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1,00</w:t>
            </w:r>
          </w:p>
          <w:p w14:paraId="5082168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(0,44; 2,27)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FCA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39F5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1,0000</w:t>
            </w:r>
          </w:p>
        </w:tc>
      </w:tr>
      <w:tr w:rsidR="00C62638" w:rsidRPr="00C62638" w14:paraId="3B35261B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FE9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2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Intracranialis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vérzés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F63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4E09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1,33</w:t>
            </w:r>
          </w:p>
          <w:p w14:paraId="2A37CC9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(0,77; 2,31)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228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0,5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A84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0,3130</w:t>
            </w:r>
          </w:p>
        </w:tc>
      </w:tr>
      <w:tr w:rsidR="00C62638" w:rsidRPr="00C62638" w14:paraId="2BAAE3FC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3A2C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2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Egyéb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TIMI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F61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16D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3,61</w:t>
            </w:r>
          </w:p>
          <w:p w14:paraId="3358FBB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(2,31; 5,65)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876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0,5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F5D4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7A5038F3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F6F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TIMI jelentős vagy kisebb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63E7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7169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2,54</w:t>
            </w:r>
          </w:p>
          <w:p w14:paraId="7D69D9D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(1,93;</w:t>
            </w: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3,35)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2881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D29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241792B2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5C38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TIMI jelentős vagy kisebb vagy</w:t>
            </w:r>
            <w:r w:rsidRPr="00C62638">
              <w:rPr>
                <w:rFonts w:ascii="Times New Roman" w:eastAsia="Times New Roman" w:hAnsi="Times New Roman" w:cs="Times New Roman"/>
                <w:spacing w:val="24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orvosi kezelést igénylő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F89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7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16,6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0B8D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2,64</w:t>
            </w:r>
          </w:p>
          <w:p w14:paraId="3F30CC9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(2,35; 2,97)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6136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7,0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225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015DDA08" w14:textId="77777777" w:rsidTr="00AF59D4">
        <w:trPr>
          <w:trHeight w:hRule="exact" w:val="264"/>
        </w:trPr>
        <w:tc>
          <w:tcPr>
            <w:tcW w:w="90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8E7B" w14:textId="0A25FC6E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PLATO</w:t>
            </w:r>
            <w:r w:rsidR="00A9762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bCs/>
                <w:spacing w:val="-1"/>
                <w:kern w:val="0"/>
                <w:lang w:eastAsia="hu-HU"/>
                <w14:ligatures w14:val="none"/>
              </w:rPr>
              <w:t>definíció szerinti vérzési kategóriák</w:t>
            </w:r>
          </w:p>
        </w:tc>
      </w:tr>
      <w:tr w:rsidR="00C62638" w:rsidRPr="00C62638" w14:paraId="284BE25F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141D" w14:textId="77777777" w:rsidR="00C62638" w:rsidRPr="00C62638" w:rsidRDefault="00C62638" w:rsidP="00C62638">
            <w:pPr>
              <w:widowControl w:val="0"/>
              <w:tabs>
                <w:tab w:val="left" w:pos="98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ab/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A60A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3,5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A838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2,57</w:t>
            </w:r>
          </w:p>
          <w:p w14:paraId="1A45A61C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(1,95; 3,37)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3A6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ED56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5DD5018C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2018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82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Végzetes/életveszélyes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FA6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2,4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B334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2,38</w:t>
            </w:r>
          </w:p>
          <w:p w14:paraId="0D8A985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(1,73; 3,26)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3E78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1,1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D5CD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71202A5B" w14:textId="77777777" w:rsidTr="00AF59D4">
        <w:trPr>
          <w:trHeight w:hRule="exact" w:val="514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3D29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82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Egyéb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3DEA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9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1,1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02B0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3,37</w:t>
            </w:r>
          </w:p>
          <w:p w14:paraId="6673FB1E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(1,95; 5,83)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9E4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0,3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6867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  <w:tr w:rsidR="00C62638" w:rsidRPr="00C62638" w14:paraId="42723935" w14:textId="77777777" w:rsidTr="00AF59D4">
        <w:trPr>
          <w:trHeight w:hRule="exact" w:val="51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D752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PLATO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jelentős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vagy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eastAsia="hu-HU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eastAsia="hu-HU"/>
                <w14:ligatures w14:val="none"/>
              </w:rPr>
              <w:t>kisebb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2652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74" w:right="2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15,2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EF5C3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2,71</w:t>
            </w:r>
          </w:p>
          <w:p w14:paraId="767711F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(2,40; 3,08)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AEDB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"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1"/>
                <w:kern w:val="0"/>
                <w:lang w:eastAsia="hu-HU"/>
                <w14:ligatures w14:val="none"/>
              </w:rPr>
              <w:t>6,2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8F314" w14:textId="77777777" w:rsidR="00C62638" w:rsidRPr="00C62638" w:rsidRDefault="00C62638" w:rsidP="00C62638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eastAsia="hu-HU"/>
                <w14:ligatures w14:val="none"/>
              </w:rPr>
              <w:t>&lt; 0,0001</w:t>
            </w:r>
          </w:p>
        </w:tc>
      </w:tr>
    </w:tbl>
    <w:p w14:paraId="3309724F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Vérzési</w:t>
      </w:r>
      <w:r w:rsidRPr="00145C8B">
        <w:rPr>
          <w:rFonts w:ascii="Times New Roman" w:eastAsia="SimSun" w:hAnsi="Times New Roman" w:cs="Times New Roman"/>
          <w:b/>
          <w:snapToGrid w:val="0"/>
          <w:spacing w:val="-1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kategória</w:t>
      </w:r>
      <w:r w:rsidRPr="00145C8B">
        <w:rPr>
          <w:rFonts w:ascii="Times New Roman" w:eastAsia="SimSun" w:hAnsi="Times New Roman" w:cs="Times New Roman"/>
          <w:b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>definíciók:</w:t>
      </w:r>
    </w:p>
    <w:p w14:paraId="0C73023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jelentős:</w:t>
      </w:r>
      <w:r w:rsidRPr="00145C8B">
        <w:rPr>
          <w:rFonts w:ascii="Times New Roman" w:eastAsia="SimSun" w:hAnsi="Times New Roman" w:cs="Times New Roman"/>
          <w:b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végzetes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kimenetelű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bármilyen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nyilvánvaló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 xml:space="preserve"> jelei,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amelyek 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(Hgb)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≥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50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esésével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járnak,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amikor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Hgb-érték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áll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rendelkezésre,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akkor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 haematocrit (Hct) 15%-os esése.</w:t>
      </w:r>
    </w:p>
    <w:p w14:paraId="3327BBD6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Végzetes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kimenetelű:</w:t>
      </w:r>
      <w:r w:rsidRPr="00145C8B">
        <w:rPr>
          <w:rFonts w:ascii="Times New Roman" w:eastAsia="SimSun" w:hAnsi="Times New Roman" w:cs="Times New Roman"/>
          <w:b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Olyan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vérzéses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esemény,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ami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7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napon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belül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közvetlenül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halálhoz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vezetett.</w:t>
      </w:r>
    </w:p>
    <w:p w14:paraId="165DD6C3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ICH:</w:t>
      </w:r>
      <w:r w:rsidRPr="00145C8B">
        <w:rPr>
          <w:rFonts w:ascii="Times New Roman" w:eastAsia="SimSun" w:hAnsi="Times New Roman" w:cs="Times New Roman"/>
          <w:b/>
          <w:snapToGrid w:val="0"/>
          <w:spacing w:val="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Intracranialis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vérzés.</w:t>
      </w:r>
    </w:p>
    <w:p w14:paraId="2904BE66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jelentős: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végzetes,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intracranialis,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vérzés.</w:t>
      </w:r>
    </w:p>
    <w:p w14:paraId="3609147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30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–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50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g/l-es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csökkenése.</w:t>
      </w:r>
    </w:p>
    <w:p w14:paraId="1561EE2C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TIMI</w:t>
      </w:r>
      <w:r w:rsidRPr="00145C8B">
        <w:rPr>
          <w:rFonts w:ascii="Times New Roman" w:eastAsia="SimSun" w:hAnsi="Times New Roman" w:cs="Times New Roman"/>
          <w:b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orvosi</w:t>
      </w:r>
      <w:r w:rsidRPr="00145C8B">
        <w:rPr>
          <w:rFonts w:ascii="Times New Roman" w:eastAsia="SimSun" w:hAnsi="Times New Roman" w:cs="Times New Roman"/>
          <w:b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kezelést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igénylő:</w:t>
      </w:r>
      <w:r w:rsidRPr="00145C8B">
        <w:rPr>
          <w:rFonts w:ascii="Times New Roman" w:eastAsia="SimSun" w:hAnsi="Times New Roman" w:cs="Times New Roman"/>
          <w:b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Beavatkozást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igénylő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hospitalizációhoz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vezető</w:t>
      </w:r>
      <w:r w:rsidRPr="00145C8B">
        <w:rPr>
          <w:rFonts w:ascii="Times New Roman" w:eastAsia="SimSun" w:hAnsi="Times New Roman" w:cs="Times New Roman"/>
          <w:snapToGrid w:val="0"/>
          <w:spacing w:val="-9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vizsgálatra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igénylő.</w:t>
      </w:r>
    </w:p>
    <w:p w14:paraId="68FACD85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 xml:space="preserve">PLATO jelentős végzetes/életveszélyes: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Végzetes kimenetelű vérzés VAGY bármilyen intracranialis vérzés VAGY intrapericardialis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szívtamponáddal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hypovolaemiás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shock-kal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10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súlyos,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presszorokat/inotróp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szereket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 műtétet igénylő hypotonia VAGY a haemoglobinszint klinikailag nyilv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á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nval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ó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, &gt; 50 g/l-es csökken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 xml:space="preserve">se, vagy 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≥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4 egys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 vörösv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é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rtest-transzf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ú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zi</w:t>
      </w:r>
      <w:r w:rsidRPr="00145C8B">
        <w:rPr>
          <w:rFonts w:ascii="Times New Roman" w:eastAsia="SimSun" w:hAnsi="Times New Roman" w:cs="Times New Roman" w:hint="eastAsia"/>
          <w:snapToGrid w:val="0"/>
          <w:kern w:val="0"/>
          <w:sz w:val="18"/>
          <w:szCs w:val="20"/>
          <w:lang w:eastAsia="zh-CN"/>
          <w14:ligatures w14:val="none"/>
        </w:rPr>
        <w:t>ó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.</w:t>
      </w:r>
    </w:p>
    <w:p w14:paraId="78AB68B7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b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jelentős: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Jelentős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funkcióvesztést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okozó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haemoglobinszint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klinikailag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nyilvánvaló,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30–50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g/l-es csökkenése, VAGY 2–3 egység vörösvértest-transzfúzió.</w:t>
      </w:r>
    </w:p>
    <w:p w14:paraId="62DD28EB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kisebb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 w:val="18"/>
          <w:szCs w:val="20"/>
          <w:lang w:eastAsia="zh-CN"/>
          <w14:ligatures w14:val="none"/>
        </w:rPr>
        <w:t>vérzés:</w:t>
      </w:r>
      <w:r w:rsidRPr="00145C8B">
        <w:rPr>
          <w:rFonts w:ascii="Times New Roman" w:eastAsia="SimSun" w:hAnsi="Times New Roman" w:cs="Times New Roman"/>
          <w:b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vérzés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megállítása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vagy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kezelése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orvosi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beavatkozást</w:t>
      </w:r>
      <w:r w:rsidRPr="00145C8B">
        <w:rPr>
          <w:rFonts w:ascii="Times New Roman" w:eastAsia="SimSun" w:hAnsi="Times New Roman" w:cs="Times New Roman"/>
          <w:snapToGrid w:val="0"/>
          <w:spacing w:val="-7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igényel.</w:t>
      </w:r>
    </w:p>
    <w:p w14:paraId="5977A3B3" w14:textId="77777777" w:rsidR="00C62638" w:rsidRPr="00AF1962" w:rsidRDefault="00C62638" w:rsidP="00C62638">
      <w:pPr>
        <w:widowControl w:val="0"/>
        <w:autoSpaceDE w:val="0"/>
        <w:autoSpaceDN w:val="0"/>
        <w:spacing w:after="0" w:line="240" w:lineRule="auto"/>
        <w:ind w:right="1071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5DCFEC2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PEGASUS vizsgálatban a naponta kétszer 60 mg tikagrelor alkalmazása esetén a TIMI jelentős vérzés aránya magasabb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 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monoterápia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végzetes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kimenetelű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nem észleltek megnövekedett vérzési kockázatot, és az intracranialis vérzések esetén csak kisfokú emelkedést figyeltek meg az acetilszalicilsav-monoterápiához képest. Volt néhány végzetes kimenetelű vérzéses esemény a vizsgálatban, 11 (0,3%) a 60 mg tikagrelor-kezelés és 12 (0,3%) az acetilszalicilsav-monoterápia esetén. A TIMI jelentős vérzés 60 mg tikagrelor alkalmazása mellett megfigyelt emelkedett kockázata elsősorban az egyéb TIMI jelentős vérzések magasabb gyakoriságának a következménye volt, amit az emésztőrendszeri szervrendszeri kategórián belüli események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eredményeztek.</w:t>
      </w:r>
    </w:p>
    <w:p w14:paraId="0CA49EF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273460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TIMI jelentős vérzésekéhez hasonló, emelkedett vérzési mintázatot észleltek a TIMI jelentős vagy kisebb,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valamint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kisebb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kategóriák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 3. táblázat). A kezelés vérzés miatti abbahagyása gyakoribb volt a 60 mg tikagrelor-kezelés, mint az acetilszalicilsav-monoterápia esetén (6,2% és 1,5%). Ezeknek a vérzéseknek a többsége kevésbé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 súlyos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(TIMI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orvosi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igénylő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besorolást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kapott),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például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epistaxis,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véraláfutás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és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haematoma.</w:t>
      </w:r>
    </w:p>
    <w:p w14:paraId="3B52E57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6390AE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60 mg tikagrelor vérzési profilja több, előre meghatározott alcsoportban (pl. életkor, nemi hovatartozás,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testtömeg,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rassz,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földrajzi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régió,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kísérőbetegségek,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egyidejű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anamnézis) konzisztens volt a TIMI jelentős, a TIMI jelentős vagy kisebb és a PLATO jelentős vérzéses események esetén.</w:t>
      </w:r>
    </w:p>
    <w:p w14:paraId="0563F4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99FA2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Intracranialis</w:t>
      </w:r>
      <w:r w:rsidRPr="00C62638">
        <w:rPr>
          <w:rFonts w:ascii="Times New Roman" w:eastAsia="Times New Roman" w:hAnsi="Times New Roman" w:cs="Times New Roman"/>
          <w:spacing w:val="1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vérzés:</w:t>
      </w:r>
    </w:p>
    <w:p w14:paraId="3C1E3AF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Spontán intracranialis vérzésekről hasonló arányokban számoltak be a 60 mg tikagrelor-kezelés és az acetilszalicilsav-monoterápia esetén (n = 13; 0,2% mindkét terápiás csoportban). A traumás és beavatkozást követő intracranialis vérzések egy kisfokú emelkedést mutattak a 60 mg tikagrelor-kezelés mellett (n = 15; 0,2%) az acetilszalicilsav-monoterápiához képest (n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= 10; 0,1%). Hat végzetes kimenetelű intracranialis vérzés fordult elő a 60 mg tikagrelor-kezelés, és 5 fatális intracranialis vérzés az acetilszalicilsav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monoterápia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mellett.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Figyelembe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véve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populáció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jelentős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kísérőbetegségeit és cardiovascularis rizikótényezőit, az intracranialis vérzés incidenciája mindkét terápiás csoportban alacsony volt.</w:t>
      </w:r>
    </w:p>
    <w:p w14:paraId="6EC8707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1A90610D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Dyspnoe</w:t>
      </w:r>
    </w:p>
    <w:p w14:paraId="2FE7EA1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tikagrelorral kezelt betegek dyspnoéról, fulladásérzésről számoltak be. A PLATO vizsgálatban dyspnoéról mint nemkívánatos eseményről (dyspnoe, nyugalmi dyspnoe, terheléses dyspnoe, paroxysmalis nocturnalis dyspnoe és nocturnalis dyspnoe) összesen a tikagrelorral kezelt betegek 13,8%-ánál, és a klopidogrellel kezelt betegek 7,8%-ánál számoltak be. A PLATO vizsgálatban a vizsgálatot végzők a tikagrelort szedő betegek 2,2%-ánál, a klopidogrelt szedő betegek 0,6%-ánál értékelték úgy, hogy a dyspnoe ok-okozati összefüggésben van a kezeléssel, és csak néhány eset volt súlyos (0,14%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tikagrelor;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0,02%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4.4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legtöbb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tünet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intenzitása enyhe vagy közepesen súlyos volt, és a legtöbbről mint a kezelés megkezdése után röviddel jelentkező egyetlen epizódról számoltak be.</w:t>
      </w:r>
    </w:p>
    <w:p w14:paraId="6F0C614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8FDA4D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klopidogrelhez viszonyítva, a tikagrelorral kezelt asthmás/COPD-s betegeknél magasabb lehet a nem súlyos dyspnoe (3,29% a tikagrelor és 0,53% a klopidogrel esetén) és a súlyos dyspnoe (0,38% a tikagrelor és 0,00% a klopidogrel esetén) kialakulásának a kockázata. Abszolút értelemben, ez a kockázat magasabb volt, mint a teljes PLATO populációban. Azoknál a betegeknél, akiknek az anamnézisében asthma és/vagy COPD szerepel, a tikagrelort körültekintően kell alkalmazni (lásd 4.4 pont).</w:t>
      </w:r>
    </w:p>
    <w:p w14:paraId="45AA565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2BE9627" w14:textId="6E51B36B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esetek 30%-a 7 napon belül elmúlt. A PLATO</w:t>
      </w:r>
      <w:r w:rsidR="00A976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 olyan betegek is részt vettek, akiknek</w:t>
      </w:r>
      <w:r w:rsidRPr="00C62638">
        <w:rPr>
          <w:rFonts w:ascii="Times New Roman" w:eastAsia="Times New Roman" w:hAnsi="Times New Roman" w:cs="Times New Roman"/>
          <w:spacing w:val="4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vizsgálat megkezdésekor pangásos szívelégtelenségük, COPD-jük vagy asthmájuk volt. Ezek a betegek, valamint az idősek nagyobb valószínűséggel számoltak be dyspnoéról. A tikagrelor esetén a betegek 0,9%-a hagyta abba a vizsgálati gyógyszer szedését dyspnoe miatt, szemben a klopidogrelt szedő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0,1%-ával.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dyspnoe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 mellett jelentkező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előfordulási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gyakorisága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új vagy súlyosbodó szív- vagy tüdőbetegséggel (lásd 4.4 pont). A tikagrelor nincs hatással a légzésfunkciós vizsgálatokra.</w:t>
      </w:r>
    </w:p>
    <w:p w14:paraId="5493348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07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5206A4" w14:textId="4F5CF732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PEGASUS 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dyspnoéról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szedő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14,2%-ánál, az acetilszalicilsav-monoterápiát kapó betegek 5,5%-ánál számoltak be. A PLATO vizsgálathoz hasonlóan a legtöbb dyspnoe intenzitása enyhe vagy közepesen súlyos volt (lásd 4.4 pont). A dyspnoéról beszámoló betegek főként idősebbek voltak, és nagyobb arányban állt fenn náluk dyspno</w:t>
      </w:r>
      <w:r w:rsidR="00AF1962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, COPD vagy asthma a vizsgálat megkezdésekor.</w:t>
      </w:r>
    </w:p>
    <w:p w14:paraId="1BD589E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6A1787CE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Laboratóriumi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egyéb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vizsgálatok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eredményei</w:t>
      </w:r>
    </w:p>
    <w:p w14:paraId="23C1C8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Húgysavszint-emelkedés: A PLATO vizsgálatban a szérumhúgysavszint a tikagrelort kapó betegek 22%-ánál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emelkedett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normálérték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felső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fölé,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szemben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kapó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13%-ával. A PEGASUS vizsgálatban ezek az arányok a következők voltak: 9,1% a 90 mg tikagrelor, 8,8% a 60 mg tikagrelor és 5,5% a placebo esetén. Az átlagos szérumhúgysavszint a tikagrelort kapóknál mintegy 15%-kal, míg a klopidogrelt kapóknál mintegy 7,5%-kal emelkedett, és a kezelés leállítását követően a tikagrelort kapóknál mintegy 7%-kal csökkent, de a klopidogrelt kapóknál nem észleltek csökkenést. A PEGASUS vizsgálatban az átlagos szérumhúgysavszint reverzibilis emelkedése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6,3%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volt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5,6%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esetén,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szemben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placebocsoportban észlelt 1,5%-os csökkenéssel. A PLATO vizsgálatban a köszvényes ízületi gyulladás gyakorisága 0,2% volt a tikagrelor, és 0,1% volt a klopidogrel esetén. A PEGASUS vizsgálatban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köszvényre/köszvényes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ízületi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gyulladásra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arányok a következők voltak: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1,6% a 90 mg tikagrelor, 1,5% a 60 mg tikagrelor és 1,1% a placebo esetén.</w:t>
      </w:r>
    </w:p>
    <w:p w14:paraId="5C348D3E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671B61B5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Feltételezett mellékhatások bejelentése</w:t>
      </w:r>
    </w:p>
    <w:p w14:paraId="208042F5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395818D" w14:textId="34A2BEF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Az egészségügyi szakembereket kérjük, hogy jelentsék be a feltételezett mellékhatásokat a hatóság részére az </w:t>
      </w:r>
      <w:hyperlink r:id="rId7" w:history="1">
        <w:r w:rsidRPr="00145C8B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V. füg</w:t>
        </w:r>
        <w:bookmarkStart w:id="1" w:name="_Hlt352075914"/>
        <w:bookmarkStart w:id="2" w:name="_Hlt352075915"/>
        <w:r w:rsidRPr="00145C8B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g</w:t>
        </w:r>
        <w:bookmarkEnd w:id="1"/>
        <w:bookmarkEnd w:id="2"/>
        <w:r w:rsidRPr="00145C8B">
          <w:rPr>
            <w:rFonts w:ascii="Times New Roman" w:eastAsia="SimSun" w:hAnsi="Times New Roman" w:cs="Times New Roman"/>
            <w:snapToGrid w:val="0"/>
            <w:color w:val="0000FF"/>
            <w:kern w:val="0"/>
            <w:szCs w:val="20"/>
            <w:highlight w:val="lightGray"/>
            <w:u w:val="single"/>
            <w:lang w:eastAsia="zh-CN"/>
            <w14:ligatures w14:val="none"/>
          </w:rPr>
          <w:t>elékben</w:t>
        </w:r>
      </w:hyperlink>
      <w:r w:rsidRPr="00C62638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</w:t>
      </w: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található elérhetőségek valamelyikén keresztül.</w:t>
      </w:r>
    </w:p>
    <w:p w14:paraId="4997E22D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62CCBE2C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4.9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Túladagolás</w:t>
      </w:r>
    </w:p>
    <w:p w14:paraId="63A8986A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55EC131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egyszeri,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legfeljebb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dózisig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jól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tolerálható.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egyszeri,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emelkedő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dózisokkal végzett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gastrointestinalis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dóziskorlátozó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tényező.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túladagolással járó, más, klinikailag jelentős mellékhatások közé tartozhat a dyspnoe és a ventricularis pauza (lásd 4.8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5CA456F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Túladagolás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fenti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potenciális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jelentkezhetnek,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mérlegeleni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EKG-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monitorozást.</w:t>
      </w:r>
    </w:p>
    <w:p w14:paraId="27A9B2E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3441FC7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hatását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visszafordító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antidotum jelenleg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ismert,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dializálható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5.2 pont). A túladagolás kezelésének a helyi standard orvosi gyakorlatot kell követnie. A tikagrelor-túladagolás várható hatása a thrombocytagátlásból eredő, elhúzódó vérzési kockázat. Nem valószínű, hogy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thrombocytatranszfúzió klinikai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előnnyel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 azoknál 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 4.4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pont).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kialakulása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egyéb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megfelelő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szupportív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intézkedéseket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tenni.</w:t>
      </w:r>
    </w:p>
    <w:p w14:paraId="627F87A5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Cs/>
          <w:snapToGrid w:val="0"/>
          <w:kern w:val="0"/>
          <w:szCs w:val="20"/>
          <w:u w:val="single"/>
          <w:lang w:eastAsia="zh-CN"/>
          <w14:ligatures w14:val="none"/>
        </w:rPr>
      </w:pPr>
    </w:p>
    <w:p w14:paraId="5183AF0A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43DEF444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FARMAKOLÓGIAI TULAJDONSÁGOK</w:t>
      </w:r>
    </w:p>
    <w:p w14:paraId="5B4DA22D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4C539182" w14:textId="77777777" w:rsidR="00C62638" w:rsidRPr="00C62638" w:rsidRDefault="00C62638" w:rsidP="00C62638">
      <w:pPr>
        <w:widowControl w:val="0"/>
        <w:spacing w:after="0" w:line="240" w:lineRule="auto"/>
        <w:ind w:left="567" w:right="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5.1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Farmakodinámiás tulajdonságok</w:t>
      </w:r>
    </w:p>
    <w:p w14:paraId="3D01F70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6F8AD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Farmakoterápiás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csoport: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Thrombocytaaggregáció-gátlók,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kivéve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heparin,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ATC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kód: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B01AC24</w:t>
      </w:r>
    </w:p>
    <w:p w14:paraId="452EEB4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05802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Hatásmechanizmus</w:t>
      </w:r>
    </w:p>
    <w:p w14:paraId="52112A55" w14:textId="1B5B14E9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tikagrelort tartalmaz, amely a ciklopentil-triazol-pirimidinek (CPTP) kémiai osztályának tagja, és egy orális, közvetlen hatású, szelektív és reverzibilisen kötődő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-receptor-antagonista, amely megakadályozza az ADP-által mediált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-dependens thrombocytaaktivációt és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aggregációt. A tikagrelor nem akadályozza meg az ADP kötődését, viszont a P2Y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-receptorhoz kötődve megakadályozza az ADP-indukálta szignál-transzdukciót. Mivel a thrombocyták részt vesznek az atheroscleroticus betegség thromboticus szövődményeinek kialakulásában és/vagy kifejlődésében, a thrombocytafunkció gátlása kimutathatóan csökkenti a cardiovascularis események, például a halál, a myocardialis infarctus vagy a stroke, kockázatát.</w:t>
      </w:r>
    </w:p>
    <w:p w14:paraId="7791EF7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349DB53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ekvilibratív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nukleozid-transzporter-1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(ENT-1)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gátlásával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lokális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endogén adenozinszintet szintén növeli.</w:t>
      </w:r>
    </w:p>
    <w:p w14:paraId="213D4C4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A3349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tikagrelor egészséges vizsgálati alanyoknál és acut coronaria szindrómás betegeknél dokumentáltan növeli a következő, adenozin-indukálta hatásokat: vasodilatatio (a koszorúerekben észlelt véráramlás-növekedések segítségével mérve egészséges önkénteseknél és acut coronaria szindrómás betegeknél; fejfájás), a thrombocytafunkció gátlása (emberi teljes vérben </w:t>
      </w:r>
      <w:r w:rsidRPr="00C62638">
        <w:rPr>
          <w:rFonts w:ascii="Times New Roman" w:eastAsia="Times New Roman" w:hAnsi="Times New Roman" w:cs="Times New Roman"/>
          <w:i/>
          <w:kern w:val="0"/>
          <w14:ligatures w14:val="none"/>
        </w:rPr>
        <w:t>in vitro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), valamint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dyspnoe.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megfigyelt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adenozinszint-emelkedések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kimenetel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közötti kapcsolat (például: morbiditás és mortalitás) azonban nem teljesen tisztázott.</w:t>
      </w:r>
    </w:p>
    <w:p w14:paraId="5B24D8D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A0CB5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Farmakodinámiás</w:t>
      </w:r>
      <w:r w:rsidRPr="00C62638">
        <w:rPr>
          <w:rFonts w:ascii="Times New Roman" w:eastAsia="Times New Roman" w:hAnsi="Times New Roman" w:cs="Times New Roman"/>
          <w:spacing w:val="1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hatások</w:t>
      </w:r>
    </w:p>
    <w:p w14:paraId="46A48FE8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-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hatás</w:t>
      </w:r>
      <w:r w:rsidRPr="00145C8B">
        <w:rPr>
          <w:rFonts w:ascii="Times New Roman" w:eastAsia="SimSun" w:hAnsi="Times New Roman" w:cs="Times New Roman"/>
          <w:i/>
          <w:snapToGrid w:val="0"/>
          <w:spacing w:val="-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kialakulása</w:t>
      </w:r>
    </w:p>
    <w:p w14:paraId="32319AF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acetilszalicilsavat kapó, stabil koszorúér-betegségben szenvedő betegeknél a tikagrelor farmakológiai hatása gyorsan kialakul, amit a 180 mg-os telítő tikagrelor-dózis után 0,5 órával a mintegy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41%-os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átlagos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thrombocytaaggregáció-gátlás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(inhibition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platelet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aggregation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IPA),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dózis beadása után 2–4 órával kialakuló, 89%-os maximális IPA-hatás igazolt, ami 2–8 órán át fennmaradt. A betegek 90%-ánál a dózis bevétele után 2 órával az IPA legnagyobb mértéke &gt; 70%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volt.</w:t>
      </w:r>
    </w:p>
    <w:p w14:paraId="3411B2F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0C90E4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i/>
          <w:snapToGrid w:val="0"/>
          <w:spacing w:val="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hatás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 xml:space="preserve"> megszűnése</w:t>
      </w:r>
    </w:p>
    <w:p w14:paraId="4B1F53C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Tervezett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bypass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graft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műtét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járó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klopidogreléhez viszonyítva magasabb, ha azt a beavatkozás előtt kevesebb mint 96 órával függesztik fel.</w:t>
      </w:r>
    </w:p>
    <w:p w14:paraId="0BDD775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384F73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 xml:space="preserve">Átállításra vonatkozó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információk</w:t>
      </w:r>
    </w:p>
    <w:p w14:paraId="6D4CB881" w14:textId="103DDD0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75 mg klopidgr</w:t>
      </w:r>
      <w:r w:rsidR="00AF1962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lről naponta kétszer 90 mg tikagrelorra történő átállás az IPA 26,4%-os abszolút emelkedését,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míg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tikagrelorról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klopidogrelre</w:t>
      </w:r>
      <w:r w:rsidRPr="00C62638">
        <w:rPr>
          <w:rFonts w:ascii="Times New Roman" w:eastAsia="Times New Roman" w:hAnsi="Times New Roman" w:cs="Times New Roman"/>
          <w:spacing w:val="-10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történő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átállás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IPA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24,5%-os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abszolút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csökkenését eredményezi. A betegek a thrombocytagátló hatás megszűnése nélkül átállíthatók klopidgrelről tikagrelorra (lásd 4.2 pont).</w:t>
      </w:r>
    </w:p>
    <w:p w14:paraId="334F22E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07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DF9C88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hatásosság</w:t>
      </w:r>
      <w:r w:rsidRPr="00C62638">
        <w:rPr>
          <w:rFonts w:ascii="Times New Roman" w:eastAsia="Times New Roman" w:hAnsi="Times New Roman" w:cs="Times New Roman"/>
          <w:spacing w:val="-7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6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biztonságosság</w:t>
      </w:r>
    </w:p>
    <w:p w14:paraId="728E1AF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hatásosságára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biztonságosságára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bizonyíték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III-as fázisú vizsgálatból származik:</w:t>
      </w:r>
    </w:p>
    <w:p w14:paraId="50AD336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99966A" w14:textId="77777777" w:rsidR="00C62638" w:rsidRPr="00145C8B" w:rsidRDefault="00C62638" w:rsidP="00C62638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283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PLATO</w:t>
      </w:r>
      <w:r w:rsidRPr="00145C8B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[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PLAT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elet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Inhibition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and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Patient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O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utcomes]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vizsgálat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klopidogrel összehasonlítása, mindkettőt acetilszalicilsavval és egyéb standard kezelésekkel kombinálva.</w:t>
      </w:r>
    </w:p>
    <w:p w14:paraId="622C297C" w14:textId="77777777" w:rsidR="00C62638" w:rsidRPr="00145C8B" w:rsidRDefault="00C62638" w:rsidP="00C62638">
      <w:pPr>
        <w:widowControl w:val="0"/>
        <w:numPr>
          <w:ilvl w:val="0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567" w:right="2" w:hanging="283"/>
        <w:rPr>
          <w:rFonts w:ascii="Times New Roman" w:eastAsia="Times New Roman" w:hAnsi="Times New Roman" w:cs="Times New Roman"/>
          <w:kern w:val="0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 PEGASUS TIMI-54- [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P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vention with Tica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relor of Second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ry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Thrombotic Events in High-Ri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Acute</w:t>
      </w:r>
      <w:r w:rsidRPr="00145C8B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Coronary</w:t>
      </w:r>
      <w:r w:rsidRPr="00145C8B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S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yndrome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Patients]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vizsgálat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acetilszalicilsavval</w:t>
      </w:r>
      <w:r w:rsidRPr="00145C8B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145C8B">
        <w:rPr>
          <w:rFonts w:ascii="Times New Roman" w:eastAsia="Times New Roman" w:hAnsi="Times New Roman" w:cs="Times New Roman"/>
          <w:kern w:val="0"/>
          <w14:ligatures w14:val="none"/>
        </w:rPr>
        <w:t>kombinált tikagrelor és az acetilszalicilsav-monoterápia összehasonlítása.</w:t>
      </w:r>
    </w:p>
    <w:p w14:paraId="5340771A" w14:textId="77777777" w:rsidR="00C62638" w:rsidRPr="00AF1962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26005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PLATO vizsgálat</w:t>
      </w:r>
      <w:r w:rsidRPr="00145C8B">
        <w:rPr>
          <w:rFonts w:ascii="Times New Roman" w:eastAsia="SimSun" w:hAnsi="Times New Roman" w:cs="Times New Roman"/>
          <w:i/>
          <w:snapToGrid w:val="0"/>
          <w:spacing w:val="-11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(acut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coronaria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szindrómák)</w:t>
      </w:r>
    </w:p>
    <w:p w14:paraId="2BE869B8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</w:pPr>
    </w:p>
    <w:p w14:paraId="0E2C766A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PLATO vizsgálatban 18 624 olyan beteg vett részt, aki instabil angina, ST-elevációval nem járó myocardialis infarctus [NSTEMI] vagy ST-elevációval járó myocardialis infarctus [STEMI] tüneteinek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kialakulását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követő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24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órán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belül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jelentkezett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orvosnál,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elsőként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gyógyszeres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kezelést kapott, vagy percutan coronaria intervención (PCI) vagy coronaria-bypass-graft műtéten (CABG) esett át.</w:t>
      </w:r>
    </w:p>
    <w:p w14:paraId="5AC7675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ED39213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hatásosság</w:t>
      </w:r>
    </w:p>
    <w:p w14:paraId="0597C23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Acetilszalicilsavval naponta történő háttérkezelés mellett a naponta kétszer adott 90 mg tikagrelor a cardiovascularis eredetű halálozást, a myocardialis infarctust (MI) vagy a stroke-ot magában foglaló összetett végpont megelőzésében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jobbnak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bizonyult,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klopidogrel, 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különbség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 eredetű halálozásból és a myocardialis infarctusból adódott. A betegek egy 300 mg-os klopidogrel (600 mg is lehetséges volt, ha PCI-jük volt) vagy 180 mg-os tikagrelor telítő dózist kaptak.</w:t>
      </w:r>
    </w:p>
    <w:p w14:paraId="2A026D4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26361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eredmény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korán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jelentkezett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30.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abszolút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kockázatcsökkenés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[ARR]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0,6%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,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relatív kockázatcsökkenés [RRR] pedig 12%), és a terápiás hatás a teljes 12 hónapos időszak alatt változatlanul fennmaradt, ami egy év alatt 1,9%-os ARR-t és 16%-os RRR-t eredményezett. Ez arra utal, hogy a betegek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 hónapig tartó naponta kétszer alkalmazott 90 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tikagrelor-kezelése megfelelő (lásd 4.2 pont). Ha 54 acut coronaria szindrómás beteget klopidogrel helyett tikagrelorral kezelnek, az 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atherothromboticus eseményt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fog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megelőzni;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kezelése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eredetű halálesetet fog megelőzni (lásd 1. ábra és 4. táblázat).</w:t>
      </w:r>
    </w:p>
    <w:p w14:paraId="66F53A1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klopidogrelénél kedvezőbb terápiás hatása sok alcsoportban konzisztensnek tűnik, beleértve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testtömeget,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nemet,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szereplő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diabetes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mellitust,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tranziens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ischaemiás attak-ot vagy a nem vérzéses eredetű stroke-ot vagy a revascularisatiót, az egyidejű kezeléseket, beleértve a heparinokat, GpIIb/IIIa-inhibitorokat és a protonpumpa-inhibitorokat (lásd 4.5 pont), a jellemző esemény végső diagnózisát (STEMI, NSTEMI vagy instabil angina), valamint a randomizáció időpontjában tervezett terápiás módszert (invazív vagy gyógyszeres).</w:t>
      </w:r>
    </w:p>
    <w:p w14:paraId="68C341C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földrajzi régióval összefüggésben egy gyengén szignifikáns terápiás interakciót észleltek, melynek következtében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elsődleges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kockázati aránya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(HR)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populáció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10%-át képviselő Észak-Amerikában a klopidogrel, míg a világ többi részén a tikagrelor esetén volt kedvezőbb (interakciós p-érték = 0,045). Előzetes elemzések egy, az acetilszalicilsav-dózissal való lehetséges összefüggésre utalnak, mivel az acetilszalicilsav növekvő dózisai esetén a tikagrelor hatásosságának csökkenését figyelték meg. A tikagrelor mellett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adott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naponkénti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fenntartó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-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dózisnak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75–150 mg-nak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kell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lennie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 4.2 és 4.4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25BE4D1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9FA21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spacing w:val="-2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1. ábra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összetett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végpontba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tartozó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bármelyik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megjelenésének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becsült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kockázatát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mutatja.</w:t>
      </w:r>
    </w:p>
    <w:p w14:paraId="57199A6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444F2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left="1208" w:hanging="1208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ábra</w:t>
      </w:r>
      <w:r w:rsidRPr="00C62638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ab/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eredetű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halálozásból, myocardialis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infarctusból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stroke-ból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álló elsődleges klinikai összetett végpont analízise (PLATO)</w:t>
      </w:r>
    </w:p>
    <w:p w14:paraId="339D9C2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p w14:paraId="407C703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left="567" w:right="2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6938B4A7" wp14:editId="3F774FC0">
            <wp:extent cx="4937760" cy="3464159"/>
            <wp:effectExtent l="0" t="0" r="0" b="3175"/>
            <wp:docPr id="97955562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5556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47925" cy="347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9C4F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14:ligatures w14:val="none"/>
        </w:rPr>
      </w:pPr>
    </w:p>
    <w:p w14:paraId="233659E1" w14:textId="4BC8D9A6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tikagrelor a klopidogrelhez képest az instabil angina/NSTEMI és STEMI populációban egyaránt csökkentette az elsődleges összetett végpont kialakulásának előfordulását (4. táblázat). Így a naponta kétszer 90 mg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acetilszalicilsavval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együtt,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alkalmazható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acut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coronaria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szindrómás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 (instabil angina, ST-elevációval nem járó myocardialis infarctus [NSTEMI] vagy ST-elevációval járó myocardialis infarctus [STEMI]), beleértve a gyógyszeresen kezelt betegeket és azokat is, akiket percutan coronaria intervencióval (PCI) vagy coronaria-bypass-grafttal (CABG) kezeltek.</w:t>
      </w:r>
    </w:p>
    <w:p w14:paraId="7722C2E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9C5680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</w:t>
      </w:r>
      <w:r w:rsidRPr="00C62638">
        <w:rPr>
          <w:rFonts w:ascii="Times New Roman" w:eastAsia="Times New Roman" w:hAnsi="Times New Roman" w:cs="Times New Roman"/>
          <w:b/>
          <w:bCs/>
          <w:spacing w:val="-8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táblázat</w:t>
      </w:r>
      <w:r w:rsidRPr="00C62638">
        <w:rPr>
          <w:rFonts w:ascii="Times New Roman" w:eastAsia="Times New Roman" w:hAnsi="Times New Roman" w:cs="Times New Roman"/>
          <w:b/>
          <w:bCs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elsődleges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másodlagos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hatásossági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végpontok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analízise</w:t>
      </w:r>
      <w:r w:rsidRPr="00C62638">
        <w:rPr>
          <w:rFonts w:ascii="Times New Roman" w:eastAsia="Times New Roman" w:hAnsi="Times New Roman" w:cs="Times New Roman"/>
          <w:b/>
          <w:bCs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>(PLATO)</w:t>
      </w:r>
    </w:p>
    <w:p w14:paraId="07AF3350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8"/>
        <w:gridCol w:w="1349"/>
        <w:gridCol w:w="1354"/>
        <w:gridCol w:w="960"/>
        <w:gridCol w:w="1531"/>
        <w:gridCol w:w="1080"/>
      </w:tblGrid>
      <w:tr w:rsidR="00C62638" w:rsidRPr="00C62638" w14:paraId="730169F5" w14:textId="77777777" w:rsidTr="00AF59D4">
        <w:trPr>
          <w:trHeight w:val="3287"/>
        </w:trPr>
        <w:tc>
          <w:tcPr>
            <w:tcW w:w="2088" w:type="dxa"/>
          </w:tcPr>
          <w:p w14:paraId="67502A20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-223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349" w:type="dxa"/>
            <w:vAlign w:val="center"/>
          </w:tcPr>
          <w:p w14:paraId="096CF1F5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39"/>
              <w:jc w:val="center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90 mg 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 xml:space="preserve">tikagrelor naponta kétszer </w:t>
            </w: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(azoknak</w:t>
            </w:r>
            <w:r w:rsidRPr="00145C8B">
              <w:rPr>
                <w:rFonts w:ascii="Times New Roman" w:eastAsia="Times New Roman" w:hAnsi="Times New Roman" w:cs="Times New Roman"/>
                <w:b/>
                <w:spacing w:val="-14"/>
                <w:kern w:val="0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a 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 xml:space="preserve">betegeknek </w:t>
            </w:r>
            <w:r w:rsidRPr="00145C8B">
              <w:rPr>
                <w:rFonts w:ascii="Times New Roman" w:eastAsia="Times New Roman" w:hAnsi="Times New Roman" w:cs="Times New Roman"/>
                <w:b/>
                <w:spacing w:val="-10"/>
                <w:kern w:val="0"/>
                <w14:ligatures w14:val="none"/>
              </w:rPr>
              <w:t>a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 xml:space="preserve"> %-os aránya, </w:t>
            </w:r>
            <w:r w:rsidRPr="00145C8B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akiknél az </w:t>
            </w:r>
            <w:r w:rsidRPr="00145C8B">
              <w:rPr>
                <w:rFonts w:ascii="Times New Roman" w:eastAsia="Times New Roman" w:hAnsi="Times New Roman" w:cs="Times New Roman"/>
                <w:b/>
                <w:spacing w:val="-2"/>
                <w:kern w:val="0"/>
                <w14:ligatures w14:val="none"/>
              </w:rPr>
              <w:t>esemény bekövetke- zett)</w:t>
            </w:r>
          </w:p>
          <w:p w14:paraId="338AFFC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39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n</w:t>
            </w: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>9333</w:t>
            </w:r>
          </w:p>
        </w:tc>
        <w:tc>
          <w:tcPr>
            <w:tcW w:w="1354" w:type="dxa"/>
            <w:vAlign w:val="center"/>
          </w:tcPr>
          <w:p w14:paraId="76840CF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75 mg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 xml:space="preserve">klopidogrel naponta egyszer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(azoknak a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 xml:space="preserve">betegeknek </w:t>
            </w:r>
            <w:r w:rsidRPr="00C62638">
              <w:rPr>
                <w:rFonts w:ascii="Times New Roman" w:eastAsia="Times New Roman" w:hAnsi="Times New Roman" w:cs="Times New Roman"/>
                <w:b/>
                <w:spacing w:val="-10"/>
                <w:kern w:val="0"/>
                <w:lang w:val="en-US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 xml:space="preserve"> %-os aránya,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akiknél az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>esemény bekövetke- zett)</w:t>
            </w:r>
          </w:p>
          <w:p w14:paraId="42F3955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spacing w:val="1"/>
                <w:kern w:val="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>9291</w:t>
            </w:r>
          </w:p>
        </w:tc>
        <w:tc>
          <w:tcPr>
            <w:tcW w:w="960" w:type="dxa"/>
            <w:vAlign w:val="center"/>
          </w:tcPr>
          <w:p w14:paraId="15B3EF8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>ARR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vertAlign w:val="superscript"/>
                <w:lang w:val="en-US"/>
                <w14:ligatures w14:val="none"/>
              </w:rPr>
              <w:t>a</w:t>
            </w:r>
          </w:p>
          <w:p w14:paraId="32F8391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>(%/év)</w:t>
            </w:r>
          </w:p>
        </w:tc>
        <w:tc>
          <w:tcPr>
            <w:tcW w:w="1531" w:type="dxa"/>
            <w:vAlign w:val="center"/>
          </w:tcPr>
          <w:p w14:paraId="77B2687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firstLine="4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>RRR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vertAlign w:val="superscript"/>
                <w:lang w:val="en-US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  <w:t xml:space="preserve"> (%) (95%-os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lang w:val="en-US"/>
                <w14:ligatures w14:val="none"/>
              </w:rPr>
              <w:t>CI)</w:t>
            </w:r>
          </w:p>
        </w:tc>
        <w:tc>
          <w:tcPr>
            <w:tcW w:w="1080" w:type="dxa"/>
            <w:vAlign w:val="center"/>
          </w:tcPr>
          <w:p w14:paraId="125F746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i/>
                <w:spacing w:val="-2"/>
                <w:kern w:val="0"/>
                <w:lang w:val="en-US"/>
                <w14:ligatures w14:val="none"/>
              </w:rPr>
              <w:t>p-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lang w:val="en-US"/>
                <w14:ligatures w14:val="none"/>
              </w:rPr>
              <w:t>érték</w:t>
            </w:r>
          </w:p>
        </w:tc>
      </w:tr>
      <w:tr w:rsidR="00C62638" w:rsidRPr="00C62638" w14:paraId="16E04F18" w14:textId="77777777" w:rsidTr="00AF59D4">
        <w:trPr>
          <w:trHeight w:val="1012"/>
        </w:trPr>
        <w:tc>
          <w:tcPr>
            <w:tcW w:w="2088" w:type="dxa"/>
          </w:tcPr>
          <w:p w14:paraId="184AD45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 xml:space="preserve">Cardiovascularis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halálozás, MI (kivéve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a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néma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MI) vagy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stroke</w:t>
            </w:r>
          </w:p>
        </w:tc>
        <w:tc>
          <w:tcPr>
            <w:tcW w:w="1349" w:type="dxa"/>
            <w:vAlign w:val="center"/>
          </w:tcPr>
          <w:p w14:paraId="09C0DCA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9,3</w:t>
            </w:r>
          </w:p>
        </w:tc>
        <w:tc>
          <w:tcPr>
            <w:tcW w:w="1354" w:type="dxa"/>
            <w:vAlign w:val="center"/>
          </w:tcPr>
          <w:p w14:paraId="46DDE4B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10,9</w:t>
            </w:r>
          </w:p>
        </w:tc>
        <w:tc>
          <w:tcPr>
            <w:tcW w:w="960" w:type="dxa"/>
            <w:vAlign w:val="center"/>
          </w:tcPr>
          <w:p w14:paraId="499BDF2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1,9</w:t>
            </w:r>
          </w:p>
        </w:tc>
        <w:tc>
          <w:tcPr>
            <w:tcW w:w="1531" w:type="dxa"/>
            <w:vAlign w:val="center"/>
          </w:tcPr>
          <w:p w14:paraId="7BCBB3A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(8;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23)</w:t>
            </w:r>
          </w:p>
        </w:tc>
        <w:tc>
          <w:tcPr>
            <w:tcW w:w="1080" w:type="dxa"/>
            <w:vAlign w:val="center"/>
          </w:tcPr>
          <w:p w14:paraId="50B6FBA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0,0003</w:t>
            </w:r>
          </w:p>
        </w:tc>
      </w:tr>
      <w:tr w:rsidR="00C62638" w:rsidRPr="00C62638" w14:paraId="4BF0EE8A" w14:textId="77777777" w:rsidTr="00AF59D4">
        <w:trPr>
          <w:trHeight w:val="254"/>
        </w:trPr>
        <w:tc>
          <w:tcPr>
            <w:tcW w:w="2088" w:type="dxa"/>
          </w:tcPr>
          <w:p w14:paraId="36470C0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98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Invazív</w:t>
            </w:r>
            <w:r w:rsidRPr="00C62638">
              <w:rPr>
                <w:rFonts w:ascii="Times New Roman" w:eastAsia="Times New Roman" w:hAnsi="Times New Roman" w:cs="Times New Roman"/>
                <w:spacing w:val="-7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szándék</w:t>
            </w:r>
          </w:p>
        </w:tc>
        <w:tc>
          <w:tcPr>
            <w:tcW w:w="1349" w:type="dxa"/>
            <w:vAlign w:val="center"/>
          </w:tcPr>
          <w:p w14:paraId="5EA47CB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8,5</w:t>
            </w:r>
          </w:p>
        </w:tc>
        <w:tc>
          <w:tcPr>
            <w:tcW w:w="1354" w:type="dxa"/>
            <w:vAlign w:val="center"/>
          </w:tcPr>
          <w:p w14:paraId="6751906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10,0</w:t>
            </w:r>
          </w:p>
        </w:tc>
        <w:tc>
          <w:tcPr>
            <w:tcW w:w="960" w:type="dxa"/>
            <w:vAlign w:val="center"/>
          </w:tcPr>
          <w:p w14:paraId="3F1EDA4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1,7</w:t>
            </w:r>
          </w:p>
        </w:tc>
        <w:tc>
          <w:tcPr>
            <w:tcW w:w="1531" w:type="dxa"/>
            <w:vAlign w:val="center"/>
          </w:tcPr>
          <w:p w14:paraId="1DA7A09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(6;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25)</w:t>
            </w:r>
          </w:p>
        </w:tc>
        <w:tc>
          <w:tcPr>
            <w:tcW w:w="1080" w:type="dxa"/>
            <w:vAlign w:val="center"/>
          </w:tcPr>
          <w:p w14:paraId="42C99F4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0,0025</w:t>
            </w:r>
          </w:p>
        </w:tc>
      </w:tr>
      <w:tr w:rsidR="00C62638" w:rsidRPr="00C62638" w14:paraId="11FAD1E8" w14:textId="77777777" w:rsidTr="00AF59D4">
        <w:trPr>
          <w:trHeight w:val="287"/>
        </w:trPr>
        <w:tc>
          <w:tcPr>
            <w:tcW w:w="2088" w:type="dxa"/>
          </w:tcPr>
          <w:p w14:paraId="74FC0C5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84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Gyógyszeres kezelés</w:t>
            </w:r>
          </w:p>
        </w:tc>
        <w:tc>
          <w:tcPr>
            <w:tcW w:w="1349" w:type="dxa"/>
            <w:vAlign w:val="center"/>
          </w:tcPr>
          <w:p w14:paraId="0472F24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11,3</w:t>
            </w:r>
          </w:p>
        </w:tc>
        <w:tc>
          <w:tcPr>
            <w:tcW w:w="1354" w:type="dxa"/>
            <w:vAlign w:val="center"/>
          </w:tcPr>
          <w:p w14:paraId="48C6358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13,2</w:t>
            </w:r>
          </w:p>
        </w:tc>
        <w:tc>
          <w:tcPr>
            <w:tcW w:w="960" w:type="dxa"/>
            <w:vAlign w:val="center"/>
          </w:tcPr>
          <w:p w14:paraId="7700A02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2,3</w:t>
            </w:r>
          </w:p>
        </w:tc>
        <w:tc>
          <w:tcPr>
            <w:tcW w:w="1531" w:type="dxa"/>
            <w:vAlign w:val="center"/>
          </w:tcPr>
          <w:p w14:paraId="6E0C309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15 (0,3;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27)</w:t>
            </w:r>
          </w:p>
        </w:tc>
        <w:tc>
          <w:tcPr>
            <w:tcW w:w="1080" w:type="dxa"/>
            <w:vAlign w:val="center"/>
          </w:tcPr>
          <w:p w14:paraId="64B1BF0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0,0444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val="en-US"/>
                <w14:ligatures w14:val="none"/>
              </w:rPr>
              <w:t>d</w:t>
            </w:r>
          </w:p>
        </w:tc>
      </w:tr>
      <w:tr w:rsidR="00C62638" w:rsidRPr="00C62638" w14:paraId="2CAE2A57" w14:textId="77777777" w:rsidTr="00AF59D4">
        <w:trPr>
          <w:trHeight w:val="508"/>
        </w:trPr>
        <w:tc>
          <w:tcPr>
            <w:tcW w:w="2088" w:type="dxa"/>
          </w:tcPr>
          <w:p w14:paraId="5E535AA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Cardiovascularis halálozás</w:t>
            </w:r>
          </w:p>
        </w:tc>
        <w:tc>
          <w:tcPr>
            <w:tcW w:w="1349" w:type="dxa"/>
            <w:vAlign w:val="center"/>
          </w:tcPr>
          <w:p w14:paraId="3EC9299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3,8</w:t>
            </w:r>
          </w:p>
        </w:tc>
        <w:tc>
          <w:tcPr>
            <w:tcW w:w="1354" w:type="dxa"/>
            <w:vAlign w:val="center"/>
          </w:tcPr>
          <w:p w14:paraId="464E0BF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4,8</w:t>
            </w:r>
          </w:p>
        </w:tc>
        <w:tc>
          <w:tcPr>
            <w:tcW w:w="960" w:type="dxa"/>
            <w:vAlign w:val="center"/>
          </w:tcPr>
          <w:p w14:paraId="3B2D780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1,1</w:t>
            </w:r>
          </w:p>
        </w:tc>
        <w:tc>
          <w:tcPr>
            <w:tcW w:w="1531" w:type="dxa"/>
            <w:vAlign w:val="center"/>
          </w:tcPr>
          <w:p w14:paraId="5A620C4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21 (9;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31)</w:t>
            </w:r>
          </w:p>
        </w:tc>
        <w:tc>
          <w:tcPr>
            <w:tcW w:w="1080" w:type="dxa"/>
            <w:vAlign w:val="center"/>
          </w:tcPr>
          <w:p w14:paraId="7E7D6C3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0,0013</w:t>
            </w:r>
          </w:p>
        </w:tc>
      </w:tr>
      <w:tr w:rsidR="00C62638" w:rsidRPr="00C62638" w14:paraId="767E42C8" w14:textId="77777777" w:rsidTr="00AF59D4">
        <w:trPr>
          <w:trHeight w:val="503"/>
        </w:trPr>
        <w:tc>
          <w:tcPr>
            <w:tcW w:w="2088" w:type="dxa"/>
          </w:tcPr>
          <w:p w14:paraId="309B1EDA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MI</w:t>
            </w:r>
            <w:r w:rsidRPr="00145C8B">
              <w:rPr>
                <w:rFonts w:ascii="Times New Roman" w:eastAsia="Times New Roman" w:hAnsi="Times New Roman" w:cs="Times New Roman"/>
                <w:spacing w:val="-5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(kivéve</w:t>
            </w:r>
            <w:r w:rsidRPr="00145C8B">
              <w:rPr>
                <w:rFonts w:ascii="Times New Roman" w:eastAsia="Times New Roman" w:hAnsi="Times New Roman" w:cs="Times New Roman"/>
                <w:spacing w:val="-4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a</w:t>
            </w:r>
            <w:r w:rsidRPr="00145C8B">
              <w:rPr>
                <w:rFonts w:ascii="Times New Roman" w:eastAsia="Times New Roman" w:hAnsi="Times New Roman" w:cs="Times New Roman"/>
                <w:spacing w:val="-4"/>
                <w:kern w:val="0"/>
                <w:lang w:val="pl-PL"/>
                <w14:ligatures w14:val="none"/>
              </w:rPr>
              <w:t xml:space="preserve"> néma MI)</w:t>
            </w:r>
            <w:r w:rsidRPr="00145C8B">
              <w:rPr>
                <w:rFonts w:ascii="Times New Roman" w:eastAsia="Times New Roman" w:hAnsi="Times New Roman" w:cs="Times New Roman"/>
                <w:spacing w:val="-4"/>
                <w:kern w:val="0"/>
                <w:vertAlign w:val="superscript"/>
                <w:lang w:val="pl-PL"/>
                <w14:ligatures w14:val="none"/>
              </w:rPr>
              <w:t>b</w:t>
            </w:r>
          </w:p>
        </w:tc>
        <w:tc>
          <w:tcPr>
            <w:tcW w:w="1349" w:type="dxa"/>
            <w:vAlign w:val="center"/>
          </w:tcPr>
          <w:p w14:paraId="49FB637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5,4</w:t>
            </w:r>
          </w:p>
        </w:tc>
        <w:tc>
          <w:tcPr>
            <w:tcW w:w="1354" w:type="dxa"/>
            <w:vAlign w:val="center"/>
          </w:tcPr>
          <w:p w14:paraId="4C23B70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6,4</w:t>
            </w:r>
          </w:p>
        </w:tc>
        <w:tc>
          <w:tcPr>
            <w:tcW w:w="960" w:type="dxa"/>
            <w:vAlign w:val="center"/>
          </w:tcPr>
          <w:p w14:paraId="113074F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1,1</w:t>
            </w:r>
          </w:p>
        </w:tc>
        <w:tc>
          <w:tcPr>
            <w:tcW w:w="1531" w:type="dxa"/>
            <w:vAlign w:val="center"/>
          </w:tcPr>
          <w:p w14:paraId="0B04B64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(5;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25)</w:t>
            </w:r>
          </w:p>
        </w:tc>
        <w:tc>
          <w:tcPr>
            <w:tcW w:w="1080" w:type="dxa"/>
            <w:vAlign w:val="center"/>
          </w:tcPr>
          <w:p w14:paraId="4ED257C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0,0045</w:t>
            </w:r>
          </w:p>
        </w:tc>
      </w:tr>
      <w:tr w:rsidR="00C62638" w:rsidRPr="00C62638" w14:paraId="0BB253A9" w14:textId="77777777" w:rsidTr="00AF59D4">
        <w:trPr>
          <w:trHeight w:val="253"/>
        </w:trPr>
        <w:tc>
          <w:tcPr>
            <w:tcW w:w="2088" w:type="dxa"/>
          </w:tcPr>
          <w:p w14:paraId="64D4FC8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Stroke</w:t>
            </w:r>
          </w:p>
        </w:tc>
        <w:tc>
          <w:tcPr>
            <w:tcW w:w="1349" w:type="dxa"/>
            <w:vAlign w:val="center"/>
          </w:tcPr>
          <w:p w14:paraId="59E882E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1,3</w:t>
            </w:r>
          </w:p>
        </w:tc>
        <w:tc>
          <w:tcPr>
            <w:tcW w:w="1354" w:type="dxa"/>
            <w:vAlign w:val="center"/>
          </w:tcPr>
          <w:p w14:paraId="47F3038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1,1</w:t>
            </w:r>
          </w:p>
        </w:tc>
        <w:tc>
          <w:tcPr>
            <w:tcW w:w="960" w:type="dxa"/>
            <w:vAlign w:val="center"/>
          </w:tcPr>
          <w:p w14:paraId="50DA440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–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0,2</w:t>
            </w:r>
          </w:p>
        </w:tc>
        <w:tc>
          <w:tcPr>
            <w:tcW w:w="1531" w:type="dxa"/>
            <w:vAlign w:val="center"/>
          </w:tcPr>
          <w:p w14:paraId="60719EE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–17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(–52;</w:t>
            </w:r>
            <w:r w:rsidRPr="00C62638">
              <w:rPr>
                <w:rFonts w:ascii="Times New Roman" w:eastAsia="Times New Roman" w:hAnsi="Times New Roman" w:cs="Times New Roman"/>
                <w:spacing w:val="-1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9)</w:t>
            </w:r>
          </w:p>
        </w:tc>
        <w:tc>
          <w:tcPr>
            <w:tcW w:w="1080" w:type="dxa"/>
            <w:vAlign w:val="center"/>
          </w:tcPr>
          <w:p w14:paraId="01EA119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0,2249</w:t>
            </w:r>
          </w:p>
        </w:tc>
      </w:tr>
      <w:tr w:rsidR="00C62638" w:rsidRPr="00C62638" w14:paraId="5C29A492" w14:textId="77777777" w:rsidTr="00AF59D4">
        <w:trPr>
          <w:trHeight w:val="758"/>
        </w:trPr>
        <w:tc>
          <w:tcPr>
            <w:tcW w:w="2088" w:type="dxa"/>
          </w:tcPr>
          <w:p w14:paraId="53402089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Összmortalitás, MI (kivéve</w:t>
            </w:r>
            <w:r w:rsidRPr="00145C8B">
              <w:rPr>
                <w:rFonts w:ascii="Times New Roman" w:eastAsia="Times New Roman" w:hAnsi="Times New Roman" w:cs="Times New Roman"/>
                <w:spacing w:val="-13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a</w:t>
            </w:r>
            <w:r w:rsidRPr="00145C8B">
              <w:rPr>
                <w:rFonts w:ascii="Times New Roman" w:eastAsia="Times New Roman" w:hAnsi="Times New Roman" w:cs="Times New Roman"/>
                <w:spacing w:val="-13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néma</w:t>
            </w:r>
            <w:r w:rsidRPr="00145C8B">
              <w:rPr>
                <w:rFonts w:ascii="Times New Roman" w:eastAsia="Times New Roman" w:hAnsi="Times New Roman" w:cs="Times New Roman"/>
                <w:spacing w:val="-13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kern w:val="0"/>
                <w:lang w:val="pl-PL"/>
                <w14:ligatures w14:val="none"/>
              </w:rPr>
              <w:t>MI) vagy</w:t>
            </w:r>
            <w:r w:rsidRPr="00145C8B">
              <w:rPr>
                <w:rFonts w:ascii="Times New Roman" w:eastAsia="Times New Roman" w:hAnsi="Times New Roman" w:cs="Times New Roman"/>
                <w:spacing w:val="-6"/>
                <w:kern w:val="0"/>
                <w:lang w:val="pl-PL"/>
                <w14:ligatures w14:val="none"/>
              </w:rPr>
              <w:t xml:space="preserve"> </w:t>
            </w:r>
            <w:r w:rsidRPr="00145C8B">
              <w:rPr>
                <w:rFonts w:ascii="Times New Roman" w:eastAsia="Times New Roman" w:hAnsi="Times New Roman" w:cs="Times New Roman"/>
                <w:spacing w:val="-2"/>
                <w:kern w:val="0"/>
                <w:lang w:val="pl-PL"/>
                <w14:ligatures w14:val="none"/>
              </w:rPr>
              <w:t>stroke</w:t>
            </w:r>
          </w:p>
        </w:tc>
        <w:tc>
          <w:tcPr>
            <w:tcW w:w="1349" w:type="dxa"/>
            <w:vAlign w:val="center"/>
          </w:tcPr>
          <w:p w14:paraId="5E2D03B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9,7</w:t>
            </w:r>
          </w:p>
        </w:tc>
        <w:tc>
          <w:tcPr>
            <w:tcW w:w="1354" w:type="dxa"/>
            <w:vAlign w:val="center"/>
          </w:tcPr>
          <w:p w14:paraId="7FF3AFB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11,5</w:t>
            </w:r>
          </w:p>
        </w:tc>
        <w:tc>
          <w:tcPr>
            <w:tcW w:w="960" w:type="dxa"/>
            <w:vAlign w:val="center"/>
          </w:tcPr>
          <w:p w14:paraId="42A8B01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2,1</w:t>
            </w:r>
          </w:p>
        </w:tc>
        <w:tc>
          <w:tcPr>
            <w:tcW w:w="1531" w:type="dxa"/>
            <w:vAlign w:val="center"/>
          </w:tcPr>
          <w:p w14:paraId="5C78F7A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16 (8;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23)</w:t>
            </w:r>
          </w:p>
        </w:tc>
        <w:tc>
          <w:tcPr>
            <w:tcW w:w="1080" w:type="dxa"/>
            <w:vAlign w:val="center"/>
          </w:tcPr>
          <w:p w14:paraId="27C2184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0,0001</w:t>
            </w:r>
          </w:p>
        </w:tc>
      </w:tr>
      <w:tr w:rsidR="00C62638" w:rsidRPr="00C62638" w14:paraId="783210CD" w14:textId="77777777" w:rsidTr="00AF59D4">
        <w:trPr>
          <w:trHeight w:val="1012"/>
        </w:trPr>
        <w:tc>
          <w:tcPr>
            <w:tcW w:w="2088" w:type="dxa"/>
          </w:tcPr>
          <w:p w14:paraId="449B53E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 xml:space="preserve">Cardiovascularis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halálozás,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összes</w:t>
            </w:r>
            <w:r w:rsidRPr="00C62638">
              <w:rPr>
                <w:rFonts w:ascii="Times New Roman" w:eastAsia="Times New Roman" w:hAnsi="Times New Roman" w:cs="Times New Roman"/>
                <w:spacing w:val="-14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MI, stroke,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SRI,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RI,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 xml:space="preserve"> TIA,</w:t>
            </w:r>
          </w:p>
          <w:p w14:paraId="15EE76C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vagy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egyéb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 xml:space="preserve"> ATE</w:t>
            </w: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vertAlign w:val="superscript"/>
                <w:lang w:val="en-US"/>
                <w14:ligatures w14:val="none"/>
              </w:rPr>
              <w:t>c</w:t>
            </w:r>
          </w:p>
        </w:tc>
        <w:tc>
          <w:tcPr>
            <w:tcW w:w="1349" w:type="dxa"/>
            <w:vAlign w:val="center"/>
          </w:tcPr>
          <w:p w14:paraId="784E4F3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13,8</w:t>
            </w:r>
          </w:p>
        </w:tc>
        <w:tc>
          <w:tcPr>
            <w:tcW w:w="1354" w:type="dxa"/>
            <w:vAlign w:val="center"/>
          </w:tcPr>
          <w:p w14:paraId="6F418B9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lang w:val="en-US"/>
                <w14:ligatures w14:val="none"/>
              </w:rPr>
              <w:t>15,7</w:t>
            </w:r>
          </w:p>
        </w:tc>
        <w:tc>
          <w:tcPr>
            <w:tcW w:w="960" w:type="dxa"/>
            <w:vAlign w:val="center"/>
          </w:tcPr>
          <w:p w14:paraId="4094993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2,1</w:t>
            </w:r>
          </w:p>
        </w:tc>
        <w:tc>
          <w:tcPr>
            <w:tcW w:w="1531" w:type="dxa"/>
            <w:vAlign w:val="center"/>
          </w:tcPr>
          <w:p w14:paraId="1FC599F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12 (5;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19)</w:t>
            </w:r>
          </w:p>
        </w:tc>
        <w:tc>
          <w:tcPr>
            <w:tcW w:w="1080" w:type="dxa"/>
            <w:vAlign w:val="center"/>
          </w:tcPr>
          <w:p w14:paraId="7AB1205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0,0006</w:t>
            </w:r>
          </w:p>
        </w:tc>
      </w:tr>
      <w:tr w:rsidR="00C62638" w:rsidRPr="00C62638" w14:paraId="6F70AA78" w14:textId="77777777" w:rsidTr="00AF59D4">
        <w:trPr>
          <w:trHeight w:val="307"/>
        </w:trPr>
        <w:tc>
          <w:tcPr>
            <w:tcW w:w="2088" w:type="dxa"/>
          </w:tcPr>
          <w:p w14:paraId="33BB840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98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Összmortalitás</w:t>
            </w:r>
          </w:p>
        </w:tc>
        <w:tc>
          <w:tcPr>
            <w:tcW w:w="1349" w:type="dxa"/>
            <w:vAlign w:val="center"/>
          </w:tcPr>
          <w:p w14:paraId="3BC4EE9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4,3</w:t>
            </w:r>
          </w:p>
        </w:tc>
        <w:tc>
          <w:tcPr>
            <w:tcW w:w="1354" w:type="dxa"/>
            <w:vAlign w:val="center"/>
          </w:tcPr>
          <w:p w14:paraId="0D02D05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5,4</w:t>
            </w:r>
          </w:p>
        </w:tc>
        <w:tc>
          <w:tcPr>
            <w:tcW w:w="960" w:type="dxa"/>
            <w:vAlign w:val="center"/>
          </w:tcPr>
          <w:p w14:paraId="40000C4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1,4</w:t>
            </w:r>
          </w:p>
        </w:tc>
        <w:tc>
          <w:tcPr>
            <w:tcW w:w="1531" w:type="dxa"/>
            <w:vAlign w:val="center"/>
          </w:tcPr>
          <w:p w14:paraId="5CE4A64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22 (11;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31)</w:t>
            </w:r>
          </w:p>
        </w:tc>
        <w:tc>
          <w:tcPr>
            <w:tcW w:w="1080" w:type="dxa"/>
            <w:vAlign w:val="center"/>
          </w:tcPr>
          <w:p w14:paraId="4ACB2C5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0,0003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val="en-US"/>
                <w14:ligatures w14:val="none"/>
              </w:rPr>
              <w:t>d</w:t>
            </w:r>
          </w:p>
        </w:tc>
      </w:tr>
      <w:tr w:rsidR="00C62638" w:rsidRPr="00C62638" w14:paraId="4A426208" w14:textId="77777777" w:rsidTr="00AF59D4">
        <w:trPr>
          <w:trHeight w:val="508"/>
        </w:trPr>
        <w:tc>
          <w:tcPr>
            <w:tcW w:w="2088" w:type="dxa"/>
          </w:tcPr>
          <w:p w14:paraId="5048A58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0" w:right="2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Definitív</w:t>
            </w:r>
            <w:r w:rsidRPr="00C62638">
              <w:rPr>
                <w:rFonts w:ascii="Times New Roman" w:eastAsia="Times New Roman" w:hAnsi="Times New Roman" w:cs="Times New Roman"/>
                <w:spacing w:val="-9"/>
                <w:kern w:val="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stent-thrombosis</w:t>
            </w:r>
          </w:p>
        </w:tc>
        <w:tc>
          <w:tcPr>
            <w:tcW w:w="1349" w:type="dxa"/>
            <w:vAlign w:val="center"/>
          </w:tcPr>
          <w:p w14:paraId="0E02B6C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1,2</w:t>
            </w:r>
          </w:p>
        </w:tc>
        <w:tc>
          <w:tcPr>
            <w:tcW w:w="1354" w:type="dxa"/>
            <w:vAlign w:val="center"/>
          </w:tcPr>
          <w:p w14:paraId="192A095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1,7</w:t>
            </w:r>
          </w:p>
        </w:tc>
        <w:tc>
          <w:tcPr>
            <w:tcW w:w="960" w:type="dxa"/>
            <w:vAlign w:val="center"/>
          </w:tcPr>
          <w:p w14:paraId="7CB538C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0,6</w:t>
            </w:r>
          </w:p>
        </w:tc>
        <w:tc>
          <w:tcPr>
            <w:tcW w:w="1531" w:type="dxa"/>
            <w:vAlign w:val="center"/>
          </w:tcPr>
          <w:p w14:paraId="4F5012E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32 (8; 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lang w:val="en-US"/>
                <w14:ligatures w14:val="none"/>
              </w:rPr>
              <w:t>49)</w:t>
            </w:r>
          </w:p>
        </w:tc>
        <w:tc>
          <w:tcPr>
            <w:tcW w:w="1080" w:type="dxa"/>
            <w:vAlign w:val="center"/>
          </w:tcPr>
          <w:p w14:paraId="4DF1A48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0,0123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vertAlign w:val="superscript"/>
                <w:lang w:val="en-US"/>
                <w14:ligatures w14:val="none"/>
              </w:rPr>
              <w:t>d</w:t>
            </w:r>
          </w:p>
        </w:tc>
      </w:tr>
    </w:tbl>
    <w:p w14:paraId="6FB7983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ARR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abszolút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kockázatcsökkenés;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RRR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relatív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kockázatcsökkenés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(1–kockázati arány)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×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100%.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negatív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RRR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relatív kockázat növekedését jelzi.</w:t>
      </w:r>
    </w:p>
    <w:p w14:paraId="7157182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>b</w:t>
      </w: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Kivéve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néma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infarctust.</w:t>
      </w:r>
    </w:p>
    <w:p w14:paraId="35463D0D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 xml:space="preserve">c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SRI = súlyos, visszatérő ischaemia; RI = visszatérő ischaemia; TIA = tranziens ischaemiás attak; ATE = arteriás thromboticus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esemény.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összes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MI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tartalmazza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néma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MI-t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is,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esemény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bekövetkezésének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dátuma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diagnosztizálás dátumára beállítva.</w:t>
      </w:r>
    </w:p>
    <w:p w14:paraId="62A0EE11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spacing w:val="-8"/>
          <w:kern w:val="0"/>
          <w:sz w:val="18"/>
          <w:szCs w:val="18"/>
          <w:vertAlign w:val="superscript"/>
          <w:lang w:eastAsia="zh-CN"/>
          <w14:ligatures w14:val="none"/>
        </w:rPr>
        <w:t xml:space="preserve">d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Nominális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szignifikancia-érték;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minden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más,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előre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definiált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hierarchikus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módszerrel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vizsgálva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formálisan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>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18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18"/>
          <w:lang w:eastAsia="zh-CN"/>
          <w14:ligatures w14:val="none"/>
        </w:rPr>
        <w:t xml:space="preserve">statisztikailag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18"/>
          <w:lang w:eastAsia="zh-CN"/>
          <w14:ligatures w14:val="none"/>
        </w:rPr>
        <w:t>szignifikáns.</w:t>
      </w:r>
    </w:p>
    <w:p w14:paraId="52D9F3E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6F4DE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PLATO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genetikai</w:t>
      </w:r>
      <w:r w:rsidRPr="00145C8B">
        <w:rPr>
          <w:rFonts w:ascii="Times New Roman" w:eastAsia="SimSun" w:hAnsi="Times New Roman" w:cs="Times New Roman"/>
          <w:i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alvizsgálat</w:t>
      </w:r>
    </w:p>
    <w:p w14:paraId="5F0B332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PLATO vizsgálatban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részt vevő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285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CYP2C19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ABCB1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genotipizálása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összefüggéseket jelzett a genotípus-csoportok és a PLATO vizsgálat eredményei között. A tikagrelornak a jelentős cardiovascularis események csökkentésében mutatott, klopidogrelhez viszonyított kedvezőbb hatását nem befolyásolta jelentősen a betegek CYP2C19- vagy ABCB1-genotípusa. A PLATO vizsgálat egészéhez hasonlóan, a tikagrelor és a klopidogrel között a CYP2C19- vagy ABCB1-genotípustól függetlenül nem volt különbség a PLATO definíció szerinti összes jelentős vérzésben. A nem CABG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vel összefüggő, jelentős vérzés gyakoribb volt a tikagrelor, mint a klopidogrel esetén azoknál a betegeknél,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CYP2C19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működő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allél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hiányzott,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klopidogrelhez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hasonló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 azoknál a betegeknél, akiknél nem hiányzott működő allél.</w:t>
      </w:r>
    </w:p>
    <w:p w14:paraId="4BB5985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A2E8AD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Kombinált</w:t>
      </w:r>
      <w:r w:rsidRPr="00145C8B">
        <w:rPr>
          <w:rFonts w:ascii="Times New Roman" w:eastAsia="SimSun" w:hAnsi="Times New Roman" w:cs="Times New Roman"/>
          <w:i/>
          <w:snapToGrid w:val="0"/>
          <w:spacing w:val="-10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hatásossági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biztonságossági</w:t>
      </w:r>
      <w:r w:rsidRPr="00145C8B">
        <w:rPr>
          <w:rFonts w:ascii="Times New Roman" w:eastAsia="SimSun" w:hAnsi="Times New Roman" w:cs="Times New Roman"/>
          <w:i/>
          <w:snapToGrid w:val="0"/>
          <w:spacing w:val="-9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kompozit</w:t>
      </w:r>
    </w:p>
    <w:p w14:paraId="54C4F3DD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kombinált hatásossági és biztonságossági kompozit (cardiovascularis halálozás, MI, stroke vagy a PLATO definíció szerinti összes jelentős vérzés) azt jelzi, hogy az acut coronaria szindrómát követő 12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hónapban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tikagrelornak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klopidogrelhez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viszonyított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kedvezőbb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szüntetik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 a jelentős vérzéses események (ARR 1,4%, RRR 8%, HR 0,92; p = 0,0257).</w:t>
      </w:r>
    </w:p>
    <w:p w14:paraId="22CC35E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F3CF035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biztonságosság</w:t>
      </w:r>
    </w:p>
    <w:p w14:paraId="2FD7DC7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Holter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alvizsgálat:</w:t>
      </w:r>
    </w:p>
    <w:p w14:paraId="0730EE4A" w14:textId="107C29DD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PLATO vizsgálat alatt a ventricularis pauzák és egyéb, arrhythmiás epizódok kialakulásának vizsgálata érdekében a vizsgálatot végzők közel 3000 betegből álló alcsoport</w:t>
      </w:r>
      <w:r w:rsidR="009B4422">
        <w:rPr>
          <w:rFonts w:ascii="Times New Roman" w:eastAsia="Times New Roman" w:hAnsi="Times New Roman" w:cs="Times New Roman"/>
          <w:kern w:val="0"/>
          <w14:ligatures w14:val="none"/>
        </w:rPr>
        <w:t>nál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Holter-monitorral végeztek vizsgálatot, és közülük mintegy 2000 betegnél az acut coronaria szindróma akut fázisa alatt és utána egy hónappal is elvégezték a vizsgálatot. A vizsgált elsődleges változó a ≥ 3 másodperces ventricularis pauzák megjelenése volt. A tikagrelorral kezelt betegeknél az akut fázisban több volt a ventricularis pauza (6,0%), mint a klopidogrel-kezelés mellett (3,5%), és több volt 1 hónappal később is, a tikagrelor esetén 2,2%, a klopidogrel esetén pedig 1,6% (lásd 4.4 pont). A ventricularis pauzák gyakoribbá válása az acut coronaria szindróma akut fázisában még kifejezettebb volt azoknál a tikagrelorral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akiknek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anamnézisében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krónikus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szívelégtelenség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(9,2% vs. 5,4% azoknál a betegeknél, akiknek az anamnézisében nem volt krónikus szívelégtelenség; a klopidogrellel kezelt betegeknél pedig 4,0% az anamnézisben szereplő vs. 3,6% az anamnézisben nem szereplő krónikus szívelégtelenség). Ez a különbség nem jelentkezett 1 hónap múlva: a tikagrelort kapó betegeknél</w:t>
      </w:r>
      <w:r w:rsidRPr="00C62638" w:rsidDel="00D77CD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2,0% vs. 2,1% az anamnézisben szereplő, ill. nem szereplő krónikus szívelégtelenség esetén fennálló arány, a klopidogrelt kapó betegeknél pedig 3,8% vs.1,4%. Ennek a különbségnek azonban ebben a betegpopulációban nem volt kedvezőtlen klinikai következménye (a pacemaker beültetést is beleértve).</w:t>
      </w:r>
    </w:p>
    <w:p w14:paraId="7B323D6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516BC023" w14:textId="77777777" w:rsidR="00C62638" w:rsidRPr="00145C8B" w:rsidRDefault="00C62638" w:rsidP="00C62638">
      <w:pPr>
        <w:widowControl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PEGASUS vizsgálat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(anamnézisben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szereplő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i/>
          <w:snapToGrid w:val="0"/>
          <w:spacing w:val="-13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infarctus)</w:t>
      </w:r>
    </w:p>
    <w:p w14:paraId="2DB6DF7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PEGASUS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TIMI-54 vizsgálat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21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162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beteggel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végzett,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eseményvezérelt,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randomizált,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kettős vak,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placebokontrollos,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párhuzamos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csoportú,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nemzetközi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multicentrikus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azzal</w:t>
      </w:r>
      <w:r w:rsidRPr="00C62638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céllal, hogy felmérje az atherothromboticus események kis dózisú acetilszalicilsavval kombinált (75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150 mg), 2 dózisban adott tikagrelorral történő prevencióját (naponta kétszer 90 mg vagy naponta kétszer 60 mg), az önmagában adott acetilszalicilsavhoz képest, olyan betegeknél, akiknek a kórelőzményében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szerepel, és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atherothrombosis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további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tényezőivel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rendelkeznek.</w:t>
      </w:r>
    </w:p>
    <w:p w14:paraId="5BA7055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318578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 a betegek voltak alkalmasak a részvételre, akik 50 évesek vagy idősebbek voltak, akiknek az anamnézisében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randomizáció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1–3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évvel),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atherothrombosis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alábbi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kockázati tényezői közül legalább eggyel rendelkeztek: életkor ≥ 65 év, gyógyszeres kezelést igénylő diabetes mellitus, egy második korábbi MI, több érre terjedő koszorúér-betegség vagy krónikus, nem végstádiumú veseműködési zavar.</w:t>
      </w:r>
    </w:p>
    <w:p w14:paraId="686539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49A29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 betegek nem voltak alkalmasak a vizsgálatban való részvételre, ha P2Y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-receptor-antagonista-,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dipiridamol-,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cilosztazol-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antikoaguláns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kezelés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tervezték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náluk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időszak alatt, ha véralvadási zavaruk volt, vagy a kórelőzményükben ischaemiás stroke vagy intracranialis vérzés, központi idegrendszeri daganat vagy intracranialis vascularis rendellenesség szerepelt; ha a megelőző 6 hónapban gastrointestinalis vérzésük, vagy az előző 30 napon belül nagy műtétjük volt.</w:t>
      </w:r>
    </w:p>
    <w:p w14:paraId="39EEC3D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DC9C53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hatásosság</w:t>
      </w:r>
    </w:p>
    <w:p w14:paraId="0565E7FC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31815B21" w14:textId="77777777" w:rsidR="00C62638" w:rsidRPr="00C62638" w:rsidRDefault="00C62638" w:rsidP="00C62638">
      <w:pPr>
        <w:keepNext/>
        <w:autoSpaceDE w:val="0"/>
        <w:autoSpaceDN w:val="0"/>
        <w:spacing w:after="0" w:line="240" w:lineRule="auto"/>
        <w:ind w:left="993" w:right="2" w:hanging="993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</w:t>
      </w:r>
      <w:r w:rsidRPr="00C62638">
        <w:rPr>
          <w:rFonts w:ascii="Times New Roman" w:eastAsia="Times New Roman" w:hAnsi="Times New Roman" w:cs="Times New Roman"/>
          <w:b/>
          <w:bCs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ábra</w:t>
      </w:r>
      <w:r w:rsidRPr="00C62638">
        <w:rPr>
          <w:rFonts w:ascii="Times New Roman" w:eastAsia="Times New Roman" w:hAnsi="Times New Roman" w:cs="Times New Roman"/>
          <w:b/>
          <w:bCs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b/>
          <w:bCs/>
          <w:spacing w:val="-2"/>
          <w:kern w:val="0"/>
          <w14:ligatures w14:val="none"/>
        </w:rPr>
        <w:tab/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cardiovascularis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eredetű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halálozásból, myocardialis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infarctusból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stroke-ból</w:t>
      </w:r>
      <w:r w:rsidRPr="00C62638">
        <w:rPr>
          <w:rFonts w:ascii="Times New Roman" w:eastAsia="Times New Roman" w:hAnsi="Times New Roman" w:cs="Times New Roman"/>
          <w:b/>
          <w:bCs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álló elsődleges klinikai összetett végpont analízise (PEGASUS)</w:t>
      </w:r>
    </w:p>
    <w:p w14:paraId="4A91DDC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5F3B3BE2" wp14:editId="7E7543B6">
            <wp:extent cx="5473700" cy="3492093"/>
            <wp:effectExtent l="0" t="0" r="0" b="0"/>
            <wp:docPr id="74415052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1505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5621" cy="349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4E3A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5CE0310" w14:textId="77777777" w:rsidR="00C62638" w:rsidRPr="00145C8B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5. táblázat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–</w:t>
      </w:r>
      <w:r w:rsidRPr="00145C8B">
        <w:rPr>
          <w:rFonts w:ascii="Times New Roman" w:eastAsia="SimSun" w:hAnsi="Times New Roman" w:cs="Times New Roman"/>
          <w:b/>
          <w:snapToGrid w:val="0"/>
          <w:spacing w:val="-6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elsődleges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másodlagos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hatásossági</w:t>
      </w:r>
      <w:r w:rsidRPr="00145C8B">
        <w:rPr>
          <w:rFonts w:ascii="Times New Roman" w:eastAsia="SimSun" w:hAnsi="Times New Roman" w:cs="Times New Roman"/>
          <w:b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végpontok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analízise</w:t>
      </w:r>
      <w:r w:rsidRPr="00145C8B">
        <w:rPr>
          <w:rFonts w:ascii="Times New Roman" w:eastAsia="SimSun" w:hAnsi="Times New Roman" w:cs="Times New Roman"/>
          <w:b/>
          <w:snapToGrid w:val="0"/>
          <w:spacing w:val="-7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b/>
          <w:snapToGrid w:val="0"/>
          <w:spacing w:val="-2"/>
          <w:kern w:val="0"/>
          <w:szCs w:val="20"/>
          <w:lang w:eastAsia="zh-CN"/>
          <w14:ligatures w14:val="none"/>
        </w:rPr>
        <w:t>(PEGASUS)</w:t>
      </w:r>
    </w:p>
    <w:p w14:paraId="0B5859A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tbl>
      <w:tblPr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1262"/>
        <w:gridCol w:w="988"/>
        <w:gridCol w:w="1257"/>
        <w:gridCol w:w="1353"/>
        <w:gridCol w:w="1079"/>
        <w:gridCol w:w="1165"/>
      </w:tblGrid>
      <w:tr w:rsidR="00C62638" w:rsidRPr="00C62638" w14:paraId="2B78BF3D" w14:textId="77777777" w:rsidTr="00AF59D4">
        <w:trPr>
          <w:trHeight w:val="810"/>
        </w:trPr>
        <w:tc>
          <w:tcPr>
            <w:tcW w:w="1728" w:type="dxa"/>
            <w:tcBorders>
              <w:bottom w:val="single" w:sz="6" w:space="0" w:color="000000"/>
              <w:right w:val="single" w:sz="6" w:space="0" w:color="000000"/>
            </w:tcBorders>
          </w:tcPr>
          <w:p w14:paraId="5774112A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14:ligatures w14:val="none"/>
              </w:rPr>
            </w:pPr>
          </w:p>
        </w:tc>
        <w:tc>
          <w:tcPr>
            <w:tcW w:w="3507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36CA0" w14:textId="7352906A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07" w:right="128"/>
              <w:jc w:val="center"/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Naponta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kétszer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60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mg</w:t>
            </w:r>
            <w:r w:rsidRPr="00C62638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ti</w:t>
            </w:r>
            <w:r w:rsidR="00A9762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k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 xml:space="preserve">agrelor 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  <w:t>+ASA</w:t>
            </w:r>
          </w:p>
          <w:p w14:paraId="562AEC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07" w:right="128"/>
              <w:jc w:val="center"/>
              <w:rPr>
                <w:rFonts w:ascii="Times New Roman" w:eastAsia="Times New Roman" w:hAnsi="Times New Roman" w:cs="Times New Roman"/>
                <w:b/>
                <w:spacing w:val="-13"/>
                <w:kern w:val="0"/>
                <w:sz w:val="20"/>
                <w:lang w:val="en-US"/>
                <w14:ligatures w14:val="none"/>
              </w:rPr>
            </w:pPr>
          </w:p>
          <w:p w14:paraId="47D1E4C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07" w:right="128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13"/>
                <w:kern w:val="0"/>
                <w:sz w:val="20"/>
                <w:lang w:val="en-US"/>
                <w14:ligatures w14:val="none"/>
              </w:rPr>
              <w:t>n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=</w:t>
            </w:r>
            <w:r w:rsidRPr="00C62638">
              <w:rPr>
                <w:rFonts w:ascii="Times New Roman" w:eastAsia="Times New Roman" w:hAnsi="Times New Roman" w:cs="Times New Roman"/>
                <w:b/>
                <w:spacing w:val="-12"/>
                <w:kern w:val="0"/>
                <w:sz w:val="20"/>
                <w:lang w:val="en-US"/>
                <w14:ligatures w14:val="none"/>
              </w:rPr>
              <w:t> 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7045</w:t>
            </w:r>
          </w:p>
        </w:tc>
        <w:tc>
          <w:tcPr>
            <w:tcW w:w="243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4345D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2" w:right="14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ASA</w:t>
            </w:r>
            <w:r w:rsidRPr="00C62638">
              <w:rPr>
                <w:rFonts w:ascii="Times New Roman" w:eastAsia="Times New Roman" w:hAnsi="Times New Roman" w:cs="Times New Roman"/>
                <w:b/>
                <w:spacing w:val="-13"/>
                <w:kern w:val="0"/>
                <w:sz w:val="20"/>
                <w:lang w:val="en-US"/>
                <w14:ligatures w14:val="none"/>
              </w:rPr>
              <w:t>-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monoterápia</w:t>
            </w:r>
          </w:p>
          <w:p w14:paraId="61DC34B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2" w:right="14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</w:p>
          <w:p w14:paraId="57DFD70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2" w:right="146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n =7067</w:t>
            </w:r>
          </w:p>
        </w:tc>
        <w:tc>
          <w:tcPr>
            <w:tcW w:w="1165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49135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i/>
                <w:kern w:val="0"/>
                <w:sz w:val="20"/>
                <w:lang w:val="en-US"/>
                <w14:ligatures w14:val="none"/>
              </w:rPr>
              <w:t>p</w:t>
            </w: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-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érték</w:t>
            </w:r>
          </w:p>
        </w:tc>
      </w:tr>
      <w:tr w:rsidR="00C62638" w:rsidRPr="00C62638" w14:paraId="76FCBAFE" w14:textId="77777777" w:rsidTr="00AF59D4">
        <w:trPr>
          <w:trHeight w:val="1036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D429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Jellemző tulajdonságok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00032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Betegek akiknél esemény zajlott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6C64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KM</w:t>
            </w:r>
            <w:r w:rsidRPr="00C62638">
              <w:rPr>
                <w:rFonts w:ascii="Times New Roman" w:eastAsia="Times New Roman" w:hAnsi="Times New Roman" w:cs="Times New Roman"/>
                <w:b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10"/>
                <w:kern w:val="0"/>
                <w:sz w:val="20"/>
                <w:lang w:val="en-US"/>
                <w14:ligatures w14:val="none"/>
              </w:rPr>
              <w:t>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70EE5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6"/>
                <w:kern w:val="0"/>
                <w:sz w:val="20"/>
                <w:lang w:val="en-US"/>
                <w14:ligatures w14:val="none"/>
              </w:rPr>
              <w:t xml:space="preserve">HR </w:t>
            </w: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 xml:space="preserve">(95%-os 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  <w:t>CI)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4CFC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58" w:firstLine="2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lang w:val="en-US"/>
                <w14:ligatures w14:val="none"/>
              </w:rPr>
              <w:t>Betegek akiknél esemény zajlott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30FE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6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b/>
                <w:kern w:val="0"/>
                <w:sz w:val="20"/>
                <w:lang w:val="en-US"/>
                <w14:ligatures w14:val="none"/>
              </w:rPr>
              <w:t>KM</w:t>
            </w:r>
            <w:r w:rsidRPr="00C62638">
              <w:rPr>
                <w:rFonts w:ascii="Times New Roman" w:eastAsia="Times New Roman" w:hAnsi="Times New Roman" w:cs="Times New Roman"/>
                <w:b/>
                <w:spacing w:val="-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b/>
                <w:spacing w:val="-10"/>
                <w:kern w:val="0"/>
                <w:sz w:val="20"/>
                <w:lang w:val="en-US"/>
                <w14:ligatures w14:val="none"/>
              </w:rPr>
              <w:t>%</w:t>
            </w:r>
          </w:p>
        </w:tc>
        <w:tc>
          <w:tcPr>
            <w:tcW w:w="11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499512BD" w14:textId="77777777" w:rsidR="00C62638" w:rsidRPr="00C62638" w:rsidRDefault="00C62638" w:rsidP="00C62638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napToGrid w:val="0"/>
                <w:kern w:val="0"/>
                <w:sz w:val="2"/>
                <w:szCs w:val="2"/>
                <w:lang w:val="en-GB" w:eastAsia="zh-CN"/>
                <w14:ligatures w14:val="none"/>
              </w:rPr>
            </w:pPr>
          </w:p>
        </w:tc>
      </w:tr>
      <w:tr w:rsidR="00C62638" w:rsidRPr="00C62638" w14:paraId="56FD28F6" w14:textId="77777777" w:rsidTr="00AF59D4">
        <w:trPr>
          <w:trHeight w:val="456"/>
        </w:trPr>
        <w:tc>
          <w:tcPr>
            <w:tcW w:w="883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89E966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Elsődleges</w:t>
            </w:r>
            <w:r w:rsidRPr="00C62638">
              <w:rPr>
                <w:rFonts w:ascii="Times New Roman" w:eastAsia="Times New Roman" w:hAnsi="Times New Roman" w:cs="Times New Roman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végpont</w:t>
            </w:r>
          </w:p>
        </w:tc>
      </w:tr>
      <w:tr w:rsidR="00C62638" w:rsidRPr="00C62638" w14:paraId="1A8397FD" w14:textId="77777777" w:rsidTr="00AF59D4">
        <w:trPr>
          <w:trHeight w:val="81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5802" w14:textId="77777777" w:rsidR="00C62638" w:rsidRPr="00145C8B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 w:hanging="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14:ligatures w14:val="none"/>
              </w:rPr>
            </w:pPr>
            <w:r w:rsidRPr="00145C8B">
              <w:rPr>
                <w:rFonts w:ascii="Times New Roman" w:eastAsia="Times New Roman" w:hAnsi="Times New Roman" w:cs="Times New Roman"/>
                <w:kern w:val="0"/>
                <w:sz w:val="20"/>
                <w14:ligatures w14:val="none"/>
              </w:rPr>
              <w:t xml:space="preserve">CV eredetű </w:t>
            </w:r>
            <w:r w:rsidRPr="00145C8B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14:ligatures w14:val="none"/>
              </w:rPr>
              <w:t>halálozás/MI/stro</w:t>
            </w:r>
            <w:r w:rsidRPr="00145C8B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14:ligatures w14:val="none"/>
              </w:rPr>
              <w:t>ke összetett végpont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21B1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487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(6,9%)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7384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7,8%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792C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0,84</w:t>
            </w:r>
          </w:p>
          <w:p w14:paraId="0175B31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(0,74;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0,95)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64E71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578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 xml:space="preserve"> (8,2%)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2B78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9,0%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84858C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5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0,0043</w:t>
            </w: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lang w:val="en-US"/>
                <w14:ligatures w14:val="none"/>
              </w:rPr>
              <w:t xml:space="preserve"> (s)</w:t>
            </w:r>
          </w:p>
        </w:tc>
      </w:tr>
      <w:tr w:rsidR="00C62638" w:rsidRPr="00C62638" w14:paraId="6A31997D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6A8918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CV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 xml:space="preserve"> halálozás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A42C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174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(2,5%)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81673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2,9%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1CAC1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0,83</w:t>
            </w:r>
          </w:p>
          <w:p w14:paraId="6EAC07C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(0,68;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1,01)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464C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210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(3,0%)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B9C6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3,4%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5FD1C4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0,0676</w:t>
            </w:r>
          </w:p>
        </w:tc>
      </w:tr>
      <w:tr w:rsidR="00C62638" w:rsidRPr="00C62638" w14:paraId="74A45A15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DA533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5"/>
                <w:kern w:val="0"/>
                <w:sz w:val="20"/>
                <w:lang w:val="en-US"/>
                <w14:ligatures w14:val="none"/>
              </w:rPr>
              <w:t>MI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8042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285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(4,0%)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53B52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4,5%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416DC3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0,84</w:t>
            </w:r>
          </w:p>
          <w:p w14:paraId="261CBBC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(0,72;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0,98)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D081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338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(4,8%)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BBCF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5,2%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85DE19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0,0314</w:t>
            </w:r>
          </w:p>
        </w:tc>
      </w:tr>
      <w:tr w:rsidR="00C62638" w:rsidRPr="00C62638" w14:paraId="05AC81BB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0DD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Stroke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F08D8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 xml:space="preserve">91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(1,3%)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20F0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1,5%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6F547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0,75</w:t>
            </w:r>
          </w:p>
          <w:p w14:paraId="51EC830D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(0,57;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0,98)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C76E4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122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(1,7%)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9FB9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1,9%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CD6C0B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0,0337</w:t>
            </w:r>
          </w:p>
        </w:tc>
      </w:tr>
      <w:tr w:rsidR="00C62638" w:rsidRPr="00C62638" w14:paraId="12C70EEC" w14:textId="77777777" w:rsidTr="00AF59D4">
        <w:trPr>
          <w:trHeight w:val="444"/>
        </w:trPr>
        <w:tc>
          <w:tcPr>
            <w:tcW w:w="8832" w:type="dxa"/>
            <w:gridSpan w:val="7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5F9949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Másodlagos</w:t>
            </w:r>
            <w:r w:rsidRPr="00C62638">
              <w:rPr>
                <w:rFonts w:ascii="Times New Roman" w:eastAsia="Times New Roman" w:hAnsi="Times New Roman" w:cs="Times New Roman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végpont</w:t>
            </w:r>
          </w:p>
        </w:tc>
      </w:tr>
      <w:tr w:rsidR="00C62638" w:rsidRPr="00C62638" w14:paraId="2A4F4EC2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943CF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CV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 xml:space="preserve"> halálozás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F2AEC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174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(2,5%)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28289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2,9%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A90A76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5" w:right="12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0,83</w:t>
            </w:r>
          </w:p>
          <w:p w14:paraId="120304CC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(0,68;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1,01)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BB4DE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210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(3,0%)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6695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3,4%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3F2F28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–</w:t>
            </w:r>
          </w:p>
        </w:tc>
      </w:tr>
      <w:tr w:rsidR="00C62638" w:rsidRPr="00C62638" w14:paraId="7E7E6BD0" w14:textId="77777777" w:rsidTr="00AF59D4">
        <w:trPr>
          <w:trHeight w:val="580"/>
        </w:trPr>
        <w:tc>
          <w:tcPr>
            <w:tcW w:w="1728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3F8D2BE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Összmortalitás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5DA75C5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67" w:right="153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289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(4,1%)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8E4BE2A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7" w:right="166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4,7%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A60228F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45" w:right="122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0,89</w:t>
            </w:r>
          </w:p>
          <w:p w14:paraId="251A7E80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(0,76;</w:t>
            </w:r>
            <w:r w:rsidRPr="00C62638">
              <w:rPr>
                <w:rFonts w:ascii="Times New Roman" w:eastAsia="Times New Roman" w:hAnsi="Times New Roman" w:cs="Times New Roman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1,04)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473B0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12" w:right="199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326</w:t>
            </w:r>
            <w:r w:rsidRPr="00C62638">
              <w:rPr>
                <w:rFonts w:ascii="Times New Roman" w:eastAsia="Times New Roman" w:hAnsi="Times New Roman" w:cs="Times New Roman"/>
                <w:spacing w:val="-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C6263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  <w:t>(4,6%)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558E3F9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226" w:right="215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lang w:val="en-US"/>
                <w14:ligatures w14:val="none"/>
              </w:rPr>
              <w:t>5,2%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1E2EA50B" w14:textId="77777777" w:rsidR="00C62638" w:rsidRPr="00C62638" w:rsidRDefault="00C62638" w:rsidP="00C62638">
            <w:pPr>
              <w:widowControl w:val="0"/>
              <w:autoSpaceDE w:val="0"/>
              <w:autoSpaceDN w:val="0"/>
              <w:spacing w:after="0" w:line="240" w:lineRule="auto"/>
              <w:ind w:left="172" w:right="149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lang w:val="en-US"/>
                <w14:ligatures w14:val="none"/>
              </w:rPr>
            </w:pPr>
            <w:r w:rsidRPr="00C62638">
              <w:rPr>
                <w:rFonts w:ascii="Times New Roman" w:eastAsia="Times New Roman" w:hAnsi="Times New Roman" w:cs="Times New Roman"/>
                <w:kern w:val="0"/>
                <w:sz w:val="20"/>
                <w:lang w:val="en-US"/>
                <w14:ligatures w14:val="none"/>
              </w:rPr>
              <w:t>–</w:t>
            </w:r>
          </w:p>
        </w:tc>
      </w:tr>
    </w:tbl>
    <w:p w14:paraId="52FAFC14" w14:textId="77777777" w:rsidR="00C62638" w:rsidRPr="00145C8B" w:rsidRDefault="00C62638" w:rsidP="00C62638">
      <w:pPr>
        <w:keepNext/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kockázati arányt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 w:val="18"/>
          <w:szCs w:val="20"/>
          <w:lang w:eastAsia="zh-CN"/>
          <w14:ligatures w14:val="none"/>
        </w:rPr>
        <w:t>p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-értékeket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tikagrelor vs.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acetilszalicilsav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>-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monoterápia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esetén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Cox-féle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arányos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hazárd modellből került külön-külön számításra, úgy, hogy a terápiás csoport volt az egyetlen, feltáró jellegű változó.</w:t>
      </w:r>
    </w:p>
    <w:p w14:paraId="01A56C4D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KM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százalékarány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36.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 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hónapban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került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kiszámításra.</w:t>
      </w:r>
    </w:p>
    <w:p w14:paraId="42388211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Megjegyzés: a cardiovascularis eredetű halálozás, MI és stroke összetevők esetén az első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események száma minden egyes összetevő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esetén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első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aktuális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száma,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nem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adódik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hozzá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az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összetett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végpontban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lévő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események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számához.</w:t>
      </w:r>
    </w:p>
    <w:p w14:paraId="0CE29395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(s)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Statisztikai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szignifikanciát</w:t>
      </w:r>
      <w:r w:rsidRPr="00145C8B">
        <w:rPr>
          <w:rFonts w:ascii="Times New Roman" w:eastAsia="SimSun" w:hAnsi="Times New Roman" w:cs="Times New Roman"/>
          <w:snapToGrid w:val="0"/>
          <w:spacing w:val="-4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>jelez.</w:t>
      </w:r>
    </w:p>
    <w:p w14:paraId="6B446C0E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snapToGrid w:val="0"/>
          <w:kern w:val="0"/>
          <w:sz w:val="2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CI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konfidencia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intervallum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CV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cardiovascularis;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HR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relatív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hazárd;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KM =</w:t>
      </w:r>
      <w:r w:rsidRPr="00145C8B">
        <w:rPr>
          <w:rFonts w:ascii="Times New Roman" w:eastAsia="SimSun" w:hAnsi="Times New Roman" w:cs="Times New Roman"/>
          <w:snapToGrid w:val="0"/>
          <w:spacing w:val="-5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Kaplan–Meier;</w:t>
      </w:r>
      <w:r w:rsidRPr="00145C8B">
        <w:rPr>
          <w:rFonts w:ascii="Times New Roman" w:eastAsia="SimSun" w:hAnsi="Times New Roman" w:cs="Times New Roman"/>
          <w:snapToGrid w:val="0"/>
          <w:spacing w:val="-2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MI</w:t>
      </w:r>
      <w:r w:rsidRPr="00145C8B">
        <w:rPr>
          <w:rFonts w:ascii="Times New Roman" w:eastAsia="SimSun" w:hAnsi="Times New Roman" w:cs="Times New Roman"/>
          <w:snapToGrid w:val="0"/>
          <w:spacing w:val="-6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=</w:t>
      </w:r>
      <w:r w:rsidRPr="00145C8B">
        <w:rPr>
          <w:rFonts w:ascii="Times New Roman" w:eastAsia="SimSun" w:hAnsi="Times New Roman" w:cs="Times New Roman"/>
          <w:snapToGrid w:val="0"/>
          <w:spacing w:val="-1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myocardialis</w:t>
      </w:r>
      <w:r w:rsidRPr="00145C8B">
        <w:rPr>
          <w:rFonts w:ascii="Times New Roman" w:eastAsia="SimSun" w:hAnsi="Times New Roman" w:cs="Times New Roman"/>
          <w:snapToGrid w:val="0"/>
          <w:spacing w:val="-3"/>
          <w:kern w:val="0"/>
          <w:sz w:val="18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snapToGrid w:val="0"/>
          <w:kern w:val="0"/>
          <w:sz w:val="18"/>
          <w:szCs w:val="20"/>
          <w:lang w:eastAsia="zh-CN"/>
          <w14:ligatures w14:val="none"/>
        </w:rPr>
        <w:t>infarctus; n = betegek száma</w:t>
      </w:r>
      <w:r w:rsidRPr="00145C8B">
        <w:rPr>
          <w:rFonts w:ascii="Times New Roman" w:eastAsia="SimSun" w:hAnsi="Times New Roman" w:cs="Times New Roman"/>
          <w:snapToGrid w:val="0"/>
          <w:kern w:val="0"/>
          <w:sz w:val="20"/>
          <w:szCs w:val="20"/>
          <w:lang w:eastAsia="zh-CN"/>
          <w14:ligatures w14:val="none"/>
        </w:rPr>
        <w:t>.</w:t>
      </w:r>
    </w:p>
    <w:p w14:paraId="3AF2466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B82C34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 a naponta kétszer 60 mg-os, mind a naponta kétszer 90 mg-os, acetilszalicilsavval kombinált tikagrelor adagolási rend jobb volt az atherothromboticus események megelőzésében, mint a monoterápiában adott acetilszalicilsav (összetett végpont: cardiovascularis eredetű halálozás, MI és stroke),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konzisztens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mutatott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teljes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vizsgálati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időszak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alatt,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16%-os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relatív kockázatcsökkenést (RRR) és 1,27%-os abszolút kockázatcsökkenést (ARR) eredményezett a 60 mg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tikagrelor-kezelés,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valamint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15%-os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RRR-t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1,19%-os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ARR-t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eredményezett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tikagrelor-kezelés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esetén.</w:t>
      </w:r>
    </w:p>
    <w:p w14:paraId="628AD5B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365DD9" w14:textId="2D9D4A24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Noha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90 mg-os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60 mg-os tikagrelor-dózis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hatásossági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profilja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hasonló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bizonyíték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arra,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hogy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alacsonyabb dózis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tolerabilitása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vérzéses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dyspnoéra vonatkozó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profilja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jobb. Ezért azoknál a betegeknél, akiknek az anamnézisében MI szerepel, és magas náluk az atherothromboticus események kialakulásának a kockázata, az atherothromboticus események (cardiovascularis eredetű halálozás, MI és stroke) megelőzésére csak az acetilszalicilsavval együtt adott, naponta kétszer 60 mg </w:t>
      </w:r>
      <w:r w:rsidR="0053658F">
        <w:rPr>
          <w:rFonts w:ascii="Times New Roman" w:eastAsia="Times New Roman" w:hAnsi="Times New Roman" w:cs="Times New Roman"/>
          <w:kern w:val="0"/>
          <w14:ligatures w14:val="none"/>
        </w:rPr>
        <w:t>Krusaxyl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javasolt.</w:t>
      </w:r>
    </w:p>
    <w:p w14:paraId="57BB0B6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B213E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önmagában adott acetilszalicilsavhoz képest a naponta kétszer 60 mg tikagrelor jelentősen csökkentette a cardiovascularis eredetű halálozás, MI és stroke elsődleges összetett végpontot. Az összes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összetevő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hozzájárult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elsődleges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összetett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csökkenéséhez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(cardiovascularis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eredetű halálozás 17% RRR, MI 16% RRR és stroke 25% RRR).</w:t>
      </w:r>
    </w:p>
    <w:p w14:paraId="73B2D52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EA7BDD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összetett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végpontra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vonatkozó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relatív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kockázatcsökkenés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1–360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nap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között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(17%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RRR), valamint a 361. napot követően (16% RRR) hasonló volt. A tikagrelor hatásosságára és biztonságosságára vonatkozóan korlátozott mennyiségű adat áll rendelkezésre a 3 éven túli, kiterjesztett kezeléssel kapcsolatosan.</w:t>
      </w:r>
    </w:p>
    <w:p w14:paraId="7429B89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9B657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Klinikailag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stabil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után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éven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túl,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vagy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évvel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korábbi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ADP-receptor-inhibitor-kezelés befejezése után történő, naponta kétszer 60 mg tikagrelor-kezelés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bevezetésének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előnyére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 volt bizonyíték (nem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csökkenés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cardiovascularis eredetű halálozás, MI és stroke elsődleges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összetett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végpontban, míg növekedés volt a jelentős vérzés esetében) (lásd még 4.2 pont).</w:t>
      </w:r>
    </w:p>
    <w:p w14:paraId="0791C80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EB37700" w14:textId="77777777" w:rsidR="00C62638" w:rsidRPr="00145C8B" w:rsidRDefault="00C62638" w:rsidP="00C62638">
      <w:pPr>
        <w:widowControl w:val="0"/>
        <w:spacing w:after="0" w:line="240" w:lineRule="auto"/>
        <w:ind w:right="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  <w:t>Klinikai</w:t>
      </w:r>
      <w:r w:rsidRPr="00145C8B">
        <w:rPr>
          <w:rFonts w:ascii="Times New Roman" w:eastAsia="SimSun" w:hAnsi="Times New Roman" w:cs="Times New Roman"/>
          <w:i/>
          <w:snapToGrid w:val="0"/>
          <w:spacing w:val="-8"/>
          <w:kern w:val="0"/>
          <w:szCs w:val="20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lang w:eastAsia="zh-CN"/>
          <w14:ligatures w14:val="none"/>
        </w:rPr>
        <w:t>biztonságosság</w:t>
      </w:r>
    </w:p>
    <w:p w14:paraId="45E93FA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naponta kétszer adott 60 mg tikagrelor-kezelés során a kezelés vérzés és dyspnoe következtében történő abbahagyásának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aránya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≥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(42%),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fiatalabb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 (23–31%),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placebohoz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viszonyítva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az arányok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10%-nál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nagyobb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eltérést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(42% vs. 29%) mutattak a ≥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75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éves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>.</w:t>
      </w:r>
    </w:p>
    <w:p w14:paraId="203AA41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04B593F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Gyermekek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serdülők</w:t>
      </w:r>
    </w:p>
    <w:p w14:paraId="44FB535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randomizált,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kettős vak,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párhuzamos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csoportos,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III-as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fázisú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(HESTIA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3)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vizsgálatba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193 gyermek- és serdülőkorú (2 évestől betöltött 18 éves korig), sarlósejtes vérszegénységben szenvedő beteget randomizáltak, akik vagy placebót vagy a testtömegüktől függően, napi kétszer 15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45 mg dózistartományban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kaptak.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dinamikus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egyensúlyi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állapotban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bevétele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előtt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35%-os, 2 órával a dózis bevétele után pedig 56%-os thrombocytagátlást eredményezett 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(medián értékek)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8B9D353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ED0E5E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vaso-okkluzív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krízis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előfordulása tekintetében,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tikagrelornak</w:t>
      </w:r>
      <w:r w:rsidRPr="00C62638">
        <w:rPr>
          <w:rFonts w:ascii="Times New Roman" w:eastAsia="Times New Roman" w:hAnsi="Times New Roman" w:cs="Times New Roman"/>
          <w:spacing w:val="-1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terápiás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előnye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placebóhoz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képest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.</w:t>
      </w:r>
    </w:p>
    <w:p w14:paraId="204CDF5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40204F51" w14:textId="77777777" w:rsidR="00C62638" w:rsidRPr="00C62638" w:rsidRDefault="00C62638" w:rsidP="00C62638">
      <w:pPr>
        <w:keepNext/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Európai Gyógyszerügynökség gyermekek és serdülők esetén minden korosztálynál eltekint a tikagrelor-tartalmú referenciakészítmény vizsgálati eredményeinek benyújtási kötelezettségétől acut coronaria szindrómában, és ha az anamnézisben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myocardialis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infarctus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(MI)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szerepelt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(lásd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4.2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pont, gyermekgyógyászati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alkalmazásra vonatkozó információk).</w:t>
      </w:r>
    </w:p>
    <w:p w14:paraId="328F99F0" w14:textId="77777777" w:rsidR="00C62638" w:rsidRPr="00C62638" w:rsidRDefault="00C62638" w:rsidP="00C62638">
      <w:pPr>
        <w:widowControl w:val="0"/>
        <w:spacing w:after="0" w:line="240" w:lineRule="auto"/>
        <w:ind w:right="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A1158EA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>5.2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ab/>
        <w:t>Farmakokinetikai tulajdonságok</w:t>
      </w:r>
    </w:p>
    <w:p w14:paraId="168CE2DA" w14:textId="77777777" w:rsidR="00C62638" w:rsidRPr="00C62638" w:rsidRDefault="00C62638" w:rsidP="00C62638">
      <w:pPr>
        <w:widowControl w:val="0"/>
        <w:spacing w:after="0" w:line="240" w:lineRule="auto"/>
        <w:ind w:right="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35E77081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lineáris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farmakokinetikát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mutat,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tikagrelor, valamint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(AR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noBreakHyphen/>
        <w:t>C124910XX) expozíciója 1260 mg-ig megközelítőleg a dózissal arányosak.</w:t>
      </w:r>
    </w:p>
    <w:p w14:paraId="0AD3DE42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7D0231D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Felszívódás</w:t>
      </w:r>
    </w:p>
    <w:p w14:paraId="583ED0D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felszívódása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gyors,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medián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kb. 1,5 óra.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fő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keringő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metabolit,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AR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C124910XX (szintén aktív) tikagrelorból történő képződése gyors, a medián t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</w:t>
      </w:r>
      <w:r w:rsidRPr="00C62638">
        <w:rPr>
          <w:rFonts w:ascii="Times New Roman" w:eastAsia="Times New Roman" w:hAnsi="Times New Roman" w:cs="Times New Roman"/>
          <w:spacing w:val="32"/>
          <w:kern w:val="0"/>
          <w:sz w:val="14"/>
          <w14:ligatures w14:val="none"/>
        </w:rPr>
        <w:t>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-érték kb. 2,5 óra. Egyetlen 90 mg-os tikagrelor dózis egészséges alanyoknak, éhgyomorra történő, </w:t>
      </w:r>
      <w:r w:rsidRPr="00C62638">
        <w:rPr>
          <w:rFonts w:ascii="Times New Roman" w:eastAsia="Times New Roman" w:hAnsi="Times New Roman" w:cs="Times New Roman"/>
          <w:i/>
          <w:kern w:val="0"/>
          <w:position w:val="2"/>
          <w14:ligatures w14:val="none"/>
        </w:rPr>
        <w:t xml:space="preserve">per os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adását követően 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23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értéke 529 ng/ml, az AUC értéke pedig 3451 ng × óra/ml. A metabolit/anyavegyület arány 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31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mellett 0,28, az AUC esetén pedig 0,42. A tikagrelor és az AR-C124910XX farmakokinetikai tulajdonságai azoknál a betegeknél, akiknek az anamnézisében MI szerepel, általánosságban az acut coronaria szindrómás populációéhoz hasonló volt. A PEGASUS vizsgálat populációs farmakokinetikai analízise alapján dinamikus egyensúlyi állapotban a medián C</w:t>
      </w:r>
      <w:r w:rsidRPr="00C62638">
        <w:rPr>
          <w:rFonts w:ascii="Times New Roman" w:eastAsia="Times New Roman" w:hAnsi="Times New Roman" w:cs="Times New Roman"/>
          <w:kern w:val="0"/>
          <w:position w:val="2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391 ng/ml, az AUC pedig 3801 ng × óra/ml volt 60 mg tikagrelor alkalmazása esetén. Dinamikus egyensúlyi állapotban a C</w:t>
      </w:r>
      <w:r w:rsidRPr="00C62638">
        <w:rPr>
          <w:rFonts w:ascii="Times New Roman" w:eastAsia="Times New Roman" w:hAnsi="Times New Roman" w:cs="Times New Roman"/>
          <w:kern w:val="0"/>
          <w:position w:val="2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627 ng/ml, az AUC pedig 6255 ng × óra/ml volt 90 mg tikagrelor alkalmazása esetén.</w:t>
      </w:r>
    </w:p>
    <w:p w14:paraId="7CDF53F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1EA55F4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tikagrelor átlagos abszolút biohasznosulását 36%-osnak becsülték. Magas zsírtartalmú étel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fogyasztása a tikagrelor AUC-értékének 21%-os növekedését, és az aktív metabolit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-értékének 22%-os csökkenését idézte elő, de nem befolyásolta a tikagrelor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 vagy az aktív metabolit AUC-értékét. Ezeknek a kis változásoknak a klinikai jelentőségét minimálisnak tekintik, ezért a tikagrelor étkezés közben vagy attól függetlenül is adható. A tikagrelor és az aktív metabolit is P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gp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szubsztrát.</w:t>
      </w:r>
    </w:p>
    <w:p w14:paraId="49462A3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23CF96D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Az összetört, vízzel elkevert tabletta formájában szájon át beadott, vagy nazogasztrikus szondán keresztül a gyomorba juttatott tikagrelor biohasznosulása a tikagrelor és az aktív metabolit AUC- és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-értékét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tekintve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egészben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alkalmazott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tablettákéhoz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hasonló.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összetört,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vízzel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elkevert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tikagrelor-tabletták kezdeti expozíciója (0,5 és 1 órával a dózis beadása után) magasabb volt, mint az egészben alkalmazott tablettáké; ezt követően (2–48 óra elteltével) általánosságban azonos koncentrációs profilt mutatott.</w:t>
      </w:r>
    </w:p>
    <w:p w14:paraId="6DDA9BC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638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9734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Eloszlás</w:t>
      </w:r>
    </w:p>
    <w:p w14:paraId="21B8969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dinamikus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egyensúlyi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megoszlási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térfogata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87,5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liter.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és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nagymértékben kötődik a human plazmaproteinhez (&gt; 99,0%).</w:t>
      </w:r>
    </w:p>
    <w:p w14:paraId="41769B7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35FD7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Biotranszformáció</w:t>
      </w:r>
    </w:p>
    <w:p w14:paraId="7848A52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CYP3A4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metabolizmusáért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kialakulásáért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felelős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fő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enzim,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 más, CYP3A-szubsztrátokkal való interakciójuk az aktiváción át az inhibícióig terjed.</w:t>
      </w:r>
    </w:p>
    <w:p w14:paraId="15F49F9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9A1B6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 fő</w:t>
      </w:r>
      <w:r w:rsidRPr="00C62638">
        <w:rPr>
          <w:rFonts w:ascii="Times New Roman" w:eastAsia="Times New Roman" w:hAnsi="Times New Roman" w:cs="Times New Roman"/>
          <w:spacing w:val="-1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metabolitja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AR-C124910XX,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ami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thrombocyta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P2Y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12</w:t>
      </w:r>
      <w:r w:rsidRPr="00C62638">
        <w:rPr>
          <w:rFonts w:ascii="Times New Roman" w:eastAsia="Times New Roman" w:hAnsi="Times New Roman" w:cs="Times New Roman"/>
          <w:spacing w:val="20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ADP-receptorához</w:t>
      </w:r>
      <w:r w:rsidRPr="00C62638">
        <w:rPr>
          <w:rFonts w:ascii="Times New Roman" w:eastAsia="Times New Roman" w:hAnsi="Times New Roman" w:cs="Times New Roman"/>
          <w:spacing w:val="-5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történő </w:t>
      </w:r>
      <w:r w:rsidRPr="00C62638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in vitro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kötődés mérése alapján szintén aktív. Az aktív metabolit szisztémás expozíciója a tikagrelor esetén elért expozíció megközelítőleg a 30–40%-a.</w:t>
      </w:r>
    </w:p>
    <w:p w14:paraId="071ADC5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700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2C83FB3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Elimináció</w:t>
      </w:r>
    </w:p>
    <w:p w14:paraId="5E48CE8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tikagrelor eliminációjának elsődleges útvonala a hepaticus metabolizmus. Radioaktív izotóppal jelölt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adásakor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átlagosan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visszanyerhető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radioaktivitás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mintegy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84%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(57,8%-a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székletből, 26,5%-a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vizeletből).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vizeletből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visszanyerhető tikagrelor és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egyaránt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kevesebb,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mint a dózis 1%-a. Az aktív metabolit eliminációjának elsődleges útvonala legnagyobb valószínűséggel a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biliaris szekréció. Az átlagos t</w:t>
      </w:r>
      <w:r w:rsidRPr="00C62638">
        <w:rPr>
          <w:rFonts w:ascii="Times New Roman" w:eastAsia="Times New Roman" w:hAnsi="Times New Roman" w:cs="Times New Roman"/>
          <w:kern w:val="0"/>
          <w:sz w:val="14"/>
          <w:vertAlign w:val="subscript"/>
          <w14:ligatures w14:val="none"/>
        </w:rPr>
        <w:t>1/2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 a tikagrelor esetén mintegy 7 óra, és az aktív metabolit esetén pedig kb. 8,5 óra volt.</w:t>
      </w:r>
    </w:p>
    <w:p w14:paraId="2A29278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DE4F3F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Különleges</w:t>
      </w:r>
      <w:r w:rsidRPr="00C62638">
        <w:rPr>
          <w:rFonts w:ascii="Times New Roman" w:eastAsia="Times New Roman" w:hAnsi="Times New Roman" w:cs="Times New Roman"/>
          <w:spacing w:val="-8"/>
          <w:kern w:val="0"/>
          <w:u w:val="single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spacing w:val="-2"/>
          <w:kern w:val="0"/>
          <w:u w:val="single"/>
          <w14:ligatures w14:val="none"/>
        </w:rPr>
        <w:t>betegcsoportok</w:t>
      </w:r>
    </w:p>
    <w:p w14:paraId="7692D842" w14:textId="77777777" w:rsidR="00C62638" w:rsidRPr="00C62638" w:rsidRDefault="00C62638" w:rsidP="007E1C5F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5"/>
          <w14:ligatures w14:val="none"/>
        </w:rPr>
      </w:pPr>
    </w:p>
    <w:p w14:paraId="7A7F5AE7" w14:textId="77777777" w:rsidR="00C62638" w:rsidRPr="00145C8B" w:rsidRDefault="00C62638" w:rsidP="007E1C5F">
      <w:pPr>
        <w:keepNext/>
        <w:spacing w:after="0" w:line="240" w:lineRule="auto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Idős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ek</w:t>
      </w:r>
    </w:p>
    <w:p w14:paraId="02CF44BC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A populációs farmakokinetikai analízisek során idős (≥ 75 év), acut coronaria szindrómás betegeknél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magasabb expozíciót észleltek mind a tikagrelor (a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27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és az AUC esetén is egyaránt kb. 25%-kal),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mind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pedig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esetén,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fiatalabb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betegeknél. Ezeket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különbségeket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tartják klinikailag jelentősnek (lásd 4.2 pont).</w:t>
      </w:r>
    </w:p>
    <w:p w14:paraId="648C9AA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1"/>
          <w14:ligatures w14:val="none"/>
        </w:rPr>
      </w:pPr>
    </w:p>
    <w:p w14:paraId="011658B6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Gyermekek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>és</w:t>
      </w:r>
      <w:r w:rsidRPr="00145C8B">
        <w:rPr>
          <w:rFonts w:ascii="Times New Roman" w:eastAsia="SimSun" w:hAnsi="Times New Roman" w:cs="Times New Roman"/>
          <w:i/>
          <w:snapToGrid w:val="0"/>
          <w:spacing w:val="-4"/>
          <w:kern w:val="0"/>
          <w:szCs w:val="20"/>
          <w:u w:val="single"/>
          <w:lang w:eastAsia="zh-CN"/>
          <w14:ligatures w14:val="none"/>
        </w:rPr>
        <w:t xml:space="preserve">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serdülők</w:t>
      </w:r>
    </w:p>
    <w:p w14:paraId="5155E647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Sarlósejtes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vérszegénységben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 gyermekeknél korlátozott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mennyiségű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adat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rendelkezésre (lásd 4.2 és 5.1 pont).</w:t>
      </w:r>
    </w:p>
    <w:p w14:paraId="6770196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528C0B31" w14:textId="4C67C611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HESTIA 3 vizsgálatban 2 évestől betöltött 18 éves korig vettek részt betegek, akik testtömege ≥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12 kg–≤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24 kg,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&gt; 24 kg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–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≤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48 kg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 &gt; 48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kg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volt, 15 mg-os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szájban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diszpergálódó, gyermekeknek való tabletta formájában kaptak ti</w:t>
      </w:r>
      <w:r w:rsidR="00AF1962">
        <w:rPr>
          <w:rFonts w:ascii="Times New Roman" w:eastAsia="Times New Roman" w:hAnsi="Times New Roman" w:cs="Times New Roman"/>
          <w:kern w:val="0"/>
          <w14:ligatures w14:val="none"/>
        </w:rPr>
        <w:t>k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agrelort, 15 mg, 30 mg és 45 mg dózisban naponta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kétszer. 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populációs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farmakokinetikai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analízis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alapján,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dinamikus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egyensúlyi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állapotban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 átlagos AUC-érték 1095 ng ×óra/ml és 1458 ng×óra/ml tartományban, a C</w:t>
      </w:r>
      <w:r w:rsidRPr="00C62638"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-érték 143 ng/ml és 206 ng/ml tartományban változott.</w:t>
      </w:r>
    </w:p>
    <w:p w14:paraId="6196312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59E8F458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5"/>
          <w:kern w:val="0"/>
          <w:szCs w:val="20"/>
          <w:u w:val="single"/>
          <w:lang w:eastAsia="zh-CN"/>
          <w14:ligatures w14:val="none"/>
        </w:rPr>
        <w:t>Nem</w:t>
      </w:r>
    </w:p>
    <w:p w14:paraId="58F2B6DF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Nőknél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magasabb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tikagrelor-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metabolit-expozíciót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észleltek,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férfiaknál.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különbségeket nem tartják klinikailag jelentősnek.</w:t>
      </w:r>
    </w:p>
    <w:p w14:paraId="725E803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69E42C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val="en-GB" w:eastAsia="zh-CN"/>
          <w14:ligatures w14:val="none"/>
        </w:rPr>
        <w:t>Vesekárosodás</w:t>
      </w:r>
    </w:p>
    <w:p w14:paraId="2F63415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8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expozíciója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megközelítőleg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20%-kal</w:t>
      </w:r>
      <w:r w:rsidRPr="00C62638">
        <w:rPr>
          <w:rFonts w:ascii="Times New Roman" w:eastAsia="Times New Roman" w:hAnsi="Times New Roman" w:cs="Times New Roman"/>
          <w:spacing w:val="-6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alacsonyabb,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</w:t>
      </w:r>
      <w:r w:rsidRPr="00C62638">
        <w:rPr>
          <w:rFonts w:ascii="Times New Roman" w:eastAsia="Times New Roman" w:hAnsi="Times New Roman" w:cs="Times New Roman"/>
          <w:spacing w:val="-7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aktív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metabolit expozíciója pedig megközelítőleg 17%-kal magasabb volt a súlyos fokú vesekárosodásban szenvedő betegeknél (kreatinin-clearance &lt; 30 ml/perc), mint az egészséges veseműködésűeknél.</w:t>
      </w:r>
    </w:p>
    <w:p w14:paraId="0DCE0916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3F551A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Azoknál 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hemodialízis-kezelésben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részesülő,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végstádiumú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vesebetegségben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betegeknél,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akiknek a dialízismentes napon 90 mg tikagrelort adtak, az AUC- és a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-értékük 38%-kal és 51%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noBreakHyphen/>
        <w:t>kal magasabb volt, a normális veseműködésű alanyokhoz képest. Az expozíció hasonló növekedését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figyelték meg, amikor a tikagrelort közvetlenül a dialízis-kezelés előtt adták (49% és 61%), azt mutatva, hogy a tikagrelor nem dializálható. Az aktív metabolit expozíciója kisebb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mértékben emelkedett (AUC 13–14% és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32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 xml:space="preserve">17–36%). A tikagrelor thrombocytaaggregáció-gátló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(inhibition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of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platelet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aggregation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– IPA)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hatása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végstádiumú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vesebetegségben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szenvedő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betegeknél független volt a dialízis-kezeléstől, és hasonló volt a normális veseműködésű alanyokéhoz (lásd 4.2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7CB0A48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170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A5BAD2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Májkárosodás</w:t>
      </w:r>
    </w:p>
    <w:p w14:paraId="33FCDF0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 tikagrelor 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-értéke 12%-kal, AUC-értéke 23%-kal volt magasabb az enyhe fokú májkárosodásban szenvedő betegeknél, mint a nekik megfelelő, de egészséges egyéneknél, ugyanakkor a tikagrelor IPA-hatása a két csoport esetén hasonló volt. Az enyhe fokú májkárosodásban szenvedő betegeknél a dózis módosítása nem szükséges. A tikagrelort súlyos fokú májkárosodásban szenvedő betegeknél nem vizsgálták, és a közepes fokú májkárosodásban szenvedő betegeknél nincs farmakokinetikai információ. Azoknál a betegeknél, akiknél a vizsgálat megkezdésekor egy vagy több májfunkciós vizsgálati eredmény közepes vagy súlyos mértékben megemelkedett, a tikagrelor-plazmakoncentráció átlagosan hasonló vagy kissé magasabb volt, mint azoknál, akiknél a kiindulási értékek nem voltak emelkedettek. A közepes fokú májkárosodásban szenvedő betegek esetén nem javasolt a dózis módosítása (lásd 4.2 és 4.4 pont).</w:t>
      </w:r>
    </w:p>
    <w:p w14:paraId="070520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sz w:val="23"/>
          <w14:ligatures w14:val="none"/>
        </w:rPr>
      </w:pPr>
    </w:p>
    <w:p w14:paraId="6ABAE737" w14:textId="77777777" w:rsidR="00C62638" w:rsidRPr="00145C8B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i/>
          <w:snapToGrid w:val="0"/>
          <w:kern w:val="0"/>
          <w:szCs w:val="20"/>
          <w:u w:val="single"/>
          <w:lang w:eastAsia="zh-CN"/>
          <w14:ligatures w14:val="none"/>
        </w:rPr>
        <w:t xml:space="preserve">Etnikai </w:t>
      </w:r>
      <w:r w:rsidRPr="00145C8B">
        <w:rPr>
          <w:rFonts w:ascii="Times New Roman" w:eastAsia="SimSun" w:hAnsi="Times New Roman" w:cs="Times New Roman"/>
          <w:i/>
          <w:snapToGrid w:val="0"/>
          <w:spacing w:val="-2"/>
          <w:kern w:val="0"/>
          <w:szCs w:val="20"/>
          <w:u w:val="single"/>
          <w:lang w:eastAsia="zh-CN"/>
          <w14:ligatures w14:val="none"/>
        </w:rPr>
        <w:t>hovatartozás</w:t>
      </w:r>
    </w:p>
    <w:p w14:paraId="1F452A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:position w:val="2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Ázsiai eredetű betegeknél az átlagos biohasznosulás 39%-kal magasabb, mint a kaukázusi betegeknél. A magukat fekete bőrűnek mondó betegeknél a tikagrelor biohasznosulása 18%-kal alacsonyabb volt,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mint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kaukázusi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betegeknél.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Klinikai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farmakológiai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vizsgálatokban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1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tikagrelor-expozíció</w:t>
      </w:r>
      <w:r w:rsidRPr="00C62638">
        <w:rPr>
          <w:rFonts w:ascii="Times New Roman" w:eastAsia="Times New Roman" w:hAnsi="Times New Roman" w:cs="Times New Roman"/>
          <w:spacing w:val="-2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(C</w:t>
      </w:r>
      <w:r w:rsidRPr="00C62638">
        <w:rPr>
          <w:rFonts w:ascii="Times New Roman" w:eastAsia="Times New Roman" w:hAnsi="Times New Roman" w:cs="Times New Roman"/>
          <w:kern w:val="0"/>
          <w:sz w:val="14"/>
          <w14:ligatures w14:val="none"/>
        </w:rPr>
        <w:t>max</w:t>
      </w:r>
      <w:r w:rsidRPr="00C62638">
        <w:rPr>
          <w:rFonts w:ascii="Times New Roman" w:eastAsia="Times New Roman" w:hAnsi="Times New Roman" w:cs="Times New Roman"/>
          <w:spacing w:val="21"/>
          <w:kern w:val="0"/>
          <w:sz w:val="14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és AUC)</w:t>
      </w:r>
      <w:r w:rsidRPr="00C62638">
        <w:rPr>
          <w:rFonts w:ascii="Times New Roman" w:eastAsia="Times New Roman" w:hAnsi="Times New Roman" w:cs="Times New Roman"/>
          <w:spacing w:val="-4"/>
          <w:kern w:val="0"/>
          <w:position w:val="2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:position w:val="2"/>
          <w14:ligatures w14:val="none"/>
        </w:rPr>
        <w:t>japán személyeknél mintegy 40%-kal (testtömegre történő korrekciót követően 20%-kal) magasabb volt, mint a kaukázusiaknál. A saját magukat spanyolajkúnak vagy latinamerikainak azonosító betegeknél az expozíció hasonló volt, mint a kaukázusiaknál.</w:t>
      </w:r>
    </w:p>
    <w:p w14:paraId="3B7A9F8C" w14:textId="77777777" w:rsidR="00C62638" w:rsidRPr="00C62638" w:rsidRDefault="00C62638" w:rsidP="00C62638">
      <w:pPr>
        <w:widowControl w:val="0"/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i/>
          <w:noProof/>
          <w:snapToGrid w:val="0"/>
          <w:kern w:val="0"/>
          <w:szCs w:val="24"/>
          <w:lang w:eastAsia="zh-CN"/>
          <w14:ligatures w14:val="none"/>
        </w:rPr>
      </w:pPr>
    </w:p>
    <w:p w14:paraId="6A479DEA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5.3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preklinikai biztonságossági vizsgálatok eredményei</w:t>
      </w:r>
    </w:p>
    <w:p w14:paraId="588214F7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116B2458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9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hagyományos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farmakológiai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biztonságossági,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egyszeri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ismételt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adagolású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dózistoxicitási és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 xml:space="preserve">genotoxicitási vizsgálatokból származó, a tikagrelorral és annak fő metabolitjával kapcsolatos nem klinikai jellegű adatok azt igazolták, hogy </w:t>
      </w: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a készítmény alkalmazásakor humán vonatkozásban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mellékhatások elfogadhatatlan</w:t>
      </w: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kockázata nem várható.</w:t>
      </w:r>
    </w:p>
    <w:p w14:paraId="565E0AE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D6007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Több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állatfajnál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klinikailag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relaváns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expozíciós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szintek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mellett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gastrointestinalis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irritációt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figyeltek meg (lásd 4.8 pont).</w:t>
      </w:r>
    </w:p>
    <w:p w14:paraId="5CDC8AF4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3CB95A0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Nőstény patkányoknál a tikagrelor nagy dózisban a méhdaganatok (adenocarcinomák) és a májadenomák magasabb előfordulási gyakoriságát mutatta. A méhdaganatok kialakulásának mechanizmusa valószínűleg a hormonális egyensúly felborulása, ami patkányoknál tumorok kialakulásához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vezethet.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májadenomák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kialakulási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mechanizmusa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valószínűleg</w:t>
      </w:r>
      <w:r w:rsidRPr="00C62638">
        <w:rPr>
          <w:rFonts w:ascii="Times New Roman" w:eastAsia="Times New Roman" w:hAnsi="Times New Roman" w:cs="Times New Roman"/>
          <w:spacing w:val="-4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egy,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májban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lévő, a rágcsálókra jellemző enzim indukciója. Ezért a karcinogenitási eredmények emberek esetében valószínűleg irrelevánsnak tekinthetők.</w:t>
      </w:r>
    </w:p>
    <w:p w14:paraId="0437CC95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B01F1B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Patkányoknál anyai toxicitást okozó dózisok mellett (5,1-es biztonságossági határ) kismértékű fejlődési anomáliákat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észleltek.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Nyulaknál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anyai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nem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okozó,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magas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dózisok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mellett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magzatoknál</w:t>
      </w:r>
      <w:r w:rsidRPr="00C62638">
        <w:rPr>
          <w:rFonts w:ascii="Times New Roman" w:eastAsia="Times New Roman" w:hAnsi="Times New Roman" w:cs="Times New Roman"/>
          <w:spacing w:val="-3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 máj érésének és a csontváz fejlődésének kisfokú késését észlelték (4,5-es biztonságossági határ).</w:t>
      </w:r>
    </w:p>
    <w:p w14:paraId="5EA64ABD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8E1F49" w14:textId="77777777" w:rsidR="00C62638" w:rsidRPr="00C62638" w:rsidRDefault="00C62638" w:rsidP="00C62638">
      <w:pPr>
        <w:widowControl w:val="0"/>
        <w:autoSpaceDE w:val="0"/>
        <w:autoSpaceDN w:val="0"/>
        <w:spacing w:after="0" w:line="240" w:lineRule="auto"/>
        <w:ind w:right="-2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Patkányokkal és nyulakkal végzett vizsgálatok az anyai testtömeg-növekedés enyhe csökkenésével, valamint a neonatális életképesség és a születési súly csökkenésével, és lassabb növekedéssel járó reprodukciós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toxicitást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mutattak.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tikagrelor nőstény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patkányoknál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szabálytalan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(elsősorban megnyúlt) ciklusokat</w:t>
      </w:r>
      <w:r w:rsidRPr="00C62638">
        <w:rPr>
          <w:rFonts w:ascii="Times New Roman" w:eastAsia="Times New Roman" w:hAnsi="Times New Roman" w:cs="Times New Roman"/>
          <w:spacing w:val="-5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idézett elő, de összességében nem befolyásolta a hím és a nőstény patkányok fertilitását. A radioaktív izotóppal jelölt tikagrelorral végzett farmakokinetikai vizsgálatok azt mutatták, hogy az anyavegyület és annak metabolitjai</w:t>
      </w:r>
      <w:r w:rsidRPr="00C62638">
        <w:rPr>
          <w:rFonts w:ascii="Times New Roman" w:eastAsia="Times New Roman" w:hAnsi="Times New Roman" w:cs="Times New Roman"/>
          <w:spacing w:val="-1"/>
          <w:kern w:val="0"/>
          <w14:ligatures w14:val="none"/>
        </w:rPr>
        <w:t xml:space="preserve"> </w:t>
      </w:r>
      <w:r w:rsidRPr="00C62638">
        <w:rPr>
          <w:rFonts w:ascii="Times New Roman" w:eastAsia="Times New Roman" w:hAnsi="Times New Roman" w:cs="Times New Roman"/>
          <w:kern w:val="0"/>
          <w14:ligatures w14:val="none"/>
        </w:rPr>
        <w:t>patkányoknál kiválasztódnak az anyatejbe (lásd 4.6</w:t>
      </w:r>
      <w:r w:rsidRPr="00C62638">
        <w:rPr>
          <w:rFonts w:ascii="Times New Roman" w:eastAsia="Times New Roman" w:hAnsi="Times New Roman" w:cs="Times New Roman"/>
          <w:spacing w:val="4"/>
          <w:kern w:val="0"/>
          <w14:ligatures w14:val="none"/>
        </w:rPr>
        <w:t> </w:t>
      </w:r>
      <w:r w:rsidRPr="00C62638">
        <w:rPr>
          <w:rFonts w:ascii="Times New Roman" w:eastAsia="Times New Roman" w:hAnsi="Times New Roman" w:cs="Times New Roman"/>
          <w:spacing w:val="-2"/>
          <w:kern w:val="0"/>
          <w14:ligatures w14:val="none"/>
        </w:rPr>
        <w:t>pont).</w:t>
      </w:r>
    </w:p>
    <w:p w14:paraId="6352F933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12F16E3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68DB186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GYÓGYSZERÉSZETI JELLEMZŐK</w:t>
      </w:r>
    </w:p>
    <w:p w14:paraId="04E017DC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23FFF80C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6.1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Segédanyagok felsorolása</w:t>
      </w:r>
    </w:p>
    <w:p w14:paraId="2DDBA380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E1C4448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:u w:val="single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:u w:val="single"/>
          <w14:ligatures w14:val="none"/>
        </w:rPr>
        <w:t>Tablettamag</w:t>
      </w:r>
    </w:p>
    <w:p w14:paraId="7D7475BD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14:ligatures w14:val="none"/>
        </w:rPr>
        <w:t xml:space="preserve">mannit </w:t>
      </w:r>
      <w:r w:rsidRPr="00C62638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(E421)</w:t>
      </w:r>
    </w:p>
    <w:p w14:paraId="77D5CFF7" w14:textId="77777777" w:rsidR="00C62638" w:rsidRPr="00145C8B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alacsony</w:t>
      </w:r>
      <w:r w:rsidRPr="00145C8B">
        <w:rPr>
          <w:rFonts w:ascii="Times New Roman" w:eastAsia="SimSun" w:hAnsi="Times New Roman" w:cs="Times New Roman"/>
          <w:bCs/>
          <w:snapToGrid w:val="0"/>
          <w:kern w:val="0"/>
          <w:szCs w:val="20"/>
          <w:lang w:val="de-DE" w:eastAsia="zh-CN"/>
          <w14:ligatures w14:val="none"/>
        </w:rPr>
        <w:t xml:space="preserve"> szubsztitúciós fokú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hidroxipropilcellulóz</w:t>
      </w:r>
    </w:p>
    <w:p w14:paraId="60981DC1" w14:textId="77777777" w:rsidR="00C62638" w:rsidRPr="00145C8B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kalcium-hidrogén-foszfát-dihidrát</w:t>
      </w:r>
    </w:p>
    <w:p w14:paraId="46BA6C06" w14:textId="77777777" w:rsidR="00C62638" w:rsidRPr="00145C8B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C62638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magnézium-sztearát </w:t>
      </w: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(E470b)</w:t>
      </w:r>
    </w:p>
    <w:p w14:paraId="78CF0622" w14:textId="77777777" w:rsidR="00C62638" w:rsidRPr="00C62638" w:rsidRDefault="00C62638" w:rsidP="00C62638">
      <w:pPr>
        <w:widowControl w:val="0"/>
        <w:autoSpaceDE w:val="0"/>
        <w:autoSpaceDN w:val="0"/>
        <w:adjustRightInd w:val="0"/>
        <w:spacing w:after="0" w:line="240" w:lineRule="auto"/>
        <w:ind w:right="1700"/>
        <w:rPr>
          <w:rFonts w:ascii="Times New Roman" w:eastAsia="TimesNewRoman" w:hAnsi="Times New Roman" w:cs="Times New Roman"/>
          <w:b/>
          <w:snapToGrid w:val="0"/>
          <w:color w:val="00000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  <w:t>szilícium-dioxid-tartalmú hidroxipropilcellulóz (E463)</w:t>
      </w:r>
    </w:p>
    <w:p w14:paraId="392B2C08" w14:textId="77777777" w:rsidR="00C62638" w:rsidRPr="00C62638" w:rsidRDefault="00C62638" w:rsidP="00C62638">
      <w:pPr>
        <w:widowControl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44F51D" w14:textId="77777777" w:rsidR="00C62638" w:rsidRPr="00C62638" w:rsidRDefault="00C62638" w:rsidP="00C62638">
      <w:pPr>
        <w:widowControl w:val="0"/>
        <w:spacing w:after="0" w:line="240" w:lineRule="auto"/>
        <w:ind w:right="1700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Filmbevonat</w:t>
      </w:r>
    </w:p>
    <w:p w14:paraId="187C3AF2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hipromellóz</w:t>
      </w:r>
      <w:r w:rsidRPr="00C62638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 xml:space="preserve"> 2910 (E464)</w:t>
      </w:r>
    </w:p>
    <w:p w14:paraId="70EE0E7B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titán-dioxid (E171)</w:t>
      </w:r>
    </w:p>
    <w:p w14:paraId="77AE8A34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makrogol 400 (E1521)</w:t>
      </w:r>
    </w:p>
    <w:p w14:paraId="7DF8E11A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talkum (E553b)</w:t>
      </w:r>
    </w:p>
    <w:p w14:paraId="4FE09828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de-DE"/>
          <w14:ligatures w14:val="none"/>
        </w:rPr>
      </w:pPr>
      <w:r w:rsidRPr="00145C8B">
        <w:rPr>
          <w:rFonts w:ascii="Times New Roman" w:eastAsia="Times New Roman" w:hAnsi="Times New Roman" w:cs="Times New Roman"/>
          <w:kern w:val="0"/>
          <w:lang w:val="de-DE"/>
          <w14:ligatures w14:val="none"/>
        </w:rPr>
        <w:t>vörös vas-oxid (E172) (csak a 60 mg-os filmtablettában)</w:t>
      </w:r>
    </w:p>
    <w:p w14:paraId="763A1E27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sárga vas-oxid (E172)</w:t>
      </w:r>
    </w:p>
    <w:p w14:paraId="2EA3C664" w14:textId="77777777" w:rsidR="00C62638" w:rsidRPr="00C62638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1700"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C62638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fekete vas-oxid (E172) (csak a 60 mg-os filmtablettában)</w:t>
      </w:r>
    </w:p>
    <w:p w14:paraId="5BFEA67F" w14:textId="77777777" w:rsidR="00C62638" w:rsidRPr="00C62638" w:rsidRDefault="00C62638" w:rsidP="00C62638">
      <w:pPr>
        <w:widowControl w:val="0"/>
        <w:spacing w:after="0" w:line="240" w:lineRule="auto"/>
        <w:ind w:right="170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3462A81" w14:textId="77777777" w:rsidR="00C62638" w:rsidRPr="00C62638" w:rsidRDefault="00C62638" w:rsidP="00C62638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6.2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Inkompatibilitások</w:t>
      </w:r>
    </w:p>
    <w:p w14:paraId="45D984EF" w14:textId="77777777" w:rsidR="00C62638" w:rsidRPr="00C62638" w:rsidRDefault="00C62638" w:rsidP="00C62638">
      <w:pPr>
        <w:keepNext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4CD9825" w14:textId="77777777" w:rsidR="00C62638" w:rsidRPr="00145C8B" w:rsidRDefault="00C62638" w:rsidP="00C62638">
      <w:pPr>
        <w:widowControl w:val="0"/>
        <w:kinsoku w:val="0"/>
        <w:overflowPunct w:val="0"/>
        <w:autoSpaceDE w:val="0"/>
        <w:autoSpaceDN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Nem értelmezhető.</w:t>
      </w:r>
    </w:p>
    <w:p w14:paraId="1E529CAF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</w:p>
    <w:p w14:paraId="6251A5DC" w14:textId="77777777" w:rsidR="00C62638" w:rsidRPr="00C62638" w:rsidRDefault="00C62638" w:rsidP="007E1C5F">
      <w:pPr>
        <w:keepNext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6.3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Felhasználhatósági időtartam</w:t>
      </w:r>
    </w:p>
    <w:p w14:paraId="7154E347" w14:textId="77777777" w:rsidR="00C62638" w:rsidRPr="00C62638" w:rsidRDefault="00C62638" w:rsidP="007E1C5F">
      <w:pPr>
        <w:keepNext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0A00C62" w14:textId="74546A2D" w:rsidR="00C62638" w:rsidRPr="00C62638" w:rsidRDefault="00F943C5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  <w:t>4</w:t>
      </w:r>
      <w:r w:rsidR="00C62638"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 év</w:t>
      </w:r>
    </w:p>
    <w:p w14:paraId="7707F386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0716596A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6.4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tárolási előírások</w:t>
      </w:r>
    </w:p>
    <w:p w14:paraId="7F70E330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8C8A4AC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 a gyógyszer nem igényel különleges tárolást.</w:t>
      </w:r>
    </w:p>
    <w:p w14:paraId="34621441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1AFDD2D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6.5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Csomagolás típusa és kiszerelése </w:t>
      </w:r>
    </w:p>
    <w:p w14:paraId="42C4DFD7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5CC0271" w14:textId="106BACDB" w:rsidR="00C62638" w:rsidRPr="00145C8B" w:rsidRDefault="0053658F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Krusaxyl</w:t>
      </w:r>
      <w:r w:rsidR="00C62638" w:rsidRPr="00145C8B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 xml:space="preserve"> 60 mg filmtabletta</w:t>
      </w:r>
    </w:p>
    <w:p w14:paraId="431090D4" w14:textId="52B45688" w:rsidR="00F81D51" w:rsidRPr="00487590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color w:val="000000"/>
          <w:kern w:val="0"/>
          <w14:ligatures w14:val="none"/>
        </w:rPr>
      </w:pP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60</w:t>
      </w:r>
      <w:r w:rsidRPr="00487590">
        <w:rPr>
          <w:rFonts w:ascii="Times New Roman" w:eastAsia="TimesNewRoman" w:hAnsi="Times New Roman" w:cs="Times New Roman"/>
          <w:color w:val="000000"/>
          <w:kern w:val="0"/>
          <w14:ligatures w14:val="none"/>
        </w:rPr>
        <w:t xml:space="preserve"> db vagy 180 db filmtabletta </w:t>
      </w:r>
      <w:r w:rsidRPr="00487590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PVC/PVDC//Al buborékcsomagolás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 xml:space="preserve">ban </w:t>
      </w: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 xml:space="preserve">nap és hold </w:t>
      </w:r>
      <w:r>
        <w:rPr>
          <w:rFonts w:ascii="Times New Roman" w:eastAsia="Times New Roman" w:hAnsi="Times New Roman" w:cs="Times New Roman"/>
          <w:kern w:val="0"/>
          <w14:ligatures w14:val="none"/>
        </w:rPr>
        <w:t>szimbólum</w:t>
      </w:r>
      <w:r w:rsidR="00F777B7">
        <w:rPr>
          <w:rFonts w:ascii="Times New Roman" w:eastAsia="Times New Roman" w:hAnsi="Times New Roman" w:cs="Times New Roman"/>
          <w:kern w:val="0"/>
          <w14:ligatures w14:val="none"/>
        </w:rPr>
        <w:t>okkal ellátva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>dobozban.</w:t>
      </w:r>
    </w:p>
    <w:p w14:paraId="6D90E825" w14:textId="210BE28E" w:rsidR="00F81D51" w:rsidRPr="00DA5AE4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14 db, 56 db vagy 168 db filmtabletta PVC/PVDC//Al </w:t>
      </w:r>
      <w:r w:rsidR="004151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naptárjelzéses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buborékcsomagolásban 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(nap és hold szimbólum</w:t>
      </w:r>
      <w:r w:rsidR="00F777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okkal ellátva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)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6B26D4C4" w14:textId="77777777" w:rsidR="00F81D51" w:rsidRPr="00DA5AE4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14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db, 56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db, 60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db, 168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 vagy 180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×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</w:t>
      </w: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 db filmtabletta adagonként perforált PVC/PVDC//Al buborékcsomagolásban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6A6EFA20" w14:textId="77777777" w:rsidR="00C62638" w:rsidRPr="00145C8B" w:rsidRDefault="00C62638" w:rsidP="00C62638">
      <w:pPr>
        <w:tabs>
          <w:tab w:val="left" w:pos="567"/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</w:p>
    <w:p w14:paraId="3E7E8327" w14:textId="75DB0569" w:rsidR="00C62638" w:rsidRPr="00C62638" w:rsidRDefault="0053658F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u w:val="single"/>
          <w:lang w:val="en-US"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u w:val="single"/>
          <w:lang w:val="en-US" w:eastAsia="zh-CN"/>
          <w14:ligatures w14:val="none"/>
        </w:rPr>
        <w:t>Krusaxyl</w:t>
      </w:r>
      <w:r w:rsidR="00C62638" w:rsidRPr="00C62638">
        <w:rPr>
          <w:rFonts w:ascii="Times New Roman" w:eastAsia="SimSun" w:hAnsi="Times New Roman" w:cs="Times New Roman"/>
          <w:snapToGrid w:val="0"/>
          <w:kern w:val="0"/>
          <w:u w:val="single"/>
          <w:lang w:val="en-US" w:eastAsia="zh-CN"/>
          <w14:ligatures w14:val="none"/>
        </w:rPr>
        <w:t xml:space="preserve"> 90 mg filmtabletta</w:t>
      </w:r>
    </w:p>
    <w:p w14:paraId="6D7A4034" w14:textId="5FFF19B5" w:rsidR="00F81D51" w:rsidRPr="00487590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color w:val="000000"/>
          <w:kern w:val="0"/>
          <w14:ligatures w14:val="none"/>
        </w:rPr>
      </w:pPr>
      <w:r w:rsidRPr="00487590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60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 db, 100 db vagy 180 db filmtabletta PVC/PVDC//Al buborékcsomagolásban </w:t>
      </w: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 xml:space="preserve">nap és hold </w:t>
      </w:r>
      <w:r>
        <w:rPr>
          <w:rFonts w:ascii="Times New Roman" w:eastAsia="Times New Roman" w:hAnsi="Times New Roman" w:cs="Times New Roman"/>
          <w:kern w:val="0"/>
          <w14:ligatures w14:val="none"/>
        </w:rPr>
        <w:t>szimbólu</w:t>
      </w:r>
      <w:r w:rsidR="00F777B7">
        <w:rPr>
          <w:rFonts w:ascii="Times New Roman" w:eastAsia="Times New Roman" w:hAnsi="Times New Roman" w:cs="Times New Roman"/>
          <w:kern w:val="0"/>
          <w14:ligatures w14:val="none"/>
        </w:rPr>
        <w:t>mokkal ellátva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  <w:r w:rsidRPr="00487590">
        <w:rPr>
          <w:rFonts w:ascii="Times New Roman" w:eastAsia="Times New Roman" w:hAnsi="Times New Roman" w:cs="Times New Roman"/>
          <w:kern w:val="0"/>
          <w14:ligatures w14:val="none"/>
        </w:rPr>
        <w:t>dobozban.</w:t>
      </w:r>
    </w:p>
    <w:p w14:paraId="7C4C9E44" w14:textId="43A68BA8" w:rsidR="00F81D51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14 db, 56 db vagy 168 db filmtabletta PVC/PVDC//Al </w:t>
      </w:r>
      <w:r w:rsidR="004151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naptárjelzéses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buborékcsomagolásban 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(nap és hold szimbólum</w:t>
      </w:r>
      <w:r w:rsidR="00F777B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okkal ellátva</w:t>
      </w:r>
      <w:r w:rsidRPr="00DF4DF7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)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DA5AE4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7D4A317B" w14:textId="5F1C4B5B" w:rsidR="00F81D51" w:rsidRPr="00F81D51" w:rsidRDefault="00F81D51" w:rsidP="00F81D51">
      <w:pPr>
        <w:widowControl w:val="0"/>
        <w:numPr>
          <w:ilvl w:val="0"/>
          <w:numId w:val="12"/>
        </w:numPr>
        <w:tabs>
          <w:tab w:val="left" w:pos="2694"/>
          <w:tab w:val="left" w:pos="3969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</w:pPr>
      <w:r w:rsidRPr="00F81D51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14 × 1 db, 56 × 1 db, 60 × 1 db,</w:t>
      </w:r>
      <w:r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 </w:t>
      </w:r>
      <w:r w:rsidRPr="00F81D51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100 ×1 db,168 × 1 db vagy 180 × 1 db filmtabletta adagonként perforált PVC/PVDC//Al buborékcsomagolásban</w:t>
      </w:r>
      <w:r w:rsidR="00AE31E8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 xml:space="preserve">, </w:t>
      </w:r>
      <w:r w:rsidRPr="00F81D51">
        <w:rPr>
          <w:rFonts w:ascii="Times New Roman" w:eastAsia="TimesNewRoma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dobozban.</w:t>
      </w:r>
    </w:p>
    <w:p w14:paraId="6407F569" w14:textId="77777777" w:rsidR="00C62638" w:rsidRPr="00145C8B" w:rsidRDefault="00C62638" w:rsidP="00C62638">
      <w:pPr>
        <w:widowControl w:val="0"/>
        <w:spacing w:after="0" w:line="240" w:lineRule="auto"/>
        <w:ind w:right="-2"/>
        <w:jc w:val="both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05EB794" w14:textId="77777777" w:rsidR="00C62638" w:rsidRPr="00145C8B" w:rsidRDefault="00C62638" w:rsidP="00C62638">
      <w:pPr>
        <w:widowControl w:val="0"/>
        <w:spacing w:after="0" w:line="240" w:lineRule="auto"/>
        <w:ind w:right="-2"/>
        <w:jc w:val="both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145C8B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Nem feltétlenül mindegyik kiszerelés kerül kereskedelmi forgalomba.</w:t>
      </w:r>
    </w:p>
    <w:p w14:paraId="6CB57AF6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093B132D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6.6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megsemmisítésre vonatkozó különleges óvintézkedések</w:t>
      </w:r>
    </w:p>
    <w:p w14:paraId="3A5B56BA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D1AEBF2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Azoknak a betegeknek, akik nem tudják a tablettá(ka)t egészben lenyelni, a tabletták finom porrá törhetők, és fél pohár vízben elkeverve azonnal megihatók. A poharat további fél pohár vízzel ki kell öblíteni, és a pohár tartalmát meg kell inni. A finom porrá zúzott és fél pohár vízben elkevert tabletták (CH8 vagy nagyobb átmérőjű) nazogasztrikus szondán át is beadhatók. Fontos, hogy a keverék beadása után a nazogasztrikus csövet vízzel át kell öblíteni.</w:t>
      </w:r>
    </w:p>
    <w:p w14:paraId="6CDA7C9A" w14:textId="77777777" w:rsidR="00C62638" w:rsidRPr="00C62638" w:rsidRDefault="00C62638" w:rsidP="00C62638">
      <w:pPr>
        <w:widowControl w:val="0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4EB0A0C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Bármilyen fel nem használt gyógyszer, illetve hulladékanyag megsemmisítését a gyógyszerekre vonatkozó előírások szerint kell végrehajtani.</w:t>
      </w:r>
    </w:p>
    <w:p w14:paraId="17ED29A1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093AC6BA" w14:textId="77777777" w:rsidR="009B4422" w:rsidRPr="00145C8B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Megjegyzés</w:t>
      </w:r>
      <w:r w:rsidRPr="009B4422">
        <w:rPr>
          <w:rFonts w:ascii="Times New Roman" w:eastAsia="Times New Roman" w:hAnsi="Times New Roman" w:cs="Times New Roman"/>
          <w:noProof/>
          <w:kern w:val="0"/>
          <w14:ligatures w14:val="none"/>
        </w:rPr>
        <w:t>:</w:t>
      </w:r>
      <w:r w:rsidRPr="009B4422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 xml:space="preserve"> </w:t>
      </w:r>
      <w:r w:rsidRPr="009B4422">
        <w:rPr>
          <w:rFonts w:ascii="Times New Roman" w:eastAsia="Times New Roman" w:hAnsi="Times New Roman" w:cs="Times New Roman"/>
          <w:noProof/>
          <w:kern w:val="0"/>
          <w:lang w:val="en-GB"/>
          <w14:ligatures w14:val="none"/>
        </w:rPr>
        <w:sym w:font="Wingdings" w:char="F058"/>
      </w:r>
      <w:r w:rsidRPr="00145C8B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(egy keresztes)</w:t>
      </w:r>
    </w:p>
    <w:p w14:paraId="2EE68D73" w14:textId="77777777" w:rsidR="009B4422" w:rsidRPr="009B4422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Osztályozás: II./1. csoport</w:t>
      </w:r>
    </w:p>
    <w:p w14:paraId="5DCD35A0" w14:textId="77777777" w:rsidR="009B4422" w:rsidRPr="009B4422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9B4422">
        <w:rPr>
          <w:rFonts w:ascii="Times New Roman" w:eastAsia="Times New Roman" w:hAnsi="Times New Roman" w:cs="Times New Roman"/>
          <w:noProof/>
          <w:kern w:val="0"/>
          <w14:ligatures w14:val="none"/>
        </w:rPr>
        <w:t>Korlátozott érvényű orvosi rendelvényhez kötött, szakorvosi/kórházi diagnózist követő járóbeteg-ellátásban alkalmazható gyógyszer (J).</w:t>
      </w:r>
    </w:p>
    <w:p w14:paraId="248F3034" w14:textId="77777777" w:rsidR="009B4422" w:rsidRPr="009B4422" w:rsidRDefault="009B4422" w:rsidP="009B4422">
      <w:pPr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70C3518A" w14:textId="77777777" w:rsidR="009B4422" w:rsidRPr="00C62638" w:rsidRDefault="009B4422" w:rsidP="00C62638">
      <w:pPr>
        <w:widowControl w:val="0"/>
        <w:spacing w:after="0" w:line="240" w:lineRule="auto"/>
        <w:ind w:right="-2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6A442086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7.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JOGOSULTJA</w:t>
      </w:r>
    </w:p>
    <w:p w14:paraId="52A0A9DE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8A1952B" w14:textId="77777777" w:rsidR="00C62638" w:rsidRPr="00C62638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MSN Labs Europe Limited</w:t>
      </w:r>
    </w:p>
    <w:p w14:paraId="69E4858F" w14:textId="77777777" w:rsidR="00C62638" w:rsidRPr="00C62638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KW20A, Corradino Park</w:t>
      </w:r>
    </w:p>
    <w:p w14:paraId="7EE4B15C" w14:textId="77777777" w:rsidR="00C62638" w:rsidRPr="00C62638" w:rsidRDefault="00C62638" w:rsidP="00C62638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Paola PLA 3000</w:t>
      </w:r>
    </w:p>
    <w:p w14:paraId="267524A3" w14:textId="77777777" w:rsidR="00C62638" w:rsidRPr="00C62638" w:rsidRDefault="00C62638" w:rsidP="00C62638">
      <w:pPr>
        <w:widowControl w:val="0"/>
        <w:spacing w:after="0" w:line="240" w:lineRule="auto"/>
        <w:ind w:right="1700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  <w:t>Málta</w:t>
      </w:r>
    </w:p>
    <w:p w14:paraId="770B51C2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84C89CC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7B4F1692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8.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SZÁMA(I)</w:t>
      </w:r>
    </w:p>
    <w:p w14:paraId="2421D979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4B71BB78" w14:textId="2B1DEEEB" w:rsidR="00AF59D4" w:rsidRPr="003D067C" w:rsidRDefault="0053658F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Krusaxyl</w:t>
      </w:r>
      <w:r w:rsidR="00AF59D4" w:rsidRPr="003D067C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 60 mg filmtabletta</w:t>
      </w:r>
    </w:p>
    <w:p w14:paraId="6531CA46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229DDE9" w14:textId="6BC83B03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OGYI-T-24458/01           14×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naptárje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lzéses buborékcsomagolásban</w:t>
      </w:r>
    </w:p>
    <w:p w14:paraId="5B32FE7F" w14:textId="1AC9ED5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OGYI-T-24458/02           56×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elzéses buborékcsomagolásban</w:t>
      </w:r>
    </w:p>
    <w:p w14:paraId="4E5A3995" w14:textId="36A3C3CC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OGYI-T-24458/03           60×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765FF519" w14:textId="29B993CD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OGYI-T-24458/04           168×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naptárje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lzéses buborékcsomagolásban</w:t>
      </w:r>
    </w:p>
    <w:p w14:paraId="5A4AB678" w14:textId="3B642587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OGYI-T-24458/05           180×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7F46F321" w14:textId="26CE633E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OGYI-T-24458/06           14×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      PVC/PVDC//Al adagonként 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perforált buborékcsomagolásban</w:t>
      </w:r>
    </w:p>
    <w:p w14:paraId="5FEA3B83" w14:textId="10C70031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</w:t>
      </w:r>
      <w:r w:rsidR="00ED68DA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24458/07           56×</w:t>
      </w: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perforált buborékcsomagolásban</w:t>
      </w:r>
    </w:p>
    <w:p w14:paraId="37F9FA9D" w14:textId="366365A5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OGYI-T-24458/08           60</w:t>
      </w:r>
      <w:r w:rsidR="00D51138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×</w:t>
      </w:r>
      <w:r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perforált buborékcsomagolásban</w:t>
      </w:r>
    </w:p>
    <w:p w14:paraId="0C1033B4" w14:textId="37070789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OGYI-T-24458/09           168×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perforált buborékcsomagolásban</w:t>
      </w:r>
    </w:p>
    <w:p w14:paraId="649C2B9F" w14:textId="5E15038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OGYI-T-24458/10           180×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56426B8C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D24AC35" w14:textId="78DD4541" w:rsidR="00AF59D4" w:rsidRPr="003D067C" w:rsidRDefault="0053658F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>Krusaxyl</w:t>
      </w:r>
      <w:r w:rsidR="00AF59D4" w:rsidRPr="003D067C">
        <w:rPr>
          <w:rFonts w:ascii="Times New Roman" w:eastAsia="SimSun" w:hAnsi="Times New Roman" w:cs="Times New Roman"/>
          <w:snapToGrid w:val="0"/>
          <w:kern w:val="0"/>
          <w:szCs w:val="20"/>
          <w:u w:val="single"/>
          <w:lang w:eastAsia="zh-CN"/>
          <w14:ligatures w14:val="none"/>
        </w:rPr>
        <w:t xml:space="preserve"> 90 mg filmtabletta</w:t>
      </w:r>
    </w:p>
    <w:p w14:paraId="12EF38A3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E5C6E59" w14:textId="41EDBBE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OGYI-T-24458/11           14×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naptárje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lzéses buborékcsomagolásban</w:t>
      </w:r>
    </w:p>
    <w:p w14:paraId="3B0241D2" w14:textId="2D4B9F6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OGYI-T-24458/12           56×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naptárjelzéses buborékcsomag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olásban</w:t>
      </w:r>
    </w:p>
    <w:p w14:paraId="60A3E7EF" w14:textId="0237577A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OGYI-T-24458/13           60×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0B05A314" w14:textId="32A674EC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OGYI-T-24458/14           100×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724DF547" w14:textId="4EB718D8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OGYI-T-24458/15           168×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naptárjelzéses buborékc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somagolásban</w:t>
      </w:r>
    </w:p>
    <w:p w14:paraId="33C79BC8" w14:textId="32455B49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OGYI-T-24458/16           180×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     PVC/PVDC//Al bubo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rékcsomagolásban</w:t>
      </w:r>
    </w:p>
    <w:p w14:paraId="0BB00C38" w14:textId="0344D526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OGYI-T-24458/17           14×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7BD17B89" w14:textId="0AFBD459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OGYI-T-24458/18           56×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      PVC/PVDC//Al adagonként perforált 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buborékcsomagolásban</w:t>
      </w:r>
    </w:p>
    <w:p w14:paraId="2E7D23A4" w14:textId="48F07DA1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OGYI-T-24458/19           60×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11CD2193" w14:textId="1BA17A22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OGYI-T-24458/20           100×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erforált buborékcsomagolásban</w:t>
      </w:r>
    </w:p>
    <w:p w14:paraId="058DB376" w14:textId="17C30638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OGYI-T-24458/21           168×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    PVC/PVDC//Al adagonként 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perforált buborékcsomagolásban</w:t>
      </w:r>
    </w:p>
    <w:p w14:paraId="282A6C0B" w14:textId="27B866ED" w:rsidR="00AF59D4" w:rsidRPr="00AF59D4" w:rsidRDefault="00ED68DA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OGYI-T-24458/22           180×</w:t>
      </w:r>
      <w:r w:rsidR="00AF59D4" w:rsidRPr="00AF59D4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1    PVC/PVDC//Al adagonként perforált bubor</w:t>
      </w:r>
      <w:r w:rsidR="003D067C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ékcsomagolásban</w:t>
      </w:r>
    </w:p>
    <w:p w14:paraId="7E7FA1FB" w14:textId="77777777" w:rsidR="00AF59D4" w:rsidRPr="00AF59D4" w:rsidRDefault="00AF59D4" w:rsidP="00AF59D4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8DAA722" w14:textId="77777777" w:rsidR="00AF59D4" w:rsidRPr="00AF59D4" w:rsidRDefault="00AF59D4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05780B7" w14:textId="77777777" w:rsidR="00C62638" w:rsidRPr="00C62638" w:rsidRDefault="00C62638" w:rsidP="007E1C5F">
      <w:pPr>
        <w:keepNext/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9.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ELSŐ KIADÁSÁNAK/ MEGÚJÍTÁSÁNAK</w:t>
      </w:r>
      <w:r w:rsidRPr="00C62638"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  <w:t xml:space="preserve"> DÁTUMA</w:t>
      </w:r>
    </w:p>
    <w:p w14:paraId="47F1BBFB" w14:textId="77777777" w:rsidR="00C62638" w:rsidRPr="00C62638" w:rsidRDefault="00C62638" w:rsidP="007E1C5F">
      <w:pPr>
        <w:keepNext/>
        <w:spacing w:after="0" w:line="240" w:lineRule="auto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FC55B4F" w14:textId="10502791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Times New Roman" w:hAnsi="Times New Roman" w:cs="Times New Roman"/>
          <w:noProof/>
          <w:kern w:val="0"/>
          <w14:ligatures w14:val="none"/>
        </w:rPr>
        <w:t>A forgalomba hozatali engedély első kiadásának dátuma:</w:t>
      </w:r>
      <w:r w:rsidR="00AF59D4"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 2024. szeptember 27.</w:t>
      </w:r>
    </w:p>
    <w:p w14:paraId="714CB858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748EF39" w14:textId="77777777" w:rsidR="00C62638" w:rsidRPr="00C62638" w:rsidRDefault="00C62638" w:rsidP="00C62638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40E1CDF" w14:textId="77777777" w:rsidR="00C62638" w:rsidRP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10.</w:t>
      </w:r>
      <w:r w:rsidRPr="00C62638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SZÖVEG ELLENŐRZÉSÉNEK DÁTUMA</w:t>
      </w:r>
    </w:p>
    <w:p w14:paraId="1C767593" w14:textId="748261C7" w:rsidR="00C62638" w:rsidRDefault="00C62638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48EE06BA" w14:textId="2F9EE041" w:rsidR="00AF59D4" w:rsidRPr="00C62638" w:rsidRDefault="00F943C5" w:rsidP="00C62638">
      <w:pPr>
        <w:widowControl w:val="0"/>
        <w:spacing w:after="0" w:line="240" w:lineRule="auto"/>
        <w:ind w:left="567" w:right="-2" w:hanging="567"/>
        <w:outlineLvl w:val="0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14:ligatures w14:val="none"/>
        </w:rPr>
        <w:t xml:space="preserve">2026. </w:t>
      </w:r>
      <w:r w:rsidR="00E32DAE">
        <w:rPr>
          <w:rFonts w:ascii="Times New Roman" w:eastAsia="Times New Roman" w:hAnsi="Times New Roman" w:cs="Times New Roman"/>
          <w:noProof/>
          <w:kern w:val="0"/>
          <w14:ligatures w14:val="none"/>
        </w:rPr>
        <w:t>augusztus 01.</w:t>
      </w:r>
    </w:p>
    <w:p w14:paraId="381E2927" w14:textId="77777777" w:rsidR="00145300" w:rsidRDefault="00145300"/>
    <w:sectPr w:rsidR="00145300" w:rsidSect="00C62638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D2C6223" w16cid:durableId="5D2C6223"/>
  <w16cid:commentId w16cid:paraId="6B03C444" w16cid:durableId="6B03C44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C5A2D" w14:textId="77777777" w:rsidR="00BE13C3" w:rsidRDefault="00BE13C3">
      <w:pPr>
        <w:spacing w:after="0" w:line="240" w:lineRule="auto"/>
      </w:pPr>
      <w:r>
        <w:separator/>
      </w:r>
    </w:p>
  </w:endnote>
  <w:endnote w:type="continuationSeparator" w:id="0">
    <w:p w14:paraId="2C8EE116" w14:textId="77777777" w:rsidR="00BE13C3" w:rsidRDefault="00BE1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8F5BE" w14:textId="77777777" w:rsidR="0034000E" w:rsidRDefault="0034000E" w:rsidP="00AF59D4">
    <w:pPr>
      <w:pStyle w:val="llb"/>
      <w:rPr>
        <w:sz w:val="18"/>
        <w:szCs w:val="18"/>
        <w:lang w:eastAsia="hu-HU"/>
      </w:rPr>
    </w:pPr>
    <w:r w:rsidRPr="0034000E">
      <w:rPr>
        <w:sz w:val="18"/>
        <w:szCs w:val="18"/>
        <w:lang w:eastAsia="hu-HU"/>
      </w:rPr>
      <w:t xml:space="preserve">NNGYK/ETGY/10920/2026  </w:t>
    </w:r>
  </w:p>
  <w:p w14:paraId="2BCAE009" w14:textId="165B39F9" w:rsidR="00A97628" w:rsidRPr="009E0B16" w:rsidRDefault="0034000E" w:rsidP="00AF59D4">
    <w:pPr>
      <w:pStyle w:val="llb"/>
      <w:rPr>
        <w:sz w:val="18"/>
        <w:szCs w:val="18"/>
      </w:rPr>
    </w:pPr>
    <w:r>
      <w:rPr>
        <w:sz w:val="18"/>
        <w:szCs w:val="18"/>
        <w:lang w:eastAsia="hu-HU"/>
      </w:rPr>
      <w:t>NNGYK/ETGY/10921</w:t>
    </w:r>
    <w:r w:rsidRPr="0034000E">
      <w:rPr>
        <w:sz w:val="18"/>
        <w:szCs w:val="18"/>
        <w:lang w:eastAsia="hu-HU"/>
      </w:rPr>
      <w:t xml:space="preserve">/2026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165F0" w14:textId="77777777" w:rsidR="00BE13C3" w:rsidRDefault="00BE13C3">
      <w:pPr>
        <w:spacing w:after="0" w:line="240" w:lineRule="auto"/>
      </w:pPr>
      <w:r>
        <w:separator/>
      </w:r>
    </w:p>
  </w:footnote>
  <w:footnote w:type="continuationSeparator" w:id="0">
    <w:p w14:paraId="65A4C775" w14:textId="77777777" w:rsidR="00BE13C3" w:rsidRDefault="00BE1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511517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D16D1CC" w14:textId="7CDC25B1" w:rsidR="00A97628" w:rsidRPr="007E1C5F" w:rsidRDefault="00A97628" w:rsidP="007E1C5F">
        <w:pPr>
          <w:pStyle w:val="lfej"/>
          <w:jc w:val="center"/>
          <w:rPr>
            <w:sz w:val="18"/>
            <w:szCs w:val="18"/>
          </w:rPr>
        </w:pPr>
        <w:r w:rsidRPr="007E1C5F">
          <w:rPr>
            <w:sz w:val="18"/>
            <w:szCs w:val="18"/>
          </w:rPr>
          <w:fldChar w:fldCharType="begin"/>
        </w:r>
        <w:r w:rsidRPr="007E1C5F">
          <w:rPr>
            <w:sz w:val="18"/>
            <w:szCs w:val="18"/>
          </w:rPr>
          <w:instrText>PAGE   \* MERGEFORMAT</w:instrText>
        </w:r>
        <w:r w:rsidRPr="007E1C5F">
          <w:rPr>
            <w:sz w:val="18"/>
            <w:szCs w:val="18"/>
          </w:rPr>
          <w:fldChar w:fldCharType="separate"/>
        </w:r>
        <w:r w:rsidR="00420FF6" w:rsidRPr="00420FF6">
          <w:rPr>
            <w:noProof/>
            <w:sz w:val="18"/>
            <w:szCs w:val="18"/>
            <w:lang w:val="hu-HU"/>
          </w:rPr>
          <w:t>21</w:t>
        </w:r>
        <w:r w:rsidRPr="007E1C5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37ACA"/>
    <w:multiLevelType w:val="hybridMultilevel"/>
    <w:tmpl w:val="BBE030FC"/>
    <w:lvl w:ilvl="0" w:tplc="BBF06390">
      <w:numFmt w:val="bullet"/>
      <w:lvlText w:val="-"/>
      <w:lvlJc w:val="left"/>
      <w:pPr>
        <w:ind w:left="78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1F7400FE">
      <w:numFmt w:val="bullet"/>
      <w:lvlText w:val="•"/>
      <w:lvlJc w:val="left"/>
      <w:pPr>
        <w:ind w:left="1772" w:hanging="284"/>
      </w:pPr>
      <w:rPr>
        <w:rFonts w:hint="default"/>
        <w:lang w:val="hu-HU" w:eastAsia="en-US" w:bidi="ar-SA"/>
      </w:rPr>
    </w:lvl>
    <w:lvl w:ilvl="2" w:tplc="8646BAFA">
      <w:numFmt w:val="bullet"/>
      <w:lvlText w:val="•"/>
      <w:lvlJc w:val="left"/>
      <w:pPr>
        <w:ind w:left="2765" w:hanging="284"/>
      </w:pPr>
      <w:rPr>
        <w:rFonts w:hint="default"/>
        <w:lang w:val="hu-HU" w:eastAsia="en-US" w:bidi="ar-SA"/>
      </w:rPr>
    </w:lvl>
    <w:lvl w:ilvl="3" w:tplc="A36AADB4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 w:tplc="69CA0CC4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 w:tplc="21BCA0DA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 w:tplc="702E1F90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 w:tplc="194AA4FE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 w:tplc="1B04ABBC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1" w15:restartNumberingAfterBreak="0">
    <w:nsid w:val="08DF0252"/>
    <w:multiLevelType w:val="hybridMultilevel"/>
    <w:tmpl w:val="7640D7B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F22341"/>
    <w:multiLevelType w:val="multilevel"/>
    <w:tmpl w:val="3ADE9EB8"/>
    <w:lvl w:ilvl="0">
      <w:start w:val="4"/>
      <w:numFmt w:val="decimal"/>
      <w:lvlText w:val="%1"/>
      <w:lvlJc w:val="left"/>
      <w:pPr>
        <w:ind w:left="782" w:hanging="567"/>
      </w:pPr>
      <w:rPr>
        <w:rFonts w:hint="default"/>
        <w:lang w:val="hu-HU" w:eastAsia="en-US" w:bidi="ar-SA"/>
      </w:rPr>
    </w:lvl>
    <w:lvl w:ilvl="1">
      <w:start w:val="5"/>
      <w:numFmt w:val="decimal"/>
      <w:lvlText w:val="%1.%2"/>
      <w:lvlJc w:val="left"/>
      <w:pPr>
        <w:ind w:left="78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3" w15:restartNumberingAfterBreak="0">
    <w:nsid w:val="1BFF37AA"/>
    <w:multiLevelType w:val="hybridMultilevel"/>
    <w:tmpl w:val="46D84F14"/>
    <w:lvl w:ilvl="0" w:tplc="040E0001">
      <w:start w:val="1"/>
      <w:numFmt w:val="bullet"/>
      <w:lvlText w:val=""/>
      <w:lvlJc w:val="left"/>
      <w:pPr>
        <w:ind w:left="782" w:hanging="284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FFFFFFFF">
      <w:numFmt w:val="bullet"/>
      <w:lvlText w:val="•"/>
      <w:lvlJc w:val="left"/>
      <w:pPr>
        <w:ind w:left="1772" w:hanging="284"/>
      </w:pPr>
      <w:rPr>
        <w:rFonts w:hint="default"/>
        <w:lang w:val="hu-HU" w:eastAsia="en-US" w:bidi="ar-SA"/>
      </w:rPr>
    </w:lvl>
    <w:lvl w:ilvl="2" w:tplc="FFFFFFFF">
      <w:numFmt w:val="bullet"/>
      <w:lvlText w:val="•"/>
      <w:lvlJc w:val="left"/>
      <w:pPr>
        <w:ind w:left="2765" w:hanging="284"/>
      </w:pPr>
      <w:rPr>
        <w:rFonts w:hint="default"/>
        <w:lang w:val="hu-HU" w:eastAsia="en-US" w:bidi="ar-SA"/>
      </w:rPr>
    </w:lvl>
    <w:lvl w:ilvl="3" w:tplc="FFFFFFFF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4" w15:restartNumberingAfterBreak="0">
    <w:nsid w:val="1CF75A19"/>
    <w:multiLevelType w:val="hybridMultilevel"/>
    <w:tmpl w:val="8A72B3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C14EDA"/>
    <w:multiLevelType w:val="hybridMultilevel"/>
    <w:tmpl w:val="4426D32E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957E8"/>
    <w:multiLevelType w:val="hybridMultilevel"/>
    <w:tmpl w:val="6504B04A"/>
    <w:lvl w:ilvl="0" w:tplc="A67EAB86">
      <w:start w:val="1"/>
      <w:numFmt w:val="decimal"/>
      <w:lvlText w:val="%1."/>
      <w:lvlJc w:val="left"/>
      <w:pPr>
        <w:ind w:left="441" w:hanging="22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E4D8F632">
      <w:numFmt w:val="bullet"/>
      <w:lvlText w:val="•"/>
      <w:lvlJc w:val="left"/>
      <w:pPr>
        <w:ind w:left="1466" w:hanging="226"/>
      </w:pPr>
      <w:rPr>
        <w:rFonts w:hint="default"/>
        <w:lang w:val="hu-HU" w:eastAsia="en-US" w:bidi="ar-SA"/>
      </w:rPr>
    </w:lvl>
    <w:lvl w:ilvl="2" w:tplc="7F7A062C">
      <w:numFmt w:val="bullet"/>
      <w:lvlText w:val="•"/>
      <w:lvlJc w:val="left"/>
      <w:pPr>
        <w:ind w:left="2493" w:hanging="226"/>
      </w:pPr>
      <w:rPr>
        <w:rFonts w:hint="default"/>
        <w:lang w:val="hu-HU" w:eastAsia="en-US" w:bidi="ar-SA"/>
      </w:rPr>
    </w:lvl>
    <w:lvl w:ilvl="3" w:tplc="0838C7D0">
      <w:numFmt w:val="bullet"/>
      <w:lvlText w:val="•"/>
      <w:lvlJc w:val="left"/>
      <w:pPr>
        <w:ind w:left="3519" w:hanging="226"/>
      </w:pPr>
      <w:rPr>
        <w:rFonts w:hint="default"/>
        <w:lang w:val="hu-HU" w:eastAsia="en-US" w:bidi="ar-SA"/>
      </w:rPr>
    </w:lvl>
    <w:lvl w:ilvl="4" w:tplc="093C8CAC">
      <w:numFmt w:val="bullet"/>
      <w:lvlText w:val="•"/>
      <w:lvlJc w:val="left"/>
      <w:pPr>
        <w:ind w:left="4546" w:hanging="226"/>
      </w:pPr>
      <w:rPr>
        <w:rFonts w:hint="default"/>
        <w:lang w:val="hu-HU" w:eastAsia="en-US" w:bidi="ar-SA"/>
      </w:rPr>
    </w:lvl>
    <w:lvl w:ilvl="5" w:tplc="4AE47682">
      <w:numFmt w:val="bullet"/>
      <w:lvlText w:val="•"/>
      <w:lvlJc w:val="left"/>
      <w:pPr>
        <w:ind w:left="5572" w:hanging="226"/>
      </w:pPr>
      <w:rPr>
        <w:rFonts w:hint="default"/>
        <w:lang w:val="hu-HU" w:eastAsia="en-US" w:bidi="ar-SA"/>
      </w:rPr>
    </w:lvl>
    <w:lvl w:ilvl="6" w:tplc="C2584544">
      <w:numFmt w:val="bullet"/>
      <w:lvlText w:val="•"/>
      <w:lvlJc w:val="left"/>
      <w:pPr>
        <w:ind w:left="6599" w:hanging="226"/>
      </w:pPr>
      <w:rPr>
        <w:rFonts w:hint="default"/>
        <w:lang w:val="hu-HU" w:eastAsia="en-US" w:bidi="ar-SA"/>
      </w:rPr>
    </w:lvl>
    <w:lvl w:ilvl="7" w:tplc="A4D4FB1A">
      <w:numFmt w:val="bullet"/>
      <w:lvlText w:val="•"/>
      <w:lvlJc w:val="left"/>
      <w:pPr>
        <w:ind w:left="7625" w:hanging="226"/>
      </w:pPr>
      <w:rPr>
        <w:rFonts w:hint="default"/>
        <w:lang w:val="hu-HU" w:eastAsia="en-US" w:bidi="ar-SA"/>
      </w:rPr>
    </w:lvl>
    <w:lvl w:ilvl="8" w:tplc="98FEF2A8">
      <w:numFmt w:val="bullet"/>
      <w:lvlText w:val="•"/>
      <w:lvlJc w:val="left"/>
      <w:pPr>
        <w:ind w:left="8652" w:hanging="226"/>
      </w:pPr>
      <w:rPr>
        <w:rFonts w:hint="default"/>
        <w:lang w:val="hu-HU" w:eastAsia="en-US" w:bidi="ar-SA"/>
      </w:rPr>
    </w:lvl>
  </w:abstractNum>
  <w:abstractNum w:abstractNumId="7" w15:restartNumberingAfterBreak="0">
    <w:nsid w:val="63626C3F"/>
    <w:multiLevelType w:val="hybridMultilevel"/>
    <w:tmpl w:val="E5523BF4"/>
    <w:lvl w:ilvl="0" w:tplc="712039BC">
      <w:numFmt w:val="bullet"/>
      <w:lvlText w:val=""/>
      <w:lvlJc w:val="left"/>
      <w:pPr>
        <w:ind w:left="782" w:hanging="35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58FC2424">
      <w:numFmt w:val="bullet"/>
      <w:lvlText w:val="•"/>
      <w:lvlJc w:val="left"/>
      <w:pPr>
        <w:ind w:left="1772" w:hanging="356"/>
      </w:pPr>
      <w:rPr>
        <w:rFonts w:hint="default"/>
        <w:lang w:val="hu-HU" w:eastAsia="en-US" w:bidi="ar-SA"/>
      </w:rPr>
    </w:lvl>
    <w:lvl w:ilvl="2" w:tplc="FB9AF876">
      <w:numFmt w:val="bullet"/>
      <w:lvlText w:val="•"/>
      <w:lvlJc w:val="left"/>
      <w:pPr>
        <w:ind w:left="2765" w:hanging="356"/>
      </w:pPr>
      <w:rPr>
        <w:rFonts w:hint="default"/>
        <w:lang w:val="hu-HU" w:eastAsia="en-US" w:bidi="ar-SA"/>
      </w:rPr>
    </w:lvl>
    <w:lvl w:ilvl="3" w:tplc="4E50E174">
      <w:numFmt w:val="bullet"/>
      <w:lvlText w:val="•"/>
      <w:lvlJc w:val="left"/>
      <w:pPr>
        <w:ind w:left="3757" w:hanging="356"/>
      </w:pPr>
      <w:rPr>
        <w:rFonts w:hint="default"/>
        <w:lang w:val="hu-HU" w:eastAsia="en-US" w:bidi="ar-SA"/>
      </w:rPr>
    </w:lvl>
    <w:lvl w:ilvl="4" w:tplc="A6D8469C">
      <w:numFmt w:val="bullet"/>
      <w:lvlText w:val="•"/>
      <w:lvlJc w:val="left"/>
      <w:pPr>
        <w:ind w:left="4750" w:hanging="356"/>
      </w:pPr>
      <w:rPr>
        <w:rFonts w:hint="default"/>
        <w:lang w:val="hu-HU" w:eastAsia="en-US" w:bidi="ar-SA"/>
      </w:rPr>
    </w:lvl>
    <w:lvl w:ilvl="5" w:tplc="4EF2226E">
      <w:numFmt w:val="bullet"/>
      <w:lvlText w:val="•"/>
      <w:lvlJc w:val="left"/>
      <w:pPr>
        <w:ind w:left="5742" w:hanging="356"/>
      </w:pPr>
      <w:rPr>
        <w:rFonts w:hint="default"/>
        <w:lang w:val="hu-HU" w:eastAsia="en-US" w:bidi="ar-SA"/>
      </w:rPr>
    </w:lvl>
    <w:lvl w:ilvl="6" w:tplc="21E00580">
      <w:numFmt w:val="bullet"/>
      <w:lvlText w:val="•"/>
      <w:lvlJc w:val="left"/>
      <w:pPr>
        <w:ind w:left="6735" w:hanging="356"/>
      </w:pPr>
      <w:rPr>
        <w:rFonts w:hint="default"/>
        <w:lang w:val="hu-HU" w:eastAsia="en-US" w:bidi="ar-SA"/>
      </w:rPr>
    </w:lvl>
    <w:lvl w:ilvl="7" w:tplc="3924A294">
      <w:numFmt w:val="bullet"/>
      <w:lvlText w:val="•"/>
      <w:lvlJc w:val="left"/>
      <w:pPr>
        <w:ind w:left="7727" w:hanging="356"/>
      </w:pPr>
      <w:rPr>
        <w:rFonts w:hint="default"/>
        <w:lang w:val="hu-HU" w:eastAsia="en-US" w:bidi="ar-SA"/>
      </w:rPr>
    </w:lvl>
    <w:lvl w:ilvl="8" w:tplc="B194EC7A">
      <w:numFmt w:val="bullet"/>
      <w:lvlText w:val="•"/>
      <w:lvlJc w:val="left"/>
      <w:pPr>
        <w:ind w:left="8720" w:hanging="356"/>
      </w:pPr>
      <w:rPr>
        <w:rFonts w:hint="default"/>
        <w:lang w:val="hu-HU" w:eastAsia="en-US" w:bidi="ar-SA"/>
      </w:rPr>
    </w:lvl>
  </w:abstractNum>
  <w:abstractNum w:abstractNumId="8" w15:restartNumberingAfterBreak="0">
    <w:nsid w:val="656352E4"/>
    <w:multiLevelType w:val="hybridMultilevel"/>
    <w:tmpl w:val="854E74D0"/>
    <w:lvl w:ilvl="0" w:tplc="040E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9" w15:restartNumberingAfterBreak="0">
    <w:nsid w:val="6FD218FE"/>
    <w:multiLevelType w:val="multilevel"/>
    <w:tmpl w:val="023E7752"/>
    <w:lvl w:ilvl="0">
      <w:start w:val="5"/>
      <w:numFmt w:val="decimal"/>
      <w:lvlText w:val="%1"/>
      <w:lvlJc w:val="left"/>
      <w:pPr>
        <w:ind w:left="216" w:hanging="336"/>
      </w:pPr>
      <w:rPr>
        <w:rFonts w:hint="default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216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985" w:hanging="284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088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94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96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499" w:hanging="284"/>
      </w:pPr>
      <w:rPr>
        <w:rFonts w:hint="default"/>
        <w:lang w:val="hu-HU" w:eastAsia="en-US" w:bidi="ar-SA"/>
      </w:rPr>
    </w:lvl>
  </w:abstractNum>
  <w:abstractNum w:abstractNumId="10" w15:restartNumberingAfterBreak="0">
    <w:nsid w:val="78B04C1C"/>
    <w:multiLevelType w:val="hybridMultilevel"/>
    <w:tmpl w:val="2D3A8A54"/>
    <w:lvl w:ilvl="0" w:tplc="586820BE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14ED358">
      <w:numFmt w:val="bullet"/>
      <w:lvlText w:val="•"/>
      <w:lvlJc w:val="left"/>
      <w:pPr>
        <w:ind w:left="1772" w:hanging="284"/>
      </w:pPr>
      <w:rPr>
        <w:rFonts w:hint="default"/>
        <w:lang w:val="hu-HU" w:eastAsia="en-US" w:bidi="ar-SA"/>
      </w:rPr>
    </w:lvl>
    <w:lvl w:ilvl="2" w:tplc="74B0F392">
      <w:numFmt w:val="bullet"/>
      <w:lvlText w:val="•"/>
      <w:lvlJc w:val="left"/>
      <w:pPr>
        <w:ind w:left="2765" w:hanging="284"/>
      </w:pPr>
      <w:rPr>
        <w:rFonts w:hint="default"/>
        <w:lang w:val="hu-HU" w:eastAsia="en-US" w:bidi="ar-SA"/>
      </w:rPr>
    </w:lvl>
    <w:lvl w:ilvl="3" w:tplc="B9A23460">
      <w:numFmt w:val="bullet"/>
      <w:lvlText w:val="•"/>
      <w:lvlJc w:val="left"/>
      <w:pPr>
        <w:ind w:left="3757" w:hanging="284"/>
      </w:pPr>
      <w:rPr>
        <w:rFonts w:hint="default"/>
        <w:lang w:val="hu-HU" w:eastAsia="en-US" w:bidi="ar-SA"/>
      </w:rPr>
    </w:lvl>
    <w:lvl w:ilvl="4" w:tplc="CD6061A2">
      <w:numFmt w:val="bullet"/>
      <w:lvlText w:val="•"/>
      <w:lvlJc w:val="left"/>
      <w:pPr>
        <w:ind w:left="4750" w:hanging="284"/>
      </w:pPr>
      <w:rPr>
        <w:rFonts w:hint="default"/>
        <w:lang w:val="hu-HU" w:eastAsia="en-US" w:bidi="ar-SA"/>
      </w:rPr>
    </w:lvl>
    <w:lvl w:ilvl="5" w:tplc="182A85B4">
      <w:numFmt w:val="bullet"/>
      <w:lvlText w:val="•"/>
      <w:lvlJc w:val="left"/>
      <w:pPr>
        <w:ind w:left="5742" w:hanging="284"/>
      </w:pPr>
      <w:rPr>
        <w:rFonts w:hint="default"/>
        <w:lang w:val="hu-HU" w:eastAsia="en-US" w:bidi="ar-SA"/>
      </w:rPr>
    </w:lvl>
    <w:lvl w:ilvl="6" w:tplc="F3046BBC">
      <w:numFmt w:val="bullet"/>
      <w:lvlText w:val="•"/>
      <w:lvlJc w:val="left"/>
      <w:pPr>
        <w:ind w:left="6735" w:hanging="284"/>
      </w:pPr>
      <w:rPr>
        <w:rFonts w:hint="default"/>
        <w:lang w:val="hu-HU" w:eastAsia="en-US" w:bidi="ar-SA"/>
      </w:rPr>
    </w:lvl>
    <w:lvl w:ilvl="7" w:tplc="646849F8">
      <w:numFmt w:val="bullet"/>
      <w:lvlText w:val="•"/>
      <w:lvlJc w:val="left"/>
      <w:pPr>
        <w:ind w:left="7727" w:hanging="284"/>
      </w:pPr>
      <w:rPr>
        <w:rFonts w:hint="default"/>
        <w:lang w:val="hu-HU" w:eastAsia="en-US" w:bidi="ar-SA"/>
      </w:rPr>
    </w:lvl>
    <w:lvl w:ilvl="8" w:tplc="43A21B0A">
      <w:numFmt w:val="bullet"/>
      <w:lvlText w:val="•"/>
      <w:lvlJc w:val="left"/>
      <w:pPr>
        <w:ind w:left="8720" w:hanging="284"/>
      </w:pPr>
      <w:rPr>
        <w:rFonts w:hint="default"/>
        <w:lang w:val="hu-HU" w:eastAsia="en-US" w:bidi="ar-SA"/>
      </w:rPr>
    </w:lvl>
  </w:abstractNum>
  <w:abstractNum w:abstractNumId="11" w15:restartNumberingAfterBreak="0">
    <w:nsid w:val="7F192FED"/>
    <w:multiLevelType w:val="multilevel"/>
    <w:tmpl w:val="A18A9A48"/>
    <w:lvl w:ilvl="0">
      <w:start w:val="5"/>
      <w:numFmt w:val="decimal"/>
      <w:lvlText w:val="%1."/>
      <w:lvlJc w:val="left"/>
      <w:pPr>
        <w:ind w:left="435" w:hanging="2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882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985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08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1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294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39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499" w:hanging="567"/>
      </w:pPr>
      <w:rPr>
        <w:rFonts w:hint="default"/>
        <w:lang w:val="hu-HU" w:eastAsia="en-US" w:bidi="ar-SA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2"/>
  </w:num>
  <w:num w:numId="5">
    <w:abstractNumId w:val="11"/>
  </w:num>
  <w:num w:numId="6">
    <w:abstractNumId w:val="10"/>
  </w:num>
  <w:num w:numId="7">
    <w:abstractNumId w:val="6"/>
  </w:num>
  <w:num w:numId="8">
    <w:abstractNumId w:val="1"/>
  </w:num>
  <w:num w:numId="9">
    <w:abstractNumId w:val="3"/>
  </w:num>
  <w:num w:numId="10">
    <w:abstractNumId w:val="8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activeWritingStyle w:appName="MSWord" w:lang="hu-HU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638"/>
    <w:rsid w:val="00145300"/>
    <w:rsid w:val="00145C8B"/>
    <w:rsid w:val="00200A59"/>
    <w:rsid w:val="00256696"/>
    <w:rsid w:val="00286BAE"/>
    <w:rsid w:val="0034000E"/>
    <w:rsid w:val="00347DE1"/>
    <w:rsid w:val="00362735"/>
    <w:rsid w:val="003B5077"/>
    <w:rsid w:val="003D067C"/>
    <w:rsid w:val="004151B7"/>
    <w:rsid w:val="00420FF6"/>
    <w:rsid w:val="00454D8B"/>
    <w:rsid w:val="00484841"/>
    <w:rsid w:val="004C4AFA"/>
    <w:rsid w:val="0053658F"/>
    <w:rsid w:val="00574E70"/>
    <w:rsid w:val="0060334C"/>
    <w:rsid w:val="00607283"/>
    <w:rsid w:val="006125F0"/>
    <w:rsid w:val="00687CFF"/>
    <w:rsid w:val="0069241F"/>
    <w:rsid w:val="006B554E"/>
    <w:rsid w:val="00726362"/>
    <w:rsid w:val="007B56E9"/>
    <w:rsid w:val="007E1C5F"/>
    <w:rsid w:val="00862812"/>
    <w:rsid w:val="008819B2"/>
    <w:rsid w:val="00890C17"/>
    <w:rsid w:val="008921D4"/>
    <w:rsid w:val="0092080F"/>
    <w:rsid w:val="00926E63"/>
    <w:rsid w:val="00995D6F"/>
    <w:rsid w:val="009B4422"/>
    <w:rsid w:val="00A0208D"/>
    <w:rsid w:val="00A97628"/>
    <w:rsid w:val="00AE31E8"/>
    <w:rsid w:val="00AF1962"/>
    <w:rsid w:val="00AF59D4"/>
    <w:rsid w:val="00BE13C3"/>
    <w:rsid w:val="00C62638"/>
    <w:rsid w:val="00D03B2F"/>
    <w:rsid w:val="00D03B5C"/>
    <w:rsid w:val="00D51138"/>
    <w:rsid w:val="00D94581"/>
    <w:rsid w:val="00E32DAE"/>
    <w:rsid w:val="00E83A17"/>
    <w:rsid w:val="00ED68DA"/>
    <w:rsid w:val="00F05CAA"/>
    <w:rsid w:val="00F178D0"/>
    <w:rsid w:val="00F777B7"/>
    <w:rsid w:val="00F81D51"/>
    <w:rsid w:val="00F86325"/>
    <w:rsid w:val="00F943C5"/>
    <w:rsid w:val="00FD3461"/>
    <w:rsid w:val="00FD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F7C7F"/>
  <w15:chartTrackingRefBased/>
  <w15:docId w15:val="{5F278E35-EC7B-496F-B6EB-591836C4D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C62638"/>
    <w:pPr>
      <w:widowControl w:val="0"/>
      <w:autoSpaceDE w:val="0"/>
      <w:autoSpaceDN w:val="0"/>
      <w:spacing w:before="20" w:after="0" w:line="240" w:lineRule="auto"/>
      <w:ind w:left="105"/>
      <w:outlineLvl w:val="0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Cmsor2">
    <w:name w:val="heading 2"/>
    <w:basedOn w:val="Norml"/>
    <w:link w:val="Cmsor2Char"/>
    <w:uiPriority w:val="9"/>
    <w:unhideWhenUsed/>
    <w:qFormat/>
    <w:rsid w:val="00C62638"/>
    <w:pPr>
      <w:widowControl w:val="0"/>
      <w:autoSpaceDE w:val="0"/>
      <w:autoSpaceDN w:val="0"/>
      <w:spacing w:after="0" w:line="240" w:lineRule="auto"/>
      <w:ind w:left="215"/>
      <w:outlineLvl w:val="1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62638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C62638"/>
    <w:rPr>
      <w:rFonts w:ascii="Times New Roman" w:eastAsia="Times New Roman" w:hAnsi="Times New Roman" w:cs="Times New Roman"/>
      <w:b/>
      <w:bCs/>
      <w:kern w:val="0"/>
      <w14:ligatures w14:val="none"/>
    </w:rPr>
  </w:style>
  <w:style w:type="numbering" w:customStyle="1" w:styleId="Nemlista1">
    <w:name w:val="Nem lista1"/>
    <w:next w:val="Nemlista"/>
    <w:uiPriority w:val="99"/>
    <w:semiHidden/>
    <w:unhideWhenUsed/>
    <w:rsid w:val="00C62638"/>
  </w:style>
  <w:style w:type="character" w:styleId="Hiperhivatkozs">
    <w:name w:val="Hyperlink"/>
    <w:rsid w:val="00C62638"/>
    <w:rPr>
      <w:rFonts w:cs="Times New Roman"/>
      <w:color w:val="0000FF"/>
      <w:u w:val="single"/>
    </w:rPr>
  </w:style>
  <w:style w:type="paragraph" w:customStyle="1" w:styleId="EMEAEnBodyText">
    <w:name w:val="EMEA En Body Text"/>
    <w:basedOn w:val="Norml"/>
    <w:rsid w:val="00C62638"/>
    <w:pPr>
      <w:spacing w:before="120" w:after="12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n-US"/>
      <w14:ligatures w14:val="none"/>
    </w:rPr>
  </w:style>
  <w:style w:type="paragraph" w:styleId="Listaszerbekezds">
    <w:name w:val="List Paragraph"/>
    <w:basedOn w:val="Norml"/>
    <w:uiPriority w:val="1"/>
    <w:qFormat/>
    <w:rsid w:val="00C62638"/>
    <w:pPr>
      <w:widowControl w:val="0"/>
      <w:autoSpaceDE w:val="0"/>
      <w:autoSpaceDN w:val="0"/>
      <w:spacing w:after="0" w:line="240" w:lineRule="auto"/>
      <w:ind w:left="739" w:hanging="568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C626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table" w:customStyle="1" w:styleId="Rcsostblzat1">
    <w:name w:val="Rácsos táblázat1"/>
    <w:basedOn w:val="Normltblzat"/>
    <w:next w:val="Rcsostblzat"/>
    <w:uiPriority w:val="39"/>
    <w:rsid w:val="00C62638"/>
    <w:pPr>
      <w:spacing w:after="0" w:line="240" w:lineRule="auto"/>
    </w:pPr>
    <w:rPr>
      <w:rFonts w:eastAsia="SimSu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62638"/>
    <w:pPr>
      <w:tabs>
        <w:tab w:val="left" w:pos="567"/>
      </w:tabs>
      <w:spacing w:after="0" w:line="240" w:lineRule="auto"/>
    </w:pPr>
    <w:rPr>
      <w:rFonts w:ascii="Segoe UI" w:eastAsia="SimSun" w:hAnsi="Segoe UI" w:cs="Segoe UI"/>
      <w:snapToGrid w:val="0"/>
      <w:kern w:val="0"/>
      <w:sz w:val="18"/>
      <w:szCs w:val="18"/>
      <w:lang w:val="en-GB" w:eastAsia="zh-CN"/>
      <w14:ligatures w14:val="non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2638"/>
    <w:rPr>
      <w:rFonts w:ascii="Segoe UI" w:eastAsia="SimSun" w:hAnsi="Segoe UI" w:cs="Segoe UI"/>
      <w:snapToGrid w:val="0"/>
      <w:kern w:val="0"/>
      <w:sz w:val="18"/>
      <w:szCs w:val="18"/>
      <w:lang w:val="en-GB" w:eastAsia="zh-CN"/>
      <w14:ligatures w14:val="none"/>
    </w:rPr>
  </w:style>
  <w:style w:type="paragraph" w:styleId="Vltozat">
    <w:name w:val="Revision"/>
    <w:hidden/>
    <w:uiPriority w:val="99"/>
    <w:semiHidden/>
    <w:rsid w:val="00C62638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C62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C62638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C62638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C62638"/>
    <w:rPr>
      <w:rFonts w:ascii="Times New Roman" w:eastAsia="SimSun" w:hAnsi="Times New Roman" w:cs="Times New Roman"/>
      <w:snapToGrid w:val="0"/>
      <w:kern w:val="0"/>
      <w:szCs w:val="20"/>
      <w:lang w:val="en-GB" w:eastAsia="zh-CN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C626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C62638"/>
    <w:rPr>
      <w:rFonts w:ascii="Times New Roman" w:eastAsia="Times New Roman" w:hAnsi="Times New Roman" w:cs="Times New Roman"/>
      <w:kern w:val="0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C6263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62638"/>
    <w:pPr>
      <w:tabs>
        <w:tab w:val="left" w:pos="567"/>
      </w:tabs>
      <w:spacing w:after="0" w:line="240" w:lineRule="auto"/>
    </w:pPr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  <w14:ligatures w14:val="none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62638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6263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62638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  <w14:ligatures w14:val="none"/>
    </w:rPr>
  </w:style>
  <w:style w:type="character" w:customStyle="1" w:styleId="rynqvb">
    <w:name w:val="rynqvb"/>
    <w:basedOn w:val="Bekezdsalapbettpusa"/>
    <w:rsid w:val="00C62638"/>
  </w:style>
  <w:style w:type="character" w:styleId="Kiemels2">
    <w:name w:val="Strong"/>
    <w:basedOn w:val="Bekezdsalapbettpusa"/>
    <w:uiPriority w:val="22"/>
    <w:qFormat/>
    <w:rsid w:val="00C62638"/>
    <w:rPr>
      <w:b/>
      <w:bCs/>
    </w:rPr>
  </w:style>
  <w:style w:type="table" w:styleId="Rcsostblzat">
    <w:name w:val="Table Grid"/>
    <w:basedOn w:val="Normltblzat"/>
    <w:uiPriority w:val="39"/>
    <w:rsid w:val="00C62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9755</Words>
  <Characters>67312</Characters>
  <Application>Microsoft Office Word</Application>
  <DocSecurity>0</DocSecurity>
  <Lines>560</Lines>
  <Paragraphs>153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HU_OGYI_7.1</cp:lastModifiedBy>
  <cp:revision>3</cp:revision>
  <dcterms:created xsi:type="dcterms:W3CDTF">2026-08-24T15:47:00Z</dcterms:created>
  <dcterms:modified xsi:type="dcterms:W3CDTF">2026-09-07T13:23:00Z</dcterms:modified>
</cp:coreProperties>
</file>