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CCE6E" w14:textId="77777777" w:rsidR="00735C84" w:rsidRPr="00C052E4" w:rsidRDefault="00735C84" w:rsidP="00C052E4">
      <w:pPr>
        <w:spacing w:line="240" w:lineRule="auto"/>
        <w:ind w:left="567" w:hanging="567"/>
        <w:rPr>
          <w:b/>
          <w:noProof/>
          <w:szCs w:val="22"/>
          <w:lang w:val="hu-HU"/>
        </w:rPr>
      </w:pPr>
      <w:bookmarkStart w:id="0" w:name="_GoBack"/>
      <w:bookmarkEnd w:id="0"/>
      <w:r w:rsidRPr="00C052E4">
        <w:rPr>
          <w:b/>
          <w:noProof/>
          <w:szCs w:val="22"/>
          <w:lang w:val="hu-HU"/>
        </w:rPr>
        <w:t>1.</w:t>
      </w:r>
      <w:r w:rsidRPr="00C052E4">
        <w:rPr>
          <w:b/>
          <w:noProof/>
          <w:szCs w:val="22"/>
          <w:lang w:val="hu-HU"/>
        </w:rPr>
        <w:tab/>
        <w:t>A GYÓGYSZER NEVE</w:t>
      </w:r>
    </w:p>
    <w:p w14:paraId="7808329E" w14:textId="77777777" w:rsidR="001B0D69" w:rsidRPr="00C052E4" w:rsidRDefault="001B0D69" w:rsidP="00C052E4">
      <w:pPr>
        <w:spacing w:line="240" w:lineRule="auto"/>
        <w:rPr>
          <w:bCs/>
          <w:szCs w:val="22"/>
          <w:lang w:val="hu-HU"/>
        </w:rPr>
      </w:pPr>
    </w:p>
    <w:p w14:paraId="6D8AD460" w14:textId="77777777" w:rsidR="001B0D69" w:rsidRPr="00C052E4" w:rsidRDefault="00E245DC" w:rsidP="00C052E4">
      <w:pPr>
        <w:widowControl w:val="0"/>
        <w:suppressAutoHyphens/>
        <w:spacing w:line="240" w:lineRule="auto"/>
        <w:rPr>
          <w:bCs/>
          <w:szCs w:val="22"/>
          <w:lang w:val="hu-HU"/>
        </w:rPr>
      </w:pPr>
      <w:r w:rsidRPr="00C052E4">
        <w:rPr>
          <w:szCs w:val="22"/>
          <w:lang w:val="hu-HU"/>
        </w:rPr>
        <w:t xml:space="preserve">Zoledronsav Richter </w:t>
      </w:r>
      <w:r w:rsidR="00025285" w:rsidRPr="00C052E4">
        <w:rPr>
          <w:szCs w:val="22"/>
          <w:lang w:val="hu-HU"/>
        </w:rPr>
        <w:t>CalciplusD</w:t>
      </w:r>
      <w:r w:rsidR="00177D50" w:rsidRPr="00C052E4">
        <w:rPr>
          <w:szCs w:val="22"/>
          <w:lang w:val="hu-HU"/>
        </w:rPr>
        <w:t xml:space="preserve"> </w:t>
      </w:r>
      <w:r w:rsidR="00571CC5">
        <w:rPr>
          <w:szCs w:val="22"/>
          <w:lang w:val="hu-HU"/>
        </w:rPr>
        <w:t>oldatos infúzió</w:t>
      </w:r>
      <w:r w:rsidR="00811C28" w:rsidRPr="00C052E4">
        <w:rPr>
          <w:szCs w:val="22"/>
          <w:lang w:val="hu-HU"/>
        </w:rPr>
        <w:t xml:space="preserve"> </w:t>
      </w:r>
      <w:r w:rsidR="00177D50" w:rsidRPr="00C052E4">
        <w:rPr>
          <w:szCs w:val="22"/>
          <w:lang w:val="hu-HU"/>
        </w:rPr>
        <w:t>és filmtabletta</w:t>
      </w:r>
    </w:p>
    <w:p w14:paraId="0202662F" w14:textId="77777777" w:rsidR="001B0D69" w:rsidRPr="00C052E4" w:rsidRDefault="001B0D69" w:rsidP="00C052E4">
      <w:pPr>
        <w:spacing w:line="240" w:lineRule="auto"/>
        <w:rPr>
          <w:bCs/>
          <w:szCs w:val="22"/>
          <w:lang w:val="hu-HU"/>
        </w:rPr>
      </w:pPr>
    </w:p>
    <w:p w14:paraId="3116BD91" w14:textId="77777777" w:rsidR="000E267F" w:rsidRPr="00C052E4" w:rsidRDefault="000E267F" w:rsidP="00C052E4">
      <w:pPr>
        <w:spacing w:line="240" w:lineRule="auto"/>
        <w:rPr>
          <w:bCs/>
          <w:szCs w:val="22"/>
          <w:lang w:val="hu-HU"/>
        </w:rPr>
      </w:pPr>
    </w:p>
    <w:p w14:paraId="507328C3" w14:textId="77777777" w:rsidR="001B0D69" w:rsidRPr="00C052E4" w:rsidRDefault="00130C9F" w:rsidP="00C052E4">
      <w:pPr>
        <w:spacing w:line="240" w:lineRule="auto"/>
        <w:outlineLvl w:val="0"/>
        <w:rPr>
          <w:b/>
          <w:bCs/>
          <w:szCs w:val="22"/>
          <w:lang w:val="hu-HU"/>
        </w:rPr>
      </w:pPr>
      <w:r w:rsidRPr="00C052E4">
        <w:rPr>
          <w:b/>
          <w:bCs/>
          <w:szCs w:val="22"/>
          <w:lang w:val="hu-HU"/>
        </w:rPr>
        <w:t>2.</w:t>
      </w:r>
      <w:r w:rsidR="005552A5" w:rsidRPr="00C052E4">
        <w:rPr>
          <w:b/>
          <w:bCs/>
          <w:szCs w:val="22"/>
          <w:lang w:val="hu-HU"/>
        </w:rPr>
        <w:tab/>
      </w:r>
      <w:r w:rsidR="001B0D69" w:rsidRPr="00C052E4">
        <w:rPr>
          <w:b/>
          <w:bCs/>
          <w:szCs w:val="22"/>
          <w:lang w:val="hu-HU"/>
        </w:rPr>
        <w:t>MINŐSÉGI ÉS MENNYISÉGI ÖSSZETÉTEL</w:t>
      </w:r>
    </w:p>
    <w:p w14:paraId="6CEF9D73" w14:textId="77777777" w:rsidR="001B0D69" w:rsidRPr="00C052E4" w:rsidRDefault="001B0D69" w:rsidP="00C052E4">
      <w:pPr>
        <w:spacing w:line="240" w:lineRule="auto"/>
        <w:rPr>
          <w:bCs/>
          <w:szCs w:val="22"/>
          <w:lang w:val="hu-HU"/>
        </w:rPr>
      </w:pPr>
    </w:p>
    <w:p w14:paraId="3F783219" w14:textId="77777777" w:rsidR="00E245DC" w:rsidRPr="00171E38" w:rsidRDefault="00E245DC" w:rsidP="00171E38">
      <w:pPr>
        <w:widowControl w:val="0"/>
        <w:spacing w:line="240" w:lineRule="auto"/>
        <w:rPr>
          <w:rFonts w:eastAsia="Calibri"/>
          <w:szCs w:val="22"/>
          <w:lang w:val="hu-HU"/>
        </w:rPr>
      </w:pPr>
      <w:r w:rsidRPr="00C052E4">
        <w:rPr>
          <w:rFonts w:eastAsia="Calibri"/>
          <w:szCs w:val="22"/>
          <w:lang w:val="hu-HU"/>
        </w:rPr>
        <w:t>Kombinált csomagolás, amelyben két különböző hatóanyag</w:t>
      </w:r>
      <w:r w:rsidR="009952D0">
        <w:rPr>
          <w:rFonts w:eastAsia="Calibri"/>
          <w:szCs w:val="22"/>
          <w:lang w:val="hu-HU"/>
        </w:rPr>
        <w:t>-</w:t>
      </w:r>
      <w:r w:rsidRPr="00C052E4">
        <w:rPr>
          <w:rFonts w:eastAsia="Calibri"/>
          <w:szCs w:val="22"/>
          <w:lang w:val="hu-HU"/>
        </w:rPr>
        <w:t xml:space="preserve">tartalmú, különböző gyógyszerformájú </w:t>
      </w:r>
      <w:r w:rsidR="00177D50" w:rsidRPr="00171E38">
        <w:rPr>
          <w:rFonts w:eastAsia="Calibri"/>
          <w:szCs w:val="22"/>
          <w:lang w:val="hu-HU"/>
        </w:rPr>
        <w:t>gyógyszert</w:t>
      </w:r>
      <w:r w:rsidRPr="00171E38">
        <w:rPr>
          <w:rFonts w:eastAsia="Calibri"/>
          <w:szCs w:val="22"/>
          <w:lang w:val="hu-HU"/>
        </w:rPr>
        <w:t xml:space="preserve"> csomagoltak össze.</w:t>
      </w:r>
    </w:p>
    <w:p w14:paraId="0126C386" w14:textId="77777777" w:rsidR="00E245DC" w:rsidRPr="00171E38" w:rsidRDefault="00E245DC" w:rsidP="00C052E4">
      <w:pPr>
        <w:spacing w:line="240" w:lineRule="auto"/>
        <w:rPr>
          <w:bCs/>
          <w:szCs w:val="22"/>
          <w:lang w:val="hu-HU"/>
        </w:rPr>
      </w:pPr>
    </w:p>
    <w:p w14:paraId="4727A85F" w14:textId="77777777" w:rsidR="00D35883" w:rsidRPr="00171E38" w:rsidRDefault="00025285" w:rsidP="00C052E4">
      <w:pPr>
        <w:autoSpaceDE w:val="0"/>
        <w:autoSpaceDN w:val="0"/>
        <w:adjustRightInd w:val="0"/>
        <w:spacing w:line="240" w:lineRule="auto"/>
        <w:rPr>
          <w:b/>
          <w:bCs/>
          <w:i/>
          <w:szCs w:val="22"/>
          <w:u w:val="single"/>
          <w:lang w:val="hu-HU"/>
        </w:rPr>
      </w:pPr>
      <w:r w:rsidRPr="00171E38">
        <w:rPr>
          <w:i/>
          <w:szCs w:val="22"/>
          <w:lang w:val="hu-HU"/>
        </w:rPr>
        <w:t xml:space="preserve">Zoledronsav Richter </w:t>
      </w:r>
      <w:r w:rsidR="00571CC5">
        <w:rPr>
          <w:i/>
          <w:szCs w:val="22"/>
          <w:lang w:val="hu-HU"/>
        </w:rPr>
        <w:t>4 mg/100 ml</w:t>
      </w:r>
      <w:r w:rsidRPr="00171E38">
        <w:rPr>
          <w:i/>
          <w:szCs w:val="22"/>
          <w:lang w:val="hu-HU"/>
        </w:rPr>
        <w:t xml:space="preserve"> </w:t>
      </w:r>
      <w:r w:rsidR="00571CC5">
        <w:rPr>
          <w:i/>
          <w:szCs w:val="22"/>
          <w:lang w:val="hu-HU"/>
        </w:rPr>
        <w:t>oldatos infúzió</w:t>
      </w:r>
    </w:p>
    <w:p w14:paraId="5773234C" w14:textId="77777777" w:rsidR="00025285" w:rsidRPr="00171E38" w:rsidRDefault="003A01FF" w:rsidP="00171E38">
      <w:pPr>
        <w:widowControl w:val="0"/>
        <w:suppressAutoHyphens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Egy 100 ml oldatos infúziót tartalmazó tartály </w:t>
      </w:r>
      <w:r w:rsidR="00025285" w:rsidRPr="00171E38">
        <w:rPr>
          <w:szCs w:val="22"/>
          <w:lang w:val="hu-HU"/>
        </w:rPr>
        <w:t>4 mg zoledronsavat tartalmaz, ami 4,264 mg zoledronsav-monohidrátnak felel meg.</w:t>
      </w:r>
    </w:p>
    <w:p w14:paraId="771DF74B" w14:textId="77777777" w:rsidR="00E245DC" w:rsidRPr="00171E38" w:rsidRDefault="00E245DC" w:rsidP="00171E38">
      <w:pPr>
        <w:pStyle w:val="Default"/>
        <w:suppressAutoHyphens/>
        <w:rPr>
          <w:color w:val="auto"/>
          <w:sz w:val="22"/>
          <w:szCs w:val="22"/>
          <w:lang w:eastAsia="en-US"/>
        </w:rPr>
      </w:pPr>
    </w:p>
    <w:p w14:paraId="53A4EC89" w14:textId="77777777" w:rsidR="00D35883" w:rsidRPr="00171E38" w:rsidRDefault="00E245DC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CalciviD filmtabletta</w:t>
      </w:r>
    </w:p>
    <w:p w14:paraId="79131A02" w14:textId="77777777" w:rsidR="001B0D69" w:rsidRPr="00171E38" w:rsidRDefault="001B0D69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400 NE (10</w:t>
      </w:r>
      <w:r w:rsidR="000E267F" w:rsidRPr="00171E38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μg) kolekalciferol</w:t>
      </w:r>
      <w:r w:rsidR="009952D0">
        <w:rPr>
          <w:szCs w:val="22"/>
          <w:lang w:val="hu-HU"/>
        </w:rPr>
        <w:t>t és</w:t>
      </w:r>
      <w:r w:rsidRPr="00171E38">
        <w:rPr>
          <w:szCs w:val="22"/>
          <w:lang w:val="hu-HU"/>
        </w:rPr>
        <w:t xml:space="preserve"> 600 mg kalcium</w:t>
      </w:r>
      <w:r w:rsidR="009952D0">
        <w:rPr>
          <w:szCs w:val="22"/>
          <w:lang w:val="hu-HU"/>
        </w:rPr>
        <w:t>ot tartalmaz</w:t>
      </w:r>
      <w:r w:rsidRPr="00171E38">
        <w:rPr>
          <w:szCs w:val="22"/>
          <w:lang w:val="hu-HU"/>
        </w:rPr>
        <w:t xml:space="preserve"> (15</w:t>
      </w:r>
      <w:r w:rsidR="001A6B40" w:rsidRPr="00171E38">
        <w:rPr>
          <w:szCs w:val="22"/>
          <w:lang w:val="hu-HU"/>
        </w:rPr>
        <w:t>00</w:t>
      </w:r>
      <w:r w:rsidRPr="00171E38">
        <w:rPr>
          <w:szCs w:val="22"/>
          <w:lang w:val="hu-HU"/>
        </w:rPr>
        <w:t xml:space="preserve"> mg kalcium</w:t>
      </w:r>
      <w:r w:rsidR="00FB3CBD" w:rsidRPr="00171E38">
        <w:rPr>
          <w:szCs w:val="22"/>
          <w:lang w:val="hu-HU"/>
        </w:rPr>
        <w:t>-</w:t>
      </w:r>
      <w:r w:rsidRPr="00171E38">
        <w:rPr>
          <w:szCs w:val="22"/>
          <w:lang w:val="hu-HU"/>
        </w:rPr>
        <w:t>karbonát</w:t>
      </w:r>
      <w:r w:rsidR="00BB7A36" w:rsidRPr="00171E38">
        <w:rPr>
          <w:szCs w:val="22"/>
          <w:lang w:val="hu-HU"/>
        </w:rPr>
        <w:t xml:space="preserve"> formájában</w:t>
      </w:r>
      <w:r w:rsidR="001A6B40" w:rsidRPr="00171E38">
        <w:rPr>
          <w:szCs w:val="22"/>
          <w:lang w:val="hu-HU"/>
        </w:rPr>
        <w:t>) filmtablettánként.</w:t>
      </w:r>
    </w:p>
    <w:p w14:paraId="6CD9C18D" w14:textId="77777777" w:rsidR="001A6B40" w:rsidRPr="00171E38" w:rsidRDefault="001A6B40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8E31DC1" w14:textId="77777777" w:rsidR="00E245DC" w:rsidRPr="00EA23D0" w:rsidRDefault="00616D08" w:rsidP="00171E38">
      <w:pPr>
        <w:spacing w:line="240" w:lineRule="auto"/>
        <w:rPr>
          <w:szCs w:val="22"/>
          <w:lang w:val="hu-HU"/>
        </w:rPr>
      </w:pPr>
      <w:r w:rsidRPr="00F11B60">
        <w:rPr>
          <w:szCs w:val="22"/>
          <w:u w:val="single"/>
          <w:lang w:val="hu-HU"/>
        </w:rPr>
        <w:t>Ismert hatású s</w:t>
      </w:r>
      <w:r w:rsidR="0022656F" w:rsidRPr="005C2DC1">
        <w:rPr>
          <w:szCs w:val="22"/>
          <w:u w:val="single"/>
          <w:lang w:val="hu-HU"/>
        </w:rPr>
        <w:t>egédanyagok:</w:t>
      </w:r>
      <w:r w:rsidR="0022656F" w:rsidRPr="00B3033C">
        <w:rPr>
          <w:szCs w:val="22"/>
          <w:lang w:val="hu-HU"/>
        </w:rPr>
        <w:t xml:space="preserve"> </w:t>
      </w:r>
    </w:p>
    <w:p w14:paraId="3BF965BB" w14:textId="77777777" w:rsidR="00E245DC" w:rsidRPr="00171E38" w:rsidRDefault="00E245DC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CalciviD filmtabletta</w:t>
      </w:r>
    </w:p>
    <w:p w14:paraId="69C09112" w14:textId="77777777" w:rsidR="001B0D69" w:rsidRPr="00171E38" w:rsidRDefault="00C404FB" w:rsidP="00171E38">
      <w:pPr>
        <w:spacing w:line="240" w:lineRule="auto"/>
        <w:rPr>
          <w:b/>
          <w:szCs w:val="22"/>
          <w:lang w:val="hu-HU"/>
        </w:rPr>
      </w:pPr>
      <w:r w:rsidRPr="00171E38">
        <w:rPr>
          <w:szCs w:val="22"/>
          <w:lang w:val="hu-HU"/>
        </w:rPr>
        <w:t xml:space="preserve">1,52 mg </w:t>
      </w:r>
      <w:r w:rsidR="0022656F" w:rsidRPr="00171E38">
        <w:rPr>
          <w:szCs w:val="22"/>
          <w:lang w:val="hu-HU"/>
        </w:rPr>
        <w:t>szacharóz</w:t>
      </w:r>
      <w:r w:rsidR="009952D0">
        <w:rPr>
          <w:szCs w:val="22"/>
          <w:lang w:val="hu-HU"/>
        </w:rPr>
        <w:t>t</w:t>
      </w:r>
      <w:r w:rsidR="00F76C00" w:rsidRPr="00171E38">
        <w:rPr>
          <w:szCs w:val="22"/>
          <w:lang w:val="hu-HU"/>
        </w:rPr>
        <w:t xml:space="preserve"> és</w:t>
      </w:r>
      <w:r w:rsidR="0022656F" w:rsidRPr="00171E38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 xml:space="preserve">0,3 mg </w:t>
      </w:r>
      <w:r w:rsidR="0022656F" w:rsidRPr="00171E38">
        <w:rPr>
          <w:szCs w:val="22"/>
          <w:lang w:val="hu-HU"/>
        </w:rPr>
        <w:t>hidrogénezett szójaolaj</w:t>
      </w:r>
      <w:r w:rsidR="009952D0">
        <w:rPr>
          <w:szCs w:val="22"/>
          <w:lang w:val="hu-HU"/>
        </w:rPr>
        <w:t>at tartalmaz</w:t>
      </w:r>
      <w:r w:rsidR="0022656F" w:rsidRPr="00171E38">
        <w:rPr>
          <w:szCs w:val="22"/>
          <w:lang w:val="hu-HU"/>
        </w:rPr>
        <w:t xml:space="preserve"> </w:t>
      </w:r>
      <w:r w:rsidR="00517F03" w:rsidRPr="00171E38">
        <w:rPr>
          <w:szCs w:val="22"/>
          <w:lang w:val="hu-HU"/>
        </w:rPr>
        <w:t>film</w:t>
      </w:r>
      <w:r w:rsidRPr="00171E38">
        <w:rPr>
          <w:szCs w:val="22"/>
          <w:lang w:val="hu-HU"/>
        </w:rPr>
        <w:t>tablettánként</w:t>
      </w:r>
      <w:r w:rsidR="001A6B40" w:rsidRPr="00171E38">
        <w:rPr>
          <w:szCs w:val="22"/>
          <w:lang w:val="hu-HU"/>
        </w:rPr>
        <w:t>.</w:t>
      </w:r>
    </w:p>
    <w:p w14:paraId="1B8A4D16" w14:textId="77777777" w:rsidR="0022656F" w:rsidRPr="00171E38" w:rsidRDefault="0022656F" w:rsidP="00171E38">
      <w:pPr>
        <w:spacing w:line="240" w:lineRule="auto"/>
        <w:rPr>
          <w:bCs/>
          <w:szCs w:val="22"/>
          <w:lang w:val="hu-HU"/>
        </w:rPr>
      </w:pPr>
    </w:p>
    <w:p w14:paraId="23BC0DE6" w14:textId="77777777" w:rsidR="000E267F" w:rsidRPr="00171E38" w:rsidRDefault="000E267F" w:rsidP="00171E38">
      <w:pPr>
        <w:spacing w:line="240" w:lineRule="auto"/>
        <w:rPr>
          <w:noProof/>
          <w:szCs w:val="22"/>
          <w:lang w:val="hu-HU"/>
        </w:rPr>
      </w:pPr>
      <w:r w:rsidRPr="00171E38">
        <w:rPr>
          <w:noProof/>
          <w:szCs w:val="22"/>
          <w:lang w:val="hu-HU"/>
        </w:rPr>
        <w:t>A segédanyagok teljes listáját lásd a 6.1 pontban.</w:t>
      </w:r>
    </w:p>
    <w:p w14:paraId="006E0048" w14:textId="77777777" w:rsidR="000E267F" w:rsidRPr="00171E38" w:rsidRDefault="000E267F" w:rsidP="00171E38">
      <w:pPr>
        <w:spacing w:line="240" w:lineRule="auto"/>
        <w:rPr>
          <w:szCs w:val="22"/>
          <w:lang w:val="hu-HU"/>
        </w:rPr>
      </w:pPr>
    </w:p>
    <w:p w14:paraId="170D87D3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7D206FEF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3.</w:t>
      </w:r>
      <w:r w:rsidR="005552A5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GYÓGYSZERFORMA</w:t>
      </w:r>
    </w:p>
    <w:p w14:paraId="607317B3" w14:textId="77777777" w:rsidR="00616D08" w:rsidRPr="00171E38" w:rsidRDefault="00616D08" w:rsidP="00171E38">
      <w:pPr>
        <w:spacing w:line="240" w:lineRule="auto"/>
        <w:outlineLvl w:val="0"/>
        <w:rPr>
          <w:szCs w:val="22"/>
          <w:lang w:val="hu-HU"/>
        </w:rPr>
      </w:pPr>
    </w:p>
    <w:p w14:paraId="3A61179A" w14:textId="77777777" w:rsidR="00025285" w:rsidRPr="00171E38" w:rsidRDefault="0002528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 xml:space="preserve">Zoledronsav Richter </w:t>
      </w:r>
      <w:r w:rsidR="00571CC5">
        <w:rPr>
          <w:i/>
          <w:szCs w:val="22"/>
          <w:lang w:val="hu-HU"/>
        </w:rPr>
        <w:t>4 mg/100 ml</w:t>
      </w:r>
      <w:r w:rsidRPr="00171E38">
        <w:rPr>
          <w:i/>
          <w:szCs w:val="22"/>
          <w:lang w:val="hu-HU"/>
        </w:rPr>
        <w:t xml:space="preserve"> </w:t>
      </w:r>
      <w:r w:rsidR="00571CC5">
        <w:rPr>
          <w:i/>
          <w:szCs w:val="22"/>
          <w:lang w:val="hu-HU"/>
        </w:rPr>
        <w:t>oldatos infúzió</w:t>
      </w:r>
    </w:p>
    <w:p w14:paraId="39D3462A" w14:textId="77777777" w:rsidR="00025285" w:rsidRPr="00171E38" w:rsidRDefault="00571CC5" w:rsidP="00171E3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Oldatos infúzió</w:t>
      </w:r>
      <w:r w:rsidR="00025285" w:rsidRPr="00171E38">
        <w:rPr>
          <w:sz w:val="22"/>
          <w:szCs w:val="22"/>
        </w:rPr>
        <w:t>.</w:t>
      </w:r>
    </w:p>
    <w:p w14:paraId="79377D37" w14:textId="3DA46D4B" w:rsidR="00025285" w:rsidRPr="00171E38" w:rsidRDefault="00025285" w:rsidP="00171E38">
      <w:pPr>
        <w:pStyle w:val="Default"/>
        <w:rPr>
          <w:sz w:val="22"/>
          <w:szCs w:val="22"/>
        </w:rPr>
      </w:pPr>
      <w:r w:rsidRPr="00171E38">
        <w:rPr>
          <w:sz w:val="22"/>
          <w:szCs w:val="22"/>
        </w:rPr>
        <w:t xml:space="preserve">A Zoledronsav Richter átlátszó, színtelen, steril oldat, </w:t>
      </w:r>
      <w:r w:rsidR="009952D0">
        <w:rPr>
          <w:sz w:val="22"/>
          <w:szCs w:val="22"/>
        </w:rPr>
        <w:t>5,5</w:t>
      </w:r>
      <w:r w:rsidR="00E03AB4">
        <w:rPr>
          <w:sz w:val="22"/>
          <w:szCs w:val="22"/>
        </w:rPr>
        <w:noBreakHyphen/>
      </w:r>
      <w:r w:rsidR="009952D0">
        <w:rPr>
          <w:sz w:val="22"/>
          <w:szCs w:val="22"/>
        </w:rPr>
        <w:t>7,0</w:t>
      </w:r>
      <w:r w:rsidRPr="00171E38">
        <w:rPr>
          <w:sz w:val="22"/>
          <w:szCs w:val="22"/>
        </w:rPr>
        <w:t xml:space="preserve"> pH értékkel.</w:t>
      </w:r>
    </w:p>
    <w:p w14:paraId="60CB9D84" w14:textId="77777777" w:rsidR="00D35883" w:rsidRPr="00171E38" w:rsidRDefault="00D35883" w:rsidP="00171E38">
      <w:pPr>
        <w:spacing w:line="240" w:lineRule="auto"/>
        <w:rPr>
          <w:szCs w:val="22"/>
          <w:lang w:val="hu-HU"/>
        </w:rPr>
      </w:pPr>
    </w:p>
    <w:p w14:paraId="7E66B893" w14:textId="77777777" w:rsidR="00D35883" w:rsidRPr="00171E38" w:rsidRDefault="0002528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CalciviD</w:t>
      </w:r>
      <w:r w:rsidR="00517F03" w:rsidRPr="00171E38">
        <w:rPr>
          <w:i/>
          <w:szCs w:val="22"/>
          <w:lang w:val="hu-HU"/>
        </w:rPr>
        <w:t xml:space="preserve"> filmtabletta</w:t>
      </w:r>
    </w:p>
    <w:p w14:paraId="45C3E79F" w14:textId="77777777" w:rsidR="00517F03" w:rsidRPr="00171E38" w:rsidRDefault="00517F03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Filmtabletta.</w:t>
      </w:r>
    </w:p>
    <w:p w14:paraId="0799A14C" w14:textId="77777777" w:rsidR="00CC4177" w:rsidRPr="00171E38" w:rsidRDefault="00CC4177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O</w:t>
      </w:r>
      <w:r w:rsidR="001B0D69" w:rsidRPr="00171E38">
        <w:rPr>
          <w:szCs w:val="22"/>
          <w:lang w:val="hu-HU"/>
        </w:rPr>
        <w:t xml:space="preserve">kkersárga, </w:t>
      </w:r>
      <w:r w:rsidR="00E8502B" w:rsidRPr="00171E38">
        <w:rPr>
          <w:szCs w:val="22"/>
          <w:lang w:val="hu-HU"/>
        </w:rPr>
        <w:t>ovális</w:t>
      </w:r>
      <w:r w:rsidR="001B0D69" w:rsidRPr="00171E38">
        <w:rPr>
          <w:szCs w:val="22"/>
          <w:lang w:val="hu-HU"/>
        </w:rPr>
        <w:t xml:space="preserve"> filmtabletta, egyik oldalán </w:t>
      </w:r>
      <w:r w:rsidR="00E8502B" w:rsidRPr="00171E38">
        <w:rPr>
          <w:szCs w:val="22"/>
          <w:lang w:val="hu-HU"/>
        </w:rPr>
        <w:t>bemetszéssel</w:t>
      </w:r>
      <w:r w:rsidR="001B0D69" w:rsidRPr="00171E38">
        <w:rPr>
          <w:szCs w:val="22"/>
          <w:lang w:val="hu-HU"/>
        </w:rPr>
        <w:t>.</w:t>
      </w:r>
    </w:p>
    <w:p w14:paraId="2BCD8E9E" w14:textId="77777777" w:rsidR="001B0D69" w:rsidRPr="00171E38" w:rsidRDefault="004D0AF6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Törési felülete fehér színű. </w:t>
      </w:r>
      <w:r w:rsidR="0022656F" w:rsidRPr="00171E38">
        <w:rPr>
          <w:szCs w:val="22"/>
          <w:lang w:val="hu-HU"/>
        </w:rPr>
        <w:t xml:space="preserve">A </w:t>
      </w:r>
      <w:r w:rsidRPr="00171E38">
        <w:rPr>
          <w:szCs w:val="22"/>
          <w:lang w:val="hu-HU"/>
        </w:rPr>
        <w:t xml:space="preserve">tablettán lévő </w:t>
      </w:r>
      <w:r w:rsidR="00E8502B" w:rsidRPr="00171E38">
        <w:rPr>
          <w:szCs w:val="22"/>
          <w:lang w:val="hu-HU"/>
        </w:rPr>
        <w:t>bemetszés</w:t>
      </w:r>
      <w:r w:rsidR="0022656F" w:rsidRPr="00171E38">
        <w:rPr>
          <w:szCs w:val="22"/>
          <w:lang w:val="hu-HU"/>
        </w:rPr>
        <w:t xml:space="preserve"> csak a széttörés elősegítésére és a lenyelés megkönnyítésére szolgál, nem arra, hogy a készítményt egyenlő adagokra ossza.</w:t>
      </w:r>
      <w:r w:rsidR="001B0D69" w:rsidRPr="00171E38">
        <w:rPr>
          <w:szCs w:val="22"/>
          <w:lang w:val="hu-HU"/>
        </w:rPr>
        <w:t xml:space="preserve"> </w:t>
      </w:r>
    </w:p>
    <w:p w14:paraId="07E50B1C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78E7DE20" w14:textId="77777777" w:rsidR="005552A5" w:rsidRPr="00171E38" w:rsidRDefault="005552A5" w:rsidP="00171E38">
      <w:pPr>
        <w:spacing w:line="240" w:lineRule="auto"/>
        <w:rPr>
          <w:bCs/>
          <w:szCs w:val="22"/>
          <w:lang w:val="hu-HU"/>
        </w:rPr>
      </w:pPr>
    </w:p>
    <w:p w14:paraId="7241713A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</w:t>
      </w:r>
      <w:r w:rsidR="005552A5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KLINIKAI JELLEMZŐK</w:t>
      </w:r>
    </w:p>
    <w:p w14:paraId="53A1A4CC" w14:textId="77777777" w:rsidR="00616D08" w:rsidRPr="00171E38" w:rsidRDefault="00616D08" w:rsidP="00171E38">
      <w:pPr>
        <w:spacing w:line="240" w:lineRule="auto"/>
        <w:outlineLvl w:val="0"/>
        <w:rPr>
          <w:szCs w:val="22"/>
          <w:lang w:val="hu-HU"/>
        </w:rPr>
      </w:pPr>
    </w:p>
    <w:p w14:paraId="7B3C0125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4.1</w:t>
      </w:r>
      <w:r w:rsidR="005552A5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Terápiás javallatok</w:t>
      </w:r>
    </w:p>
    <w:p w14:paraId="4804DCE1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7D9A8810" w14:textId="77777777" w:rsidR="00025285" w:rsidRPr="00171E38" w:rsidRDefault="00025285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 Zoledronsav Richter CalciplusD a csontrendszert érintő események megelőzésére javallott felnőtt betegeknél, akiknél a csontot is érintő, előrehaladott daganatos betegség áll fenn, </w:t>
      </w:r>
      <w:r w:rsidR="00F4166D" w:rsidRPr="00171E38">
        <w:rPr>
          <w:szCs w:val="22"/>
          <w:lang w:val="hu-HU"/>
        </w:rPr>
        <w:t xml:space="preserve">négy hetenként 4 mg zoledronsav a szakorvos által ajánlott/megállapított adag, </w:t>
      </w:r>
      <w:r w:rsidRPr="00171E38">
        <w:rPr>
          <w:szCs w:val="22"/>
          <w:lang w:val="hu-HU"/>
        </w:rPr>
        <w:t xml:space="preserve">valamint a kalcium- és D-vitamin pótlása </w:t>
      </w:r>
      <w:r w:rsidR="00420367" w:rsidRPr="00171E38">
        <w:rPr>
          <w:szCs w:val="22"/>
          <w:lang w:val="hu-HU"/>
        </w:rPr>
        <w:t>szükséges napi 1 CalciviD filmtabletta mennyiségben, a biszfoszfonát-kezelés okozta hypo</w:t>
      </w:r>
      <w:r w:rsidR="00BF52EE" w:rsidRPr="00171E38">
        <w:rPr>
          <w:szCs w:val="22"/>
          <w:lang w:val="hu-HU"/>
        </w:rPr>
        <w:t>c</w:t>
      </w:r>
      <w:r w:rsidR="00420367" w:rsidRPr="00171E38">
        <w:rPr>
          <w:szCs w:val="22"/>
          <w:lang w:val="hu-HU"/>
        </w:rPr>
        <w:t>alc</w:t>
      </w:r>
      <w:r w:rsidR="00BF52EE" w:rsidRPr="00171E38">
        <w:rPr>
          <w:szCs w:val="22"/>
          <w:lang w:val="hu-HU"/>
        </w:rPr>
        <w:t>ae</w:t>
      </w:r>
      <w:r w:rsidR="00420367" w:rsidRPr="00171E38">
        <w:rPr>
          <w:szCs w:val="22"/>
          <w:lang w:val="hu-HU"/>
        </w:rPr>
        <w:t>mia terápiájaként.</w:t>
      </w:r>
    </w:p>
    <w:p w14:paraId="2C62D655" w14:textId="77777777" w:rsidR="00025285" w:rsidRPr="00171E38" w:rsidRDefault="00025285" w:rsidP="00171E38">
      <w:pPr>
        <w:spacing w:line="240" w:lineRule="auto"/>
        <w:rPr>
          <w:szCs w:val="22"/>
          <w:lang w:val="hu-HU"/>
        </w:rPr>
      </w:pPr>
    </w:p>
    <w:p w14:paraId="66C552EB" w14:textId="77777777" w:rsidR="00025285" w:rsidRPr="00171E38" w:rsidRDefault="00420367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zoledronsav e</w:t>
      </w:r>
      <w:r w:rsidR="00025285" w:rsidRPr="00171E38">
        <w:rPr>
          <w:szCs w:val="22"/>
          <w:lang w:val="hu-HU"/>
        </w:rPr>
        <w:t>lőrehaladott, csontot is involváló, rosszindulatú daganatos betegségekben szenvedő felnőtt betegek csontrendszert érintő eseményeinek (patológiás törések, csigolyakompresszió, a csontok besugárzása vagy műtéte, ill. tumor indukálta hypercalcaemia) megelőzés</w:t>
      </w:r>
      <w:r w:rsidR="00591C5F" w:rsidRPr="00171E38">
        <w:rPr>
          <w:szCs w:val="22"/>
          <w:lang w:val="hu-HU"/>
        </w:rPr>
        <w:t>ér</w:t>
      </w:r>
      <w:r w:rsidR="00025285" w:rsidRPr="00171E38">
        <w:rPr>
          <w:szCs w:val="22"/>
          <w:lang w:val="hu-HU"/>
        </w:rPr>
        <w:t>e javallott.</w:t>
      </w:r>
    </w:p>
    <w:p w14:paraId="3B0AEB9F" w14:textId="77777777" w:rsidR="00025285" w:rsidRPr="00171E38" w:rsidRDefault="00025285" w:rsidP="00171E38">
      <w:pPr>
        <w:spacing w:line="240" w:lineRule="auto"/>
        <w:rPr>
          <w:szCs w:val="22"/>
          <w:lang w:val="hu-HU"/>
        </w:rPr>
      </w:pPr>
    </w:p>
    <w:p w14:paraId="2CFDFBF8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 CalciviD </w:t>
      </w:r>
      <w:r w:rsidR="00420367" w:rsidRPr="00171E38">
        <w:rPr>
          <w:szCs w:val="22"/>
          <w:lang w:val="hu-HU"/>
        </w:rPr>
        <w:t>javallott olyan betegeknek, akiknél a D-vitamin- és kalciumhiány veszélye fennáll</w:t>
      </w:r>
      <w:r w:rsidRPr="00171E38">
        <w:rPr>
          <w:szCs w:val="22"/>
          <w:lang w:val="hu-HU"/>
        </w:rPr>
        <w:t>.</w:t>
      </w:r>
    </w:p>
    <w:p w14:paraId="26B81E54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00705011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4.2</w:t>
      </w:r>
      <w:r w:rsidR="00C30EBB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Adagolás és alkalmazás</w:t>
      </w:r>
    </w:p>
    <w:p w14:paraId="6FBC3D97" w14:textId="77777777" w:rsidR="00616D08" w:rsidRPr="00171E38" w:rsidRDefault="00616D08" w:rsidP="00171E38">
      <w:pPr>
        <w:spacing w:line="240" w:lineRule="auto"/>
        <w:outlineLvl w:val="0"/>
        <w:rPr>
          <w:szCs w:val="22"/>
          <w:lang w:val="hu-HU"/>
        </w:rPr>
      </w:pPr>
    </w:p>
    <w:p w14:paraId="2393CA83" w14:textId="77777777" w:rsidR="00C30EBB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 </w:t>
      </w:r>
      <w:r w:rsidR="00420367" w:rsidRPr="00171E38">
        <w:rPr>
          <w:szCs w:val="22"/>
          <w:lang w:val="hu-HU"/>
        </w:rPr>
        <w:t>Zoledronsav Richter CalciplusD</w:t>
      </w:r>
      <w:r w:rsidRPr="00171E38">
        <w:rPr>
          <w:szCs w:val="22"/>
          <w:lang w:val="hu-HU"/>
        </w:rPr>
        <w:t xml:space="preserve"> készítmény</w:t>
      </w:r>
    </w:p>
    <w:p w14:paraId="77CCBDF5" w14:textId="77777777" w:rsidR="00C30EBB" w:rsidRPr="00171E38" w:rsidRDefault="00420367" w:rsidP="00171E38">
      <w:pPr>
        <w:numPr>
          <w:ilvl w:val="0"/>
          <w:numId w:val="39"/>
        </w:numPr>
        <w:spacing w:line="240" w:lineRule="auto"/>
        <w:ind w:left="567" w:hanging="567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lastRenderedPageBreak/>
        <w:t xml:space="preserve">4 </w:t>
      </w:r>
      <w:r w:rsidR="001B0D69" w:rsidRPr="00171E38">
        <w:rPr>
          <w:szCs w:val="22"/>
          <w:u w:val="single"/>
          <w:lang w:val="hu-HU"/>
        </w:rPr>
        <w:t>hetente egyszer</w:t>
      </w:r>
      <w:r w:rsidR="001B0D69" w:rsidRPr="00171E38">
        <w:rPr>
          <w:szCs w:val="22"/>
          <w:lang w:val="hu-HU"/>
        </w:rPr>
        <w:t xml:space="preserve"> alkalmazandó </w:t>
      </w:r>
      <w:r w:rsidRPr="00171E38">
        <w:rPr>
          <w:i/>
          <w:szCs w:val="22"/>
          <w:lang w:val="hu-HU"/>
        </w:rPr>
        <w:t xml:space="preserve">Zoledronsav Richter </w:t>
      </w:r>
      <w:r w:rsidR="00571CC5">
        <w:rPr>
          <w:i/>
          <w:szCs w:val="22"/>
          <w:lang w:val="hu-HU"/>
        </w:rPr>
        <w:t>4 mg/100 ml</w:t>
      </w:r>
      <w:r w:rsidRPr="00171E38">
        <w:rPr>
          <w:i/>
          <w:szCs w:val="22"/>
          <w:lang w:val="hu-HU"/>
        </w:rPr>
        <w:t xml:space="preserve"> oldatos infúzió</w:t>
      </w:r>
      <w:r w:rsidR="001B0D69" w:rsidRPr="00171E38">
        <w:rPr>
          <w:szCs w:val="22"/>
          <w:lang w:val="hu-HU"/>
        </w:rPr>
        <w:t xml:space="preserve"> és</w:t>
      </w:r>
    </w:p>
    <w:p w14:paraId="04A04CF4" w14:textId="77777777" w:rsidR="00C30EBB" w:rsidRPr="00171E38" w:rsidRDefault="001B0D69" w:rsidP="00171E38">
      <w:pPr>
        <w:numPr>
          <w:ilvl w:val="0"/>
          <w:numId w:val="39"/>
        </w:numPr>
        <w:spacing w:line="240" w:lineRule="auto"/>
        <w:ind w:left="567" w:hanging="567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naponta egyszer</w:t>
      </w:r>
      <w:r w:rsidRPr="00171E38">
        <w:rPr>
          <w:szCs w:val="22"/>
          <w:lang w:val="hu-HU"/>
        </w:rPr>
        <w:t xml:space="preserve"> alkalmazandó </w:t>
      </w:r>
      <w:r w:rsidR="00893964" w:rsidRPr="00171E38">
        <w:rPr>
          <w:szCs w:val="22"/>
          <w:lang w:val="hu-HU"/>
        </w:rPr>
        <w:t>CalciviD</w:t>
      </w:r>
      <w:r w:rsidR="00420367" w:rsidRPr="00171E38">
        <w:rPr>
          <w:szCs w:val="22"/>
          <w:lang w:val="hu-HU"/>
        </w:rPr>
        <w:t xml:space="preserve"> filmtablettát</w:t>
      </w:r>
      <w:r w:rsidR="00893964" w:rsidRPr="00171E38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tartalmaz.</w:t>
      </w:r>
    </w:p>
    <w:p w14:paraId="14B4E451" w14:textId="77777777" w:rsidR="00C30EBB" w:rsidRPr="00171E38" w:rsidRDefault="00C30EBB" w:rsidP="00171E38">
      <w:pPr>
        <w:spacing w:line="240" w:lineRule="auto"/>
        <w:rPr>
          <w:szCs w:val="22"/>
          <w:lang w:val="hu-HU"/>
        </w:rPr>
      </w:pPr>
    </w:p>
    <w:p w14:paraId="7AA7A953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betegeknek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Richter-t csak az intravénás biszfoszfonátok alkalmazásában jártas egészségügyi szakember írhatja fel és adhatja be.</w:t>
      </w:r>
      <w:r w:rsidR="0083562E" w:rsidRPr="00171E38">
        <w:rPr>
          <w:szCs w:val="22"/>
          <w:lang w:val="hu-HU"/>
        </w:rPr>
        <w:t xml:space="preserve"> A Zoledronsav Richter-rel</w:t>
      </w:r>
      <w:r w:rsidR="001C0F78" w:rsidRPr="00171E38">
        <w:rPr>
          <w:szCs w:val="22"/>
          <w:lang w:val="hu-HU"/>
        </w:rPr>
        <w:t xml:space="preserve"> kezelt betegeknek oda kell adni a betegtájékoztatót és a betegeknek szóló emlékeztető kártyát.</w:t>
      </w:r>
    </w:p>
    <w:p w14:paraId="0D17D44F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6638979D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fentiek figyelembevételével az egyes összetevők adagolása és alkalmazásának módja a következőképpen ajánlott:</w:t>
      </w:r>
    </w:p>
    <w:p w14:paraId="241D55BA" w14:textId="77777777" w:rsidR="00420367" w:rsidRPr="00171E38" w:rsidRDefault="00420367" w:rsidP="00171E38">
      <w:pPr>
        <w:spacing w:line="240" w:lineRule="auto"/>
        <w:rPr>
          <w:szCs w:val="22"/>
          <w:lang w:val="hu-HU"/>
        </w:rPr>
      </w:pPr>
    </w:p>
    <w:p w14:paraId="146E856F" w14:textId="77777777" w:rsidR="001B0D69" w:rsidRPr="00171E38" w:rsidRDefault="00420367" w:rsidP="00171E38">
      <w:pPr>
        <w:spacing w:line="240" w:lineRule="auto"/>
        <w:outlineLvl w:val="0"/>
        <w:rPr>
          <w:b/>
          <w:szCs w:val="22"/>
          <w:u w:val="single"/>
          <w:lang w:val="hu-HU"/>
        </w:rPr>
      </w:pPr>
      <w:r w:rsidRPr="00171E38">
        <w:rPr>
          <w:b/>
          <w:szCs w:val="22"/>
          <w:u w:val="single"/>
          <w:lang w:val="hu-HU"/>
        </w:rPr>
        <w:t xml:space="preserve">Zoledronsav Richter </w:t>
      </w:r>
      <w:r w:rsidR="00571CC5">
        <w:rPr>
          <w:b/>
          <w:szCs w:val="22"/>
          <w:u w:val="single"/>
          <w:lang w:val="hu-HU"/>
        </w:rPr>
        <w:t>4 mg/100 ml</w:t>
      </w:r>
      <w:r w:rsidRPr="00171E38">
        <w:rPr>
          <w:b/>
          <w:szCs w:val="22"/>
          <w:u w:val="single"/>
          <w:lang w:val="hu-HU"/>
        </w:rPr>
        <w:t xml:space="preserve"> </w:t>
      </w:r>
      <w:r w:rsidR="00571CC5">
        <w:rPr>
          <w:b/>
          <w:szCs w:val="22"/>
          <w:u w:val="single"/>
          <w:lang w:val="hu-HU"/>
        </w:rPr>
        <w:t>oldatos infúzió</w:t>
      </w:r>
    </w:p>
    <w:p w14:paraId="6F01A406" w14:textId="77777777" w:rsidR="00782518" w:rsidRPr="00171E38" w:rsidRDefault="00782518" w:rsidP="00171E38">
      <w:pPr>
        <w:spacing w:line="240" w:lineRule="auto"/>
        <w:outlineLvl w:val="0"/>
        <w:rPr>
          <w:szCs w:val="22"/>
          <w:lang w:val="hu-HU"/>
        </w:rPr>
      </w:pPr>
    </w:p>
    <w:p w14:paraId="2CFE7CEE" w14:textId="77777777" w:rsidR="00616D08" w:rsidRPr="00171E38" w:rsidRDefault="00616D08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Adagolás</w:t>
      </w:r>
    </w:p>
    <w:p w14:paraId="3A0B8EF4" w14:textId="77777777" w:rsidR="00616D08" w:rsidRPr="00171E38" w:rsidRDefault="00616D08" w:rsidP="00171E38">
      <w:pPr>
        <w:spacing w:line="240" w:lineRule="auto"/>
        <w:outlineLvl w:val="0"/>
        <w:rPr>
          <w:szCs w:val="22"/>
          <w:lang w:val="hu-HU"/>
        </w:rPr>
      </w:pPr>
    </w:p>
    <w:p w14:paraId="6877EDF8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Előrehaladott, csonto</w:t>
      </w:r>
      <w:r w:rsidRPr="00171E38">
        <w:rPr>
          <w:i/>
          <w:iCs/>
          <w:szCs w:val="22"/>
          <w:u w:val="single"/>
          <w:lang w:val="hu-HU"/>
        </w:rPr>
        <w:t>t is involváló</w:t>
      </w:r>
      <w:r w:rsidRPr="00171E38">
        <w:rPr>
          <w:i/>
          <w:szCs w:val="22"/>
          <w:u w:val="single"/>
          <w:lang w:val="hu-HU" w:eastAsia="hu-HU"/>
        </w:rPr>
        <w:t>, rosszindulatú daganatos betegségekben szenvedő betegek csontrendszert érintő eseményeinek megelőzése</w:t>
      </w:r>
    </w:p>
    <w:p w14:paraId="5BF1404C" w14:textId="77777777" w:rsidR="00E8502B" w:rsidRPr="00171E38" w:rsidRDefault="00E8502B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</w:p>
    <w:p w14:paraId="513C9174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 xml:space="preserve">Felnőttek és </w:t>
      </w:r>
      <w:r w:rsidR="00AD29E8" w:rsidRPr="00171E38">
        <w:rPr>
          <w:i/>
          <w:szCs w:val="22"/>
          <w:lang w:val="hu-HU" w:eastAsia="hu-HU"/>
        </w:rPr>
        <w:t>idős</w:t>
      </w:r>
      <w:r w:rsidR="00AD29E8">
        <w:rPr>
          <w:i/>
          <w:szCs w:val="22"/>
          <w:lang w:val="hu-HU" w:eastAsia="hu-HU"/>
        </w:rPr>
        <w:t>ek</w:t>
      </w:r>
    </w:p>
    <w:p w14:paraId="1BA4F3EC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Előrehaladott, csontot is involváló, rosszindulatú daganatos betegségekben szenvedő betegek csontrendszert érintő eseményeinek megelőzésére az ajánlott adag 4 mg zoledronsav</w:t>
      </w:r>
      <w:r w:rsidR="00BB78E7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4 hetenként.</w:t>
      </w:r>
    </w:p>
    <w:p w14:paraId="222E63FA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8BE2CFC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betegeknek </w:t>
      </w:r>
      <w:r w:rsidRPr="00424A82">
        <w:rPr>
          <w:i/>
          <w:szCs w:val="22"/>
          <w:lang w:val="hu-HU" w:eastAsia="hu-HU"/>
        </w:rPr>
        <w:t>per os</w:t>
      </w:r>
      <w:r w:rsidR="00081DDC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napi 500</w:t>
      </w:r>
      <w:r w:rsidR="006969F9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 kalciumpótlást és 400</w:t>
      </w:r>
      <w:r w:rsidR="006969F9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NE D-vitamint is kell kapniuk.</w:t>
      </w:r>
    </w:p>
    <w:p w14:paraId="62D09E1B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84E547C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csontáttétes betegek csontrendszert érintő eseményeinek megelőzése céljából történő kezeléséről hozott döntéskor tekintetbe kell venni, hogy a kezelés hatásának kialakulása 2</w:t>
      </w:r>
      <w:r w:rsidR="00442EB5">
        <w:rPr>
          <w:szCs w:val="22"/>
          <w:lang w:val="hu-HU" w:eastAsia="hu-HU"/>
        </w:rPr>
        <w:t>–</w:t>
      </w:r>
      <w:r w:rsidRPr="00171E38">
        <w:rPr>
          <w:szCs w:val="22"/>
          <w:lang w:val="hu-HU" w:eastAsia="hu-HU"/>
        </w:rPr>
        <w:t>3 hónap.</w:t>
      </w:r>
    </w:p>
    <w:p w14:paraId="700C21B7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C764F4F" w14:textId="77777777" w:rsidR="00420367" w:rsidRPr="00171E38" w:rsidRDefault="00420367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Vesekárosodás</w:t>
      </w:r>
    </w:p>
    <w:p w14:paraId="01CD5DD9" w14:textId="77777777" w:rsidR="00420367" w:rsidRPr="00171E38" w:rsidRDefault="00420367" w:rsidP="00171E38">
      <w:pPr>
        <w:pStyle w:val="Default"/>
        <w:widowControl w:val="0"/>
        <w:suppressAutoHyphens/>
        <w:rPr>
          <w:sz w:val="22"/>
          <w:szCs w:val="22"/>
        </w:rPr>
      </w:pPr>
      <w:r w:rsidRPr="00171E38">
        <w:rPr>
          <w:sz w:val="22"/>
          <w:szCs w:val="22"/>
        </w:rPr>
        <w:t xml:space="preserve">Myeloma multiplexben vagy szolid tumorokból eredő </w:t>
      </w:r>
      <w:r w:rsidRPr="00171E38">
        <w:rPr>
          <w:rStyle w:val="st"/>
          <w:sz w:val="22"/>
          <w:szCs w:val="22"/>
        </w:rPr>
        <w:t xml:space="preserve">metasztatikus </w:t>
      </w:r>
      <w:r w:rsidRPr="00171E38">
        <w:rPr>
          <w:sz w:val="22"/>
          <w:szCs w:val="22"/>
        </w:rPr>
        <w:t>csontelváltozásokban szenvedő betegek Zoledronsav Richter-kezelésének megkezdésekor meg kell határozni a szérumkreatinin</w:t>
      </w:r>
      <w:r w:rsidR="0019723A">
        <w:rPr>
          <w:sz w:val="22"/>
          <w:szCs w:val="22"/>
        </w:rPr>
        <w:t>-</w:t>
      </w:r>
      <w:r w:rsidRPr="00171E38">
        <w:rPr>
          <w:sz w:val="22"/>
          <w:szCs w:val="22"/>
        </w:rPr>
        <w:t>szintet és a kreatinin-clearance-et (CLcr). A kreatinin-clearance a Cockcroft</w:t>
      </w:r>
      <w:r w:rsidR="0019723A">
        <w:rPr>
          <w:sz w:val="22"/>
          <w:szCs w:val="22"/>
        </w:rPr>
        <w:t>–</w:t>
      </w:r>
      <w:r w:rsidRPr="00171E38">
        <w:rPr>
          <w:sz w:val="22"/>
          <w:szCs w:val="22"/>
        </w:rPr>
        <w:t>Gault</w:t>
      </w:r>
      <w:r w:rsidR="0019723A">
        <w:rPr>
          <w:sz w:val="22"/>
          <w:szCs w:val="22"/>
        </w:rPr>
        <w:t>-</w:t>
      </w:r>
      <w:r w:rsidRPr="00171E38">
        <w:rPr>
          <w:sz w:val="22"/>
          <w:szCs w:val="22"/>
        </w:rPr>
        <w:t>képlet segítségével számolható ki a szérumkreatininből. A Zoledronsav Richter nem javasolt azon betegek számára, akiknek a kezelés megkezdése előtt súlyos vesekárosodásuk volt (aminek az e populációra vonatkozó definíciója: kreatinin-clearance &lt;30 ml/perc érték</w:t>
      </w:r>
      <w:r w:rsidR="007F09D8">
        <w:rPr>
          <w:sz w:val="22"/>
          <w:szCs w:val="22"/>
        </w:rPr>
        <w:t>)</w:t>
      </w:r>
      <w:r w:rsidRPr="00171E38">
        <w:rPr>
          <w:sz w:val="22"/>
          <w:szCs w:val="22"/>
        </w:rPr>
        <w:t xml:space="preserve">. A zoledronsavval végzett klinikai vizsgálatokból kizárták azokat a betegeket, akiknek a szérum kreatininszintje meghaladta a 265 mikromol/l vagy </w:t>
      </w:r>
      <w:r w:rsidR="006969F9">
        <w:rPr>
          <w:sz w:val="22"/>
          <w:szCs w:val="22"/>
        </w:rPr>
        <w:t xml:space="preserve">a </w:t>
      </w:r>
      <w:r w:rsidRPr="00171E38">
        <w:rPr>
          <w:sz w:val="22"/>
          <w:szCs w:val="22"/>
        </w:rPr>
        <w:t>3 mg/dl értéket.</w:t>
      </w:r>
    </w:p>
    <w:p w14:paraId="3E9600A2" w14:textId="77777777" w:rsidR="00420367" w:rsidRPr="00171E38" w:rsidRDefault="00420367" w:rsidP="00171E38">
      <w:pPr>
        <w:pStyle w:val="Default"/>
        <w:widowControl w:val="0"/>
        <w:suppressAutoHyphens/>
        <w:rPr>
          <w:sz w:val="22"/>
          <w:szCs w:val="22"/>
        </w:rPr>
      </w:pPr>
    </w:p>
    <w:p w14:paraId="1BA3268A" w14:textId="77777777" w:rsidR="00420367" w:rsidRPr="00171E38" w:rsidRDefault="004451A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4451A7">
        <w:rPr>
          <w:szCs w:val="22"/>
          <w:lang w:val="hu-HU"/>
        </w:rPr>
        <w:t>Az egészséges veseműködésű betegeknek (a definíció szerint a kreatinin-clearance &gt;60 ml/perc) a zoledronsav 4 mg/100 ml oldatos infúziót</w:t>
      </w:r>
      <w:r w:rsidRPr="004451A7" w:rsidDel="00325C70">
        <w:rPr>
          <w:szCs w:val="22"/>
          <w:lang w:val="hu-HU"/>
        </w:rPr>
        <w:t xml:space="preserve"> </w:t>
      </w:r>
      <w:r w:rsidRPr="004451A7">
        <w:rPr>
          <w:szCs w:val="22"/>
          <w:lang w:val="hu-HU"/>
        </w:rPr>
        <w:t xml:space="preserve">közvetlenül, minden további előkészítés nélkül be lehet adni. </w:t>
      </w:r>
      <w:r w:rsidR="00420367" w:rsidRPr="00171E38">
        <w:rPr>
          <w:szCs w:val="22"/>
          <w:lang w:val="hu-HU"/>
        </w:rPr>
        <w:t>Azon csontmetasztázisokban szenvedő betegek esetében, akiknek a kezelés megkezdése előtt enyhe-, közepes fokú vesekárosodásuk volt – aminek az e populációra vonatkozó definíciója: kreatinin-clearance 30–60 ml/perc – a következő Zoledronsav Richter adagok javasoltak (lásd még 4.4 pont):</w:t>
      </w:r>
    </w:p>
    <w:p w14:paraId="5D0A44E3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tbl>
      <w:tblPr>
        <w:tblW w:w="9483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99"/>
        <w:gridCol w:w="4184"/>
      </w:tblGrid>
      <w:tr w:rsidR="00420367" w:rsidRPr="00171E38" w14:paraId="52CF034F" w14:textId="77777777" w:rsidTr="007A1A9A">
        <w:trPr>
          <w:trHeight w:val="146"/>
        </w:trPr>
        <w:tc>
          <w:tcPr>
            <w:tcW w:w="52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01A09D" w14:textId="77777777" w:rsidR="00420367" w:rsidRPr="00171E38" w:rsidRDefault="00420367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b/>
                <w:bCs/>
                <w:sz w:val="22"/>
                <w:szCs w:val="22"/>
              </w:rPr>
              <w:t>Kiindulási kreatinin-clearance (ml/perc)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B934E" w14:textId="77777777" w:rsidR="00420367" w:rsidRPr="00171E38" w:rsidRDefault="00420367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b/>
                <w:bCs/>
                <w:sz w:val="22"/>
                <w:szCs w:val="22"/>
              </w:rPr>
              <w:t>Javasolt Zoledronsav Richter dózis*</w:t>
            </w:r>
          </w:p>
        </w:tc>
      </w:tr>
      <w:tr w:rsidR="00420367" w:rsidRPr="00171E38" w14:paraId="25D31AB3" w14:textId="77777777" w:rsidTr="007A1A9A">
        <w:trPr>
          <w:trHeight w:val="1062"/>
        </w:trPr>
        <w:tc>
          <w:tcPr>
            <w:tcW w:w="5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EBDB8" w14:textId="77777777" w:rsidR="00420367" w:rsidRPr="00C052E4" w:rsidRDefault="00420367" w:rsidP="00C052E4">
            <w:pPr>
              <w:pStyle w:val="Default"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&gt;60</w:t>
            </w:r>
          </w:p>
          <w:p w14:paraId="32813BBF" w14:textId="77777777" w:rsidR="00420367" w:rsidRPr="00C052E4" w:rsidRDefault="00420367" w:rsidP="00C052E4">
            <w:pPr>
              <w:pStyle w:val="Default"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50–60</w:t>
            </w:r>
          </w:p>
          <w:p w14:paraId="22DDEA8D" w14:textId="77777777" w:rsidR="00420367" w:rsidRPr="00171E38" w:rsidRDefault="00420367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40–49</w:t>
            </w:r>
          </w:p>
          <w:p w14:paraId="367BE6BC" w14:textId="77777777" w:rsidR="00420367" w:rsidRPr="00171E38" w:rsidRDefault="00420367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30–39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F8706" w14:textId="77777777" w:rsidR="00420367" w:rsidRPr="00171E38" w:rsidRDefault="00420367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4,0 mg zoledronsav</w:t>
            </w:r>
          </w:p>
          <w:p w14:paraId="67FBCB04" w14:textId="77777777" w:rsidR="00420367" w:rsidRPr="00171E38" w:rsidRDefault="00420367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3,5 mg* zoledronsav</w:t>
            </w:r>
          </w:p>
          <w:p w14:paraId="41A8507D" w14:textId="77777777" w:rsidR="00420367" w:rsidRPr="00171E38" w:rsidRDefault="00420367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3,3 mg* zoledronsav</w:t>
            </w:r>
          </w:p>
          <w:p w14:paraId="7124A4CC" w14:textId="77777777" w:rsidR="00420367" w:rsidRPr="00171E38" w:rsidRDefault="00420367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3,0 mg* zoledronsav</w:t>
            </w:r>
          </w:p>
        </w:tc>
      </w:tr>
    </w:tbl>
    <w:p w14:paraId="2EB410C8" w14:textId="77777777" w:rsidR="00420367" w:rsidRPr="00171E38" w:rsidRDefault="00420367" w:rsidP="00C052E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*A dózisokat 0,66 (mg</w:t>
      </w:r>
      <w:r w:rsidR="007F09D8" w:rsidRPr="0072011B">
        <w:rPr>
          <w:lang w:val="hu-HU"/>
        </w:rPr>
        <w:t>×</w:t>
      </w:r>
      <w:r w:rsidRPr="00171E38">
        <w:rPr>
          <w:szCs w:val="22"/>
          <w:lang w:val="hu-HU"/>
        </w:rPr>
        <w:t>óra/l) AUC (kreatinin-clearance</w:t>
      </w:r>
      <w:r w:rsidR="00F833C0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=</w:t>
      </w:r>
      <w:r w:rsidR="00F833C0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75 ml/perc) célérték feltételezésével számolták ki. A károsodott veseműködésű betegek csökkentett adagjaival várhatóan ugyanolyan AUC érhető el, mint a 75 ml/perc kreatinin-clearance-ű betegek esetében.</w:t>
      </w:r>
    </w:p>
    <w:p w14:paraId="4CF494A2" w14:textId="77777777" w:rsidR="00420367" w:rsidRPr="00171E38" w:rsidRDefault="00420367" w:rsidP="00C052E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DF6EBBB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kezelés megkezdését követően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minden egyes adagjának beadása előtt meg kell mérni a szérumkreatinin</w:t>
      </w:r>
      <w:r w:rsidR="007F09D8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>szintet, és a veseműködés romlása esetén a kezelést fel kell függeszteni. A klinikai vizsgálatokban a vesefunkció romlását az alábbiak jelentették:</w:t>
      </w:r>
    </w:p>
    <w:p w14:paraId="64BE5FD0" w14:textId="77777777" w:rsidR="00420367" w:rsidRPr="00171E38" w:rsidRDefault="00420367" w:rsidP="00171E38">
      <w:pPr>
        <w:widowControl w:val="0"/>
        <w:numPr>
          <w:ilvl w:val="0"/>
          <w:numId w:val="42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normál kiindulási kreatininszintű (&lt;1,4 mg/dl vagy &lt;124 mikromol/l) betegek esetében: ha a növekedés 0,5 mg/dl vagy 44 mikromol/l volt;</w:t>
      </w:r>
    </w:p>
    <w:p w14:paraId="766EAA91" w14:textId="77777777" w:rsidR="00420367" w:rsidRPr="00171E38" w:rsidRDefault="00420367" w:rsidP="00171E38">
      <w:pPr>
        <w:widowControl w:val="0"/>
        <w:numPr>
          <w:ilvl w:val="0"/>
          <w:numId w:val="42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kóros kiindulási kreatini</w:t>
      </w:r>
      <w:r w:rsidR="007F09D8">
        <w:rPr>
          <w:szCs w:val="22"/>
          <w:lang w:val="hu-HU" w:eastAsia="hu-HU"/>
        </w:rPr>
        <w:t>n</w:t>
      </w:r>
      <w:r w:rsidRPr="00171E38">
        <w:rPr>
          <w:szCs w:val="22"/>
          <w:lang w:val="hu-HU" w:eastAsia="hu-HU"/>
        </w:rPr>
        <w:t>szintű (&gt;1,4 mg/dl vagy &gt;124 mikromol/l) betegek esetében: ha a növekedés 1 mg/dl vagy 88 mikromol/l volt.</w:t>
      </w:r>
    </w:p>
    <w:p w14:paraId="0E926E1F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22974F0A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Klinikai vizsgálatokban a zoledronsav-kezelést csak akkor kezdték újra, amikor a kreatininszint már nem haladta meg 10%-</w:t>
      </w:r>
      <w:r w:rsidR="00E47439">
        <w:rPr>
          <w:szCs w:val="22"/>
          <w:lang w:val="hu-HU" w:eastAsia="hu-HU"/>
        </w:rPr>
        <w:t>k</w:t>
      </w:r>
      <w:r w:rsidRPr="00171E38">
        <w:rPr>
          <w:szCs w:val="22"/>
          <w:lang w:val="hu-HU" w:eastAsia="hu-HU"/>
        </w:rPr>
        <w:t xml:space="preserve">al a kiindulási értéket (lásd 4.4 pont).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Richter-kezelést a terápia megszakítása előtt adott adaggal kell újrakezdeni.</w:t>
      </w:r>
    </w:p>
    <w:p w14:paraId="21BFF9D1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CDF8FD4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Gyermekek</w:t>
      </w:r>
      <w:r w:rsidR="00DC30E4" w:rsidRPr="00171E38">
        <w:rPr>
          <w:i/>
          <w:szCs w:val="22"/>
          <w:lang w:val="hu-HU" w:eastAsia="hu-HU"/>
        </w:rPr>
        <w:t xml:space="preserve"> és serdülők</w:t>
      </w:r>
    </w:p>
    <w:p w14:paraId="079DAE1B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zoledronsav biztonságosságát és hatásosságát </w:t>
      </w:r>
      <w:r w:rsidR="001844FF">
        <w:rPr>
          <w:szCs w:val="22"/>
          <w:lang w:val="hu-HU" w:eastAsia="hu-HU"/>
        </w:rPr>
        <w:t xml:space="preserve">az </w:t>
      </w:r>
      <w:r w:rsidRPr="00171E38">
        <w:rPr>
          <w:szCs w:val="22"/>
          <w:lang w:val="hu-HU" w:eastAsia="hu-HU"/>
        </w:rPr>
        <w:t>1</w:t>
      </w:r>
      <w:r w:rsidR="0020570B">
        <w:rPr>
          <w:szCs w:val="22"/>
          <w:lang w:val="hu-HU" w:eastAsia="hu-HU"/>
        </w:rPr>
        <w:t xml:space="preserve"> év</w:t>
      </w:r>
      <w:r w:rsidR="001844FF">
        <w:rPr>
          <w:szCs w:val="22"/>
          <w:lang w:val="hu-HU" w:eastAsia="hu-HU"/>
        </w:rPr>
        <w:t xml:space="preserve"> és betöltött 18</w:t>
      </w:r>
      <w:r w:rsidR="0020570B">
        <w:rPr>
          <w:szCs w:val="22"/>
          <w:lang w:val="hu-HU" w:eastAsia="hu-HU"/>
        </w:rPr>
        <w:t>.</w:t>
      </w:r>
      <w:r w:rsidR="006969F9">
        <w:rPr>
          <w:szCs w:val="22"/>
          <w:lang w:val="hu-HU" w:eastAsia="hu-HU"/>
        </w:rPr>
        <w:t> élet</w:t>
      </w:r>
      <w:r w:rsidR="00C014E2">
        <w:rPr>
          <w:szCs w:val="22"/>
          <w:lang w:val="hu-HU" w:eastAsia="hu-HU"/>
        </w:rPr>
        <w:t>év</w:t>
      </w:r>
      <w:r w:rsidR="0020570B">
        <w:rPr>
          <w:szCs w:val="22"/>
          <w:lang w:val="hu-HU" w:eastAsia="hu-HU"/>
        </w:rPr>
        <w:t xml:space="preserve"> közötti</w:t>
      </w:r>
      <w:r w:rsidRPr="00171E38">
        <w:rPr>
          <w:szCs w:val="22"/>
          <w:lang w:val="hu-HU" w:eastAsia="hu-HU"/>
        </w:rPr>
        <w:t xml:space="preserve"> gyermekek </w:t>
      </w:r>
      <w:r w:rsidR="00E47439">
        <w:rPr>
          <w:szCs w:val="22"/>
          <w:lang w:val="hu-HU" w:eastAsia="hu-HU"/>
        </w:rPr>
        <w:t xml:space="preserve">és serdülők </w:t>
      </w:r>
      <w:r w:rsidRPr="00171E38">
        <w:rPr>
          <w:szCs w:val="22"/>
          <w:lang w:val="hu-HU" w:eastAsia="hu-HU"/>
        </w:rPr>
        <w:t>esetében nem igazolták. A jelenleg rendelkezésre álló adatok le</w:t>
      </w:r>
      <w:r w:rsidR="00E47439">
        <w:rPr>
          <w:szCs w:val="22"/>
          <w:lang w:val="hu-HU" w:eastAsia="hu-HU"/>
        </w:rPr>
        <w:t>írása</w:t>
      </w:r>
      <w:r w:rsidRPr="00171E38">
        <w:rPr>
          <w:szCs w:val="22"/>
          <w:lang w:val="hu-HU" w:eastAsia="hu-HU"/>
        </w:rPr>
        <w:t xml:space="preserve"> az 5.1 pontban található, de nincs az adagolásra vonatkozó java</w:t>
      </w:r>
      <w:r w:rsidR="00E47439">
        <w:rPr>
          <w:szCs w:val="22"/>
          <w:lang w:val="hu-HU" w:eastAsia="hu-HU"/>
        </w:rPr>
        <w:t>s</w:t>
      </w:r>
      <w:r w:rsidRPr="00171E38">
        <w:rPr>
          <w:szCs w:val="22"/>
          <w:lang w:val="hu-HU" w:eastAsia="hu-HU"/>
        </w:rPr>
        <w:t>lat.</w:t>
      </w:r>
    </w:p>
    <w:p w14:paraId="472CFF79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2451B19B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>Az alkalmazás módja</w:t>
      </w:r>
    </w:p>
    <w:p w14:paraId="6D174951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</w:p>
    <w:p w14:paraId="3164A99A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Intravénás alkalmazás</w:t>
      </w:r>
      <w:r w:rsidR="00BB78E7">
        <w:rPr>
          <w:szCs w:val="22"/>
          <w:lang w:val="hu-HU" w:eastAsia="hu-HU"/>
        </w:rPr>
        <w:t>ra</w:t>
      </w:r>
      <w:r w:rsidRPr="00171E38">
        <w:rPr>
          <w:szCs w:val="22"/>
          <w:lang w:val="hu-HU" w:eastAsia="hu-HU"/>
        </w:rPr>
        <w:t>.</w:t>
      </w:r>
    </w:p>
    <w:p w14:paraId="7DCB587A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D0E30DC" w14:textId="77777777" w:rsidR="00420367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</w:t>
      </w:r>
      <w:r w:rsidR="00571CC5">
        <w:rPr>
          <w:szCs w:val="22"/>
          <w:lang w:val="hu-HU" w:eastAsia="hu-HU"/>
        </w:rPr>
        <w:t>4 mg/100 ml</w:t>
      </w:r>
      <w:r w:rsidRPr="00171E38">
        <w:rPr>
          <w:szCs w:val="22"/>
          <w:lang w:val="hu-HU" w:eastAsia="hu-HU"/>
        </w:rPr>
        <w:t xml:space="preserve"> </w:t>
      </w:r>
      <w:r w:rsidR="00571CC5">
        <w:rPr>
          <w:szCs w:val="22"/>
          <w:lang w:val="hu-HU" w:eastAsia="hu-HU"/>
        </w:rPr>
        <w:t>oldatos infúzió</w:t>
      </w:r>
      <w:r w:rsidRPr="00171E38">
        <w:rPr>
          <w:szCs w:val="22"/>
          <w:lang w:val="hu-HU" w:eastAsia="hu-HU"/>
        </w:rPr>
        <w:t xml:space="preserve"> készítményt egyszeri intravénás infúzióban, legalább 15</w:t>
      </w:r>
      <w:r w:rsidR="00F47A94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perc alatt kell beadni.</w:t>
      </w:r>
    </w:p>
    <w:p w14:paraId="24756188" w14:textId="77777777" w:rsidR="005A63E5" w:rsidRDefault="005A63E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62B70C1" w14:textId="77777777" w:rsidR="005A63E5" w:rsidRPr="00171E38" w:rsidRDefault="005A63E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5A63E5">
        <w:rPr>
          <w:szCs w:val="22"/>
          <w:lang w:val="hu-HU" w:eastAsia="hu-HU"/>
        </w:rPr>
        <w:t>Az egészséges veseműködésű betegeknél, melynek definíciója, hogy a kreatinin-clearance &gt; 60 ml/perc, a zoledronsav 4 mg/100 ml oldatos infúziót tilos tovább hígítani!</w:t>
      </w:r>
    </w:p>
    <w:p w14:paraId="0B91677F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43C1C45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Az enyh</w:t>
      </w:r>
      <w:r w:rsidR="00E47439">
        <w:rPr>
          <w:szCs w:val="22"/>
          <w:lang w:val="hu-HU" w:eastAsia="hu-HU"/>
        </w:rPr>
        <w:t>e vagy</w:t>
      </w:r>
      <w:r w:rsidRPr="00171E38">
        <w:rPr>
          <w:szCs w:val="22"/>
          <w:lang w:val="hu-HU" w:eastAsia="hu-HU"/>
        </w:rPr>
        <w:t xml:space="preserve"> közepesen súlyos </w:t>
      </w:r>
      <w:r w:rsidR="00E47439" w:rsidRPr="0058399D">
        <w:rPr>
          <w:lang w:val="hu-HU"/>
        </w:rPr>
        <w:t>vesekárosodásban szenvedő</w:t>
      </w:r>
      <w:r w:rsidR="00E47439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betegeknél csökkentett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adagok alkalmazása javasolt (lásd fent „Adagolás” és a </w:t>
      </w:r>
      <w:r w:rsidR="00ED0253" w:rsidRPr="00171E38">
        <w:rPr>
          <w:szCs w:val="22"/>
          <w:lang w:val="hu-HU" w:eastAsia="hu-HU"/>
        </w:rPr>
        <w:t>4.4</w:t>
      </w:r>
      <w:r w:rsidRPr="00171E38">
        <w:rPr>
          <w:szCs w:val="22"/>
          <w:lang w:val="hu-HU" w:eastAsia="hu-HU"/>
        </w:rPr>
        <w:t xml:space="preserve"> pont).</w:t>
      </w:r>
    </w:p>
    <w:p w14:paraId="7115788D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</w:p>
    <w:p w14:paraId="5FBEB23B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 xml:space="preserve">Útmutatás a </w:t>
      </w:r>
      <w:r w:rsidRPr="00171E38">
        <w:rPr>
          <w:szCs w:val="22"/>
          <w:u w:val="single"/>
          <w:lang w:val="hu-HU"/>
        </w:rPr>
        <w:t>Zoledronsav</w:t>
      </w:r>
      <w:r w:rsidRPr="00171E38">
        <w:rPr>
          <w:szCs w:val="22"/>
          <w:u w:val="single"/>
          <w:lang w:val="hu-HU" w:eastAsia="hu-HU"/>
        </w:rPr>
        <w:t xml:space="preserve"> Richter csökkentett adagjainak elkészítéséhez</w:t>
      </w:r>
    </w:p>
    <w:p w14:paraId="31C868C3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067C6D2" w14:textId="77777777" w:rsidR="006969F9" w:rsidRPr="006969F9" w:rsidRDefault="006969F9" w:rsidP="006969F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color w:val="000000"/>
          <w:szCs w:val="22"/>
          <w:lang w:val="hu-HU" w:eastAsia="hu-HU"/>
        </w:rPr>
      </w:pPr>
      <w:r w:rsidRPr="006969F9">
        <w:rPr>
          <w:rFonts w:eastAsia="Calibri"/>
          <w:color w:val="000000"/>
          <w:szCs w:val="22"/>
          <w:lang w:val="hu-HU" w:eastAsia="hu-HU"/>
        </w:rPr>
        <w:t xml:space="preserve">Azon betegek csökkentett dózisainak elkészítéséhez, akiknek a kiindulási kreatinin-clearance-e ≤ 60 ml/perc, lásd az alábbi, 1. táblázatot. Szívja </w:t>
      </w:r>
      <w:r w:rsidRPr="00E74A9E">
        <w:rPr>
          <w:rFonts w:eastAsia="Calibri"/>
          <w:color w:val="000000"/>
          <w:szCs w:val="22"/>
          <w:lang w:val="hu-HU" w:eastAsia="hu-HU"/>
        </w:rPr>
        <w:t xml:space="preserve">ki az </w:t>
      </w:r>
      <w:r w:rsidR="00E74A9E" w:rsidRPr="00E74A9E">
        <w:rPr>
          <w:rFonts w:eastAsia="Calibri"/>
          <w:color w:val="000000"/>
          <w:szCs w:val="22"/>
          <w:lang w:val="hu-HU" w:eastAsia="hu-HU"/>
        </w:rPr>
        <w:t xml:space="preserve">a </w:t>
      </w:r>
      <w:r w:rsidRPr="00EA23D0">
        <w:rPr>
          <w:rFonts w:eastAsia="Calibri"/>
          <w:color w:val="000000"/>
          <w:szCs w:val="22"/>
          <w:lang w:val="hu-HU" w:eastAsia="hu-HU"/>
        </w:rPr>
        <w:t>polipropilén (PP) tartályból a zoledronsav oldat javasolt dózis</w:t>
      </w:r>
      <w:r w:rsidRPr="006969F9">
        <w:rPr>
          <w:rFonts w:eastAsia="Calibri"/>
          <w:color w:val="000000"/>
          <w:szCs w:val="22"/>
          <w:lang w:val="hu-HU" w:eastAsia="hu-HU"/>
        </w:rPr>
        <w:t>át, és pótolja azt azonos térfogatú steril, 9 mg/ml-es (0,9%-os) nátrium-klorid injekciós oldattal vagy 5%-os glükóz injekciós oldattal.</w:t>
      </w:r>
    </w:p>
    <w:p w14:paraId="58435927" w14:textId="77777777" w:rsidR="006969F9" w:rsidRPr="006969F9" w:rsidRDefault="006969F9" w:rsidP="006969F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color w:val="000000"/>
          <w:szCs w:val="22"/>
          <w:lang w:val="hu-HU" w:eastAsia="hu-HU"/>
        </w:rPr>
      </w:pPr>
    </w:p>
    <w:p w14:paraId="2AC0188B" w14:textId="77777777" w:rsidR="006969F9" w:rsidRPr="006969F9" w:rsidRDefault="006969F9" w:rsidP="006969F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bCs/>
          <w:color w:val="000000"/>
          <w:szCs w:val="22"/>
          <w:lang w:val="hu-HU" w:eastAsia="hu-HU"/>
        </w:rPr>
      </w:pPr>
      <w:r w:rsidRPr="006969F9">
        <w:rPr>
          <w:rFonts w:eastAsia="Calibri"/>
          <w:b/>
          <w:bCs/>
          <w:color w:val="000000"/>
          <w:szCs w:val="22"/>
          <w:lang w:val="hu-HU" w:eastAsia="hu-HU"/>
        </w:rPr>
        <w:t>1. táblázat:</w:t>
      </w:r>
      <w:r w:rsidRPr="006969F9">
        <w:rPr>
          <w:rFonts w:eastAsia="Calibri"/>
          <w:bCs/>
          <w:color w:val="000000"/>
          <w:szCs w:val="22"/>
          <w:lang w:val="hu-HU" w:eastAsia="hu-HU"/>
        </w:rPr>
        <w:t xml:space="preserve"> A zoledronsav 4 mg/100 ml oldatos infúzió csökkentett dózisainak elkészítése</w:t>
      </w:r>
    </w:p>
    <w:p w14:paraId="267A4B23" w14:textId="77777777" w:rsidR="006969F9" w:rsidRPr="006969F9" w:rsidRDefault="006969F9" w:rsidP="006969F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color w:val="000000"/>
          <w:szCs w:val="22"/>
          <w:lang w:val="hu-HU" w:eastAsia="hu-HU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2204"/>
        <w:gridCol w:w="2204"/>
        <w:gridCol w:w="2204"/>
        <w:gridCol w:w="2204"/>
      </w:tblGrid>
      <w:tr w:rsidR="006969F9" w:rsidRPr="006969F9" w14:paraId="1B46FB96" w14:textId="77777777" w:rsidTr="00941614">
        <w:trPr>
          <w:trHeight w:val="730"/>
        </w:trPr>
        <w:tc>
          <w:tcPr>
            <w:tcW w:w="2204" w:type="dxa"/>
          </w:tcPr>
          <w:p w14:paraId="3CA151DC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b/>
                <w:bCs/>
                <w:color w:val="000000"/>
                <w:szCs w:val="22"/>
                <w:lang w:val="hu-HU" w:eastAsia="hu-HU"/>
              </w:rPr>
              <w:t>Kiindulási kreatinin-clearance (ml/perc)</w:t>
            </w:r>
          </w:p>
        </w:tc>
        <w:tc>
          <w:tcPr>
            <w:tcW w:w="2204" w:type="dxa"/>
          </w:tcPr>
          <w:p w14:paraId="13CE3E17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b/>
                <w:bCs/>
                <w:color w:val="000000"/>
                <w:szCs w:val="22"/>
                <w:lang w:val="hu-HU" w:eastAsia="hu-HU"/>
              </w:rPr>
              <w:t xml:space="preserve">Szívja ki az alábbi mennyiséget a </w:t>
            </w:r>
            <w:r w:rsidRPr="006969F9">
              <w:rPr>
                <w:b/>
                <w:color w:val="000000"/>
                <w:szCs w:val="22"/>
                <w:lang w:val="hu-HU" w:eastAsia="hu-HU"/>
              </w:rPr>
              <w:t>zoledronsav oldatos infúzióból</w:t>
            </w:r>
            <w:r w:rsidRPr="006969F9" w:rsidDel="007C37DC">
              <w:rPr>
                <w:rFonts w:eastAsia="Calibri"/>
                <w:b/>
                <w:bCs/>
                <w:color w:val="000000"/>
                <w:szCs w:val="22"/>
                <w:lang w:val="hu-HU" w:eastAsia="hu-HU"/>
              </w:rPr>
              <w:t xml:space="preserve"> </w:t>
            </w:r>
            <w:r w:rsidRPr="006969F9">
              <w:rPr>
                <w:rFonts w:eastAsia="Calibri"/>
                <w:b/>
                <w:bCs/>
                <w:color w:val="000000"/>
                <w:szCs w:val="22"/>
                <w:lang w:val="hu-HU" w:eastAsia="hu-HU"/>
              </w:rPr>
              <w:t>(ml)</w:t>
            </w:r>
          </w:p>
        </w:tc>
        <w:tc>
          <w:tcPr>
            <w:tcW w:w="2204" w:type="dxa"/>
          </w:tcPr>
          <w:p w14:paraId="6A30B1AC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b/>
                <w:bCs/>
                <w:color w:val="000000"/>
                <w:szCs w:val="22"/>
                <w:lang w:val="hu-HU" w:eastAsia="hu-HU"/>
              </w:rPr>
              <w:t>Pótolja az alábbi mennyiségű, steril, 9 mg/ml-es (0,9%-os) nátrium-klorid vagy 5%-os glükóz injekciós oldattal (ml)</w:t>
            </w:r>
          </w:p>
        </w:tc>
        <w:tc>
          <w:tcPr>
            <w:tcW w:w="2204" w:type="dxa"/>
          </w:tcPr>
          <w:p w14:paraId="691D11F6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b/>
                <w:bCs/>
                <w:color w:val="000000"/>
                <w:szCs w:val="22"/>
                <w:lang w:val="hu-HU" w:eastAsia="hu-HU"/>
              </w:rPr>
              <w:t>Korrigált dózis (mg zoledronsav 100 ml-ben)</w:t>
            </w:r>
          </w:p>
        </w:tc>
      </w:tr>
      <w:tr w:rsidR="006969F9" w:rsidRPr="006969F9" w14:paraId="7B3BB0E1" w14:textId="77777777" w:rsidTr="00941614">
        <w:trPr>
          <w:trHeight w:val="100"/>
        </w:trPr>
        <w:tc>
          <w:tcPr>
            <w:tcW w:w="2204" w:type="dxa"/>
          </w:tcPr>
          <w:p w14:paraId="0D2E6E94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50–60</w:t>
            </w:r>
          </w:p>
        </w:tc>
        <w:tc>
          <w:tcPr>
            <w:tcW w:w="2204" w:type="dxa"/>
          </w:tcPr>
          <w:p w14:paraId="4954E960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12,0</w:t>
            </w:r>
          </w:p>
        </w:tc>
        <w:tc>
          <w:tcPr>
            <w:tcW w:w="2204" w:type="dxa"/>
          </w:tcPr>
          <w:p w14:paraId="5989D7E6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12,0</w:t>
            </w:r>
          </w:p>
        </w:tc>
        <w:tc>
          <w:tcPr>
            <w:tcW w:w="2204" w:type="dxa"/>
          </w:tcPr>
          <w:p w14:paraId="182C6C19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3,5</w:t>
            </w:r>
          </w:p>
        </w:tc>
      </w:tr>
      <w:tr w:rsidR="006969F9" w:rsidRPr="006969F9" w14:paraId="03ADFDB3" w14:textId="77777777" w:rsidTr="00941614">
        <w:trPr>
          <w:trHeight w:val="100"/>
        </w:trPr>
        <w:tc>
          <w:tcPr>
            <w:tcW w:w="2204" w:type="dxa"/>
          </w:tcPr>
          <w:p w14:paraId="3BFD919D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40–49</w:t>
            </w:r>
          </w:p>
        </w:tc>
        <w:tc>
          <w:tcPr>
            <w:tcW w:w="2204" w:type="dxa"/>
          </w:tcPr>
          <w:p w14:paraId="09C800D7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18,0</w:t>
            </w:r>
          </w:p>
        </w:tc>
        <w:tc>
          <w:tcPr>
            <w:tcW w:w="2204" w:type="dxa"/>
          </w:tcPr>
          <w:p w14:paraId="58D4F28C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18,0</w:t>
            </w:r>
          </w:p>
        </w:tc>
        <w:tc>
          <w:tcPr>
            <w:tcW w:w="2204" w:type="dxa"/>
          </w:tcPr>
          <w:p w14:paraId="7C69D8C5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3,3</w:t>
            </w:r>
          </w:p>
        </w:tc>
      </w:tr>
      <w:tr w:rsidR="006969F9" w:rsidRPr="006969F9" w14:paraId="5190DC16" w14:textId="77777777" w:rsidTr="00941614">
        <w:trPr>
          <w:trHeight w:val="100"/>
        </w:trPr>
        <w:tc>
          <w:tcPr>
            <w:tcW w:w="2204" w:type="dxa"/>
          </w:tcPr>
          <w:p w14:paraId="44EA6084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30–39</w:t>
            </w:r>
          </w:p>
        </w:tc>
        <w:tc>
          <w:tcPr>
            <w:tcW w:w="2204" w:type="dxa"/>
          </w:tcPr>
          <w:p w14:paraId="6E859366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25,0</w:t>
            </w:r>
          </w:p>
        </w:tc>
        <w:tc>
          <w:tcPr>
            <w:tcW w:w="2204" w:type="dxa"/>
          </w:tcPr>
          <w:p w14:paraId="15749C07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25,0</w:t>
            </w:r>
          </w:p>
        </w:tc>
        <w:tc>
          <w:tcPr>
            <w:tcW w:w="2204" w:type="dxa"/>
          </w:tcPr>
          <w:p w14:paraId="359288A4" w14:textId="77777777" w:rsidR="006969F9" w:rsidRPr="006969F9" w:rsidRDefault="006969F9" w:rsidP="006969F9">
            <w:pPr>
              <w:widowControl w:val="0"/>
              <w:tabs>
                <w:tab w:val="clear" w:pos="567"/>
              </w:tabs>
              <w:suppressAutoHyphens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szCs w:val="22"/>
                <w:lang w:val="hu-HU" w:eastAsia="hu-HU"/>
              </w:rPr>
            </w:pPr>
            <w:r w:rsidRPr="006969F9">
              <w:rPr>
                <w:rFonts w:eastAsia="Calibri"/>
                <w:color w:val="000000"/>
                <w:szCs w:val="22"/>
                <w:lang w:val="hu-HU" w:eastAsia="hu-HU"/>
              </w:rPr>
              <w:t>3,0</w:t>
            </w:r>
          </w:p>
        </w:tc>
      </w:tr>
    </w:tbl>
    <w:p w14:paraId="3D581009" w14:textId="77777777" w:rsidR="006969F9" w:rsidRPr="006969F9" w:rsidRDefault="006969F9" w:rsidP="006969F9">
      <w:pPr>
        <w:widowControl w:val="0"/>
        <w:tabs>
          <w:tab w:val="clear" w:pos="567"/>
        </w:tabs>
        <w:suppressAutoHyphens/>
        <w:spacing w:line="240" w:lineRule="auto"/>
        <w:rPr>
          <w:rFonts w:eastAsia="Calibri"/>
          <w:szCs w:val="22"/>
          <w:lang w:val="hu-HU"/>
        </w:rPr>
      </w:pPr>
    </w:p>
    <w:p w14:paraId="766BED27" w14:textId="77777777" w:rsidR="006969F9" w:rsidRPr="006969F9" w:rsidRDefault="006969F9" w:rsidP="006969F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color w:val="000000"/>
          <w:szCs w:val="22"/>
          <w:lang w:val="hu-HU" w:eastAsia="hu-HU"/>
        </w:rPr>
      </w:pPr>
      <w:r w:rsidRPr="006969F9">
        <w:rPr>
          <w:rFonts w:eastAsia="Calibri"/>
          <w:color w:val="000000"/>
          <w:szCs w:val="22"/>
          <w:lang w:val="hu-HU" w:eastAsia="hu-HU"/>
        </w:rPr>
        <w:t>A Zoledronsav Richter 4 mg/100 ml oldatos infúziót tilos más infúziós oldatokkal keverni, és egyszeri intravénás oldatként, külön infúziós szereléken át kell beadni!</w:t>
      </w:r>
    </w:p>
    <w:p w14:paraId="2575E0BD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63B77F8" w14:textId="77777777" w:rsidR="00420367" w:rsidRPr="00171E38" w:rsidRDefault="0042036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betegeket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alkalmazása előtt és azt követően kellően hidrált állapotban kell tartani.</w:t>
      </w:r>
    </w:p>
    <w:p w14:paraId="22763F9C" w14:textId="77777777" w:rsidR="00616D08" w:rsidRPr="00171E38" w:rsidRDefault="00616D08" w:rsidP="00171E38">
      <w:pPr>
        <w:spacing w:line="240" w:lineRule="auto"/>
        <w:rPr>
          <w:szCs w:val="22"/>
          <w:lang w:val="hu-HU"/>
        </w:rPr>
      </w:pPr>
    </w:p>
    <w:p w14:paraId="2D730755" w14:textId="77777777" w:rsidR="001B0D69" w:rsidRPr="00171E38" w:rsidRDefault="001A6B40" w:rsidP="00171E38">
      <w:pPr>
        <w:spacing w:line="240" w:lineRule="auto"/>
        <w:outlineLvl w:val="0"/>
        <w:rPr>
          <w:b/>
          <w:szCs w:val="22"/>
          <w:u w:val="single"/>
          <w:lang w:val="hu-HU"/>
        </w:rPr>
      </w:pPr>
      <w:r w:rsidRPr="00171E38">
        <w:rPr>
          <w:b/>
          <w:szCs w:val="22"/>
          <w:u w:val="single"/>
          <w:lang w:val="hu-HU"/>
        </w:rPr>
        <w:t>C</w:t>
      </w:r>
      <w:r w:rsidR="001B0D69" w:rsidRPr="00171E38">
        <w:rPr>
          <w:b/>
          <w:szCs w:val="22"/>
          <w:u w:val="single"/>
          <w:lang w:val="hu-HU"/>
        </w:rPr>
        <w:t>alciviD</w:t>
      </w:r>
    </w:p>
    <w:p w14:paraId="30ED228B" w14:textId="77777777" w:rsidR="00782518" w:rsidRPr="00171E38" w:rsidRDefault="00782518" w:rsidP="00171E38">
      <w:pPr>
        <w:spacing w:line="240" w:lineRule="auto"/>
        <w:outlineLvl w:val="0"/>
        <w:rPr>
          <w:szCs w:val="22"/>
          <w:lang w:val="hu-HU"/>
        </w:rPr>
      </w:pPr>
    </w:p>
    <w:p w14:paraId="14530019" w14:textId="77777777" w:rsidR="00D039C4" w:rsidRPr="00171E38" w:rsidRDefault="00D039C4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Adagolás</w:t>
      </w:r>
    </w:p>
    <w:p w14:paraId="4F376B24" w14:textId="77777777" w:rsidR="00D039C4" w:rsidRPr="00171E38" w:rsidRDefault="00D039C4" w:rsidP="00171E38">
      <w:pPr>
        <w:spacing w:line="240" w:lineRule="auto"/>
        <w:outlineLvl w:val="0"/>
        <w:rPr>
          <w:szCs w:val="22"/>
          <w:lang w:val="hu-HU"/>
        </w:rPr>
      </w:pPr>
    </w:p>
    <w:p w14:paraId="1C16166D" w14:textId="77777777" w:rsidR="001A6B40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Azon betegek esetén, akik számára a </w:t>
      </w:r>
      <w:r w:rsidR="00E33423" w:rsidRPr="00171E38">
        <w:rPr>
          <w:szCs w:val="22"/>
          <w:lang w:val="hu-HU"/>
        </w:rPr>
        <w:t>Zoledronsav Richter CalciplusD</w:t>
      </w:r>
      <w:r w:rsidRPr="00171E38">
        <w:rPr>
          <w:szCs w:val="22"/>
          <w:lang w:val="hu-HU"/>
        </w:rPr>
        <w:t xml:space="preserve"> javallata fennáll, a CalciviD adagja naponta 1 filmtabletta.</w:t>
      </w:r>
    </w:p>
    <w:p w14:paraId="16671EFA" w14:textId="77777777" w:rsidR="00946CD2" w:rsidRPr="00171E38" w:rsidRDefault="00946CD2" w:rsidP="00171E38">
      <w:pPr>
        <w:spacing w:line="240" w:lineRule="auto"/>
        <w:rPr>
          <w:szCs w:val="22"/>
          <w:lang w:val="hu-HU"/>
        </w:rPr>
      </w:pPr>
    </w:p>
    <w:p w14:paraId="0D1C2C53" w14:textId="77777777" w:rsidR="00CC4177" w:rsidRPr="00171E38" w:rsidRDefault="00BB78E7" w:rsidP="00171E38">
      <w:pPr>
        <w:autoSpaceDE w:val="0"/>
        <w:autoSpaceDN w:val="0"/>
        <w:spacing w:line="240" w:lineRule="auto"/>
        <w:rPr>
          <w:i/>
          <w:color w:val="000000"/>
          <w:szCs w:val="22"/>
          <w:lang w:val="hu-HU"/>
        </w:rPr>
      </w:pPr>
      <w:r>
        <w:rPr>
          <w:i/>
          <w:color w:val="000000"/>
          <w:szCs w:val="22"/>
          <w:lang w:val="hu-HU"/>
        </w:rPr>
        <w:t>I</w:t>
      </w:r>
      <w:r w:rsidRPr="00171E38">
        <w:rPr>
          <w:i/>
          <w:spacing w:val="2"/>
          <w:szCs w:val="22"/>
          <w:lang w:val="hu-HU"/>
        </w:rPr>
        <w:t>dős</w:t>
      </w:r>
      <w:r>
        <w:rPr>
          <w:i/>
          <w:spacing w:val="2"/>
          <w:szCs w:val="22"/>
          <w:lang w:val="hu-HU"/>
        </w:rPr>
        <w:t>ek</w:t>
      </w:r>
    </w:p>
    <w:p w14:paraId="0CDD14EB" w14:textId="77777777" w:rsidR="00946CD2" w:rsidRPr="00171E38" w:rsidRDefault="00781F8E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Dózismódosítás nem szükséges.</w:t>
      </w:r>
    </w:p>
    <w:p w14:paraId="187827A8" w14:textId="77777777" w:rsidR="00D74172" w:rsidRPr="00171E38" w:rsidRDefault="00D74172" w:rsidP="00171E38">
      <w:pPr>
        <w:autoSpaceDE w:val="0"/>
        <w:autoSpaceDN w:val="0"/>
        <w:spacing w:line="240" w:lineRule="auto"/>
        <w:rPr>
          <w:szCs w:val="22"/>
          <w:lang w:val="hu-HU"/>
        </w:rPr>
      </w:pPr>
    </w:p>
    <w:p w14:paraId="549618EB" w14:textId="77777777" w:rsidR="00D14116" w:rsidRPr="00171E38" w:rsidRDefault="00815753" w:rsidP="00171E38">
      <w:pPr>
        <w:autoSpaceDE w:val="0"/>
        <w:autoSpaceDN w:val="0"/>
        <w:spacing w:line="240" w:lineRule="auto"/>
        <w:rPr>
          <w:i/>
          <w:spacing w:val="2"/>
          <w:szCs w:val="22"/>
          <w:lang w:val="hu-HU"/>
        </w:rPr>
      </w:pPr>
      <w:r>
        <w:rPr>
          <w:i/>
          <w:szCs w:val="22"/>
          <w:lang w:val="hu-HU"/>
        </w:rPr>
        <w:t>M</w:t>
      </w:r>
      <w:r w:rsidR="00D14116" w:rsidRPr="00171E38">
        <w:rPr>
          <w:i/>
          <w:szCs w:val="22"/>
          <w:lang w:val="hu-HU"/>
        </w:rPr>
        <w:t>ájkárosodás</w:t>
      </w:r>
    </w:p>
    <w:p w14:paraId="1D46D4C0" w14:textId="77777777" w:rsidR="00D14116" w:rsidRPr="00171E38" w:rsidRDefault="00D14116" w:rsidP="00171E38">
      <w:pPr>
        <w:autoSpaceDE w:val="0"/>
        <w:autoSpaceDN w:val="0"/>
        <w:spacing w:line="240" w:lineRule="auto"/>
        <w:rPr>
          <w:spacing w:val="2"/>
          <w:szCs w:val="22"/>
          <w:lang w:val="hu-HU"/>
        </w:rPr>
      </w:pPr>
      <w:r w:rsidRPr="00171E38">
        <w:rPr>
          <w:spacing w:val="2"/>
          <w:szCs w:val="22"/>
          <w:lang w:val="hu-HU"/>
        </w:rPr>
        <w:t>Májkárosodásban szenvedő betegek esetén dózismódosítás nem szükséges.</w:t>
      </w:r>
    </w:p>
    <w:p w14:paraId="415C9A60" w14:textId="77777777" w:rsidR="00081DDC" w:rsidRPr="00171E38" w:rsidRDefault="00081DDC" w:rsidP="00171E38">
      <w:pPr>
        <w:autoSpaceDE w:val="0"/>
        <w:autoSpaceDN w:val="0"/>
        <w:spacing w:line="240" w:lineRule="auto"/>
        <w:rPr>
          <w:spacing w:val="2"/>
          <w:szCs w:val="22"/>
          <w:lang w:val="hu-HU"/>
        </w:rPr>
      </w:pPr>
    </w:p>
    <w:p w14:paraId="189B1970" w14:textId="77777777" w:rsidR="00781F8E" w:rsidRPr="00171E38" w:rsidRDefault="00815753" w:rsidP="00171E38">
      <w:pPr>
        <w:autoSpaceDE w:val="0"/>
        <w:autoSpaceDN w:val="0"/>
        <w:spacing w:line="240" w:lineRule="auto"/>
        <w:rPr>
          <w:i/>
          <w:spacing w:val="2"/>
          <w:szCs w:val="22"/>
          <w:lang w:val="hu-HU"/>
        </w:rPr>
      </w:pPr>
      <w:r>
        <w:rPr>
          <w:i/>
          <w:szCs w:val="22"/>
          <w:lang w:val="hu-HU"/>
        </w:rPr>
        <w:t>V</w:t>
      </w:r>
      <w:r w:rsidR="00781F8E" w:rsidRPr="00171E38">
        <w:rPr>
          <w:i/>
          <w:szCs w:val="22"/>
          <w:lang w:val="hu-HU"/>
        </w:rPr>
        <w:t>esekárosodás</w:t>
      </w:r>
    </w:p>
    <w:p w14:paraId="112B98E2" w14:textId="77777777" w:rsidR="00781F8E" w:rsidRPr="00171E38" w:rsidRDefault="00781F8E" w:rsidP="00171E38">
      <w:pPr>
        <w:autoSpaceDE w:val="0"/>
        <w:autoSpaceDN w:val="0"/>
        <w:spacing w:line="240" w:lineRule="auto"/>
        <w:rPr>
          <w:spacing w:val="2"/>
          <w:szCs w:val="22"/>
          <w:lang w:val="hu-HU"/>
        </w:rPr>
      </w:pPr>
      <w:r w:rsidRPr="00171E38">
        <w:rPr>
          <w:spacing w:val="2"/>
          <w:szCs w:val="22"/>
          <w:lang w:val="hu-HU"/>
        </w:rPr>
        <w:t>Súlyos vesekárosodásban szenvedő betegek a CalciviD-et nem szedhetik.</w:t>
      </w:r>
    </w:p>
    <w:p w14:paraId="5094DC9C" w14:textId="77777777" w:rsidR="00946CD2" w:rsidRPr="00171E38" w:rsidRDefault="00946CD2" w:rsidP="00171E38">
      <w:pPr>
        <w:autoSpaceDE w:val="0"/>
        <w:autoSpaceDN w:val="0"/>
        <w:spacing w:line="240" w:lineRule="auto"/>
        <w:rPr>
          <w:spacing w:val="2"/>
          <w:szCs w:val="22"/>
          <w:lang w:val="hu-HU"/>
        </w:rPr>
      </w:pPr>
    </w:p>
    <w:p w14:paraId="79E02396" w14:textId="77777777" w:rsidR="00946CD2" w:rsidRPr="00171E38" w:rsidRDefault="00D039C4" w:rsidP="00171E38">
      <w:pPr>
        <w:autoSpaceDE w:val="0"/>
        <w:autoSpaceDN w:val="0"/>
        <w:spacing w:line="240" w:lineRule="auto"/>
        <w:rPr>
          <w:i/>
          <w:spacing w:val="2"/>
          <w:szCs w:val="22"/>
          <w:lang w:val="hu-HU"/>
        </w:rPr>
      </w:pPr>
      <w:r w:rsidRPr="00171E38">
        <w:rPr>
          <w:i/>
          <w:color w:val="000000"/>
          <w:szCs w:val="22"/>
          <w:lang w:val="hu-HU"/>
        </w:rPr>
        <w:t>Gyermek</w:t>
      </w:r>
      <w:r w:rsidR="00081DDC" w:rsidRPr="00171E38">
        <w:rPr>
          <w:i/>
          <w:color w:val="000000"/>
          <w:szCs w:val="22"/>
          <w:lang w:val="hu-HU"/>
        </w:rPr>
        <w:t>ek</w:t>
      </w:r>
      <w:r w:rsidR="00DC30E4" w:rsidRPr="00171E38">
        <w:rPr>
          <w:i/>
          <w:color w:val="000000"/>
          <w:szCs w:val="22"/>
          <w:lang w:val="hu-HU"/>
        </w:rPr>
        <w:t xml:space="preserve"> és serdülők</w:t>
      </w:r>
    </w:p>
    <w:p w14:paraId="26C2264F" w14:textId="77777777" w:rsidR="00946CD2" w:rsidRPr="00171E38" w:rsidRDefault="004A09AE" w:rsidP="00171E38">
      <w:pPr>
        <w:autoSpaceDE w:val="0"/>
        <w:autoSpaceDN w:val="0"/>
        <w:spacing w:line="240" w:lineRule="auto"/>
        <w:rPr>
          <w:spacing w:val="2"/>
          <w:szCs w:val="22"/>
          <w:lang w:val="hu-HU"/>
        </w:rPr>
      </w:pPr>
      <w:r w:rsidRPr="00171E38">
        <w:rPr>
          <w:spacing w:val="2"/>
          <w:szCs w:val="22"/>
          <w:lang w:val="hu-HU"/>
        </w:rPr>
        <w:t xml:space="preserve">Gyermekek és serdülők </w:t>
      </w:r>
      <w:r w:rsidR="00A06401" w:rsidRPr="00171E38">
        <w:rPr>
          <w:spacing w:val="2"/>
          <w:szCs w:val="22"/>
          <w:lang w:val="hu-HU"/>
        </w:rPr>
        <w:t>számára a CalciviD szedése</w:t>
      </w:r>
      <w:r w:rsidR="00946CD2" w:rsidRPr="00171E38">
        <w:rPr>
          <w:spacing w:val="2"/>
          <w:szCs w:val="22"/>
          <w:lang w:val="hu-HU"/>
        </w:rPr>
        <w:t xml:space="preserve"> nem javasolt</w:t>
      </w:r>
      <w:r w:rsidR="00D039C4" w:rsidRPr="00171E38">
        <w:rPr>
          <w:spacing w:val="2"/>
          <w:szCs w:val="22"/>
          <w:lang w:val="hu-HU"/>
        </w:rPr>
        <w:t xml:space="preserve"> (18 éves kor alatt)</w:t>
      </w:r>
      <w:r w:rsidR="00946CD2" w:rsidRPr="00171E38">
        <w:rPr>
          <w:spacing w:val="2"/>
          <w:szCs w:val="22"/>
          <w:lang w:val="hu-HU"/>
        </w:rPr>
        <w:t>.</w:t>
      </w:r>
    </w:p>
    <w:p w14:paraId="01445F13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36FFFC1F" w14:textId="77777777" w:rsidR="00D039C4" w:rsidRPr="00171E38" w:rsidRDefault="00D039C4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Az alkalmazás módja</w:t>
      </w:r>
    </w:p>
    <w:p w14:paraId="15780F27" w14:textId="77777777" w:rsidR="00D039C4" w:rsidRPr="00171E38" w:rsidRDefault="00D039C4" w:rsidP="00171E38">
      <w:pPr>
        <w:spacing w:line="240" w:lineRule="auto"/>
        <w:rPr>
          <w:szCs w:val="22"/>
          <w:lang w:val="hu-HU"/>
        </w:rPr>
      </w:pPr>
    </w:p>
    <w:p w14:paraId="39E9FA99" w14:textId="77777777" w:rsidR="00D039C4" w:rsidRPr="00171E38" w:rsidRDefault="00D039C4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filmtablettát célszerű étkezést követően egy-másfél órán belül, egy pohárnyi vízzel vagy g</w:t>
      </w:r>
      <w:r w:rsidR="00081DDC" w:rsidRPr="00171E38">
        <w:rPr>
          <w:szCs w:val="22"/>
          <w:lang w:val="hu-HU"/>
        </w:rPr>
        <w:t>yümölcslével, egészben bevenni.</w:t>
      </w:r>
    </w:p>
    <w:p w14:paraId="603F9898" w14:textId="77777777" w:rsidR="00D039C4" w:rsidRPr="00171E38" w:rsidRDefault="00D039C4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CalciviD szükség esetén kettétörhető.</w:t>
      </w:r>
      <w:r w:rsidR="00177D50" w:rsidRPr="00171E38">
        <w:rPr>
          <w:szCs w:val="22"/>
          <w:lang w:val="hu-HU"/>
        </w:rPr>
        <w:t xml:space="preserve"> Azonban a tablettán lévő bemetszés csak a széttörés elősegítésére és a lenyelés megkönnyítésére szolgál, nem arra, hogy a készítményt egyenlő adagokra ossza. </w:t>
      </w:r>
    </w:p>
    <w:p w14:paraId="02CDF755" w14:textId="77777777" w:rsidR="00D039C4" w:rsidRPr="00171E38" w:rsidRDefault="00D039C4" w:rsidP="00171E38">
      <w:pPr>
        <w:spacing w:line="240" w:lineRule="auto"/>
        <w:rPr>
          <w:szCs w:val="22"/>
          <w:lang w:val="hu-HU"/>
        </w:rPr>
      </w:pPr>
    </w:p>
    <w:p w14:paraId="329631E0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4.3</w:t>
      </w:r>
      <w:r w:rsidR="007A6E49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Ellenjavallatok</w:t>
      </w:r>
    </w:p>
    <w:p w14:paraId="4704287B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0591D9D1" w14:textId="77777777" w:rsidR="00683C0C" w:rsidRPr="00171E38" w:rsidRDefault="00BF52EE" w:rsidP="00171E38">
      <w:pPr>
        <w:numPr>
          <w:ilvl w:val="0"/>
          <w:numId w:val="30"/>
        </w:numPr>
        <w:tabs>
          <w:tab w:val="clear" w:pos="360"/>
          <w:tab w:val="clear" w:pos="567"/>
          <w:tab w:val="num" w:pos="540"/>
        </w:tabs>
        <w:spacing w:line="240" w:lineRule="auto"/>
        <w:ind w:left="540" w:hanging="540"/>
        <w:rPr>
          <w:szCs w:val="22"/>
          <w:lang w:val="hu-HU"/>
        </w:rPr>
      </w:pPr>
      <w:r w:rsidRPr="00171E38">
        <w:rPr>
          <w:szCs w:val="22"/>
          <w:lang w:val="hu-HU"/>
        </w:rPr>
        <w:t>A</w:t>
      </w:r>
      <w:r w:rsidR="00CC4177" w:rsidRPr="00171E38">
        <w:rPr>
          <w:szCs w:val="22"/>
          <w:lang w:val="hu-HU"/>
        </w:rPr>
        <w:t xml:space="preserve"> készítmény</w:t>
      </w:r>
      <w:r w:rsidR="00081DDC" w:rsidRPr="00171E38">
        <w:rPr>
          <w:szCs w:val="22"/>
          <w:lang w:val="hu-HU"/>
        </w:rPr>
        <w:t>ek</w:t>
      </w:r>
      <w:r w:rsidR="00CC4177" w:rsidRPr="00171E38">
        <w:rPr>
          <w:szCs w:val="22"/>
          <w:lang w:val="hu-HU"/>
        </w:rPr>
        <w:t xml:space="preserve"> hatóanyag</w:t>
      </w:r>
      <w:r w:rsidR="00081DDC" w:rsidRPr="00171E38">
        <w:rPr>
          <w:szCs w:val="22"/>
          <w:lang w:val="hu-HU"/>
        </w:rPr>
        <w:t>ai</w:t>
      </w:r>
      <w:r w:rsidR="00CC4177" w:rsidRPr="00171E38">
        <w:rPr>
          <w:szCs w:val="22"/>
          <w:lang w:val="hu-HU"/>
        </w:rPr>
        <w:t>val</w:t>
      </w:r>
      <w:r w:rsidR="00081DDC" w:rsidRPr="00171E38">
        <w:rPr>
          <w:szCs w:val="22"/>
          <w:lang w:val="hu-HU"/>
        </w:rPr>
        <w:t xml:space="preserve">, </w:t>
      </w:r>
      <w:r w:rsidR="00081DDC" w:rsidRPr="00171E38">
        <w:rPr>
          <w:szCs w:val="22"/>
          <w:lang w:val="hu-HU" w:eastAsia="hu-HU"/>
        </w:rPr>
        <w:t>más biszfoszfonáttal</w:t>
      </w:r>
      <w:r w:rsidR="00CC4177" w:rsidRPr="00171E38">
        <w:rPr>
          <w:szCs w:val="22"/>
          <w:lang w:val="hu-HU"/>
        </w:rPr>
        <w:t xml:space="preserve"> vagy </w:t>
      </w:r>
      <w:r w:rsidR="00D039C4" w:rsidRPr="00171E38">
        <w:rPr>
          <w:szCs w:val="22"/>
          <w:lang w:val="hu-HU"/>
        </w:rPr>
        <w:t xml:space="preserve">a 6.1 pontban felsorolt </w:t>
      </w:r>
      <w:r w:rsidR="00CC4177" w:rsidRPr="00171E38">
        <w:rPr>
          <w:szCs w:val="22"/>
          <w:lang w:val="hu-HU"/>
        </w:rPr>
        <w:t>bármely segédanyagával szembeni túlérzékenység;</w:t>
      </w:r>
    </w:p>
    <w:p w14:paraId="475DE651" w14:textId="77777777" w:rsidR="00BF52EE" w:rsidRPr="00171E38" w:rsidRDefault="00BF52EE" w:rsidP="00171E38">
      <w:pPr>
        <w:numPr>
          <w:ilvl w:val="0"/>
          <w:numId w:val="30"/>
        </w:numPr>
        <w:tabs>
          <w:tab w:val="clear" w:pos="360"/>
          <w:tab w:val="clear" w:pos="567"/>
          <w:tab w:val="num" w:pos="540"/>
        </w:tabs>
        <w:spacing w:line="240" w:lineRule="auto"/>
        <w:ind w:left="540" w:hanging="540"/>
        <w:rPr>
          <w:szCs w:val="22"/>
          <w:lang w:val="hu-HU"/>
        </w:rPr>
      </w:pPr>
      <w:r w:rsidRPr="00171E38">
        <w:rPr>
          <w:szCs w:val="22"/>
          <w:lang w:val="hu-HU" w:eastAsia="hu-HU"/>
        </w:rPr>
        <w:t>Szoptatás (lásd 4.6 pont)</w:t>
      </w:r>
    </w:p>
    <w:p w14:paraId="78597E86" w14:textId="77777777" w:rsidR="001B0D69" w:rsidRPr="00171E38" w:rsidRDefault="00BF52EE" w:rsidP="00171E38">
      <w:pPr>
        <w:numPr>
          <w:ilvl w:val="0"/>
          <w:numId w:val="30"/>
        </w:numPr>
        <w:tabs>
          <w:tab w:val="clear" w:pos="360"/>
          <w:tab w:val="clear" w:pos="567"/>
          <w:tab w:val="num" w:pos="540"/>
        </w:tabs>
        <w:spacing w:line="240" w:lineRule="auto"/>
        <w:ind w:left="540" w:hanging="540"/>
        <w:rPr>
          <w:spacing w:val="2"/>
          <w:szCs w:val="22"/>
          <w:lang w:val="hu-HU"/>
        </w:rPr>
      </w:pPr>
      <w:r w:rsidRPr="00171E38">
        <w:rPr>
          <w:spacing w:val="2"/>
          <w:szCs w:val="22"/>
          <w:lang w:val="hu-HU"/>
        </w:rPr>
        <w:t>H</w:t>
      </w:r>
      <w:r w:rsidR="00946CD2" w:rsidRPr="00171E38">
        <w:rPr>
          <w:spacing w:val="2"/>
          <w:szCs w:val="22"/>
          <w:lang w:val="hu-HU"/>
        </w:rPr>
        <w:t>ypercalcaemiával és/vagy hypercalciuriával járó betegségek és/vagy állapotok</w:t>
      </w:r>
      <w:r w:rsidR="004A09AE" w:rsidRPr="00171E38">
        <w:rPr>
          <w:spacing w:val="2"/>
          <w:szCs w:val="22"/>
          <w:lang w:val="hu-HU"/>
        </w:rPr>
        <w:t xml:space="preserve"> (</w:t>
      </w:r>
      <w:r w:rsidRPr="00171E38">
        <w:rPr>
          <w:spacing w:val="2"/>
          <w:szCs w:val="22"/>
          <w:lang w:val="hu-HU"/>
        </w:rPr>
        <w:t xml:space="preserve">kezeletlen </w:t>
      </w:r>
      <w:r w:rsidR="004A09AE" w:rsidRPr="00171E38">
        <w:rPr>
          <w:spacing w:val="2"/>
          <w:szCs w:val="22"/>
          <w:lang w:val="hu-HU"/>
        </w:rPr>
        <w:t>myeloma,</w:t>
      </w:r>
      <w:r w:rsidR="00A751B6" w:rsidRPr="00171E38">
        <w:rPr>
          <w:spacing w:val="2"/>
          <w:szCs w:val="22"/>
          <w:lang w:val="hu-HU"/>
        </w:rPr>
        <w:t xml:space="preserve"> </w:t>
      </w:r>
      <w:r w:rsidRPr="00171E38">
        <w:rPr>
          <w:spacing w:val="2"/>
          <w:szCs w:val="22"/>
          <w:lang w:val="hu-HU"/>
        </w:rPr>
        <w:t xml:space="preserve">kezeletlen </w:t>
      </w:r>
      <w:r w:rsidR="004A09AE" w:rsidRPr="00171E38">
        <w:rPr>
          <w:spacing w:val="2"/>
          <w:szCs w:val="22"/>
          <w:lang w:val="hu-HU"/>
        </w:rPr>
        <w:t>csontmetasztázis, primer hyperparathyreodismus)</w:t>
      </w:r>
      <w:r w:rsidR="00D74172" w:rsidRPr="00171E38">
        <w:rPr>
          <w:spacing w:val="2"/>
          <w:szCs w:val="22"/>
          <w:lang w:val="hu-HU"/>
        </w:rPr>
        <w:t>;</w:t>
      </w:r>
    </w:p>
    <w:p w14:paraId="1C57D75D" w14:textId="77777777" w:rsidR="00946CD2" w:rsidRPr="00171E38" w:rsidRDefault="00CC4177" w:rsidP="00171E38">
      <w:pPr>
        <w:numPr>
          <w:ilvl w:val="0"/>
          <w:numId w:val="32"/>
        </w:numPr>
        <w:tabs>
          <w:tab w:val="clear" w:pos="360"/>
          <w:tab w:val="clear" w:pos="567"/>
          <w:tab w:val="num" w:pos="540"/>
        </w:tabs>
        <w:spacing w:line="240" w:lineRule="auto"/>
        <w:ind w:hanging="720"/>
        <w:rPr>
          <w:spacing w:val="2"/>
          <w:szCs w:val="22"/>
          <w:lang w:val="hu-HU"/>
        </w:rPr>
      </w:pPr>
      <w:r w:rsidRPr="00171E38">
        <w:rPr>
          <w:spacing w:val="2"/>
          <w:szCs w:val="22"/>
          <w:lang w:val="hu-HU"/>
        </w:rPr>
        <w:t>n</w:t>
      </w:r>
      <w:r w:rsidR="00946CD2" w:rsidRPr="00171E38">
        <w:rPr>
          <w:spacing w:val="2"/>
          <w:szCs w:val="22"/>
          <w:lang w:val="hu-HU"/>
        </w:rPr>
        <w:t>ephrolithiasis</w:t>
      </w:r>
      <w:r w:rsidR="008D7C99" w:rsidRPr="00171E38">
        <w:rPr>
          <w:spacing w:val="2"/>
          <w:szCs w:val="22"/>
          <w:lang w:val="hu-HU"/>
        </w:rPr>
        <w:t>, nephrocalcinosis</w:t>
      </w:r>
      <w:r w:rsidR="00D74172" w:rsidRPr="00171E38">
        <w:rPr>
          <w:spacing w:val="2"/>
          <w:szCs w:val="22"/>
          <w:lang w:val="hu-HU"/>
        </w:rPr>
        <w:t>;</w:t>
      </w:r>
    </w:p>
    <w:p w14:paraId="70EDC7D9" w14:textId="77777777" w:rsidR="008D7C99" w:rsidRPr="00171E38" w:rsidRDefault="001D46B9" w:rsidP="00171E38">
      <w:pPr>
        <w:numPr>
          <w:ilvl w:val="0"/>
          <w:numId w:val="34"/>
        </w:numPr>
        <w:tabs>
          <w:tab w:val="clear" w:pos="360"/>
          <w:tab w:val="clear" w:pos="567"/>
          <w:tab w:val="num" w:pos="540"/>
        </w:tabs>
        <w:spacing w:line="240" w:lineRule="auto"/>
        <w:ind w:hanging="720"/>
        <w:rPr>
          <w:szCs w:val="22"/>
          <w:lang w:val="hu-HU"/>
        </w:rPr>
      </w:pPr>
      <w:r w:rsidRPr="00171E38">
        <w:rPr>
          <w:spacing w:val="2"/>
          <w:szCs w:val="22"/>
          <w:lang w:val="hu-HU"/>
        </w:rPr>
        <w:t>Súlyos vesekárosodás vagy veseelégtelenség</w:t>
      </w:r>
      <w:r w:rsidR="00D74172" w:rsidRPr="00171E38">
        <w:rPr>
          <w:spacing w:val="2"/>
          <w:szCs w:val="22"/>
          <w:lang w:val="hu-HU"/>
        </w:rPr>
        <w:t>;</w:t>
      </w:r>
    </w:p>
    <w:p w14:paraId="6D18D175" w14:textId="77777777" w:rsidR="001B0D69" w:rsidRPr="00171E38" w:rsidRDefault="00CB4EB5" w:rsidP="00171E38">
      <w:pPr>
        <w:numPr>
          <w:ilvl w:val="0"/>
          <w:numId w:val="36"/>
        </w:numPr>
        <w:tabs>
          <w:tab w:val="clear" w:pos="360"/>
          <w:tab w:val="clear" w:pos="567"/>
          <w:tab w:val="num" w:pos="540"/>
        </w:tabs>
        <w:spacing w:line="240" w:lineRule="auto"/>
        <w:ind w:hanging="720"/>
        <w:rPr>
          <w:szCs w:val="22"/>
          <w:lang w:val="hu-HU"/>
        </w:rPr>
      </w:pPr>
      <w:r w:rsidRPr="00171E38">
        <w:rPr>
          <w:szCs w:val="22"/>
          <w:lang w:val="hu-HU"/>
        </w:rPr>
        <w:t>D-hypervitaminosis</w:t>
      </w:r>
      <w:r w:rsidR="00D74172" w:rsidRPr="00171E38">
        <w:rPr>
          <w:szCs w:val="22"/>
          <w:lang w:val="hu-HU"/>
        </w:rPr>
        <w:t>.</w:t>
      </w:r>
    </w:p>
    <w:p w14:paraId="6C2858A2" w14:textId="77777777" w:rsidR="00CC4177" w:rsidRPr="00171E38" w:rsidRDefault="00CC4177" w:rsidP="00171E38">
      <w:pPr>
        <w:spacing w:line="240" w:lineRule="auto"/>
        <w:rPr>
          <w:szCs w:val="22"/>
          <w:lang w:val="hu-HU"/>
        </w:rPr>
      </w:pPr>
    </w:p>
    <w:p w14:paraId="62DD24AD" w14:textId="77777777" w:rsidR="007A4B13" w:rsidRPr="00171E38" w:rsidRDefault="007A4B13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 CalciviD szójababolajat tartalmaz, ezért mogyoró- vagy szójaallergiában szenvedő betegeknek a gyógyszer </w:t>
      </w:r>
      <w:r w:rsidR="00B5547E" w:rsidRPr="00171E38">
        <w:rPr>
          <w:szCs w:val="22"/>
          <w:lang w:val="hu-HU"/>
        </w:rPr>
        <w:t>ellenjavallt</w:t>
      </w:r>
      <w:r w:rsidRPr="00171E38">
        <w:rPr>
          <w:szCs w:val="22"/>
          <w:lang w:val="hu-HU"/>
        </w:rPr>
        <w:t>.</w:t>
      </w:r>
    </w:p>
    <w:p w14:paraId="58D4FB5B" w14:textId="77777777" w:rsidR="0080513D" w:rsidRPr="00171E38" w:rsidRDefault="0080513D" w:rsidP="00171E38">
      <w:pPr>
        <w:spacing w:line="240" w:lineRule="auto"/>
        <w:rPr>
          <w:szCs w:val="22"/>
          <w:lang w:val="hu-HU"/>
        </w:rPr>
      </w:pPr>
    </w:p>
    <w:p w14:paraId="7DBBAB38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4.4</w:t>
      </w:r>
      <w:r w:rsidR="007A6E49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Különleges figyelmeztetések és az alkalmazással kapcsolatos óvintézkedések</w:t>
      </w:r>
    </w:p>
    <w:p w14:paraId="23A48964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7A379984" w14:textId="77777777" w:rsidR="001B0D69" w:rsidRPr="00171E38" w:rsidRDefault="001B0D69" w:rsidP="00171E38">
      <w:pPr>
        <w:spacing w:line="240" w:lineRule="auto"/>
        <w:outlineLvl w:val="0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A </w:t>
      </w:r>
      <w:r w:rsidR="008F4374"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="008F4374" w:rsidRPr="00171E38">
        <w:rPr>
          <w:szCs w:val="22"/>
          <w:u w:val="single"/>
          <w:lang w:val="hu-HU"/>
        </w:rPr>
        <w:t xml:space="preserve"> </w:t>
      </w:r>
      <w:r w:rsidR="00350E39">
        <w:rPr>
          <w:szCs w:val="22"/>
          <w:u w:val="single"/>
          <w:lang w:val="hu-HU"/>
        </w:rPr>
        <w:t>oldatos infúzió</w:t>
      </w:r>
      <w:r w:rsidR="00350E39" w:rsidRPr="00171E38">
        <w:rPr>
          <w:szCs w:val="22"/>
          <w:u w:val="single"/>
          <w:lang w:val="hu-HU"/>
        </w:rPr>
        <w:t xml:space="preserve"> </w:t>
      </w:r>
      <w:r w:rsidR="008F4374" w:rsidRPr="00171E38">
        <w:rPr>
          <w:szCs w:val="22"/>
          <w:u w:val="single"/>
          <w:lang w:val="hu-HU"/>
        </w:rPr>
        <w:t>alkalmazása miatt</w:t>
      </w:r>
    </w:p>
    <w:p w14:paraId="42095523" w14:textId="77777777" w:rsidR="00D14116" w:rsidRPr="00171E38" w:rsidRDefault="00D14116" w:rsidP="00171E38">
      <w:pPr>
        <w:spacing w:line="240" w:lineRule="auto"/>
        <w:outlineLvl w:val="0"/>
        <w:rPr>
          <w:szCs w:val="22"/>
          <w:lang w:val="hu-HU"/>
        </w:rPr>
      </w:pPr>
    </w:p>
    <w:p w14:paraId="7B14070A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Általános megfontolások</w:t>
      </w:r>
    </w:p>
    <w:p w14:paraId="4A5EF6FB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alkalmazása előtt meg kell állapítani, hogy a betegek megfelelően hidráltak-e.</w:t>
      </w:r>
    </w:p>
    <w:p w14:paraId="3835C7D6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2402F9E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szívelégtelenség kockázatának kitett betegek túlzott hidrálását kerülni kell.</w:t>
      </w:r>
    </w:p>
    <w:p w14:paraId="736F6FD3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521F109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hypercalcaemiával kapcsolatos standard metabolikus paraméterek, mint a szérum kalcium-, foszfát- és magnéziumszint</w:t>
      </w:r>
      <w:r w:rsidR="000D6B0F">
        <w:rPr>
          <w:szCs w:val="22"/>
          <w:lang w:val="hu-HU" w:eastAsia="hu-HU"/>
        </w:rPr>
        <w:t>je</w:t>
      </w:r>
      <w:r w:rsidRPr="00171E38">
        <w:rPr>
          <w:szCs w:val="22"/>
          <w:lang w:val="hu-HU" w:eastAsia="hu-HU"/>
        </w:rPr>
        <w:t xml:space="preserve">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Richter-kezelés megkezdése után gondosan ellenőrizendők. Ha hypocalcaemia, hypophosphataemia vagy hypomagnesaemia lép fel, rövid távú kiegészítő kezelésre lehet szükség. A kezeletlen hypercalcaemiás betegek vesefunkciója általában bizonyos mértékben </w:t>
      </w:r>
      <w:r w:rsidR="00AD29E8">
        <w:rPr>
          <w:szCs w:val="22"/>
          <w:lang w:val="hu-HU" w:eastAsia="hu-HU"/>
        </w:rPr>
        <w:t>károsodott</w:t>
      </w:r>
      <w:r w:rsidRPr="00171E38">
        <w:rPr>
          <w:szCs w:val="22"/>
          <w:lang w:val="hu-HU" w:eastAsia="hu-HU"/>
        </w:rPr>
        <w:t>, ezért megfontolandó a vesefunkció gondos monitorozása.</w:t>
      </w:r>
    </w:p>
    <w:p w14:paraId="5228A8BB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CDDEC31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Richter-rel kezelt betegeket nem szabad egyidejűleg más, </w:t>
      </w:r>
      <w:r w:rsidR="00AD29E8">
        <w:rPr>
          <w:szCs w:val="22"/>
          <w:lang w:val="hu-HU" w:eastAsia="hu-HU"/>
        </w:rPr>
        <w:t>zoledronsav-tartalmú készítménnyel vagy</w:t>
      </w:r>
      <w:r w:rsidRPr="00171E38">
        <w:rPr>
          <w:szCs w:val="22"/>
          <w:lang w:val="hu-HU" w:eastAsia="hu-HU"/>
        </w:rPr>
        <w:t xml:space="preserve"> bármilyen más biszfoszfonáttal kezelni, mivel ezen </w:t>
      </w:r>
      <w:r w:rsidR="00AD29E8">
        <w:rPr>
          <w:szCs w:val="22"/>
          <w:lang w:val="hu-HU" w:eastAsia="hu-HU"/>
        </w:rPr>
        <w:t>szerek</w:t>
      </w:r>
      <w:r w:rsidR="00AD29E8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kombinált hatásai nem ismertek.</w:t>
      </w:r>
    </w:p>
    <w:p w14:paraId="68BB00F8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9211CF5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Vese</w:t>
      </w:r>
      <w:r w:rsidR="00E47439">
        <w:rPr>
          <w:i/>
          <w:szCs w:val="22"/>
          <w:u w:val="single"/>
          <w:lang w:val="hu-HU" w:eastAsia="hu-HU"/>
        </w:rPr>
        <w:t>károsodás</w:t>
      </w:r>
    </w:p>
    <w:p w14:paraId="3660CE4D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AD73E02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Csontmetasztázisban szenvedő betegek csontrendszert érintő eseményeinek preventív kezelésének eldöntésekor figyelembe kell venni, hogy a kezelés hatása 2–3 hónappal a kezelés megkezdése után érvényesül.</w:t>
      </w:r>
    </w:p>
    <w:p w14:paraId="6E72AAFD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016AB10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zoledronsav-kezeléssel kapcsolatban beszámoltak vesekárosodásról. A dehidráció, illetve a kezelés előtt fennálló vesekárosodás, a </w:t>
      </w:r>
      <w:r w:rsidR="006969F9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és más biszfoszfonátok többszörös kezelési ciklus</w:t>
      </w:r>
      <w:r w:rsidR="00C57F59" w:rsidRPr="00171E38">
        <w:rPr>
          <w:szCs w:val="22"/>
          <w:lang w:val="hu-HU" w:eastAsia="hu-HU"/>
        </w:rPr>
        <w:t>a</w:t>
      </w:r>
      <w:r w:rsidRPr="00171E38">
        <w:rPr>
          <w:szCs w:val="22"/>
          <w:lang w:val="hu-HU" w:eastAsia="hu-HU"/>
        </w:rPr>
        <w:t>, valamint más ne</w:t>
      </w:r>
      <w:r w:rsidR="00E47439">
        <w:rPr>
          <w:szCs w:val="22"/>
          <w:lang w:val="hu-HU" w:eastAsia="hu-HU"/>
        </w:rPr>
        <w:t>f</w:t>
      </w:r>
      <w:r w:rsidRPr="00171E38">
        <w:rPr>
          <w:szCs w:val="22"/>
          <w:lang w:val="hu-HU" w:eastAsia="hu-HU"/>
        </w:rPr>
        <w:t>rotoxi</w:t>
      </w:r>
      <w:r w:rsidR="00E47439">
        <w:rPr>
          <w:szCs w:val="22"/>
          <w:lang w:val="hu-HU" w:eastAsia="hu-HU"/>
        </w:rPr>
        <w:t>k</w:t>
      </w:r>
      <w:r w:rsidRPr="00171E38">
        <w:rPr>
          <w:szCs w:val="22"/>
          <w:lang w:val="hu-HU" w:eastAsia="hu-HU"/>
        </w:rPr>
        <w:t>us gyógyszerek alkalmazása olyan tényezők, melyek hozzájárulhatnak a vesefunkció romlásához. Habár a 4 mg-os zoledronsav adag 15 percnél hosszabb idejű beadásával a kockázat csökkent</w:t>
      </w:r>
      <w:r w:rsidR="00C57F59" w:rsidRPr="00171E38">
        <w:rPr>
          <w:szCs w:val="22"/>
          <w:lang w:val="hu-HU" w:eastAsia="hu-HU"/>
        </w:rPr>
        <w:t>ett</w:t>
      </w:r>
      <w:r w:rsidRPr="00171E38">
        <w:rPr>
          <w:szCs w:val="22"/>
          <w:lang w:val="hu-HU" w:eastAsia="hu-HU"/>
        </w:rPr>
        <w:t>,</w:t>
      </w:r>
      <w:r w:rsidRPr="00171E38">
        <w:rPr>
          <w:szCs w:val="22"/>
          <w:lang w:val="hu-HU"/>
        </w:rPr>
        <w:t xml:space="preserve"> </w:t>
      </w:r>
      <w:r w:rsidRPr="00171E38">
        <w:rPr>
          <w:szCs w:val="22"/>
          <w:lang w:val="hu-HU" w:eastAsia="hu-HU"/>
        </w:rPr>
        <w:t>vesekárosodás így is bekövetkezhet. A 4</w:t>
      </w:r>
      <w:r w:rsidR="006969F9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 zoledronsav kezdő adagjának vagy egyszeri adagjának alkalmazása után vesekárosodásról, veseelégtelenségig történő progresszióról, illetve dialízisről számoltak be. Néhány beteg esetében szérumkreatinin</w:t>
      </w:r>
      <w:r w:rsidR="007F09D8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 xml:space="preserve">szint emelkedés is előfordult a csontrendszert érintő események prevenciójára adott zoledronsav </w:t>
      </w:r>
      <w:r w:rsidR="00AD29E8">
        <w:rPr>
          <w:szCs w:val="22"/>
          <w:lang w:val="hu-HU" w:eastAsia="hu-HU"/>
        </w:rPr>
        <w:t xml:space="preserve">ajánlott dózisainak </w:t>
      </w:r>
      <w:r w:rsidRPr="00171E38">
        <w:rPr>
          <w:szCs w:val="22"/>
          <w:lang w:val="hu-HU" w:eastAsia="hu-HU"/>
        </w:rPr>
        <w:t>krónikus alkalmazásakor, habár sokkal ritkábban.</w:t>
      </w:r>
    </w:p>
    <w:p w14:paraId="40AD6818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77F2E0B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minden egyes adagjának beadása előtt meg kell határozni a betegek szérumkreatinin</w:t>
      </w:r>
      <w:r w:rsidR="007F09D8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>szintjét. Azoknál a csontmetasztázisos betegeknél, akiknek enyhe-, közepes</w:t>
      </w:r>
      <w:r w:rsidR="00783CCE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fokú vesekárosodásuk van, a kezelés megkezdése a zoledronsav kisebb adagjaival javasolt. A zoledronsav alkalmazása felfüggesztendő azon betegek esetében, akiknél a kezelés ideje alatt a veseműködés romlás</w:t>
      </w:r>
      <w:r w:rsidR="000D6B0F">
        <w:rPr>
          <w:szCs w:val="22"/>
          <w:lang w:val="hu-HU" w:eastAsia="hu-HU"/>
        </w:rPr>
        <w:t>a</w:t>
      </w:r>
      <w:r w:rsidR="00783CCE" w:rsidRPr="00171E38">
        <w:rPr>
          <w:szCs w:val="22"/>
          <w:lang w:val="hu-HU" w:eastAsia="hu-HU"/>
        </w:rPr>
        <w:t xml:space="preserve"> következik be</w:t>
      </w:r>
      <w:r w:rsidRPr="00171E38">
        <w:rPr>
          <w:szCs w:val="22"/>
          <w:lang w:val="hu-HU" w:eastAsia="hu-HU"/>
        </w:rPr>
        <w:t>. A kezelés csak akkor kezdhető el újra, amennyiben a szérumkreatinin</w:t>
      </w:r>
      <w:r w:rsidR="007F09D8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 xml:space="preserve">szint már </w:t>
      </w:r>
      <w:r w:rsidR="00AD29E8">
        <w:rPr>
          <w:szCs w:val="22"/>
          <w:lang w:val="hu-HU" w:eastAsia="hu-HU"/>
        </w:rPr>
        <w:t>nem</w:t>
      </w:r>
      <w:r w:rsidRPr="00171E38">
        <w:rPr>
          <w:szCs w:val="22"/>
          <w:lang w:val="hu-HU" w:eastAsia="hu-HU"/>
        </w:rPr>
        <w:t xml:space="preserve"> haladja meg</w:t>
      </w:r>
      <w:r w:rsidR="00AD29E8">
        <w:rPr>
          <w:szCs w:val="22"/>
          <w:lang w:val="hu-HU" w:eastAsia="hu-HU"/>
        </w:rPr>
        <w:t xml:space="preserve"> 10%-kal</w:t>
      </w:r>
      <w:r w:rsidRPr="00171E38">
        <w:rPr>
          <w:szCs w:val="22"/>
          <w:lang w:val="hu-HU" w:eastAsia="hu-HU"/>
        </w:rPr>
        <w:t xml:space="preserve"> a kiindulási értéket.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Richter-kezelést ugyanabban a dózisban kell újrakezdeni, mint amilyen dózisban a kezelés megszakítása előtt adták.</w:t>
      </w:r>
    </w:p>
    <w:p w14:paraId="45164738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2B7066A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 vesefunkcióra gyakorolt lehetséges hatását figyelembe véve, mivel nem rendelkezünk kellő adattal a súlyos vesekárosodásban szenvedő betegekre vonatkozóan (klinikai vizsgálatokban szérum kreatinin ≥400 mikromol/l vagy ≥4,5 mg/dl a TIH-es, ill. ≥265 mikromol/l vagy ≥3,0 mg/dl a csontmetasztázisos daganatos betegeknél ), illetve súlyos vesekárosodásban (kreatinin-clearance &lt;30</w:t>
      </w:r>
      <w:r w:rsidR="00BB78E7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ml/perc) </w:t>
      </w:r>
      <w:r w:rsidR="00C35B82">
        <w:rPr>
          <w:szCs w:val="22"/>
          <w:lang w:val="hu-HU" w:eastAsia="hu-HU"/>
        </w:rPr>
        <w:t xml:space="preserve">szenvedő betegekre </w:t>
      </w:r>
      <w:r w:rsidRPr="00171E38">
        <w:rPr>
          <w:szCs w:val="22"/>
          <w:lang w:val="hu-HU" w:eastAsia="hu-HU"/>
        </w:rPr>
        <w:t>vonatkozó farmakokinetikai adatok is korlátozottak,</w:t>
      </w:r>
      <w:r w:rsidRPr="00171E38">
        <w:rPr>
          <w:szCs w:val="22"/>
          <w:lang w:val="hu-HU"/>
        </w:rPr>
        <w:t xml:space="preserve"> </w:t>
      </w:r>
      <w:r w:rsidRPr="00171E38">
        <w:rPr>
          <w:szCs w:val="22"/>
          <w:lang w:val="hu-HU" w:eastAsia="hu-HU"/>
        </w:rPr>
        <w:t xml:space="preserve">a </w:t>
      </w:r>
      <w:r w:rsidR="00C35B82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kezelés a súlyos vesekárosodásban szenvedő betegek esetében nem javasolt.</w:t>
      </w:r>
    </w:p>
    <w:p w14:paraId="427DC688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E3627D2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Májelégtelenség</w:t>
      </w:r>
    </w:p>
    <w:p w14:paraId="2EA2A105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Mivel a súlyos májelégtelenségben szenvedő betegekkel kapcsolatban csak kevés klinikai adat áll rendelkezésre, erre a betegcsoportra vonatkozóan </w:t>
      </w:r>
      <w:r w:rsidR="00783CCE" w:rsidRPr="00171E38">
        <w:rPr>
          <w:szCs w:val="22"/>
          <w:lang w:val="hu-HU" w:eastAsia="hu-HU"/>
        </w:rPr>
        <w:t>különösebb</w:t>
      </w:r>
      <w:r w:rsidRPr="00171E38">
        <w:rPr>
          <w:szCs w:val="22"/>
          <w:lang w:val="hu-HU" w:eastAsia="hu-HU"/>
        </w:rPr>
        <w:t xml:space="preserve"> ajánlások</w:t>
      </w:r>
      <w:r w:rsidR="00783CCE" w:rsidRPr="00171E38">
        <w:rPr>
          <w:szCs w:val="22"/>
          <w:lang w:val="hu-HU" w:eastAsia="hu-HU"/>
        </w:rPr>
        <w:t xml:space="preserve"> nem adhatók</w:t>
      </w:r>
      <w:r w:rsidRPr="00171E38">
        <w:rPr>
          <w:szCs w:val="22"/>
          <w:lang w:val="hu-HU" w:eastAsia="hu-HU"/>
        </w:rPr>
        <w:t>.</w:t>
      </w:r>
    </w:p>
    <w:p w14:paraId="30080EDD" w14:textId="77777777" w:rsidR="00591C5F" w:rsidRPr="0058399D" w:rsidRDefault="00591C5F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02F0A27" w14:textId="77777777" w:rsidR="008F4374" w:rsidRPr="00171E38" w:rsidRDefault="00591C5F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58399D">
        <w:rPr>
          <w:szCs w:val="22"/>
          <w:lang w:val="hu-HU"/>
        </w:rPr>
        <w:t>Osteone</w:t>
      </w:r>
      <w:r w:rsidR="001D32D3" w:rsidRPr="0058399D">
        <w:rPr>
          <w:szCs w:val="22"/>
          <w:lang w:val="hu-HU"/>
        </w:rPr>
        <w:t>crosis</w:t>
      </w:r>
    </w:p>
    <w:p w14:paraId="67A55A26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Állkapocs osteonecrosis</w:t>
      </w:r>
    </w:p>
    <w:p w14:paraId="4D8057CB" w14:textId="77777777" w:rsidR="00783CCE" w:rsidRPr="00171E38" w:rsidRDefault="00EA5AA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bookmarkStart w:id="1" w:name="_Hlk43206686"/>
      <w:r w:rsidRPr="0058399D">
        <w:rPr>
          <w:color w:val="000000"/>
          <w:szCs w:val="22"/>
          <w:lang w:val="hu-HU" w:eastAsia="hu-HU"/>
        </w:rPr>
        <w:t>Klinikai vizsgálatok során nem gyakran számoltak be állkapocs osteonecrosisról (ONJ) zoledronsavat kapó betegeknél. A forgalomba hozatalt követően nyert tapasztalat és a szakirodalom azt mutatja, hogy gyakrabban számolnak be ONJ-ről a daganat típusától függően (előrehaladott emlőrák, myeloma multiplex). Egy vizsgálatban igazolták, hogy az ONJ gyakrabban jelent meg myelomában szenvedő betegeknél, mint más daganatos megbetegedések esetén (lásd 5.1 pont).</w:t>
      </w:r>
      <w:bookmarkEnd w:id="1"/>
    </w:p>
    <w:p w14:paraId="4FB4E77A" w14:textId="77777777" w:rsidR="00C50E4D" w:rsidRDefault="00C50E4D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6A212044" w14:textId="77777777" w:rsidR="008F4374" w:rsidRPr="00171E38" w:rsidRDefault="00783CCE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>Egy új kezelés vagy egy új kezelési ciklus elkezdését halasztani kell azoknál a betegeknél, akiknek nem begyógyult, nyílt lágyrészléziójuk van a szájüregükben, kivéve az orvosi szükséghelyzeteket. A kísérő kockázati tényezőkkel bíró betegeknél a biszfoszfonát-kezelés előtt fogászati vizsgálat és megfelelő preventív fogászati beavatkozások elvégzése, valamint egyéni előny-kockázat felmérés javasolt.</w:t>
      </w:r>
    </w:p>
    <w:p w14:paraId="13DFAE97" w14:textId="77777777" w:rsidR="00783CCE" w:rsidRPr="00171E38" w:rsidRDefault="00783CCE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739A130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Az alábbi kockázati tényezőket kell figyelembe venni az ONJ-kialakulás egyéni kockázatának meghatározásánál:</w:t>
      </w:r>
    </w:p>
    <w:p w14:paraId="48E9691B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ab/>
        <w:t xml:space="preserve">A biszfoszfonátok hatékonysága (a nagyon hatékony vegyületek esetében nagyobb a kockázat), a beadási mód (a parenterális beadás esetében nagyobb a kockázat) és a </w:t>
      </w:r>
      <w:r w:rsidR="00DD61A0" w:rsidRPr="00171E38">
        <w:rPr>
          <w:szCs w:val="22"/>
          <w:lang w:val="hu-HU" w:eastAsia="hu-HU"/>
        </w:rPr>
        <w:t xml:space="preserve">biszfoszfonát </w:t>
      </w:r>
      <w:r w:rsidRPr="00171E38">
        <w:rPr>
          <w:szCs w:val="22"/>
          <w:lang w:val="hu-HU" w:eastAsia="hu-HU"/>
        </w:rPr>
        <w:t>kumulatív dózis</w:t>
      </w:r>
      <w:r w:rsidR="00DD61A0" w:rsidRPr="00171E38">
        <w:rPr>
          <w:szCs w:val="22"/>
          <w:lang w:val="hu-HU" w:eastAsia="hu-HU"/>
        </w:rPr>
        <w:t>a</w:t>
      </w:r>
      <w:r w:rsidR="00BB78E7">
        <w:rPr>
          <w:szCs w:val="22"/>
          <w:lang w:val="hu-HU" w:eastAsia="hu-HU"/>
        </w:rPr>
        <w:t>.</w:t>
      </w:r>
    </w:p>
    <w:p w14:paraId="3D721344" w14:textId="77777777" w:rsidR="00783CCE" w:rsidRPr="00171E38" w:rsidRDefault="008F4374" w:rsidP="00171E38">
      <w:pPr>
        <w:pStyle w:val="Default"/>
        <w:ind w:left="567" w:hanging="567"/>
        <w:rPr>
          <w:sz w:val="22"/>
          <w:szCs w:val="22"/>
        </w:rPr>
      </w:pPr>
      <w:r w:rsidRPr="00171E38">
        <w:rPr>
          <w:sz w:val="22"/>
          <w:szCs w:val="22"/>
        </w:rPr>
        <w:t>-</w:t>
      </w:r>
      <w:r w:rsidRPr="00171E38">
        <w:rPr>
          <w:sz w:val="22"/>
          <w:szCs w:val="22"/>
        </w:rPr>
        <w:tab/>
      </w:r>
      <w:r w:rsidR="00151E45">
        <w:rPr>
          <w:sz w:val="22"/>
          <w:szCs w:val="22"/>
        </w:rPr>
        <w:t>Tumor</w:t>
      </w:r>
      <w:r w:rsidRPr="00171E38">
        <w:rPr>
          <w:sz w:val="22"/>
          <w:szCs w:val="22"/>
        </w:rPr>
        <w:t>, k</w:t>
      </w:r>
      <w:r w:rsidR="00C36A9F" w:rsidRPr="00171E38">
        <w:rPr>
          <w:sz w:val="22"/>
          <w:szCs w:val="22"/>
        </w:rPr>
        <w:t>ísérőbetegségek</w:t>
      </w:r>
      <w:r w:rsidRPr="00171E38">
        <w:rPr>
          <w:sz w:val="22"/>
          <w:szCs w:val="22"/>
        </w:rPr>
        <w:t xml:space="preserve"> </w:t>
      </w:r>
      <w:r w:rsidR="00C36A9F" w:rsidRPr="00171E38">
        <w:rPr>
          <w:sz w:val="22"/>
          <w:szCs w:val="22"/>
        </w:rPr>
        <w:t xml:space="preserve">(pl. anaemia, coagulopathiák, fertőzés), </w:t>
      </w:r>
      <w:r w:rsidRPr="00171E38">
        <w:rPr>
          <w:sz w:val="22"/>
          <w:szCs w:val="22"/>
        </w:rPr>
        <w:t>dohányzás</w:t>
      </w:r>
      <w:r w:rsidR="00783CCE" w:rsidRPr="00171E38">
        <w:rPr>
          <w:sz w:val="22"/>
          <w:szCs w:val="22"/>
        </w:rPr>
        <w:t>.</w:t>
      </w:r>
    </w:p>
    <w:p w14:paraId="5C59E51A" w14:textId="77777777" w:rsidR="008F4374" w:rsidRPr="00171E38" w:rsidRDefault="00783CCE" w:rsidP="00171E38">
      <w:pPr>
        <w:pStyle w:val="Default"/>
        <w:ind w:left="567" w:hanging="567"/>
        <w:rPr>
          <w:rFonts w:eastAsia="Times New Roman"/>
          <w:sz w:val="22"/>
          <w:szCs w:val="22"/>
        </w:rPr>
      </w:pPr>
      <w:r w:rsidRPr="00171E38">
        <w:rPr>
          <w:sz w:val="22"/>
          <w:szCs w:val="22"/>
        </w:rPr>
        <w:t xml:space="preserve">- </w:t>
      </w:r>
      <w:r w:rsidRPr="00171E38">
        <w:rPr>
          <w:sz w:val="22"/>
          <w:szCs w:val="22"/>
        </w:rPr>
        <w:tab/>
        <w:t>Egyidejű kezelések: kemoterápia, angiogenesis-inhibitorok (lásd 4.5 pont), a nyak és fej sugárterápiája, kortikoszteroidok.</w:t>
      </w:r>
    </w:p>
    <w:p w14:paraId="7FB708A2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ab/>
        <w:t xml:space="preserve">Fogbetegség az anamnézisben, gyenge szájhigiéne, periodontális betegség, invazív fogászati beavatkozások </w:t>
      </w:r>
      <w:r w:rsidR="00125C12" w:rsidRPr="00171E38">
        <w:rPr>
          <w:szCs w:val="22"/>
          <w:lang w:val="hu-HU" w:eastAsia="hu-HU"/>
        </w:rPr>
        <w:t xml:space="preserve">(pl. foghúzások) </w:t>
      </w:r>
      <w:r w:rsidRPr="00171E38">
        <w:rPr>
          <w:szCs w:val="22"/>
          <w:lang w:val="hu-HU" w:eastAsia="hu-HU"/>
        </w:rPr>
        <w:t>és rosszul illeszkedő protézis</w:t>
      </w:r>
      <w:r w:rsidR="00BB78E7">
        <w:rPr>
          <w:szCs w:val="22"/>
          <w:lang w:val="hu-HU" w:eastAsia="hu-HU"/>
        </w:rPr>
        <w:t>.</w:t>
      </w:r>
    </w:p>
    <w:p w14:paraId="2BD32829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EB889BB" w14:textId="77777777" w:rsidR="0040470F" w:rsidRDefault="00783CCE" w:rsidP="00171E3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 xml:space="preserve">Minden beteget megfelelő szájápolásra, a rutinszerű fogászati ellenőrzések elvégeztetésére, valamint arra kell ösztönözni, hogy azonnal jelezzenek minden, a zoledronsav-kezelés alatt fellépő szájüregi tünetet, mint például a </w:t>
      </w:r>
      <w:r w:rsidR="0040470F">
        <w:rPr>
          <w:color w:val="000000"/>
          <w:szCs w:val="22"/>
          <w:lang w:val="hu-HU" w:eastAsia="hu-HU"/>
        </w:rPr>
        <w:t>mozgó fogat</w:t>
      </w:r>
      <w:r w:rsidRPr="00171E38">
        <w:rPr>
          <w:color w:val="000000"/>
          <w:szCs w:val="22"/>
          <w:lang w:val="hu-HU" w:eastAsia="hu-HU"/>
        </w:rPr>
        <w:t xml:space="preserve">, fájdalmat vagy duzzanatot, vagy nem gyógyuló fekélyeket vagy váladékozást. A kezelés alatt az invazív fogászati beavatkozásokat csak alapos megfontolás után szabad végezni, és kerülni kell a zoledronsav-kezeléshez egészen közeli időszakot. </w:t>
      </w:r>
    </w:p>
    <w:p w14:paraId="6888A6CB" w14:textId="77777777" w:rsidR="0040470F" w:rsidRDefault="0040470F" w:rsidP="00171E3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5D73AE1C" w14:textId="77777777" w:rsidR="00783CCE" w:rsidRPr="00171E38" w:rsidRDefault="00783CCE" w:rsidP="00171E3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 xml:space="preserve">Azon betegek esetében, akiknek a biszfoszfonát kezelés alatt </w:t>
      </w:r>
      <w:r w:rsidR="0040470F">
        <w:rPr>
          <w:color w:val="000000"/>
          <w:szCs w:val="22"/>
          <w:lang w:val="hu-HU" w:eastAsia="hu-HU"/>
        </w:rPr>
        <w:t xml:space="preserve">az </w:t>
      </w:r>
      <w:r w:rsidRPr="00171E38">
        <w:rPr>
          <w:color w:val="000000"/>
          <w:szCs w:val="22"/>
          <w:lang w:val="hu-HU" w:eastAsia="hu-HU"/>
        </w:rPr>
        <w:t>állkapocs osteonecrosisa alakul ki, a szájsebészeti beavatkozás ronthatja az állapotot. Nincs adat arra vonatkozóan, hogy amennyiben fogászati be</w:t>
      </w:r>
      <w:r w:rsidR="0040470F">
        <w:rPr>
          <w:color w:val="000000"/>
          <w:szCs w:val="22"/>
          <w:lang w:val="hu-HU" w:eastAsia="hu-HU"/>
        </w:rPr>
        <w:t>a</w:t>
      </w:r>
      <w:r w:rsidRPr="00171E38">
        <w:rPr>
          <w:color w:val="000000"/>
          <w:szCs w:val="22"/>
          <w:lang w:val="hu-HU" w:eastAsia="hu-HU"/>
        </w:rPr>
        <w:t>vatkozásra van szükség, a biszfoszfonát kezelés megszakítása csökkenti-e az állkapocs osteonecrosis kockázatát.</w:t>
      </w:r>
    </w:p>
    <w:p w14:paraId="39EB4562" w14:textId="77777777" w:rsidR="00783CCE" w:rsidRPr="00171E38" w:rsidRDefault="00783CCE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11D198F2" w14:textId="77777777" w:rsidR="008F4374" w:rsidRPr="00171E38" w:rsidRDefault="00783CCE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>Azoknak a betegeknek a kezelési tervét, akiknél az állkapocs osteonecrosisa alakul ki, a kezelőorvosnak és az állkapocs osteonecrosis kezelésében jártas fogorvosnak vagy szájsebésznek szorosan együttműködve kell felállítania. A zoledronsav-kezelés átmeneti megszakítása mérlegelendő, amíg az állapot nem rendeződik, és ahol lehetséges, a fokozott kockázati tényezők nem csökkennek.</w:t>
      </w:r>
    </w:p>
    <w:p w14:paraId="30E5354F" w14:textId="77777777" w:rsidR="00882E60" w:rsidRPr="00171E38" w:rsidRDefault="00882E60" w:rsidP="00171E3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643AF6C8" w14:textId="77777777" w:rsidR="00882E60" w:rsidRPr="00171E38" w:rsidRDefault="000864AE" w:rsidP="00171E3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color w:val="000000"/>
          <w:szCs w:val="22"/>
          <w:u w:val="single"/>
          <w:lang w:val="hu-HU" w:eastAsia="hu-HU"/>
        </w:rPr>
      </w:pPr>
      <w:r>
        <w:rPr>
          <w:i/>
          <w:color w:val="000000"/>
          <w:szCs w:val="22"/>
          <w:u w:val="single"/>
          <w:lang w:val="hu-HU" w:eastAsia="hu-HU"/>
        </w:rPr>
        <w:t>Más anatómiai lokalizációk</w:t>
      </w:r>
      <w:r w:rsidR="00882E60" w:rsidRPr="00171E38">
        <w:rPr>
          <w:i/>
          <w:color w:val="000000"/>
          <w:szCs w:val="22"/>
          <w:u w:val="single"/>
          <w:lang w:val="hu-HU" w:eastAsia="hu-HU"/>
        </w:rPr>
        <w:t xml:space="preserve"> osteone</w:t>
      </w:r>
      <w:r w:rsidR="00E75023" w:rsidRPr="00171E38">
        <w:rPr>
          <w:i/>
          <w:color w:val="000000"/>
          <w:szCs w:val="22"/>
          <w:u w:val="single"/>
          <w:lang w:val="hu-HU" w:eastAsia="hu-HU"/>
        </w:rPr>
        <w:t>c</w:t>
      </w:r>
      <w:r w:rsidR="00882E60" w:rsidRPr="00171E38">
        <w:rPr>
          <w:i/>
          <w:color w:val="000000"/>
          <w:szCs w:val="22"/>
          <w:u w:val="single"/>
          <w:lang w:val="hu-HU" w:eastAsia="hu-HU"/>
        </w:rPr>
        <w:t>r</w:t>
      </w:r>
      <w:r w:rsidR="00E75023" w:rsidRPr="00171E38">
        <w:rPr>
          <w:i/>
          <w:color w:val="000000"/>
          <w:szCs w:val="22"/>
          <w:u w:val="single"/>
          <w:lang w:val="hu-HU" w:eastAsia="hu-HU"/>
        </w:rPr>
        <w:t>os</w:t>
      </w:r>
      <w:r w:rsidR="00882E60" w:rsidRPr="00171E38">
        <w:rPr>
          <w:i/>
          <w:color w:val="000000"/>
          <w:szCs w:val="22"/>
          <w:u w:val="single"/>
          <w:lang w:val="hu-HU" w:eastAsia="hu-HU"/>
        </w:rPr>
        <w:t>isa</w:t>
      </w:r>
    </w:p>
    <w:p w14:paraId="451A43C0" w14:textId="77777777" w:rsidR="00783CCE" w:rsidRDefault="00882E6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>Biszfoszfonátok alkalmazásakor a külső hallójárat osteone</w:t>
      </w:r>
      <w:r w:rsidR="00E75023" w:rsidRPr="00171E38">
        <w:rPr>
          <w:color w:val="000000"/>
          <w:szCs w:val="22"/>
          <w:lang w:val="hu-HU" w:eastAsia="hu-HU"/>
        </w:rPr>
        <w:t>c</w:t>
      </w:r>
      <w:r w:rsidRPr="00171E38">
        <w:rPr>
          <w:color w:val="000000"/>
          <w:szCs w:val="22"/>
          <w:lang w:val="hu-HU" w:eastAsia="hu-HU"/>
        </w:rPr>
        <w:t>r</w:t>
      </w:r>
      <w:r w:rsidR="00E75023" w:rsidRPr="00171E38">
        <w:rPr>
          <w:color w:val="000000"/>
          <w:szCs w:val="22"/>
          <w:lang w:val="hu-HU" w:eastAsia="hu-HU"/>
        </w:rPr>
        <w:t>os</w:t>
      </w:r>
      <w:r w:rsidRPr="00171E38">
        <w:rPr>
          <w:color w:val="000000"/>
          <w:szCs w:val="22"/>
          <w:lang w:val="hu-HU" w:eastAsia="hu-HU"/>
        </w:rPr>
        <w:t>isát jelentették, főként hosszan tartó kezeléssel összefüggésben. A külső hallójárat osteone</w:t>
      </w:r>
      <w:r w:rsidR="00E75023" w:rsidRPr="00171E38">
        <w:rPr>
          <w:color w:val="000000"/>
          <w:szCs w:val="22"/>
          <w:lang w:val="hu-HU" w:eastAsia="hu-HU"/>
        </w:rPr>
        <w:t>c</w:t>
      </w:r>
      <w:r w:rsidRPr="00171E38">
        <w:rPr>
          <w:color w:val="000000"/>
          <w:szCs w:val="22"/>
          <w:lang w:val="hu-HU" w:eastAsia="hu-HU"/>
        </w:rPr>
        <w:t>r</w:t>
      </w:r>
      <w:r w:rsidR="00E75023" w:rsidRPr="00171E38">
        <w:rPr>
          <w:color w:val="000000"/>
          <w:szCs w:val="22"/>
          <w:lang w:val="hu-HU" w:eastAsia="hu-HU"/>
        </w:rPr>
        <w:t>os</w:t>
      </w:r>
      <w:r w:rsidRPr="00171E38">
        <w:rPr>
          <w:color w:val="000000"/>
          <w:szCs w:val="22"/>
          <w:lang w:val="hu-HU" w:eastAsia="hu-HU"/>
        </w:rPr>
        <w:t>isának lehetséges kockázati tényezői közé a szteroidhasználat és a kemoterápia, és/vagy olyan helyi kockázati tényezők tartoznak, mint például a fertőzés vagy a trauma. A külső hallójárat osteone</w:t>
      </w:r>
      <w:r w:rsidR="00E75023" w:rsidRPr="00171E38">
        <w:rPr>
          <w:color w:val="000000"/>
          <w:szCs w:val="22"/>
          <w:lang w:val="hu-HU" w:eastAsia="hu-HU"/>
        </w:rPr>
        <w:t>c</w:t>
      </w:r>
      <w:r w:rsidRPr="00171E38">
        <w:rPr>
          <w:color w:val="000000"/>
          <w:szCs w:val="22"/>
          <w:lang w:val="hu-HU" w:eastAsia="hu-HU"/>
        </w:rPr>
        <w:t>r</w:t>
      </w:r>
      <w:r w:rsidR="00E75023" w:rsidRPr="00171E38">
        <w:rPr>
          <w:color w:val="000000"/>
          <w:szCs w:val="22"/>
          <w:lang w:val="hu-HU" w:eastAsia="hu-HU"/>
        </w:rPr>
        <w:t>os</w:t>
      </w:r>
      <w:r w:rsidRPr="00171E38">
        <w:rPr>
          <w:color w:val="000000"/>
          <w:szCs w:val="22"/>
          <w:lang w:val="hu-HU" w:eastAsia="hu-HU"/>
        </w:rPr>
        <w:t>isának lehetőségét figyelembe kell venni azoknál a biszfoszfonátokat szedő betegeknél, akiknél fültünetek, például krónikus fülfertőzés jelentkezik.</w:t>
      </w:r>
    </w:p>
    <w:p w14:paraId="1BA60893" w14:textId="77777777" w:rsidR="000864AE" w:rsidRDefault="000864AE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4BA3B17D" w14:textId="77777777" w:rsidR="000864AE" w:rsidRPr="00171E38" w:rsidRDefault="000864AE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58399D">
        <w:rPr>
          <w:szCs w:val="22"/>
          <w:lang w:val="hu-HU"/>
        </w:rPr>
        <w:t xml:space="preserve">Ezenkívül egyéb helyek, mint a csípő és a femur osteonecrosisának egyes eseteit is jelentették, főleg </w:t>
      </w:r>
      <w:r w:rsidR="0040470F" w:rsidRPr="0058399D">
        <w:rPr>
          <w:szCs w:val="22"/>
          <w:lang w:val="hu-HU"/>
        </w:rPr>
        <w:t>zoledronsavval</w:t>
      </w:r>
      <w:r w:rsidRPr="0058399D">
        <w:rPr>
          <w:szCs w:val="22"/>
          <w:lang w:val="hu-HU"/>
        </w:rPr>
        <w:t xml:space="preserve"> kezelt felnőtt daganatos betegeknél.</w:t>
      </w:r>
    </w:p>
    <w:p w14:paraId="61DCEA31" w14:textId="77777777" w:rsidR="00882E60" w:rsidRPr="00171E38" w:rsidRDefault="00882E6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3113536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Csont- és izomrendszeri fájdalom</w:t>
      </w:r>
    </w:p>
    <w:p w14:paraId="76334988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forgalomba hozatalt követően súlyos és esetenként a munkavégzést akadályozó csont-, ízületi- és/vagy izomfájdalomról számoltak be zoledronsavval kezelt betegek esetében. Azonban ezek a bejelentések nem voltak gyakoriak. A tünetek megjelenéséig eltelt idő a kezelés megkezdésétől számított egy nap – több hónap között változott. A legtöbb beteg tünete enyhült miután a kezelést abbahagyták. A betegek egy részénél a tünetek visszatértek </w:t>
      </w:r>
      <w:r w:rsidR="0040470F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 w:eastAsia="hu-HU"/>
        </w:rPr>
        <w:t>zoledronsav vagy más biszfoszfonát újbóli alkalmazásának hatására.</w:t>
      </w:r>
    </w:p>
    <w:p w14:paraId="2898DC6C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B4CD203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A femur atípusos törései</w:t>
      </w:r>
    </w:p>
    <w:p w14:paraId="1D21681A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femur atípusos subtrochanter és diaphysis töréseiről számoltak be, elsősorban az olyan betegeknél, akik osteoporosis miatt hosszan tartó biszfoszfonát-kezelést kaptak. Ezek a haránt vagy rövid ferde törések bárhol előfordulhatnak a femuron, közvetlenül a </w:t>
      </w:r>
      <w:r w:rsidR="00523D40" w:rsidRPr="00171E38">
        <w:rPr>
          <w:szCs w:val="22"/>
          <w:lang w:val="hu-HU" w:eastAsia="hu-HU"/>
        </w:rPr>
        <w:t>kis</w:t>
      </w:r>
      <w:r w:rsidRPr="00171E38">
        <w:rPr>
          <w:szCs w:val="22"/>
          <w:lang w:val="hu-HU" w:eastAsia="hu-HU"/>
        </w:rPr>
        <w:t>trochanter</w:t>
      </w:r>
      <w:r w:rsidR="00523D40" w:rsidRPr="00171E38">
        <w:rPr>
          <w:szCs w:val="22"/>
          <w:lang w:val="hu-HU" w:eastAsia="hu-HU"/>
        </w:rPr>
        <w:t>től</w:t>
      </w:r>
      <w:r w:rsidRPr="00171E38">
        <w:rPr>
          <w:szCs w:val="22"/>
          <w:lang w:val="hu-HU" w:eastAsia="hu-HU"/>
        </w:rPr>
        <w:t xml:space="preserve"> lefelé, egészen a supracondylus kiöblösödés feletti részig. Ezek a törések minimális trauma után vagy anélkül következnek be, és néhány beteg hetekkel vagy hónapokkal a bekövetkezett combcsonttörés jelentkezése előtt comb- vagy lágyéktájéki fájdalmat észlel,</w:t>
      </w:r>
      <w:r w:rsidR="00093E5C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mely</w:t>
      </w:r>
      <w:r w:rsidR="00226D7B" w:rsidRPr="00171E38">
        <w:rPr>
          <w:szCs w:val="22"/>
          <w:lang w:val="hu-HU" w:eastAsia="hu-HU"/>
        </w:rPr>
        <w:t>ek gyakran párosulnak fáradásos törésre utaló képalkotó jellemzőkkel</w:t>
      </w:r>
      <w:r w:rsidRPr="00171E38">
        <w:rPr>
          <w:szCs w:val="22"/>
          <w:lang w:val="hu-HU" w:eastAsia="hu-HU"/>
        </w:rPr>
        <w:t>. A törések gyakran bilaterálisak, ezért azoknál a biszfoszfonáttal kezelt betegeknél, akiknek igazolt femur diaphysis törésük van, az ellenoldali combcsontot is meg kell vizsgálni. Ezeknél a töréseknél rossz gyógyulási hajlamról is beszámoltak. Azoknál a betegeknél, akiknél felmerül az atípusos femurtörés gyanúja, az egyéni előny/kockázat arány értékelése alapján, a beteg folyamatban lévő vizsgálatainak idejére mérlegelni kell a biszfoszfonát kezelés felfüggesztését.</w:t>
      </w:r>
    </w:p>
    <w:p w14:paraId="25A36AF7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94B3E15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betegek figyelmét fel kell hívni arra, hogy a biszfoszfonát-kezelés ideje alatt számoljanak be bármilyen comb-, csípő- vagy lágyéktáji fájdalomról, és minden betegnél</w:t>
      </w:r>
      <w:r w:rsidR="00DF0B83">
        <w:rPr>
          <w:szCs w:val="22"/>
          <w:lang w:val="hu-HU" w:eastAsia="hu-HU"/>
        </w:rPr>
        <w:t>,</w:t>
      </w:r>
      <w:r w:rsidRPr="00171E38">
        <w:rPr>
          <w:szCs w:val="22"/>
          <w:lang w:val="hu-HU" w:eastAsia="hu-HU"/>
        </w:rPr>
        <w:t xml:space="preserve"> aki ilyen tünetekkel jelentkezik, meg kell vizsgálni, hogy </w:t>
      </w:r>
      <w:r w:rsidRPr="00171E38">
        <w:rPr>
          <w:szCs w:val="22"/>
          <w:lang w:val="hu-HU"/>
        </w:rPr>
        <w:t xml:space="preserve">részleges </w:t>
      </w:r>
      <w:r w:rsidRPr="00171E38">
        <w:rPr>
          <w:szCs w:val="22"/>
          <w:lang w:val="hu-HU" w:eastAsia="hu-HU"/>
        </w:rPr>
        <w:t>femurtörés fennáll-e.</w:t>
      </w:r>
    </w:p>
    <w:p w14:paraId="26994F85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28C7B61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Hypocalcaemia</w:t>
      </w:r>
    </w:p>
    <w:p w14:paraId="42661ED1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Hypocalcaemiát jelentettek zoledronsavval kezelt betegeknél. A súlyos hypocalcaemia eseteihez kapcsolódóan szívritmuszavarokat és neurológiai mellékhatásokat (beleértve a </w:t>
      </w:r>
      <w:r w:rsidR="003528A4" w:rsidRPr="00171E38">
        <w:rPr>
          <w:szCs w:val="22"/>
          <w:lang w:val="hu-HU" w:eastAsia="hu-HU"/>
        </w:rPr>
        <w:t>convulsiókat</w:t>
      </w:r>
      <w:r w:rsidRPr="00171E38">
        <w:rPr>
          <w:szCs w:val="22"/>
          <w:lang w:val="hu-HU" w:eastAsia="hu-HU"/>
        </w:rPr>
        <w:t xml:space="preserve">, </w:t>
      </w:r>
      <w:r w:rsidR="003528A4" w:rsidRPr="00171E38">
        <w:rPr>
          <w:szCs w:val="22"/>
          <w:lang w:val="hu-HU" w:eastAsia="hu-HU"/>
        </w:rPr>
        <w:t>hypaesthesiát</w:t>
      </w:r>
      <w:r w:rsidRPr="00171E38">
        <w:rPr>
          <w:szCs w:val="22"/>
          <w:lang w:val="hu-HU" w:eastAsia="hu-HU"/>
        </w:rPr>
        <w:t xml:space="preserve"> és tetaniát is) jelentettek. Kórházi ápolást igénylő súlyos hypocalcaemia eseteit jelentették. Egyes esetekben a hypocalcaemia életveszélyes lehet (lásd 4.8 pont).</w:t>
      </w:r>
      <w:r w:rsidR="00226D7B" w:rsidRPr="00171E38">
        <w:rPr>
          <w:szCs w:val="22"/>
          <w:lang w:val="hu-HU"/>
        </w:rPr>
        <w:t xml:space="preserve"> Óvatosság ajánlott, ha a </w:t>
      </w:r>
      <w:r w:rsidR="0040470F">
        <w:rPr>
          <w:szCs w:val="22"/>
          <w:lang w:val="hu-HU"/>
        </w:rPr>
        <w:t>zoledronsavat</w:t>
      </w:r>
      <w:r w:rsidR="00226D7B" w:rsidRPr="00171E38">
        <w:rPr>
          <w:szCs w:val="22"/>
          <w:lang w:val="hu-HU"/>
        </w:rPr>
        <w:t xml:space="preserve"> olyan gyógyszerekkel adják együtt, amelyek ismerten hypocalcaemiát okoznak, mivel szinergista hatásuk lehet, ami súlyos hypocalcaemiát eredményez (lásd 4.5 pont). A zoledronsav-kezelés megkezdése előtt a szérum kalciumszintet meg kell mérni, és a hypocalcaemiát korrigálni kell. A betegeket megfelelő kalcium- és D-vitamin-pótlásban kell részesíteni.</w:t>
      </w:r>
    </w:p>
    <w:p w14:paraId="62B904F3" w14:textId="77777777" w:rsidR="008F4374" w:rsidRPr="00171E38" w:rsidRDefault="008F437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EFFD3FD" w14:textId="77777777" w:rsidR="00DF0B83" w:rsidRPr="00E74A9E" w:rsidRDefault="00DF0B83" w:rsidP="00DF0B83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EA23D0">
        <w:rPr>
          <w:i/>
          <w:iCs/>
          <w:szCs w:val="22"/>
          <w:u w:val="single"/>
          <w:lang w:val="hu-HU" w:eastAsia="hu-HU"/>
        </w:rPr>
        <w:t>A Zoledronsav Richter nátriumot tartalmaz</w:t>
      </w:r>
    </w:p>
    <w:p w14:paraId="67747876" w14:textId="77777777" w:rsidR="00DF0B83" w:rsidRPr="00171E38" w:rsidRDefault="00DF0B83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E74A9E">
        <w:rPr>
          <w:szCs w:val="22"/>
          <w:lang w:val="hu-HU" w:eastAsia="hu-HU"/>
        </w:rPr>
        <w:t>A készítmény kevesebb mint 1 mmol (23 mg) nátriumot tartalmaz</w:t>
      </w:r>
      <w:r w:rsidRPr="00F11B60">
        <w:rPr>
          <w:szCs w:val="22"/>
          <w:lang w:val="hu-HU" w:eastAsia="hu-HU"/>
        </w:rPr>
        <w:t xml:space="preserve"> 100</w:t>
      </w:r>
      <w:r w:rsidRPr="00B3033C">
        <w:rPr>
          <w:szCs w:val="22"/>
          <w:lang w:val="hu-HU" w:eastAsia="hu-HU"/>
        </w:rPr>
        <w:t> </w:t>
      </w:r>
      <w:r w:rsidRPr="00EA23D0">
        <w:rPr>
          <w:szCs w:val="22"/>
          <w:lang w:val="hu-HU" w:eastAsia="hu-HU"/>
        </w:rPr>
        <w:t>ml oldatos infúziónként, azaz gyakorlatilag „nátriummentes”.</w:t>
      </w:r>
    </w:p>
    <w:p w14:paraId="7A3E21E7" w14:textId="77777777" w:rsidR="00133016" w:rsidRPr="00171E38" w:rsidRDefault="00133016" w:rsidP="00171E38">
      <w:pPr>
        <w:spacing w:line="240" w:lineRule="auto"/>
        <w:rPr>
          <w:szCs w:val="22"/>
          <w:lang w:val="hu-HU"/>
        </w:rPr>
      </w:pPr>
    </w:p>
    <w:p w14:paraId="3CA78F5B" w14:textId="77777777" w:rsidR="001B0D69" w:rsidRPr="00171E38" w:rsidRDefault="001B0D69" w:rsidP="00424A82">
      <w:pPr>
        <w:keepNext/>
        <w:spacing w:line="240" w:lineRule="auto"/>
        <w:outlineLvl w:val="0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A CalciviD</w:t>
      </w:r>
      <w:r w:rsidR="008D7C99" w:rsidRPr="00171E38">
        <w:rPr>
          <w:szCs w:val="22"/>
          <w:u w:val="single"/>
          <w:lang w:val="hu-HU"/>
        </w:rPr>
        <w:t xml:space="preserve"> szedése</w:t>
      </w:r>
      <w:r w:rsidR="008F4374" w:rsidRPr="00171E38">
        <w:rPr>
          <w:szCs w:val="22"/>
          <w:u w:val="single"/>
          <w:lang w:val="hu-HU"/>
        </w:rPr>
        <w:t xml:space="preserve"> miatt</w:t>
      </w:r>
    </w:p>
    <w:p w14:paraId="03337A64" w14:textId="77777777" w:rsidR="00D14116" w:rsidRPr="00171E38" w:rsidRDefault="00D14116" w:rsidP="00424A82">
      <w:pPr>
        <w:keepNext/>
        <w:spacing w:line="240" w:lineRule="auto"/>
        <w:rPr>
          <w:szCs w:val="22"/>
          <w:lang w:val="hu-HU"/>
        </w:rPr>
      </w:pPr>
    </w:p>
    <w:p w14:paraId="68EB0A1E" w14:textId="77777777" w:rsidR="001B0D69" w:rsidRPr="00171E38" w:rsidRDefault="001B0D69" w:rsidP="00424A82">
      <w:pPr>
        <w:keepNext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Hosszantartó kezelés során ellenőrizni kell a szérum</w:t>
      </w:r>
      <w:r w:rsidR="00F55813">
        <w:rPr>
          <w:szCs w:val="22"/>
          <w:lang w:val="hu-HU"/>
        </w:rPr>
        <w:t>-</w:t>
      </w:r>
      <w:r w:rsidRPr="00171E38">
        <w:rPr>
          <w:szCs w:val="22"/>
          <w:lang w:val="hu-HU"/>
        </w:rPr>
        <w:t>kalciumszintet és a vesefunkciót a szérumkreatinin</w:t>
      </w:r>
      <w:r w:rsidR="00F55813">
        <w:rPr>
          <w:szCs w:val="22"/>
          <w:lang w:val="hu-HU"/>
        </w:rPr>
        <w:t>-</w:t>
      </w:r>
      <w:r w:rsidRPr="00171E38">
        <w:rPr>
          <w:szCs w:val="22"/>
          <w:lang w:val="hu-HU"/>
        </w:rPr>
        <w:t>szint mérésével. Az ellenőrzés különösen fontos olyan idős betegek esetén, akik egyidejűleg szívglikozidokat vagy diuretikumokat is szednek (lásd 4.5 pont) és olyan betegek esetén, akikben a kőképződés veszélye nagy. Hypercalcaemia vagy vesekárosodás tüneteinek észlelésekor abba kell hagyni a Calci</w:t>
      </w:r>
      <w:r w:rsidR="00093E5C" w:rsidRPr="00171E38">
        <w:rPr>
          <w:szCs w:val="22"/>
          <w:lang w:val="hu-HU"/>
        </w:rPr>
        <w:t>vi</w:t>
      </w:r>
      <w:r w:rsidRPr="00171E38">
        <w:rPr>
          <w:szCs w:val="22"/>
          <w:lang w:val="hu-HU"/>
        </w:rPr>
        <w:t>D adagolását.</w:t>
      </w:r>
      <w:r w:rsidR="00B075AF" w:rsidRPr="00171E38">
        <w:rPr>
          <w:szCs w:val="22"/>
          <w:lang w:val="hu-HU"/>
        </w:rPr>
        <w:t xml:space="preserve"> Ajánlatos a kezelés csökkentése vagy ideiglenes megszakítása, ha a vizelet kalciumszintje meghaladja a 7,5 mmol/24 óra értéket (300 mg/24 óra).</w:t>
      </w:r>
    </w:p>
    <w:p w14:paraId="1BF01F28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65E80E7B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D3-vitamin csak óvatosan adható károsodott vesefunkciójú betegeknek. Ilyen esetben a kalcium</w:t>
      </w:r>
      <w:r w:rsidR="00F55813">
        <w:rPr>
          <w:szCs w:val="22"/>
          <w:lang w:val="hu-HU"/>
        </w:rPr>
        <w:t>-</w:t>
      </w:r>
      <w:r w:rsidRPr="00171E38">
        <w:rPr>
          <w:szCs w:val="22"/>
          <w:lang w:val="hu-HU"/>
        </w:rPr>
        <w:t xml:space="preserve"> és a foszfátszintek ellenőrzése szükséges, valamint lágyszövet meszesedéssel is számolni kell. Súlyos veseelégtelenségben szenvedő betegekben a kolekalciferol nem metabolizálódik a szokásos módon, ilyen esetben más D-vitamin formát kell választani (lásd 4.3 </w:t>
      </w:r>
      <w:r w:rsidR="00B43947" w:rsidRPr="00171E38">
        <w:rPr>
          <w:szCs w:val="22"/>
          <w:lang w:val="hu-HU"/>
        </w:rPr>
        <w:t>pont).</w:t>
      </w:r>
    </w:p>
    <w:p w14:paraId="1280736E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64D90845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 CalciviD csak óvatosan adható sarcoidosisban szenvedő betegeknek, a D-vitamin aktív formává történő gyors metabolizációjának kockázata miatt. Ilyen betegekben a vér és </w:t>
      </w:r>
      <w:r w:rsidR="00F55813">
        <w:rPr>
          <w:szCs w:val="22"/>
          <w:lang w:val="hu-HU"/>
        </w:rPr>
        <w:t xml:space="preserve">a </w:t>
      </w:r>
      <w:r w:rsidRPr="00171E38">
        <w:rPr>
          <w:szCs w:val="22"/>
          <w:lang w:val="hu-HU"/>
        </w:rPr>
        <w:t>vizelet kalciumszintjének ellenőrzése szükséges.</w:t>
      </w:r>
    </w:p>
    <w:p w14:paraId="751F1994" w14:textId="77777777" w:rsidR="00D14116" w:rsidRPr="00171E38" w:rsidRDefault="00D14116" w:rsidP="00171E38">
      <w:pPr>
        <w:spacing w:line="240" w:lineRule="auto"/>
        <w:rPr>
          <w:szCs w:val="22"/>
          <w:lang w:val="hu-HU"/>
        </w:rPr>
      </w:pPr>
    </w:p>
    <w:p w14:paraId="45252CCA" w14:textId="77777777" w:rsidR="00D14116" w:rsidRPr="00171E38" w:rsidRDefault="00D14116" w:rsidP="00171E38">
      <w:pPr>
        <w:spacing w:line="240" w:lineRule="auto"/>
        <w:rPr>
          <w:spacing w:val="4"/>
          <w:szCs w:val="22"/>
          <w:lang w:val="hu-HU"/>
        </w:rPr>
      </w:pPr>
      <w:r w:rsidRPr="00171E38">
        <w:rPr>
          <w:spacing w:val="4"/>
          <w:szCs w:val="22"/>
          <w:lang w:val="hu-HU"/>
        </w:rPr>
        <w:t>A CalciviD filmtabletta óvatosan adható mozgásképtelen, osteoporosisban szenvedő betegeknek a hypercalcaemia fokozott veszélye miatt.</w:t>
      </w:r>
    </w:p>
    <w:p w14:paraId="3E341C1F" w14:textId="77777777" w:rsidR="00D14116" w:rsidRPr="00171E38" w:rsidRDefault="00D14116" w:rsidP="00171E38">
      <w:pPr>
        <w:spacing w:line="240" w:lineRule="auto"/>
        <w:rPr>
          <w:szCs w:val="22"/>
          <w:lang w:val="hu-HU"/>
        </w:rPr>
      </w:pPr>
    </w:p>
    <w:p w14:paraId="7027A9D3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Egyéb D-vitamin</w:t>
      </w:r>
      <w:r w:rsidR="00C77484">
        <w:rPr>
          <w:szCs w:val="22"/>
          <w:lang w:val="hu-HU"/>
        </w:rPr>
        <w:t>-</w:t>
      </w:r>
      <w:r w:rsidRPr="00171E38">
        <w:rPr>
          <w:szCs w:val="22"/>
          <w:lang w:val="hu-HU"/>
        </w:rPr>
        <w:t xml:space="preserve">tartalmú készítmény egyidejű adása során figyelembe kell venni a készítmény D-vitamin (400 NE) tartalmát. Többlet kalcium vagy D-vitamin adása csak a vér és </w:t>
      </w:r>
      <w:r w:rsidR="00F55813">
        <w:rPr>
          <w:szCs w:val="22"/>
          <w:lang w:val="hu-HU"/>
        </w:rPr>
        <w:t xml:space="preserve">a </w:t>
      </w:r>
      <w:r w:rsidRPr="00171E38">
        <w:rPr>
          <w:szCs w:val="22"/>
          <w:lang w:val="hu-HU"/>
        </w:rPr>
        <w:t xml:space="preserve">vizelet kalcium szintjének gyakori ellenőrzése </w:t>
      </w:r>
      <w:r w:rsidR="002333A4" w:rsidRPr="00171E38">
        <w:rPr>
          <w:szCs w:val="22"/>
          <w:lang w:val="hu-HU"/>
        </w:rPr>
        <w:t xml:space="preserve">mellett </w:t>
      </w:r>
      <w:r w:rsidRPr="00171E38">
        <w:rPr>
          <w:szCs w:val="22"/>
          <w:lang w:val="hu-HU"/>
        </w:rPr>
        <w:t>javasolt.</w:t>
      </w:r>
      <w:r w:rsidR="00533AFA">
        <w:rPr>
          <w:szCs w:val="22"/>
          <w:lang w:val="hu-HU"/>
        </w:rPr>
        <w:t xml:space="preserve"> </w:t>
      </w:r>
      <w:r w:rsidR="00533AFA" w:rsidRPr="00533AFA">
        <w:rPr>
          <w:szCs w:val="22"/>
          <w:lang w:val="hu-HU"/>
        </w:rPr>
        <w:t>Tej-alkáli</w:t>
      </w:r>
      <w:r w:rsidR="00C77484">
        <w:rPr>
          <w:szCs w:val="22"/>
          <w:lang w:val="hu-HU"/>
        </w:rPr>
        <w:t>-</w:t>
      </w:r>
      <w:r w:rsidR="00533AFA" w:rsidRPr="00533AFA">
        <w:rPr>
          <w:szCs w:val="22"/>
          <w:lang w:val="hu-HU"/>
        </w:rPr>
        <w:t>szindróma (Burnett</w:t>
      </w:r>
      <w:r w:rsidR="00C77484">
        <w:rPr>
          <w:szCs w:val="22"/>
          <w:lang w:val="hu-HU"/>
        </w:rPr>
        <w:t>-</w:t>
      </w:r>
      <w:r w:rsidR="00533AFA" w:rsidRPr="00533AFA">
        <w:rPr>
          <w:szCs w:val="22"/>
          <w:lang w:val="hu-HU"/>
        </w:rPr>
        <w:t>szindróma), azaz hypercalcaemia, alkalosis és vesekárosodás jelentkezhet nagy mennyiségű kalcium felszívódó alkálikkal való elfogyasztásakor.</w:t>
      </w:r>
    </w:p>
    <w:p w14:paraId="3CAAF851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06050E3A" w14:textId="77777777" w:rsidR="00DA37E8" w:rsidRPr="00171E38" w:rsidRDefault="00DA37E8" w:rsidP="00171E38">
      <w:pPr>
        <w:spacing w:line="240" w:lineRule="auto"/>
        <w:rPr>
          <w:szCs w:val="22"/>
          <w:lang w:val="hu-HU"/>
        </w:rPr>
      </w:pPr>
      <w:r w:rsidRPr="00171E38">
        <w:rPr>
          <w:i/>
          <w:szCs w:val="22"/>
          <w:u w:val="single"/>
          <w:lang w:val="hu-HU"/>
        </w:rPr>
        <w:t>Segédanyagok</w:t>
      </w:r>
    </w:p>
    <w:p w14:paraId="0AFF6F89" w14:textId="77777777" w:rsidR="0079059F" w:rsidRPr="00171E38" w:rsidRDefault="00EA5AA6" w:rsidP="00171E38">
      <w:pPr>
        <w:spacing w:line="240" w:lineRule="auto"/>
        <w:rPr>
          <w:spacing w:val="4"/>
          <w:szCs w:val="22"/>
          <w:lang w:val="hu-HU"/>
        </w:rPr>
      </w:pPr>
      <w:r>
        <w:rPr>
          <w:szCs w:val="22"/>
          <w:lang w:val="hu-HU"/>
        </w:rPr>
        <w:t xml:space="preserve">A </w:t>
      </w:r>
      <w:r w:rsidR="00781F8E" w:rsidRPr="00171E38">
        <w:rPr>
          <w:szCs w:val="22"/>
          <w:lang w:val="hu-HU"/>
        </w:rPr>
        <w:t xml:space="preserve">CalciviD szacharózt tartalmaz. </w:t>
      </w:r>
      <w:r w:rsidR="0079059F" w:rsidRPr="00171E38">
        <w:rPr>
          <w:szCs w:val="22"/>
          <w:lang w:val="hu-HU"/>
        </w:rPr>
        <w:t>Ritkán előforduló, örökletes fruktóz intoleranciában, glükóz-galaktóz malabszorpcióban vagy szacharáz-izomaltáz hiányban a</w:t>
      </w:r>
      <w:r w:rsidR="0079059F" w:rsidRPr="00171E38">
        <w:rPr>
          <w:spacing w:val="4"/>
          <w:szCs w:val="22"/>
          <w:lang w:val="hu-HU"/>
        </w:rPr>
        <w:t xml:space="preserve"> készítmény nem szedhető.</w:t>
      </w:r>
    </w:p>
    <w:p w14:paraId="0466918C" w14:textId="77777777" w:rsidR="00781F8E" w:rsidRPr="00171E38" w:rsidRDefault="00781F8E" w:rsidP="00C052E4">
      <w:pPr>
        <w:spacing w:line="240" w:lineRule="auto"/>
        <w:rPr>
          <w:szCs w:val="22"/>
          <w:lang w:val="hu-HU"/>
        </w:rPr>
      </w:pPr>
    </w:p>
    <w:p w14:paraId="6DEA52DE" w14:textId="77777777" w:rsidR="001B0D69" w:rsidRPr="00171E38" w:rsidRDefault="001B0D69" w:rsidP="00C052E4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4.5</w:t>
      </w:r>
      <w:r w:rsidR="00491B7F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Gyógyszerkölcsönhatások és egyéb interakciók</w:t>
      </w:r>
    </w:p>
    <w:p w14:paraId="5179F287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4E5A03D4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6E51AD3C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klinikai vizsgálatokban a zoledronsavat az általánosan használt </w:t>
      </w:r>
      <w:r w:rsidR="0040470F" w:rsidRPr="00171E38">
        <w:rPr>
          <w:szCs w:val="22"/>
          <w:lang w:val="hu-HU" w:eastAsia="hu-HU"/>
        </w:rPr>
        <w:t>daganat</w:t>
      </w:r>
      <w:r w:rsidR="0040470F">
        <w:rPr>
          <w:szCs w:val="22"/>
          <w:lang w:val="hu-HU" w:eastAsia="hu-HU"/>
        </w:rPr>
        <w:t>gátló</w:t>
      </w:r>
      <w:r w:rsidR="0040470F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szerekkel, diuretikumokkal, antibiotikumokkal és fájdalomcsillapítókkal adták együtt anélkül, hogy klinikailag megállapítható interakciókat észleltek volna.</w:t>
      </w:r>
    </w:p>
    <w:p w14:paraId="4E6FD31A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zoledronsav alig kötődik plazmafehérjékhez és </w:t>
      </w:r>
      <w:r w:rsidRPr="00171E38">
        <w:rPr>
          <w:i/>
          <w:szCs w:val="22"/>
          <w:lang w:val="hu-HU" w:eastAsia="hu-HU"/>
        </w:rPr>
        <w:t>in vitro</w:t>
      </w:r>
      <w:r w:rsidRPr="00171E38">
        <w:rPr>
          <w:szCs w:val="22"/>
          <w:lang w:val="hu-HU" w:eastAsia="hu-HU"/>
        </w:rPr>
        <w:t xml:space="preserve"> nem gátolja a humán P450 enzimeket sem (lásd 5.2 pont), de erre vonatkozó klasszikus klinikai interakciós vizsgálatokat nem végeztek.</w:t>
      </w:r>
    </w:p>
    <w:p w14:paraId="33027379" w14:textId="77777777" w:rsidR="00D3237C" w:rsidRPr="00171E38" w:rsidRDefault="00D3237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014B96F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Biszfoszfonátok aminoglikozidokkal </w:t>
      </w:r>
      <w:r w:rsidR="00C70F2B" w:rsidRPr="00171E38">
        <w:rPr>
          <w:szCs w:val="22"/>
          <w:lang w:val="hu-HU" w:eastAsia="hu-HU"/>
        </w:rPr>
        <w:t xml:space="preserve">kalcitoninnal, vagy kacsdiuretikumokkal </w:t>
      </w:r>
      <w:r w:rsidRPr="00171E38">
        <w:rPr>
          <w:szCs w:val="22"/>
          <w:lang w:val="hu-HU" w:eastAsia="hu-HU"/>
        </w:rPr>
        <w:t xml:space="preserve">történő együttadása esetén óvatosság ajánlott, mert </w:t>
      </w:r>
      <w:r w:rsidR="00151E45">
        <w:rPr>
          <w:szCs w:val="22"/>
          <w:lang w:val="hu-HU" w:eastAsia="hu-HU"/>
        </w:rPr>
        <w:t xml:space="preserve">ezen </w:t>
      </w:r>
      <w:r w:rsidRPr="00171E38">
        <w:rPr>
          <w:szCs w:val="22"/>
          <w:lang w:val="hu-HU" w:eastAsia="hu-HU"/>
        </w:rPr>
        <w:t>hatóanyagcsoport</w:t>
      </w:r>
      <w:r w:rsidR="00151E45">
        <w:rPr>
          <w:szCs w:val="22"/>
          <w:lang w:val="hu-HU" w:eastAsia="hu-HU"/>
        </w:rPr>
        <w:t>ok</w:t>
      </w:r>
      <w:r w:rsidRPr="00171E38">
        <w:rPr>
          <w:szCs w:val="22"/>
          <w:lang w:val="hu-HU" w:eastAsia="hu-HU"/>
        </w:rPr>
        <w:t xml:space="preserve"> tagjai additív hatásúak lehetnek, és a kelleténél tartósabb, alacsonyabb szérumkalcium</w:t>
      </w:r>
      <w:r w:rsidR="009B4EFC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>szint</w:t>
      </w:r>
      <w:r w:rsidR="00934271" w:rsidRPr="00171E38">
        <w:rPr>
          <w:szCs w:val="22"/>
          <w:lang w:val="hu-HU" w:eastAsia="hu-HU"/>
        </w:rPr>
        <w:t>et</w:t>
      </w:r>
      <w:r w:rsidRPr="00171E38">
        <w:rPr>
          <w:szCs w:val="22"/>
          <w:lang w:val="hu-HU" w:eastAsia="hu-HU"/>
        </w:rPr>
        <w:t xml:space="preserve"> eredményezhetnek</w:t>
      </w:r>
      <w:r w:rsidR="001D46B9" w:rsidRPr="00171E38">
        <w:rPr>
          <w:szCs w:val="22"/>
          <w:lang w:val="hu-HU"/>
        </w:rPr>
        <w:t xml:space="preserve"> </w:t>
      </w:r>
      <w:r w:rsidR="001D46B9" w:rsidRPr="00171E38">
        <w:rPr>
          <w:szCs w:val="22"/>
          <w:lang w:val="hu-HU" w:eastAsia="hu-HU"/>
        </w:rPr>
        <w:t>(lásd 4.4 pont)</w:t>
      </w:r>
      <w:r w:rsidRPr="00171E38">
        <w:rPr>
          <w:szCs w:val="22"/>
          <w:lang w:val="hu-HU" w:eastAsia="hu-HU"/>
        </w:rPr>
        <w:t>.</w:t>
      </w:r>
    </w:p>
    <w:p w14:paraId="361A8DF3" w14:textId="77777777" w:rsidR="00D3237C" w:rsidRPr="00171E38" w:rsidRDefault="00D3237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3C466B7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Óvatosság szükséges, amikor a </w:t>
      </w:r>
      <w:r w:rsidR="00CB68A1" w:rsidRPr="00171E38">
        <w:rPr>
          <w:szCs w:val="22"/>
          <w:lang w:val="hu-HU"/>
        </w:rPr>
        <w:t>z</w:t>
      </w:r>
      <w:r w:rsidRPr="00171E38">
        <w:rPr>
          <w:szCs w:val="22"/>
          <w:lang w:val="hu-HU"/>
        </w:rPr>
        <w:t>oledronsav</w:t>
      </w:r>
      <w:r w:rsidR="00CB68A1" w:rsidRPr="00171E38">
        <w:rPr>
          <w:szCs w:val="22"/>
          <w:lang w:val="hu-HU" w:eastAsia="hu-HU"/>
        </w:rPr>
        <w:t>a</w:t>
      </w:r>
      <w:r w:rsidRPr="00171E38">
        <w:rPr>
          <w:szCs w:val="22"/>
          <w:lang w:val="hu-HU" w:eastAsia="hu-HU"/>
        </w:rPr>
        <w:t>t más, potenciálisan nephrotoxicus gyógyszerrel alkalmazzák együtt. Külön figyelmet kell fordítani a kezelés alatt esetleg kialakuló hypomagnesaemiára is.</w:t>
      </w:r>
    </w:p>
    <w:p w14:paraId="10A54DE1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0A96A96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Myeloma multiplexben szenvedő betegeknél a vesekárosodás kockázata megnőhet, ha a</w:t>
      </w:r>
      <w:r w:rsidR="00D3237C" w:rsidRPr="00171E38">
        <w:rPr>
          <w:szCs w:val="22"/>
          <w:lang w:val="hu-HU" w:eastAsia="hu-HU"/>
        </w:rPr>
        <w:t xml:space="preserve"> </w:t>
      </w:r>
      <w:r w:rsidR="007F09D8">
        <w:rPr>
          <w:szCs w:val="22"/>
          <w:lang w:val="hu-HU" w:eastAsia="hu-HU"/>
        </w:rPr>
        <w:t>z</w:t>
      </w:r>
      <w:r w:rsidR="00D3237C" w:rsidRPr="00171E38">
        <w:rPr>
          <w:szCs w:val="22"/>
          <w:lang w:val="hu-HU" w:eastAsia="hu-HU"/>
        </w:rPr>
        <w:t>oledronsav</w:t>
      </w:r>
      <w:r w:rsidR="007F09D8">
        <w:rPr>
          <w:szCs w:val="22"/>
          <w:lang w:val="hu-HU" w:eastAsia="hu-HU"/>
        </w:rPr>
        <w:t>a</w:t>
      </w:r>
      <w:r w:rsidR="00D3237C" w:rsidRPr="00171E38">
        <w:rPr>
          <w:szCs w:val="22"/>
          <w:lang w:val="hu-HU" w:eastAsia="hu-HU"/>
        </w:rPr>
        <w:t>t</w:t>
      </w:r>
      <w:r w:rsidRPr="00171E38">
        <w:rPr>
          <w:szCs w:val="22"/>
          <w:lang w:val="hu-HU" w:eastAsia="hu-HU"/>
        </w:rPr>
        <w:t xml:space="preserve"> talidomiddal adják együtt.</w:t>
      </w:r>
    </w:p>
    <w:p w14:paraId="6E6AB8A8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F3AFFC4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</w:t>
      </w:r>
      <w:r w:rsidR="00CB68A1" w:rsidRPr="00171E38">
        <w:rPr>
          <w:szCs w:val="22"/>
          <w:lang w:val="hu-HU"/>
        </w:rPr>
        <w:t>z</w:t>
      </w:r>
      <w:r w:rsidRPr="00171E38">
        <w:rPr>
          <w:szCs w:val="22"/>
          <w:lang w:val="hu-HU"/>
        </w:rPr>
        <w:t>oledronsav</w:t>
      </w:r>
      <w:r w:rsidRPr="00171E38">
        <w:rPr>
          <w:szCs w:val="22"/>
          <w:lang w:val="hu-HU" w:eastAsia="hu-HU"/>
        </w:rPr>
        <w:t xml:space="preserve"> és anti-angiogen gyógyszerek egyidejű alkalmazása esetén elővigyázatosság javasolt, mivel ezen gyógyszerek együttes alkalmazásakor az állkapocs osteonecrosisának (ONJ) gyakoribb előfordulását tapasztalták.</w:t>
      </w:r>
    </w:p>
    <w:p w14:paraId="6572CA0F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7FBE82B4" w14:textId="77777777" w:rsidR="001B0D69" w:rsidRPr="00171E38" w:rsidRDefault="00CB4EB5" w:rsidP="00171E38">
      <w:pPr>
        <w:spacing w:line="240" w:lineRule="auto"/>
        <w:outlineLvl w:val="0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CalciviD</w:t>
      </w:r>
    </w:p>
    <w:p w14:paraId="4AA92AC0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Tiazid típusú diuretikumok csökkentik a kalcium vizelettel való kiválasztását, ami megnöveli a hypercalcaemia veszélyét. Párhuzamos adagolás esetén a szérumkalcium-szint rendszeres ellenőrzése szükséges.</w:t>
      </w:r>
    </w:p>
    <w:p w14:paraId="56D9EF3A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01BB57FE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Szisztémásan alkalmazott kortikoszteroidok gátolják a kalcium felszívódását. Egyidejű adagolásuk szükségessé teheti a CalciviD adagjának növelését.</w:t>
      </w:r>
    </w:p>
    <w:p w14:paraId="0B2B6F89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1C62A075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Ioncserélő gyanták, mint pl. </w:t>
      </w:r>
      <w:r w:rsidR="000031B7" w:rsidRPr="00171E38">
        <w:rPr>
          <w:szCs w:val="22"/>
          <w:lang w:val="hu-HU"/>
        </w:rPr>
        <w:t>kolesztiramin</w:t>
      </w:r>
      <w:r w:rsidRPr="00171E38">
        <w:rPr>
          <w:szCs w:val="22"/>
          <w:lang w:val="hu-HU"/>
        </w:rPr>
        <w:t>, vagy hashajtók, mint a parafinolaj csökkenthetik a D-vitamin felszívódását.</w:t>
      </w:r>
    </w:p>
    <w:p w14:paraId="0EB27021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6E845F17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kalcium-karbonát befolyásolhatja az egyidejűleg adott tetraciklin tartalmú gyógyszerek</w:t>
      </w:r>
      <w:r w:rsidR="000031B7" w:rsidRPr="00171E38">
        <w:rPr>
          <w:szCs w:val="22"/>
          <w:lang w:val="hu-HU"/>
        </w:rPr>
        <w:t xml:space="preserve">, </w:t>
      </w:r>
      <w:r w:rsidRPr="00171E38">
        <w:rPr>
          <w:szCs w:val="22"/>
          <w:lang w:val="hu-HU"/>
        </w:rPr>
        <w:t xml:space="preserve">felszívódását, ezért </w:t>
      </w:r>
      <w:r w:rsidR="000031B7" w:rsidRPr="00171E38">
        <w:rPr>
          <w:szCs w:val="22"/>
          <w:lang w:val="hu-HU"/>
        </w:rPr>
        <w:t xml:space="preserve">ezeket a </w:t>
      </w:r>
      <w:r w:rsidRPr="00171E38">
        <w:rPr>
          <w:szCs w:val="22"/>
          <w:lang w:val="hu-HU"/>
        </w:rPr>
        <w:t>készítmény</w:t>
      </w:r>
      <w:r w:rsidR="000031B7" w:rsidRPr="00171E38">
        <w:rPr>
          <w:szCs w:val="22"/>
          <w:lang w:val="hu-HU"/>
        </w:rPr>
        <w:t>eke</w:t>
      </w:r>
      <w:r w:rsidRPr="00171E38">
        <w:rPr>
          <w:szCs w:val="22"/>
          <w:lang w:val="hu-HU"/>
        </w:rPr>
        <w:t>t legalább 2 órával a CalciviD filmtabletta bevétele előtt, vagy 4-6 órával a CalciviD bevétele után kell alkalmazni.</w:t>
      </w:r>
    </w:p>
    <w:p w14:paraId="6740E748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3FF5A95F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Kalcium és D-vitamin kezelés során a hypercalcaemia növelheti a szívgl</w:t>
      </w:r>
      <w:r w:rsidR="000031B7" w:rsidRPr="00171E38">
        <w:rPr>
          <w:szCs w:val="22"/>
          <w:lang w:val="hu-HU"/>
        </w:rPr>
        <w:t>i</w:t>
      </w:r>
      <w:r w:rsidRPr="00171E38">
        <w:rPr>
          <w:szCs w:val="22"/>
          <w:lang w:val="hu-HU"/>
        </w:rPr>
        <w:t>kozidok toxicitását. Egyidejű adagolás esetén az EKG és a szérumkalcium-szint ellenőrzése szükséges.</w:t>
      </w:r>
    </w:p>
    <w:p w14:paraId="4E6F70C9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2446AF9B" w14:textId="77777777" w:rsidR="005F3AA7" w:rsidRPr="00171E38" w:rsidRDefault="005F3AA7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A CalciviD és a nátrium-fluorid egyidejű </w:t>
      </w:r>
      <w:r w:rsidR="00FB3CBD" w:rsidRPr="00171E38">
        <w:rPr>
          <w:szCs w:val="22"/>
          <w:lang w:val="hu-HU"/>
        </w:rPr>
        <w:t>adása</w:t>
      </w:r>
      <w:r w:rsidRPr="00171E38">
        <w:rPr>
          <w:szCs w:val="22"/>
          <w:lang w:val="hu-HU"/>
        </w:rPr>
        <w:t xml:space="preserve"> esetén a nátrium-fluoridot legalább 3 órával a CalciviD bevétele előtt kell </w:t>
      </w:r>
      <w:r w:rsidR="00FB3CBD" w:rsidRPr="00171E38">
        <w:rPr>
          <w:szCs w:val="22"/>
          <w:lang w:val="hu-HU"/>
        </w:rPr>
        <w:t>alkalmazni</w:t>
      </w:r>
      <w:r w:rsidR="00781F8E" w:rsidRPr="00171E38">
        <w:rPr>
          <w:szCs w:val="22"/>
          <w:lang w:val="hu-HU"/>
        </w:rPr>
        <w:t>, mert a felszívódás csökkenhet</w:t>
      </w:r>
      <w:r w:rsidR="00B43947" w:rsidRPr="00171E38">
        <w:rPr>
          <w:szCs w:val="22"/>
          <w:lang w:val="hu-HU"/>
        </w:rPr>
        <w:t>.</w:t>
      </w:r>
    </w:p>
    <w:p w14:paraId="46CB85F4" w14:textId="77777777" w:rsidR="00CB4EB5" w:rsidRPr="00171E38" w:rsidRDefault="00CB4EB5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08DEC7C6" w14:textId="77777777" w:rsidR="00CB4EB5" w:rsidRPr="00171E38" w:rsidRDefault="006A0309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/>
        </w:rPr>
        <w:t>A rifampicin, feni</w:t>
      </w:r>
      <w:r w:rsidR="00CB4EB5" w:rsidRPr="00171E38">
        <w:rPr>
          <w:szCs w:val="22"/>
          <w:lang w:val="hu-HU"/>
        </w:rPr>
        <w:t xml:space="preserve">toin és a barbiturátok csökkenthetik a </w:t>
      </w:r>
      <w:r w:rsidR="00CB4EB5" w:rsidRPr="00171E38">
        <w:rPr>
          <w:szCs w:val="22"/>
          <w:lang w:val="hu-HU" w:eastAsia="hu-HU"/>
        </w:rPr>
        <w:t>D</w:t>
      </w:r>
      <w:r w:rsidR="00CB4EB5" w:rsidRPr="00171E38">
        <w:rPr>
          <w:szCs w:val="22"/>
          <w:vertAlign w:val="subscript"/>
          <w:lang w:val="hu-HU" w:eastAsia="hu-HU"/>
        </w:rPr>
        <w:t xml:space="preserve">3 </w:t>
      </w:r>
      <w:r w:rsidR="00CB4EB5" w:rsidRPr="00171E38">
        <w:rPr>
          <w:szCs w:val="22"/>
          <w:lang w:val="hu-HU" w:eastAsia="hu-HU"/>
        </w:rPr>
        <w:t>vitamin hatását, mivel gyorsítják a metabolizmust.</w:t>
      </w:r>
    </w:p>
    <w:p w14:paraId="65A29A25" w14:textId="77777777" w:rsidR="006430C6" w:rsidRPr="00171E38" w:rsidRDefault="006430C6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 w:eastAsia="hu-HU"/>
        </w:rPr>
      </w:pPr>
    </w:p>
    <w:p w14:paraId="2A006585" w14:textId="77777777" w:rsidR="006430C6" w:rsidRPr="00171E38" w:rsidRDefault="006430C6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kinolon antibiotikumok felszívódása károsodhat, ha kalciummal adják együtt. A kinolon tartalmú antibiotikumokat legalább 2 órával a CalciviD filmtabletta bevétele előtt, vagy 6 órával a CalciviD filmtabletta bevétele után kell bevenni.</w:t>
      </w:r>
    </w:p>
    <w:p w14:paraId="6C435E41" w14:textId="77777777" w:rsidR="00F31225" w:rsidRPr="00171E38" w:rsidRDefault="00F31225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 w:eastAsia="hu-HU"/>
        </w:rPr>
      </w:pPr>
    </w:p>
    <w:p w14:paraId="6F83D3A1" w14:textId="77777777" w:rsidR="00CB4EB5" w:rsidRPr="00171E38" w:rsidRDefault="000C66A4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k</w:t>
      </w:r>
      <w:r w:rsidR="00CB4EB5" w:rsidRPr="00171E38">
        <w:rPr>
          <w:szCs w:val="22"/>
          <w:lang w:val="hu-HU" w:eastAsia="hu-HU"/>
        </w:rPr>
        <w:t>alcium-sók csökkenthetik a vas, cink és stroncium felszívódását, ezért a vas, cink</w:t>
      </w:r>
      <w:r w:rsidR="00B32EE0" w:rsidRPr="00171E38">
        <w:rPr>
          <w:szCs w:val="22"/>
          <w:lang w:val="hu-HU" w:eastAsia="hu-HU"/>
        </w:rPr>
        <w:t>,</w:t>
      </w:r>
      <w:r w:rsidR="00CB4EB5" w:rsidRPr="00171E38">
        <w:rPr>
          <w:szCs w:val="22"/>
          <w:lang w:val="hu-HU" w:eastAsia="hu-HU"/>
        </w:rPr>
        <w:t xml:space="preserve"> stroncium tartalmú készítmények és a </w:t>
      </w:r>
      <w:r w:rsidR="00B32EE0" w:rsidRPr="00171E38">
        <w:rPr>
          <w:szCs w:val="22"/>
          <w:lang w:val="hu-HU" w:eastAsia="hu-HU"/>
        </w:rPr>
        <w:t>kalcium tartalmú készítmények bevétele közt legalább 2 órának kell eltelni.</w:t>
      </w:r>
    </w:p>
    <w:p w14:paraId="2F5AB69C" w14:textId="77777777" w:rsidR="000C66A4" w:rsidRPr="00171E38" w:rsidRDefault="000C66A4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 w:eastAsia="hu-HU"/>
        </w:rPr>
      </w:pPr>
    </w:p>
    <w:p w14:paraId="461C4089" w14:textId="77777777" w:rsidR="000C66A4" w:rsidRPr="00171E38" w:rsidRDefault="000C66A4" w:rsidP="00171E38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171E38">
        <w:rPr>
          <w:szCs w:val="22"/>
          <w:lang w:val="hu-HU" w:eastAsia="hu-HU"/>
        </w:rPr>
        <w:t>A kalcium-sók csökkenthetik az es</w:t>
      </w:r>
      <w:r w:rsidR="00A4085D">
        <w:rPr>
          <w:szCs w:val="22"/>
          <w:lang w:val="hu-HU" w:eastAsia="hu-HU"/>
        </w:rPr>
        <w:t>z</w:t>
      </w:r>
      <w:r w:rsidRPr="00171E38">
        <w:rPr>
          <w:szCs w:val="22"/>
          <w:lang w:val="hu-HU" w:eastAsia="hu-HU"/>
        </w:rPr>
        <w:t>tramus</w:t>
      </w:r>
      <w:r w:rsidR="00A4085D">
        <w:rPr>
          <w:szCs w:val="22"/>
          <w:lang w:val="hu-HU" w:eastAsia="hu-HU"/>
        </w:rPr>
        <w:t>z</w:t>
      </w:r>
      <w:r w:rsidRPr="00171E38">
        <w:rPr>
          <w:szCs w:val="22"/>
          <w:lang w:val="hu-HU" w:eastAsia="hu-HU"/>
        </w:rPr>
        <w:t>tin és a pajzsmirigy hormonok felszívódását. A CalciviD és ezen gyógyszerek bevétele között több, mint 2 órának el kell telnie.</w:t>
      </w:r>
    </w:p>
    <w:p w14:paraId="44E494A5" w14:textId="77777777" w:rsidR="005F3AA7" w:rsidRPr="00171E38" w:rsidRDefault="005F3AA7" w:rsidP="00171E38">
      <w:pPr>
        <w:spacing w:line="240" w:lineRule="auto"/>
        <w:rPr>
          <w:szCs w:val="22"/>
          <w:lang w:val="hu-HU"/>
        </w:rPr>
      </w:pPr>
    </w:p>
    <w:p w14:paraId="102765B8" w14:textId="77777777" w:rsidR="001B0D69" w:rsidRPr="00171E38" w:rsidRDefault="007F1452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o</w:t>
      </w:r>
      <w:r w:rsidR="001B0D69" w:rsidRPr="00171E38">
        <w:rPr>
          <w:szCs w:val="22"/>
          <w:lang w:val="hu-HU"/>
        </w:rPr>
        <w:t xml:space="preserve">xálsav (pl.: spenót, </w:t>
      </w:r>
      <w:r w:rsidR="00815753">
        <w:rPr>
          <w:szCs w:val="22"/>
          <w:lang w:val="hu-HU"/>
        </w:rPr>
        <w:t xml:space="preserve">sóska, </w:t>
      </w:r>
      <w:r w:rsidR="001B0D69" w:rsidRPr="00171E38">
        <w:rPr>
          <w:szCs w:val="22"/>
          <w:lang w:val="hu-HU"/>
        </w:rPr>
        <w:t>rebarbara)</w:t>
      </w:r>
      <w:r>
        <w:rPr>
          <w:szCs w:val="22"/>
          <w:lang w:val="hu-HU"/>
        </w:rPr>
        <w:t xml:space="preserve"> és a</w:t>
      </w:r>
      <w:r w:rsidR="001B0D69" w:rsidRPr="00171E38">
        <w:rPr>
          <w:szCs w:val="22"/>
          <w:lang w:val="hu-HU"/>
        </w:rPr>
        <w:t xml:space="preserve"> fitinsav (pl.: </w:t>
      </w:r>
      <w:r w:rsidR="00815753">
        <w:rPr>
          <w:szCs w:val="22"/>
          <w:lang w:val="hu-HU"/>
        </w:rPr>
        <w:t xml:space="preserve">teljes kiőrlésű </w:t>
      </w:r>
      <w:r w:rsidR="001B0D69" w:rsidRPr="00171E38">
        <w:rPr>
          <w:szCs w:val="22"/>
          <w:lang w:val="hu-HU"/>
        </w:rPr>
        <w:t>gabonafélék) gátolhatják a kalcium felszívódását, mivel a kalciumionnal oldhatatlan vegyületeket képeznek. Nagy mennyiségben oxálsavat, fitinsavat tartalmazó ételek fogyasztása és a CalciviD filmtabletta bevétele között legalább két órának el kell telnie.</w:t>
      </w:r>
    </w:p>
    <w:p w14:paraId="52760D46" w14:textId="77777777" w:rsidR="001B0D69" w:rsidRPr="00171E38" w:rsidRDefault="006430C6" w:rsidP="00171E38">
      <w:pPr>
        <w:spacing w:line="240" w:lineRule="auto"/>
        <w:rPr>
          <w:bCs/>
          <w:szCs w:val="22"/>
          <w:lang w:val="hu-HU"/>
        </w:rPr>
      </w:pPr>
      <w:r w:rsidRPr="00171E38">
        <w:rPr>
          <w:bCs/>
          <w:szCs w:val="22"/>
          <w:lang w:val="hu-HU"/>
        </w:rPr>
        <w:t xml:space="preserve"> </w:t>
      </w:r>
    </w:p>
    <w:p w14:paraId="15E81092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4.6</w:t>
      </w:r>
      <w:r w:rsidR="00F92A06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T</w:t>
      </w:r>
      <w:r w:rsidR="00DA37E8" w:rsidRPr="00171E38">
        <w:rPr>
          <w:b/>
          <w:bCs/>
          <w:szCs w:val="22"/>
          <w:lang w:val="hu-HU"/>
        </w:rPr>
        <w:t>ermékenység, t</w:t>
      </w:r>
      <w:r w:rsidRPr="00171E38">
        <w:rPr>
          <w:b/>
          <w:bCs/>
          <w:szCs w:val="22"/>
          <w:lang w:val="hu-HU"/>
        </w:rPr>
        <w:t>erhesség és szoptatás</w:t>
      </w:r>
    </w:p>
    <w:p w14:paraId="02D0783A" w14:textId="77777777" w:rsidR="00DA37E8" w:rsidRPr="00171E38" w:rsidRDefault="00DA37E8" w:rsidP="00171E38">
      <w:pPr>
        <w:spacing w:line="240" w:lineRule="auto"/>
        <w:outlineLvl w:val="0"/>
        <w:rPr>
          <w:szCs w:val="22"/>
          <w:lang w:val="hu-HU"/>
        </w:rPr>
      </w:pPr>
    </w:p>
    <w:p w14:paraId="12A0EB9E" w14:textId="77777777" w:rsidR="009A7584" w:rsidRPr="00171E38" w:rsidRDefault="00DA37E8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Terhesség</w:t>
      </w:r>
    </w:p>
    <w:p w14:paraId="427BB5C3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Terhes nőkön történő alkalmazásra nincs megfelelő adat a zoledronsav tekintetében. Az állatokon végzett </w:t>
      </w:r>
      <w:r w:rsidR="004E010F">
        <w:rPr>
          <w:szCs w:val="22"/>
          <w:lang w:val="hu-HU" w:eastAsia="hu-HU"/>
        </w:rPr>
        <w:t>kísérletekben a zoledronsav reprodukciós</w:t>
      </w:r>
      <w:r w:rsidRPr="00171E38">
        <w:rPr>
          <w:szCs w:val="22"/>
          <w:lang w:val="hu-HU" w:eastAsia="hu-HU"/>
        </w:rPr>
        <w:t xml:space="preserve"> toxicitást </w:t>
      </w:r>
      <w:r w:rsidR="004E010F" w:rsidRPr="00171E38">
        <w:rPr>
          <w:szCs w:val="22"/>
          <w:lang w:val="hu-HU" w:eastAsia="hu-HU"/>
        </w:rPr>
        <w:t>mutat</w:t>
      </w:r>
      <w:r w:rsidR="004E010F">
        <w:rPr>
          <w:szCs w:val="22"/>
          <w:lang w:val="hu-HU" w:eastAsia="hu-HU"/>
        </w:rPr>
        <w:t>ott</w:t>
      </w:r>
      <w:r w:rsidR="004E010F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(lásd 5.3 pont). </w:t>
      </w:r>
      <w:r w:rsidR="004E010F">
        <w:rPr>
          <w:szCs w:val="22"/>
          <w:lang w:val="hu-HU" w:eastAsia="hu-HU"/>
        </w:rPr>
        <w:t>Az emberre gyakorolt</w:t>
      </w:r>
      <w:r w:rsidR="004E010F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potenciális </w:t>
      </w:r>
      <w:r w:rsidR="004E010F">
        <w:rPr>
          <w:szCs w:val="22"/>
          <w:lang w:val="hu-HU" w:eastAsia="hu-HU"/>
        </w:rPr>
        <w:t>kockázata</w:t>
      </w:r>
      <w:r w:rsidR="004E010F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nem ismert.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</w:t>
      </w:r>
      <w:r w:rsidR="00F31225" w:rsidRPr="00171E38">
        <w:rPr>
          <w:szCs w:val="22"/>
          <w:lang w:val="hu-HU" w:eastAsia="hu-HU"/>
        </w:rPr>
        <w:t>-t</w:t>
      </w:r>
      <w:r w:rsidRPr="00171E38">
        <w:rPr>
          <w:szCs w:val="22"/>
          <w:lang w:val="hu-HU" w:eastAsia="hu-HU"/>
        </w:rPr>
        <w:t xml:space="preserve"> a terhesség ideje alatt nem </w:t>
      </w:r>
      <w:r w:rsidR="00B00C08">
        <w:rPr>
          <w:szCs w:val="22"/>
          <w:lang w:val="hu-HU" w:eastAsia="hu-HU"/>
        </w:rPr>
        <w:t xml:space="preserve">ajánlott </w:t>
      </w:r>
      <w:r w:rsidRPr="00171E38">
        <w:rPr>
          <w:szCs w:val="22"/>
          <w:lang w:val="hu-HU" w:eastAsia="hu-HU"/>
        </w:rPr>
        <w:t>alkalmazni.</w:t>
      </w:r>
      <w:r w:rsidR="00D3237C" w:rsidRPr="00171E38">
        <w:rPr>
          <w:szCs w:val="22"/>
          <w:lang w:val="hu-HU"/>
        </w:rPr>
        <w:t xml:space="preserve"> A fogamzóképes korban lévő nőknek azt kell tanácsolni, hogy kerüljék a teherbeesést.</w:t>
      </w:r>
    </w:p>
    <w:p w14:paraId="1EF8CE83" w14:textId="77777777" w:rsidR="001E2D73" w:rsidRPr="001E2D73" w:rsidRDefault="001E2D73" w:rsidP="001E2D73">
      <w:pPr>
        <w:spacing w:line="240" w:lineRule="auto"/>
        <w:rPr>
          <w:szCs w:val="22"/>
          <w:lang w:val="hu-HU"/>
        </w:rPr>
      </w:pPr>
      <w:r w:rsidRPr="001E2D73">
        <w:rPr>
          <w:szCs w:val="22"/>
          <w:lang w:val="hu-HU"/>
        </w:rPr>
        <w:t>A CalciviD filmtabletta alkalmazható terhesség alatt kalcium</w:t>
      </w:r>
      <w:r w:rsidR="006E0BE2">
        <w:rPr>
          <w:szCs w:val="22"/>
          <w:lang w:val="hu-HU"/>
        </w:rPr>
        <w:t>-</w:t>
      </w:r>
      <w:r w:rsidRPr="001E2D73">
        <w:rPr>
          <w:szCs w:val="22"/>
          <w:lang w:val="hu-HU"/>
        </w:rPr>
        <w:t xml:space="preserve"> és D-vitamin hiány esetén.</w:t>
      </w:r>
    </w:p>
    <w:p w14:paraId="4A1734CE" w14:textId="77777777" w:rsidR="001E2D73" w:rsidRPr="00171E38" w:rsidRDefault="001E2D73" w:rsidP="00171E38">
      <w:pPr>
        <w:spacing w:line="240" w:lineRule="auto"/>
        <w:rPr>
          <w:szCs w:val="22"/>
          <w:lang w:val="hu-HU"/>
        </w:rPr>
      </w:pPr>
    </w:p>
    <w:p w14:paraId="7751AC08" w14:textId="77777777" w:rsidR="009A7584" w:rsidRPr="00171E38" w:rsidRDefault="00DA37E8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Szoptatás</w:t>
      </w:r>
    </w:p>
    <w:p w14:paraId="1341B003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Nem ismeretes, vajon a zoledronsav kiválasztódik-e a humán anyatejbe.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ellenjavallt szoptató anyáknak (lásd 4.3 pont).</w:t>
      </w:r>
    </w:p>
    <w:p w14:paraId="5A0A155E" w14:textId="77777777" w:rsidR="001B0D69" w:rsidRDefault="001E2D73" w:rsidP="00171E38">
      <w:pPr>
        <w:spacing w:line="240" w:lineRule="auto"/>
        <w:rPr>
          <w:bCs/>
          <w:szCs w:val="22"/>
          <w:lang w:val="hu-HU"/>
        </w:rPr>
      </w:pPr>
      <w:r w:rsidRPr="001E2D73">
        <w:rPr>
          <w:bCs/>
          <w:szCs w:val="22"/>
          <w:lang w:val="hu-HU"/>
        </w:rPr>
        <w:t>Szoptatás alatt a CalciviD filmtabletta adható</w:t>
      </w:r>
      <w:r>
        <w:rPr>
          <w:bCs/>
          <w:szCs w:val="22"/>
          <w:lang w:val="hu-HU"/>
        </w:rPr>
        <w:t>.</w:t>
      </w:r>
    </w:p>
    <w:p w14:paraId="4FE28C6B" w14:textId="77777777" w:rsidR="001E2D73" w:rsidRPr="00171E38" w:rsidRDefault="001E2D73" w:rsidP="00171E38">
      <w:pPr>
        <w:spacing w:line="240" w:lineRule="auto"/>
        <w:rPr>
          <w:bCs/>
          <w:szCs w:val="22"/>
          <w:lang w:val="hu-HU"/>
        </w:rPr>
      </w:pPr>
    </w:p>
    <w:p w14:paraId="4131B379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>Termékenység</w:t>
      </w:r>
    </w:p>
    <w:p w14:paraId="2ABEF131" w14:textId="77777777" w:rsidR="003C5BD4" w:rsidRPr="00171E38" w:rsidRDefault="00D3237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/>
        </w:rPr>
        <w:t xml:space="preserve">A zoledronsav szülő és F1 generáció fertilitására gyakorolt, potenciális mellékhatásait patkányoknál értékelték. </w:t>
      </w:r>
      <w:r w:rsidR="003C5BD4" w:rsidRPr="00171E38">
        <w:rPr>
          <w:szCs w:val="22"/>
          <w:lang w:val="hu-HU" w:eastAsia="hu-HU"/>
        </w:rPr>
        <w:t xml:space="preserve">Az eredmény fokozott farmakológiai hatásokat mutatott, amelyek vélhetően a vegyületnek a csontrendszeri kalcium-metabolizációt gátló hatásával függnek össze, mely az ellés körüli időszakban hypocalcaemiát, ami </w:t>
      </w:r>
      <w:r w:rsidR="004E010F">
        <w:rPr>
          <w:szCs w:val="22"/>
          <w:lang w:val="hu-HU" w:eastAsia="hu-HU"/>
        </w:rPr>
        <w:t xml:space="preserve">egy a </w:t>
      </w:r>
      <w:r w:rsidR="003C5BD4" w:rsidRPr="00171E38">
        <w:rPr>
          <w:szCs w:val="22"/>
          <w:lang w:val="hu-HU" w:eastAsia="hu-HU"/>
        </w:rPr>
        <w:t>biszfoszfonát</w:t>
      </w:r>
      <w:r w:rsidR="004E010F">
        <w:rPr>
          <w:szCs w:val="22"/>
          <w:lang w:val="hu-HU" w:eastAsia="hu-HU"/>
        </w:rPr>
        <w:t>ok</w:t>
      </w:r>
      <w:r w:rsidR="003C5BD4" w:rsidRPr="00171E38">
        <w:rPr>
          <w:szCs w:val="22"/>
          <w:lang w:val="hu-HU" w:eastAsia="hu-HU"/>
        </w:rPr>
        <w:t xml:space="preserve"> </w:t>
      </w:r>
      <w:r w:rsidR="004E010F">
        <w:rPr>
          <w:szCs w:val="22"/>
          <w:lang w:val="hu-HU" w:eastAsia="hu-HU"/>
        </w:rPr>
        <w:t>gyógyszercsoportra jellemző hatás</w:t>
      </w:r>
      <w:r w:rsidR="003C5BD4" w:rsidRPr="00171E38">
        <w:rPr>
          <w:szCs w:val="22"/>
          <w:lang w:val="hu-HU" w:eastAsia="hu-HU"/>
        </w:rPr>
        <w:t>, valamint dystociát és a vizsgálat korai</w:t>
      </w:r>
      <w:r w:rsidR="003C5BD4" w:rsidRPr="00171E38">
        <w:rPr>
          <w:szCs w:val="22"/>
          <w:lang w:val="hu-HU"/>
        </w:rPr>
        <w:t xml:space="preserve"> </w:t>
      </w:r>
      <w:r w:rsidR="003C5BD4" w:rsidRPr="00171E38">
        <w:rPr>
          <w:szCs w:val="22"/>
          <w:lang w:val="hu-HU" w:eastAsia="hu-HU"/>
        </w:rPr>
        <w:t>befejezését eredményezte. Így ezek az eredmények eleve kizárták a zoledronsav humán fertilitásra gyakorolt pontos hatásának a meghatározását.</w:t>
      </w:r>
    </w:p>
    <w:p w14:paraId="7A379C2B" w14:textId="77777777" w:rsidR="001E2D73" w:rsidRPr="001E2D73" w:rsidRDefault="001E2D73" w:rsidP="001E2D73">
      <w:pPr>
        <w:spacing w:line="240" w:lineRule="auto"/>
        <w:rPr>
          <w:bCs/>
          <w:szCs w:val="22"/>
          <w:lang w:val="hu-HU"/>
        </w:rPr>
      </w:pPr>
      <w:r w:rsidRPr="001E2D73">
        <w:rPr>
          <w:bCs/>
          <w:szCs w:val="22"/>
          <w:lang w:val="hu-HU"/>
        </w:rPr>
        <w:t>A CalciviD filmtabletta termékenységre gyakorolt hatására vonatkozóan nem állnak rendelkezésre adatok.</w:t>
      </w:r>
    </w:p>
    <w:p w14:paraId="426F26BD" w14:textId="77777777" w:rsidR="001E2D73" w:rsidRPr="00171E38" w:rsidRDefault="001E2D73" w:rsidP="00171E38">
      <w:pPr>
        <w:spacing w:line="240" w:lineRule="auto"/>
        <w:rPr>
          <w:bCs/>
          <w:szCs w:val="22"/>
          <w:lang w:val="hu-HU"/>
        </w:rPr>
      </w:pPr>
    </w:p>
    <w:p w14:paraId="3D2E0A16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4.7</w:t>
      </w:r>
      <w:r w:rsidR="00F92A06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 xml:space="preserve">A készítmény hatásai a gépjárművezetéshez és </w:t>
      </w:r>
      <w:r w:rsidR="004024F9" w:rsidRPr="00171E38">
        <w:rPr>
          <w:b/>
          <w:bCs/>
          <w:szCs w:val="22"/>
          <w:lang w:val="hu-HU"/>
        </w:rPr>
        <w:t xml:space="preserve">a </w:t>
      </w:r>
      <w:r w:rsidRPr="00171E38">
        <w:rPr>
          <w:b/>
          <w:bCs/>
          <w:szCs w:val="22"/>
          <w:lang w:val="hu-HU"/>
        </w:rPr>
        <w:t xml:space="preserve">gépek </w:t>
      </w:r>
      <w:r w:rsidR="006A0309" w:rsidRPr="00171E38">
        <w:rPr>
          <w:b/>
          <w:bCs/>
          <w:szCs w:val="22"/>
          <w:lang w:val="hu-HU"/>
        </w:rPr>
        <w:t xml:space="preserve">kezeléséhez szükséges </w:t>
      </w:r>
      <w:r w:rsidRPr="00171E38">
        <w:rPr>
          <w:b/>
          <w:bCs/>
          <w:szCs w:val="22"/>
          <w:lang w:val="hu-HU"/>
        </w:rPr>
        <w:t>képességekre</w:t>
      </w:r>
    </w:p>
    <w:p w14:paraId="2A45B746" w14:textId="77777777" w:rsidR="00DC1C5D" w:rsidRPr="00171E38" w:rsidRDefault="00DC1C5D" w:rsidP="00171E38">
      <w:pPr>
        <w:spacing w:line="240" w:lineRule="auto"/>
        <w:rPr>
          <w:bCs/>
          <w:szCs w:val="22"/>
          <w:lang w:val="hu-HU"/>
        </w:rPr>
      </w:pPr>
    </w:p>
    <w:p w14:paraId="4F94C4A2" w14:textId="77777777" w:rsidR="003C5BD4" w:rsidRPr="00171E38" w:rsidRDefault="003C5BD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Az olyan mellékhatások, mint a szédülés és a somnolencia befolyásolhatják a gépjárművezetéshez vagy a gépek kezeléséhez szükséges képességeket, ezért 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alkalmazása mellett gépjárművet vezetni vagy gépeket kezelni csak </w:t>
      </w:r>
      <w:r w:rsidR="00135F6D">
        <w:rPr>
          <w:szCs w:val="22"/>
          <w:lang w:val="hu-HU" w:eastAsia="hu-HU"/>
        </w:rPr>
        <w:t>kellő körültekintéssel</w:t>
      </w:r>
      <w:r w:rsidR="00135F6D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lehet.</w:t>
      </w:r>
    </w:p>
    <w:p w14:paraId="19484A47" w14:textId="77777777" w:rsidR="00DC1C5D" w:rsidRDefault="00DC1C5D" w:rsidP="00171E38">
      <w:pPr>
        <w:spacing w:line="240" w:lineRule="auto"/>
        <w:rPr>
          <w:bCs/>
          <w:szCs w:val="22"/>
          <w:lang w:val="hu-HU"/>
        </w:rPr>
      </w:pPr>
    </w:p>
    <w:p w14:paraId="05564DF4" w14:textId="77777777" w:rsidR="00536757" w:rsidRDefault="00536757" w:rsidP="00171E38">
      <w:pPr>
        <w:spacing w:line="240" w:lineRule="auto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Nincs adat arra, hogy a CalciviD filmtabletta </w:t>
      </w:r>
      <w:r w:rsidRPr="00536757">
        <w:rPr>
          <w:bCs/>
          <w:szCs w:val="22"/>
          <w:lang w:val="hu-HU"/>
        </w:rPr>
        <w:t>szedése negatívan befolyásolná a gépjárművezetéshez és a gépek kezeléséhez szükséges képességeket. Ilyen hatás mindazonáltal nem valószínű.</w:t>
      </w:r>
    </w:p>
    <w:p w14:paraId="5AF93A0B" w14:textId="77777777" w:rsidR="00536757" w:rsidRPr="00171E38" w:rsidRDefault="00536757" w:rsidP="00171E38">
      <w:pPr>
        <w:spacing w:line="240" w:lineRule="auto"/>
        <w:rPr>
          <w:bCs/>
          <w:szCs w:val="22"/>
          <w:lang w:val="hu-HU"/>
        </w:rPr>
      </w:pPr>
    </w:p>
    <w:p w14:paraId="26349EE0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4.8</w:t>
      </w:r>
      <w:r w:rsidR="00F92A06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Nemkívánatos hatások, mellékhatások</w:t>
      </w:r>
    </w:p>
    <w:p w14:paraId="4BBFB9E9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154C04E0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2063C810" w14:textId="77777777" w:rsidR="003B5A5B" w:rsidRPr="00171E38" w:rsidRDefault="003B5A5B" w:rsidP="00171E38">
      <w:pPr>
        <w:spacing w:line="240" w:lineRule="auto"/>
        <w:ind w:right="-1"/>
        <w:rPr>
          <w:szCs w:val="22"/>
          <w:lang w:val="hu-HU"/>
        </w:rPr>
      </w:pPr>
    </w:p>
    <w:p w14:paraId="2EFEDA9E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color w:val="000000"/>
          <w:szCs w:val="22"/>
          <w:lang w:val="hu-HU" w:eastAsia="hu-HU"/>
        </w:rPr>
      </w:pPr>
      <w:r w:rsidRPr="00171E38">
        <w:rPr>
          <w:i/>
          <w:color w:val="000000"/>
          <w:szCs w:val="22"/>
          <w:u w:val="single"/>
          <w:lang w:val="hu-HU" w:eastAsia="hu-HU"/>
        </w:rPr>
        <w:t>A biztonságossági profil összefoglalása</w:t>
      </w:r>
    </w:p>
    <w:p w14:paraId="021599D9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 xml:space="preserve">A zoledronsav alkalmazását követő 3 napon belül gyakran számoltak be akut fázis reakcióról, melynek tünetei közé tartozik a csontfájdalom, </w:t>
      </w:r>
      <w:r w:rsidR="004E010F">
        <w:rPr>
          <w:color w:val="000000"/>
          <w:szCs w:val="22"/>
          <w:lang w:val="hu-HU" w:eastAsia="hu-HU"/>
        </w:rPr>
        <w:t xml:space="preserve">a </w:t>
      </w:r>
      <w:r w:rsidRPr="00171E38">
        <w:rPr>
          <w:color w:val="000000"/>
          <w:szCs w:val="22"/>
          <w:lang w:val="hu-HU" w:eastAsia="hu-HU"/>
        </w:rPr>
        <w:t xml:space="preserve">láz, </w:t>
      </w:r>
      <w:r w:rsidR="004E010F">
        <w:rPr>
          <w:color w:val="000000"/>
          <w:szCs w:val="22"/>
          <w:lang w:val="hu-HU" w:eastAsia="hu-HU"/>
        </w:rPr>
        <w:t xml:space="preserve">a </w:t>
      </w:r>
      <w:r w:rsidRPr="00171E38">
        <w:rPr>
          <w:color w:val="000000"/>
          <w:szCs w:val="22"/>
          <w:lang w:val="hu-HU" w:eastAsia="hu-HU"/>
        </w:rPr>
        <w:t>fáradtság,</w:t>
      </w:r>
      <w:r w:rsidR="004E010F">
        <w:rPr>
          <w:color w:val="000000"/>
          <w:szCs w:val="22"/>
          <w:lang w:val="hu-HU" w:eastAsia="hu-HU"/>
        </w:rPr>
        <w:t xml:space="preserve"> az</w:t>
      </w:r>
      <w:r w:rsidRPr="00171E38">
        <w:rPr>
          <w:color w:val="000000"/>
          <w:szCs w:val="22"/>
          <w:lang w:val="hu-HU" w:eastAsia="hu-HU"/>
        </w:rPr>
        <w:t xml:space="preserve"> arthralgia,</w:t>
      </w:r>
      <w:r w:rsidR="004E010F">
        <w:rPr>
          <w:color w:val="000000"/>
          <w:szCs w:val="22"/>
          <w:lang w:val="hu-HU" w:eastAsia="hu-HU"/>
        </w:rPr>
        <w:t xml:space="preserve"> a</w:t>
      </w:r>
      <w:r w:rsidRPr="00171E38">
        <w:rPr>
          <w:color w:val="000000"/>
          <w:szCs w:val="22"/>
          <w:lang w:val="hu-HU" w:eastAsia="hu-HU"/>
        </w:rPr>
        <w:t xml:space="preserve"> myalgia</w:t>
      </w:r>
      <w:r w:rsidR="007865FC" w:rsidRPr="00171E38">
        <w:rPr>
          <w:color w:val="000000"/>
          <w:szCs w:val="22"/>
          <w:lang w:val="hu-HU" w:eastAsia="hu-HU"/>
        </w:rPr>
        <w:t>,</w:t>
      </w:r>
      <w:r w:rsidR="004E010F">
        <w:rPr>
          <w:color w:val="000000"/>
          <w:szCs w:val="22"/>
          <w:lang w:val="hu-HU" w:eastAsia="hu-HU"/>
        </w:rPr>
        <w:t xml:space="preserve"> a</w:t>
      </w:r>
      <w:r w:rsidR="007865FC" w:rsidRPr="00171E38">
        <w:rPr>
          <w:color w:val="000000"/>
          <w:szCs w:val="22"/>
          <w:lang w:val="hu-HU" w:eastAsia="hu-HU"/>
        </w:rPr>
        <w:t xml:space="preserve"> hidegrázás és az arthritis, </w:t>
      </w:r>
      <w:r w:rsidR="004E010F">
        <w:rPr>
          <w:color w:val="000000"/>
          <w:szCs w:val="22"/>
          <w:lang w:val="hu-HU" w:eastAsia="hu-HU"/>
        </w:rPr>
        <w:t>következményes</w:t>
      </w:r>
      <w:r w:rsidR="007865FC" w:rsidRPr="00171E38">
        <w:rPr>
          <w:color w:val="000000"/>
          <w:szCs w:val="22"/>
          <w:lang w:val="hu-HU" w:eastAsia="hu-HU"/>
        </w:rPr>
        <w:t xml:space="preserve"> izületi duzzanattal</w:t>
      </w:r>
      <w:r w:rsidRPr="00171E38">
        <w:rPr>
          <w:color w:val="000000"/>
          <w:szCs w:val="22"/>
          <w:lang w:val="hu-HU" w:eastAsia="hu-HU"/>
        </w:rPr>
        <w:t xml:space="preserve">. Ezek a tünetek rendszerint néhány napon belül elmúlnak (lásd a </w:t>
      </w:r>
      <w:r w:rsidR="00F217F2" w:rsidRPr="00171E38">
        <w:rPr>
          <w:color w:val="000000"/>
          <w:szCs w:val="22"/>
          <w:lang w:val="hu-HU" w:eastAsia="hu-HU"/>
        </w:rPr>
        <w:t>k</w:t>
      </w:r>
      <w:r w:rsidRPr="00171E38">
        <w:rPr>
          <w:color w:val="000000"/>
          <w:szCs w:val="22"/>
          <w:lang w:val="hu-HU" w:eastAsia="hu-HU"/>
        </w:rPr>
        <w:t>iválasztott mellékhatások leírását).</w:t>
      </w:r>
    </w:p>
    <w:p w14:paraId="11BBC106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6AE8B695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>Az alábbiak a zoledronsav alkalmazásával járó, fontos</w:t>
      </w:r>
      <w:r w:rsidR="002A4122">
        <w:rPr>
          <w:color w:val="000000"/>
          <w:szCs w:val="22"/>
          <w:lang w:val="hu-HU" w:eastAsia="hu-HU"/>
        </w:rPr>
        <w:t>,</w:t>
      </w:r>
      <w:r w:rsidRPr="00171E38">
        <w:rPr>
          <w:color w:val="000000"/>
          <w:szCs w:val="22"/>
          <w:lang w:val="hu-HU" w:eastAsia="hu-HU"/>
        </w:rPr>
        <w:t xml:space="preserve"> azonosított kockázatok az engedélyezett indikációkban:</w:t>
      </w:r>
    </w:p>
    <w:p w14:paraId="7CB153D5" w14:textId="77777777" w:rsidR="00CD7CC5" w:rsidRPr="00171E38" w:rsidRDefault="002A4122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>
        <w:rPr>
          <w:color w:val="000000"/>
          <w:szCs w:val="22"/>
          <w:lang w:val="hu-HU" w:eastAsia="hu-HU"/>
        </w:rPr>
        <w:t>v</w:t>
      </w:r>
      <w:r w:rsidR="00B00C08">
        <w:rPr>
          <w:color w:val="000000"/>
          <w:szCs w:val="22"/>
          <w:lang w:val="hu-HU" w:eastAsia="hu-HU"/>
        </w:rPr>
        <w:t>esekárosodás</w:t>
      </w:r>
      <w:r w:rsidR="00CD7CC5" w:rsidRPr="00171E38">
        <w:rPr>
          <w:color w:val="000000"/>
          <w:szCs w:val="22"/>
          <w:lang w:val="hu-HU" w:eastAsia="hu-HU"/>
        </w:rPr>
        <w:t>, az állkapocs osteonecrosisa, akut fázis reakció, hypocalcaemia, pitvarfibrilláció, anaphylaxia</w:t>
      </w:r>
      <w:r w:rsidR="00D3237C" w:rsidRPr="00171E38">
        <w:rPr>
          <w:color w:val="000000"/>
          <w:szCs w:val="22"/>
          <w:lang w:val="hu-HU" w:eastAsia="hu-HU"/>
        </w:rPr>
        <w:t>, intersticiális tüdőbetegség</w:t>
      </w:r>
      <w:r w:rsidR="00CD7CC5" w:rsidRPr="00171E38">
        <w:rPr>
          <w:color w:val="000000"/>
          <w:szCs w:val="22"/>
          <w:lang w:val="hu-HU" w:eastAsia="hu-HU"/>
        </w:rPr>
        <w:t>. Ezeknek az azonosított kockázatoknak a gyakoriságait az 1. táblázat mutatja.</w:t>
      </w:r>
    </w:p>
    <w:p w14:paraId="39EA0D30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6308B92F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color w:val="000000"/>
          <w:szCs w:val="22"/>
          <w:lang w:val="hu-HU" w:eastAsia="hu-HU"/>
        </w:rPr>
      </w:pPr>
      <w:r w:rsidRPr="00171E38">
        <w:rPr>
          <w:i/>
          <w:color w:val="000000"/>
          <w:szCs w:val="22"/>
          <w:u w:val="single"/>
          <w:lang w:val="hu-HU" w:eastAsia="hu-HU"/>
        </w:rPr>
        <w:t>A mellékhatások táblázatos felsorolása</w:t>
      </w:r>
    </w:p>
    <w:p w14:paraId="60B53C9A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  <w:r w:rsidRPr="00171E38">
        <w:rPr>
          <w:color w:val="000000"/>
          <w:szCs w:val="22"/>
          <w:lang w:val="hu-HU" w:eastAsia="hu-HU"/>
        </w:rPr>
        <w:t xml:space="preserve">A </w:t>
      </w:r>
      <w:r w:rsidR="00DF0B83">
        <w:rPr>
          <w:color w:val="000000"/>
          <w:szCs w:val="22"/>
          <w:lang w:val="hu-HU" w:eastAsia="hu-HU"/>
        </w:rPr>
        <w:t>2</w:t>
      </w:r>
      <w:r w:rsidRPr="00171E38">
        <w:rPr>
          <w:color w:val="000000"/>
          <w:szCs w:val="22"/>
          <w:lang w:val="hu-HU" w:eastAsia="hu-HU"/>
        </w:rPr>
        <w:t>. táblázatban feltüntetett mellékhatások adatai túlnyomórészt a 4 mg zoledronsavval végzett krónikus kezelés klinikai vizsgálataiból és a forgalomba hozatalt követő jelentésekből származnak:</w:t>
      </w:r>
    </w:p>
    <w:p w14:paraId="23E2DBCE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hu-HU"/>
        </w:rPr>
      </w:pPr>
    </w:p>
    <w:p w14:paraId="51172AFA" w14:textId="77777777" w:rsidR="00CD7CC5" w:rsidRPr="00EA23D0" w:rsidRDefault="00DF0B83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hu-HU"/>
        </w:rPr>
      </w:pPr>
      <w:r w:rsidRPr="00EA23D0">
        <w:rPr>
          <w:b/>
          <w:bCs/>
          <w:szCs w:val="22"/>
          <w:lang w:val="hu-HU" w:eastAsia="hu-HU"/>
        </w:rPr>
        <w:t>2</w:t>
      </w:r>
      <w:r w:rsidR="00CD7CC5" w:rsidRPr="00EA23D0">
        <w:rPr>
          <w:b/>
          <w:bCs/>
          <w:szCs w:val="22"/>
          <w:lang w:val="hu-HU" w:eastAsia="hu-HU"/>
        </w:rPr>
        <w:t>. táblázat</w:t>
      </w:r>
    </w:p>
    <w:p w14:paraId="00D89B0E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0C12096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mellékhatások </w:t>
      </w:r>
      <w:r w:rsidR="004E010F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 w:eastAsia="hu-HU"/>
        </w:rPr>
        <w:t>gyakoriság csökkenő sorrendjében vannak felsorolva: nagyon gyakori (≥1/10), gyakori (≥1/100 – &lt;1/10), nem gyakori (≥1/1000 – &lt;1/100), ritka (≥1/10</w:t>
      </w:r>
      <w:r w:rsidR="009B0B5F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000 – &lt;1/1000), nagyon ritka (&lt;1/10</w:t>
      </w:r>
      <w:r w:rsidR="009B0B5F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000), nem ismert (a </w:t>
      </w:r>
      <w:r w:rsidR="009B0B5F">
        <w:rPr>
          <w:szCs w:val="22"/>
          <w:lang w:val="hu-HU" w:eastAsia="hu-HU"/>
        </w:rPr>
        <w:t xml:space="preserve">gyakoriság a </w:t>
      </w:r>
      <w:r w:rsidRPr="00171E38">
        <w:rPr>
          <w:szCs w:val="22"/>
          <w:lang w:val="hu-HU" w:eastAsia="hu-HU"/>
        </w:rPr>
        <w:t>rendelkezésre álló adatokból nem állapítható meg).</w:t>
      </w:r>
    </w:p>
    <w:p w14:paraId="5C0BCC52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8"/>
        <w:gridCol w:w="2998"/>
        <w:gridCol w:w="3034"/>
      </w:tblGrid>
      <w:tr w:rsidR="00CD7CC5" w:rsidRPr="00171E38" w14:paraId="451F075A" w14:textId="77777777" w:rsidTr="007A1A9A">
        <w:tc>
          <w:tcPr>
            <w:tcW w:w="3070" w:type="dxa"/>
          </w:tcPr>
          <w:p w14:paraId="4BAA431D" w14:textId="77777777" w:rsidR="00CD7CC5" w:rsidRPr="00171E38" w:rsidRDefault="00CD7CC5" w:rsidP="00171E38">
            <w:pPr>
              <w:pStyle w:val="Default"/>
              <w:widowControl w:val="0"/>
              <w:suppressAutoHyphens/>
              <w:rPr>
                <w:rFonts w:eastAsia="Times New Roman"/>
                <w:sz w:val="22"/>
                <w:szCs w:val="22"/>
              </w:rPr>
            </w:pPr>
            <w:r w:rsidRPr="00171E38">
              <w:rPr>
                <w:b/>
                <w:bCs/>
                <w:i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5DDD7F1C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  <w:p w14:paraId="15622B44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  <w:p w14:paraId="72229E3A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Ritka: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351CFEB2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Anaemia</w:t>
            </w:r>
          </w:p>
          <w:p w14:paraId="3463D499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Thrombocytopenia, leukopenia</w:t>
            </w:r>
          </w:p>
          <w:p w14:paraId="74DFB491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Pancytopenia</w:t>
            </w:r>
          </w:p>
        </w:tc>
      </w:tr>
      <w:tr w:rsidR="00CD7CC5" w:rsidRPr="00171E38" w14:paraId="5CCB6EA0" w14:textId="77777777" w:rsidTr="007A1A9A">
        <w:tc>
          <w:tcPr>
            <w:tcW w:w="3070" w:type="dxa"/>
          </w:tcPr>
          <w:p w14:paraId="5269D818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Immunrendszeri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4193E6BD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Nem gyakori:</w:t>
            </w:r>
          </w:p>
          <w:p w14:paraId="6207A837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Ritka: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5ACD31BA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Túlérzékenységi reakció</w:t>
            </w:r>
          </w:p>
          <w:p w14:paraId="0CF98E0E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Angioneuroticus oedema</w:t>
            </w:r>
          </w:p>
        </w:tc>
      </w:tr>
      <w:tr w:rsidR="00CD7CC5" w:rsidRPr="00171E38" w14:paraId="58A18140" w14:textId="77777777" w:rsidTr="007A1A9A">
        <w:tc>
          <w:tcPr>
            <w:tcW w:w="3070" w:type="dxa"/>
          </w:tcPr>
          <w:p w14:paraId="035FCB2B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Pszichiátriai kórképek</w:t>
            </w:r>
          </w:p>
        </w:tc>
        <w:tc>
          <w:tcPr>
            <w:tcW w:w="3070" w:type="dxa"/>
            <w:tcBorders>
              <w:right w:val="nil"/>
            </w:tcBorders>
          </w:tcPr>
          <w:p w14:paraId="0D01D856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Nem gyakori:</w:t>
            </w:r>
          </w:p>
          <w:p w14:paraId="1AD51910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Ritka: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7C2F28AA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Szorongás, alvászavar</w:t>
            </w:r>
          </w:p>
          <w:p w14:paraId="38380841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Zavartság</w:t>
            </w:r>
          </w:p>
        </w:tc>
      </w:tr>
      <w:tr w:rsidR="00CD7CC5" w:rsidRPr="0080144C" w14:paraId="3EBE3ABB" w14:textId="77777777" w:rsidTr="007A1A9A">
        <w:tc>
          <w:tcPr>
            <w:tcW w:w="3070" w:type="dxa"/>
          </w:tcPr>
          <w:p w14:paraId="46E853B5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Idegrendszeri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59E03054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  <w:p w14:paraId="08AADDBC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  <w:p w14:paraId="1E093942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62E66926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3C5CBE48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4CFCA413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Nagyon ritka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132F5787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Fejfájás</w:t>
            </w:r>
          </w:p>
          <w:p w14:paraId="1A3D9BBB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Szédülés, paraesthesia, </w:t>
            </w:r>
            <w:r w:rsidR="00D3237C" w:rsidRPr="00171E38">
              <w:rPr>
                <w:sz w:val="22"/>
                <w:szCs w:val="22"/>
              </w:rPr>
              <w:t>dysgeusia</w:t>
            </w:r>
            <w:r w:rsidRPr="00171E38">
              <w:rPr>
                <w:sz w:val="22"/>
                <w:szCs w:val="22"/>
              </w:rPr>
              <w:t>, hypaesthesia, hyperaesthesia, tremor, somnolencia</w:t>
            </w:r>
          </w:p>
          <w:p w14:paraId="488C0590" w14:textId="77777777" w:rsidR="00CD7CC5" w:rsidRPr="00171E38" w:rsidRDefault="00D3237C" w:rsidP="009B0B5F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Convulsiók, hypaesthesia </w:t>
            </w:r>
            <w:r w:rsidR="00CD7CC5" w:rsidRPr="00171E38">
              <w:rPr>
                <w:rFonts w:eastAsia="Times New Roman"/>
                <w:sz w:val="22"/>
                <w:szCs w:val="22"/>
              </w:rPr>
              <w:t>és tetania (hypocalcaemia következtében)</w:t>
            </w:r>
          </w:p>
        </w:tc>
      </w:tr>
      <w:tr w:rsidR="00CD7CC5" w:rsidRPr="00171E38" w14:paraId="202B2E2D" w14:textId="77777777" w:rsidTr="007A1A9A">
        <w:tc>
          <w:tcPr>
            <w:tcW w:w="3070" w:type="dxa"/>
          </w:tcPr>
          <w:p w14:paraId="22DFF479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Szembetegségek és szemészeti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04B285F3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  <w:p w14:paraId="4FC97366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Nem gyakori:</w:t>
            </w:r>
          </w:p>
          <w:p w14:paraId="7E5CEBC3" w14:textId="77777777" w:rsidR="00B23370" w:rsidRPr="00171E38" w:rsidRDefault="00B23370" w:rsidP="00171E38">
            <w:pPr>
              <w:pStyle w:val="Default"/>
              <w:rPr>
                <w:sz w:val="22"/>
                <w:szCs w:val="22"/>
              </w:rPr>
            </w:pPr>
          </w:p>
          <w:p w14:paraId="4DCDA4A1" w14:textId="77777777" w:rsidR="00CD7CC5" w:rsidRPr="00171E38" w:rsidRDefault="00B23370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Ritka:</w:t>
            </w:r>
          </w:p>
          <w:p w14:paraId="65319A04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Nagyon ritka: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3AEE6A03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Conjunctivitis</w:t>
            </w:r>
          </w:p>
          <w:p w14:paraId="6765D7C5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Látászavar, scleritis és szemüregi gyulladás</w:t>
            </w:r>
          </w:p>
          <w:p w14:paraId="491382DF" w14:textId="77777777" w:rsidR="00B23370" w:rsidRPr="00171E38" w:rsidRDefault="00B23370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Uveitis</w:t>
            </w:r>
          </w:p>
          <w:p w14:paraId="0C908AD8" w14:textId="77777777" w:rsidR="00CD7CC5" w:rsidRPr="00171E38" w:rsidRDefault="00B23370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E</w:t>
            </w:r>
            <w:r w:rsidR="00CD7CC5" w:rsidRPr="00171E38">
              <w:rPr>
                <w:sz w:val="22"/>
                <w:szCs w:val="22"/>
              </w:rPr>
              <w:t>piscleritis</w:t>
            </w:r>
          </w:p>
        </w:tc>
      </w:tr>
      <w:tr w:rsidR="00CD7CC5" w:rsidRPr="00171E38" w14:paraId="228C40DD" w14:textId="77777777" w:rsidTr="007A1A9A">
        <w:tc>
          <w:tcPr>
            <w:tcW w:w="3070" w:type="dxa"/>
          </w:tcPr>
          <w:p w14:paraId="3397468C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4D7A264D" w14:textId="77777777" w:rsidR="00CD7CC5" w:rsidRPr="00C052E4" w:rsidRDefault="00CD7CC5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Nem gyakori:</w:t>
            </w:r>
          </w:p>
          <w:p w14:paraId="621C2FB6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6E5F4DDA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593AA43F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39BBEF10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Ritka:</w:t>
            </w:r>
          </w:p>
          <w:p w14:paraId="79CEFB0C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1481EB15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Hypert</w:t>
            </w:r>
            <w:r w:rsidR="006E0BE2">
              <w:rPr>
                <w:sz w:val="22"/>
                <w:szCs w:val="22"/>
              </w:rPr>
              <w:t>ensio</w:t>
            </w:r>
            <w:r w:rsidRPr="00171E38">
              <w:rPr>
                <w:sz w:val="22"/>
                <w:szCs w:val="22"/>
              </w:rPr>
              <w:t>, hypot</w:t>
            </w:r>
            <w:r w:rsidR="006E0BE2">
              <w:rPr>
                <w:sz w:val="22"/>
                <w:szCs w:val="22"/>
              </w:rPr>
              <w:t>ensio</w:t>
            </w:r>
            <w:r w:rsidRPr="00171E38">
              <w:rPr>
                <w:sz w:val="22"/>
                <w:szCs w:val="22"/>
              </w:rPr>
              <w:t xml:space="preserve">, pitvarfibrilláció, ájuláshoz vagy a keringés összeomlásához vezető </w:t>
            </w:r>
            <w:r w:rsidR="006E0BE2" w:rsidRPr="00171E38">
              <w:rPr>
                <w:sz w:val="22"/>
                <w:szCs w:val="22"/>
              </w:rPr>
              <w:t>hypot</w:t>
            </w:r>
            <w:r w:rsidR="006E0BE2">
              <w:rPr>
                <w:sz w:val="22"/>
                <w:szCs w:val="22"/>
              </w:rPr>
              <w:t>ensio</w:t>
            </w:r>
          </w:p>
          <w:p w14:paraId="57243183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Bradycardia</w:t>
            </w:r>
            <w:r w:rsidR="00B23370" w:rsidRPr="00171E38">
              <w:rPr>
                <w:rFonts w:eastAsia="Times New Roman"/>
                <w:sz w:val="22"/>
                <w:szCs w:val="22"/>
              </w:rPr>
              <w:t>, s</w:t>
            </w:r>
            <w:r w:rsidRPr="00171E38">
              <w:rPr>
                <w:rFonts w:eastAsia="Times New Roman"/>
                <w:sz w:val="22"/>
                <w:szCs w:val="22"/>
              </w:rPr>
              <w:t>zívritmuszavar (hypocalcaemia következtében)</w:t>
            </w:r>
          </w:p>
        </w:tc>
      </w:tr>
      <w:tr w:rsidR="00CD7CC5" w:rsidRPr="00171E38" w14:paraId="319CD732" w14:textId="77777777" w:rsidTr="007A1A9A">
        <w:tc>
          <w:tcPr>
            <w:tcW w:w="3070" w:type="dxa"/>
          </w:tcPr>
          <w:p w14:paraId="79A122B1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35BCDA49" w14:textId="77777777" w:rsidR="00CD7CC5" w:rsidRPr="00C052E4" w:rsidRDefault="00CD7CC5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Nem gyakori:</w:t>
            </w:r>
          </w:p>
          <w:p w14:paraId="290EF145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</w:p>
          <w:p w14:paraId="3D4ABA3C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Ritka: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76D76549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Dyspnoe, köhögés, bronchoconstrictio</w:t>
            </w:r>
          </w:p>
          <w:p w14:paraId="4055AB63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rFonts w:eastAsia="Times New Roman"/>
                <w:sz w:val="22"/>
                <w:szCs w:val="22"/>
              </w:rPr>
              <w:t>Intersticiális tüdőbetegség</w:t>
            </w:r>
          </w:p>
        </w:tc>
      </w:tr>
      <w:tr w:rsidR="00CD7CC5" w:rsidRPr="0080144C" w14:paraId="0B7A5DC5" w14:textId="77777777" w:rsidTr="007A1A9A">
        <w:tc>
          <w:tcPr>
            <w:tcW w:w="3070" w:type="dxa"/>
          </w:tcPr>
          <w:p w14:paraId="68F87805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Emésztőrendszeri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1F21565F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  <w:p w14:paraId="5CFB4C55" w14:textId="77777777" w:rsidR="00F47A94" w:rsidRDefault="00F47A94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2FAC4035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7E27F73C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Hányinger, hányás, </w:t>
            </w:r>
            <w:r w:rsidR="00D3237C" w:rsidRPr="00171E38">
              <w:rPr>
                <w:sz w:val="22"/>
                <w:szCs w:val="22"/>
              </w:rPr>
              <w:t>csökkent étvágy</w:t>
            </w:r>
          </w:p>
          <w:p w14:paraId="5E44ABA9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Diarrhoea, obstipatio, hasi fájdalom, dyspepsia, stomatitis, szájszárazság</w:t>
            </w:r>
          </w:p>
        </w:tc>
      </w:tr>
      <w:tr w:rsidR="00CD7CC5" w:rsidRPr="0080144C" w14:paraId="08606BFA" w14:textId="77777777" w:rsidTr="007A1A9A">
        <w:tc>
          <w:tcPr>
            <w:tcW w:w="3070" w:type="dxa"/>
          </w:tcPr>
          <w:p w14:paraId="706C0D34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3070" w:type="dxa"/>
            <w:tcBorders>
              <w:right w:val="nil"/>
            </w:tcBorders>
          </w:tcPr>
          <w:p w14:paraId="7C437E65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Nem gyakori: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4454E84B" w14:textId="77777777" w:rsidR="00CD7CC5" w:rsidRPr="00171E38" w:rsidRDefault="00CD7CC5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Viszketés, bőrkiütés (beleértve az erythemás és maculosus exanthemát), izzadékonyság</w:t>
            </w:r>
          </w:p>
        </w:tc>
      </w:tr>
      <w:tr w:rsidR="00CD7CC5" w:rsidRPr="0080144C" w14:paraId="055210BC" w14:textId="77777777" w:rsidTr="007A1A9A">
        <w:tc>
          <w:tcPr>
            <w:tcW w:w="3070" w:type="dxa"/>
          </w:tcPr>
          <w:p w14:paraId="761B0A6B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3070" w:type="dxa"/>
            <w:tcBorders>
              <w:right w:val="nil"/>
            </w:tcBorders>
          </w:tcPr>
          <w:p w14:paraId="066B9858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  <w:p w14:paraId="68C029FA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2F175CFF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  <w:p w14:paraId="2E57822C" w14:textId="77777777" w:rsidR="00882E60" w:rsidRPr="00171E38" w:rsidRDefault="00882E60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6E299C29" w14:textId="77777777" w:rsidR="00882E60" w:rsidRPr="00171E38" w:rsidRDefault="00882E60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Nagyon ritka: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4D58CA5A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Csontfájdalom, myalgia, arthralgia, generalizált fájdalom </w:t>
            </w:r>
          </w:p>
          <w:p w14:paraId="6257C977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Izomgörcsök, az állkapocs osteonecrosisa</w:t>
            </w:r>
          </w:p>
          <w:p w14:paraId="5CD8D436" w14:textId="77777777" w:rsidR="00882E60" w:rsidRPr="00171E38" w:rsidRDefault="00882E60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rFonts w:eastAsia="Times New Roman"/>
                <w:sz w:val="22"/>
                <w:szCs w:val="22"/>
              </w:rPr>
              <w:t>A külső hallójárat</w:t>
            </w:r>
            <w:r w:rsidR="000864AE">
              <w:rPr>
                <w:rFonts w:eastAsia="Times New Roman"/>
                <w:sz w:val="22"/>
                <w:szCs w:val="22"/>
              </w:rPr>
              <w:t xml:space="preserve"> és egyéb anatómiai lokalizációk, mint a femur és a csípő</w:t>
            </w:r>
            <w:r w:rsidRPr="00171E38">
              <w:rPr>
                <w:rFonts w:eastAsia="Times New Roman"/>
                <w:sz w:val="22"/>
                <w:szCs w:val="22"/>
              </w:rPr>
              <w:t xml:space="preserve"> osteone</w:t>
            </w:r>
            <w:r w:rsidR="000C5F82" w:rsidRPr="00171E38">
              <w:rPr>
                <w:rFonts w:eastAsia="Times New Roman"/>
                <w:sz w:val="22"/>
                <w:szCs w:val="22"/>
              </w:rPr>
              <w:t>c</w:t>
            </w:r>
            <w:r w:rsidRPr="00171E38">
              <w:rPr>
                <w:rFonts w:eastAsia="Times New Roman"/>
                <w:sz w:val="22"/>
                <w:szCs w:val="22"/>
              </w:rPr>
              <w:t>r</w:t>
            </w:r>
            <w:r w:rsidR="000C5F82" w:rsidRPr="00171E38">
              <w:rPr>
                <w:rFonts w:eastAsia="Times New Roman"/>
                <w:sz w:val="22"/>
                <w:szCs w:val="22"/>
              </w:rPr>
              <w:t>os</w:t>
            </w:r>
            <w:r w:rsidRPr="00171E38">
              <w:rPr>
                <w:rFonts w:eastAsia="Times New Roman"/>
                <w:sz w:val="22"/>
                <w:szCs w:val="22"/>
              </w:rPr>
              <w:t>isa (biszfoszfonátok csoportjára jellemző mellékhatás).</w:t>
            </w:r>
          </w:p>
        </w:tc>
      </w:tr>
      <w:tr w:rsidR="00CD7CC5" w:rsidRPr="0080144C" w14:paraId="015C0F02" w14:textId="77777777" w:rsidTr="007A1A9A">
        <w:tc>
          <w:tcPr>
            <w:tcW w:w="3070" w:type="dxa"/>
          </w:tcPr>
          <w:p w14:paraId="3858AC1A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Vese- és húgyúti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3CCF36F0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  <w:p w14:paraId="747B78B0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  <w:p w14:paraId="3FD20088" w14:textId="77777777" w:rsidR="00255215" w:rsidRPr="00171E38" w:rsidRDefault="0025521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5AA4CA99" w14:textId="77777777" w:rsidR="00255215" w:rsidRDefault="0025521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Ritka:</w:t>
            </w:r>
          </w:p>
          <w:p w14:paraId="766B4056" w14:textId="65F4E0CE" w:rsidR="004350E1" w:rsidRPr="00171E38" w:rsidRDefault="004350E1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>
              <w:rPr>
                <w:szCs w:val="22"/>
                <w:lang w:val="hu-HU" w:eastAsia="hu-HU"/>
              </w:rPr>
              <w:t>Nem ismert</w:t>
            </w:r>
            <w:r w:rsidR="00B2399E">
              <w:rPr>
                <w:szCs w:val="22"/>
                <w:lang w:val="hu-HU" w:eastAsia="hu-HU"/>
              </w:rPr>
              <w:t>:</w:t>
            </w:r>
          </w:p>
        </w:tc>
        <w:tc>
          <w:tcPr>
            <w:tcW w:w="3070" w:type="dxa"/>
            <w:tcBorders>
              <w:left w:val="nil"/>
              <w:bottom w:val="single" w:sz="4" w:space="0" w:color="000000"/>
            </w:tcBorders>
          </w:tcPr>
          <w:p w14:paraId="0B9028C5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Vesekárosodás</w:t>
            </w:r>
          </w:p>
          <w:p w14:paraId="3478B50E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Akut veseelégtelenség, haematuria, proteinuria</w:t>
            </w:r>
          </w:p>
          <w:p w14:paraId="3770B471" w14:textId="77777777" w:rsidR="00255215" w:rsidRDefault="0025521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Szerzett Fanconi-szindróma </w:t>
            </w:r>
          </w:p>
          <w:p w14:paraId="15C6A95D" w14:textId="76EBCE70" w:rsidR="00B2399E" w:rsidRPr="00171E38" w:rsidRDefault="00B2399E" w:rsidP="00171E3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B2399E">
              <w:rPr>
                <w:sz w:val="22"/>
                <w:szCs w:val="22"/>
              </w:rPr>
              <w:t>ubulointerstitialis nephritis</w:t>
            </w:r>
          </w:p>
        </w:tc>
      </w:tr>
      <w:tr w:rsidR="00CD7CC5" w:rsidRPr="00171E38" w14:paraId="3DBA8820" w14:textId="77777777" w:rsidTr="007A1A9A">
        <w:tc>
          <w:tcPr>
            <w:tcW w:w="3070" w:type="dxa"/>
          </w:tcPr>
          <w:p w14:paraId="43B8785F" w14:textId="77777777" w:rsidR="00CD7CC5" w:rsidRPr="00C052E4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3070" w:type="dxa"/>
            <w:tcBorders>
              <w:right w:val="nil"/>
            </w:tcBorders>
          </w:tcPr>
          <w:p w14:paraId="16EEBAA5" w14:textId="77777777" w:rsidR="00CD7CC5" w:rsidRPr="00C052E4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  <w:p w14:paraId="5F7AFA9F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0BED85D3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32339DE2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013CC3B8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  <w:p w14:paraId="132D0A71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41F6450D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1FC3EB50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3A27274B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0B1B29D0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2C1FC191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5951A992" w14:textId="77777777" w:rsidR="00D3237C" w:rsidRPr="00171E38" w:rsidRDefault="00D3237C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Ritka:</w:t>
            </w:r>
          </w:p>
          <w:p w14:paraId="2CE33456" w14:textId="77777777" w:rsidR="00D3237C" w:rsidRPr="00171E38" w:rsidRDefault="00D3237C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</w:tc>
        <w:tc>
          <w:tcPr>
            <w:tcW w:w="3070" w:type="dxa"/>
            <w:tcBorders>
              <w:left w:val="nil"/>
            </w:tcBorders>
          </w:tcPr>
          <w:p w14:paraId="235B891B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Láz, influenzaszerű tünetek (beleértve: fáradtság, hidegrázás, gyengélkedés és kipirulás)</w:t>
            </w:r>
          </w:p>
          <w:p w14:paraId="09A79DB0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Asthenia, peripheriás oedema, a beadás helyének reakciói (beleértve: fájdalom, irritatio, duzzanat, induratio), mellkasi fájdalom, súlygyarapodás, anaphylaxiás reakció/sokk, urticaria </w:t>
            </w:r>
          </w:p>
          <w:p w14:paraId="7E592A59" w14:textId="77777777" w:rsidR="00D3237C" w:rsidRPr="00171E38" w:rsidRDefault="00D3237C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Arthritis és ízületi duzzanat, mint az akut fázis reakció tünete</w:t>
            </w:r>
          </w:p>
        </w:tc>
      </w:tr>
      <w:tr w:rsidR="00CD7CC5" w:rsidRPr="00171E38" w14:paraId="59C60148" w14:textId="77777777" w:rsidTr="007A1A9A">
        <w:tc>
          <w:tcPr>
            <w:tcW w:w="3070" w:type="dxa"/>
          </w:tcPr>
          <w:p w14:paraId="38050DC4" w14:textId="77777777" w:rsidR="00CD7CC5" w:rsidRPr="00171E38" w:rsidRDefault="00CD7CC5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/>
                <w:bCs/>
                <w:i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3070" w:type="dxa"/>
            <w:tcBorders>
              <w:right w:val="nil"/>
            </w:tcBorders>
          </w:tcPr>
          <w:p w14:paraId="34EDDF63" w14:textId="77777777" w:rsidR="00CD7CC5" w:rsidRPr="00171E38" w:rsidRDefault="00CD7CC5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Nagyon gyakori:</w:t>
            </w:r>
          </w:p>
          <w:p w14:paraId="249FA1DF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  <w:p w14:paraId="1B11B7BD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11C28B54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Nem gyakori:</w:t>
            </w:r>
          </w:p>
          <w:p w14:paraId="6F67DBCC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</w:p>
          <w:p w14:paraId="7E68097B" w14:textId="77777777" w:rsidR="00CD7CC5" w:rsidRPr="00171E38" w:rsidRDefault="00CD7CC5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Ritka:</w:t>
            </w:r>
          </w:p>
        </w:tc>
        <w:tc>
          <w:tcPr>
            <w:tcW w:w="3070" w:type="dxa"/>
            <w:tcBorders>
              <w:left w:val="nil"/>
            </w:tcBorders>
          </w:tcPr>
          <w:p w14:paraId="7840B4EF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Hypophosphataemia</w:t>
            </w:r>
          </w:p>
          <w:p w14:paraId="656A1B66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A vér kreatinin- és ureaszint</w:t>
            </w:r>
            <w:r w:rsidR="00F55813">
              <w:rPr>
                <w:sz w:val="22"/>
                <w:szCs w:val="22"/>
              </w:rPr>
              <w:t>jének</w:t>
            </w:r>
            <w:r w:rsidRPr="00171E38">
              <w:rPr>
                <w:sz w:val="22"/>
                <w:szCs w:val="22"/>
              </w:rPr>
              <w:t xml:space="preserve"> emelkedése, hypocalcaemia </w:t>
            </w:r>
          </w:p>
          <w:p w14:paraId="32AA0B85" w14:textId="77777777" w:rsidR="00CD7CC5" w:rsidRPr="00171E38" w:rsidRDefault="00CD7CC5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Hypomagnesaemia, hypokalaemia</w:t>
            </w:r>
          </w:p>
          <w:p w14:paraId="4088C3A2" w14:textId="77777777" w:rsidR="00CD7CC5" w:rsidRPr="00171E38" w:rsidRDefault="00CD7CC5" w:rsidP="006E0BE2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Hyperkalaemia, hypernatraemia</w:t>
            </w:r>
          </w:p>
        </w:tc>
      </w:tr>
    </w:tbl>
    <w:p w14:paraId="1C2C026C" w14:textId="77777777" w:rsidR="00CD7CC5" w:rsidRPr="00171E38" w:rsidRDefault="00CD7CC5" w:rsidP="00C052E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F65A5DA" w14:textId="77777777" w:rsidR="00CD7CC5" w:rsidRPr="00171E38" w:rsidRDefault="00CD7CC5" w:rsidP="00C052E4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>Kiválasztott mellékhatások leírása:</w:t>
      </w:r>
    </w:p>
    <w:p w14:paraId="59987403" w14:textId="77777777" w:rsidR="00CD7CC5" w:rsidRPr="00171E38" w:rsidRDefault="00B00C08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>
        <w:rPr>
          <w:i/>
          <w:szCs w:val="22"/>
          <w:lang w:val="hu-HU" w:eastAsia="hu-HU"/>
        </w:rPr>
        <w:t>Vesekárosodás</w:t>
      </w:r>
    </w:p>
    <w:p w14:paraId="48A76C6F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zoledronsavval összefüggésben veseműködési zavarról számoltak be. Egy előrehaladott, csontot is involváló, rosszindulatú daganatos betegség</w:t>
      </w:r>
      <w:r w:rsidR="00C91A3F">
        <w:rPr>
          <w:szCs w:val="22"/>
          <w:lang w:val="hu-HU" w:eastAsia="hu-HU"/>
        </w:rPr>
        <w:t>ek</w:t>
      </w:r>
      <w:r w:rsidRPr="00171E38">
        <w:rPr>
          <w:szCs w:val="22"/>
          <w:lang w:val="hu-HU" w:eastAsia="hu-HU"/>
        </w:rPr>
        <w:t xml:space="preserve">ben szenvedő betegek csontrendszert érintő eseményeinek megelőzését célzó zoledronsav regisztrációs vizsgálatból gyűjtött </w:t>
      </w:r>
      <w:r w:rsidR="00C35B82" w:rsidRPr="00171E38">
        <w:rPr>
          <w:szCs w:val="22"/>
          <w:lang w:val="hu-HU" w:eastAsia="hu-HU"/>
        </w:rPr>
        <w:t>biztonság</w:t>
      </w:r>
      <w:r w:rsidR="00C35B82">
        <w:rPr>
          <w:szCs w:val="22"/>
          <w:lang w:val="hu-HU" w:eastAsia="hu-HU"/>
        </w:rPr>
        <w:t>ossági</w:t>
      </w:r>
      <w:r w:rsidR="00C35B82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adatok összesített elemzésében a vesekárosodás </w:t>
      </w:r>
      <w:r w:rsidR="00C35B82">
        <w:rPr>
          <w:szCs w:val="22"/>
          <w:lang w:val="hu-HU" w:eastAsia="hu-HU"/>
        </w:rPr>
        <w:t xml:space="preserve">– mint </w:t>
      </w:r>
      <w:r w:rsidRPr="00171E38">
        <w:rPr>
          <w:szCs w:val="22"/>
          <w:lang w:val="hu-HU" w:eastAsia="hu-HU"/>
        </w:rPr>
        <w:t>nemkívánatos esemény</w:t>
      </w:r>
      <w:r w:rsidR="00C35B82">
        <w:rPr>
          <w:szCs w:val="22"/>
          <w:lang w:val="hu-HU" w:eastAsia="hu-HU"/>
        </w:rPr>
        <w:t>, ami feltételezhetően a zoledronsav-kezeléssel áll kapcsolatban</w:t>
      </w:r>
      <w:r w:rsidRPr="00171E38">
        <w:rPr>
          <w:szCs w:val="22"/>
          <w:lang w:val="hu-HU" w:eastAsia="hu-HU"/>
        </w:rPr>
        <w:t xml:space="preserve"> (mellékhatás) </w:t>
      </w:r>
      <w:r w:rsidR="006E0BE2">
        <w:rPr>
          <w:szCs w:val="22"/>
          <w:lang w:val="hu-HU" w:eastAsia="hu-HU"/>
        </w:rPr>
        <w:t>–</w:t>
      </w:r>
      <w:r w:rsidR="00C35B82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gyakorisága a következőképpen alakult: myeloma multiplex (3,2%), prosztatarák (3,1%), emlőrák (4,3%), tüdő és más szolid tumorok (3,2%). A veseműködés romlásának lehetőségét esetlegesen növelő tényezők közé tartozik a dehydratio, a már </w:t>
      </w:r>
      <w:r w:rsidR="00C91A3F">
        <w:rPr>
          <w:szCs w:val="22"/>
          <w:lang w:val="hu-HU" w:eastAsia="hu-HU"/>
        </w:rPr>
        <w:t>fennál</w:t>
      </w:r>
      <w:r w:rsidR="001C5787">
        <w:rPr>
          <w:szCs w:val="22"/>
          <w:lang w:val="hu-HU" w:eastAsia="hu-HU"/>
        </w:rPr>
        <w:t>l</w:t>
      </w:r>
      <w:r w:rsidR="00C91A3F">
        <w:rPr>
          <w:szCs w:val="22"/>
          <w:lang w:val="hu-HU" w:eastAsia="hu-HU"/>
        </w:rPr>
        <w:t>ó</w:t>
      </w:r>
      <w:r w:rsidR="00C91A3F" w:rsidRPr="00171E38">
        <w:rPr>
          <w:szCs w:val="22"/>
          <w:lang w:val="hu-HU" w:eastAsia="hu-HU"/>
        </w:rPr>
        <w:t xml:space="preserve"> </w:t>
      </w:r>
      <w:r w:rsidR="00366067">
        <w:rPr>
          <w:szCs w:val="22"/>
          <w:lang w:val="hu-HU" w:eastAsia="hu-HU"/>
        </w:rPr>
        <w:t>vesekárosodás</w:t>
      </w:r>
      <w:r w:rsidRPr="00171E38">
        <w:rPr>
          <w:szCs w:val="22"/>
          <w:lang w:val="hu-HU" w:eastAsia="hu-HU"/>
        </w:rPr>
        <w:t xml:space="preserve">, a zoledronsav vagy egyéb biszfoszfonátok több cikluson keresztül történő alkalmazása, valamint nephrotoxicus gyógyszerek egyidejű alkalmazása, vagy az </w:t>
      </w:r>
      <w:r w:rsidR="00C91A3F">
        <w:rPr>
          <w:szCs w:val="22"/>
          <w:lang w:val="hu-HU" w:eastAsia="hu-HU"/>
        </w:rPr>
        <w:t xml:space="preserve">infúzió beadásának </w:t>
      </w:r>
      <w:r w:rsidRPr="00171E38">
        <w:rPr>
          <w:szCs w:val="22"/>
          <w:lang w:val="hu-HU" w:eastAsia="hu-HU"/>
        </w:rPr>
        <w:t xml:space="preserve">aktuálisan ajánlott </w:t>
      </w:r>
      <w:r w:rsidR="00C91A3F">
        <w:rPr>
          <w:szCs w:val="22"/>
          <w:lang w:val="hu-HU" w:eastAsia="hu-HU"/>
        </w:rPr>
        <w:t xml:space="preserve">időtartamánál </w:t>
      </w:r>
      <w:r w:rsidRPr="00171E38">
        <w:rPr>
          <w:szCs w:val="22"/>
          <w:lang w:val="hu-HU" w:eastAsia="hu-HU"/>
        </w:rPr>
        <w:t>rövidebb idő. A 4</w:t>
      </w:r>
      <w:r w:rsidR="00C91A3F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 zoledronsav kezdő dózisa vagy egy egyszeri dózis után a betegeknél a veseműködés romlásáról, veseelégtelenségig történő progresszióról és dialízisről számoltak be (lásd 4.4 pont).</w:t>
      </w:r>
    </w:p>
    <w:p w14:paraId="59F7B3E4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EBD1C4E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Az állkapocs osteonecrosisa</w:t>
      </w:r>
    </w:p>
    <w:p w14:paraId="07F39416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Túlnyomórészt a csont reszorpcióját gátló gyógyszerekkel, például zoledronsavval kezelt daganatos betegeknél az állkapocs osteonecrosisáról számoltak be</w:t>
      </w:r>
      <w:r w:rsidR="0013578B" w:rsidRPr="00171E38">
        <w:rPr>
          <w:szCs w:val="22"/>
          <w:lang w:val="hu-HU" w:eastAsia="hu-HU"/>
        </w:rPr>
        <w:t xml:space="preserve"> (lásd 4.4 pont)</w:t>
      </w:r>
      <w:r w:rsidRPr="00171E38">
        <w:rPr>
          <w:szCs w:val="22"/>
          <w:lang w:val="hu-HU" w:eastAsia="hu-HU"/>
        </w:rPr>
        <w:t xml:space="preserve">. Közülük sok beteg </w:t>
      </w:r>
      <w:r w:rsidR="0013578B" w:rsidRPr="00171E38">
        <w:rPr>
          <w:szCs w:val="22"/>
          <w:lang w:val="hu-HU" w:eastAsia="hu-HU"/>
        </w:rPr>
        <w:t>kemoterápiát és kortikoszteroidokat is kapott, és</w:t>
      </w:r>
      <w:r w:rsidRPr="00171E38">
        <w:rPr>
          <w:szCs w:val="22"/>
          <w:lang w:val="hu-HU" w:eastAsia="hu-HU"/>
        </w:rPr>
        <w:t xml:space="preserve"> helyi fertőzés</w:t>
      </w:r>
      <w:r w:rsidR="0009436C">
        <w:rPr>
          <w:szCs w:val="22"/>
          <w:lang w:val="hu-HU" w:eastAsia="hu-HU"/>
        </w:rPr>
        <w:t>re, mint például</w:t>
      </w:r>
      <w:r w:rsidRPr="00171E38">
        <w:rPr>
          <w:szCs w:val="22"/>
          <w:lang w:val="hu-HU" w:eastAsia="hu-HU"/>
        </w:rPr>
        <w:t xml:space="preserve"> </w:t>
      </w:r>
      <w:r w:rsidR="0009436C" w:rsidRPr="00171E38">
        <w:rPr>
          <w:szCs w:val="22"/>
          <w:lang w:val="hu-HU" w:eastAsia="hu-HU"/>
        </w:rPr>
        <w:t>osteomyelitis</w:t>
      </w:r>
      <w:r w:rsidR="0009436C">
        <w:rPr>
          <w:szCs w:val="22"/>
          <w:lang w:val="hu-HU" w:eastAsia="hu-HU"/>
        </w:rPr>
        <w:t>re utaló jeleket mutattak ki náluk</w:t>
      </w:r>
      <w:r w:rsidR="0013578B" w:rsidRPr="00171E38">
        <w:rPr>
          <w:szCs w:val="22"/>
          <w:lang w:val="hu-HU" w:eastAsia="hu-HU"/>
        </w:rPr>
        <w:t>. A</w:t>
      </w:r>
      <w:r w:rsidRPr="00171E38">
        <w:rPr>
          <w:szCs w:val="22"/>
          <w:lang w:val="hu-HU" w:eastAsia="hu-HU"/>
        </w:rPr>
        <w:t xml:space="preserve"> jelentett esetek legtöbbje foghúzáson, vagy más szájsebészeti beavatkozáson átesett daganatos betegekre vonatkozott.</w:t>
      </w:r>
    </w:p>
    <w:p w14:paraId="2684C8DD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F1A9AF4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Pitvarfibrilláció</w:t>
      </w:r>
    </w:p>
    <w:p w14:paraId="4AB76638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Egy 3 évig tartó randomizált, kettős</w:t>
      </w:r>
      <w:r w:rsidR="0050617C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vak, kontrollos vizsgálatban, amely az évenként egyszeri 5 mg zoledronsav placebóhoz viszonyított hatásosságát és biztonságosságát értékelte postmenopaus</w:t>
      </w:r>
      <w:r w:rsidR="001C5787">
        <w:rPr>
          <w:szCs w:val="22"/>
          <w:lang w:val="hu-HU" w:eastAsia="hu-HU"/>
        </w:rPr>
        <w:t>a</w:t>
      </w:r>
      <w:r w:rsidRPr="00171E38">
        <w:rPr>
          <w:szCs w:val="22"/>
          <w:lang w:val="hu-HU" w:eastAsia="hu-HU"/>
        </w:rPr>
        <w:t xml:space="preserve">lis osteoporosis (PMO) kezelése során, a pitvarfibrilláció </w:t>
      </w:r>
      <w:r w:rsidR="00B00C08">
        <w:rPr>
          <w:szCs w:val="22"/>
          <w:lang w:val="hu-HU" w:eastAsia="hu-HU"/>
        </w:rPr>
        <w:t xml:space="preserve">teljes </w:t>
      </w:r>
      <w:r w:rsidRPr="00171E38">
        <w:rPr>
          <w:szCs w:val="22"/>
          <w:lang w:val="hu-HU" w:eastAsia="hu-HU"/>
        </w:rPr>
        <w:t>előfordulási gyakorisága 2,5% volt az 5</w:t>
      </w:r>
      <w:r w:rsidR="0050617C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mg zoledronsavval kezelt betegeknél (3862-ből 96), és 1,9% volt a placebót kapó betegeknél (3852-ből 75). A </w:t>
      </w:r>
      <w:r w:rsidR="0009436C" w:rsidRPr="0009436C">
        <w:rPr>
          <w:szCs w:val="22"/>
          <w:lang w:val="hu-HU" w:eastAsia="hu-HU"/>
        </w:rPr>
        <w:t xml:space="preserve">pitvarfibrilláció </w:t>
      </w:r>
      <w:r w:rsidR="0009436C">
        <w:rPr>
          <w:szCs w:val="22"/>
          <w:lang w:val="hu-HU" w:eastAsia="hu-HU"/>
        </w:rPr>
        <w:t>(</w:t>
      </w:r>
      <w:r w:rsidRPr="00171E38">
        <w:rPr>
          <w:szCs w:val="22"/>
          <w:lang w:val="hu-HU" w:eastAsia="hu-HU"/>
        </w:rPr>
        <w:t>súlyos</w:t>
      </w:r>
      <w:r w:rsidR="0009436C">
        <w:rPr>
          <w:szCs w:val="22"/>
          <w:lang w:val="hu-HU" w:eastAsia="hu-HU"/>
        </w:rPr>
        <w:t>,</w:t>
      </w:r>
      <w:r w:rsidRPr="00171E38">
        <w:rPr>
          <w:szCs w:val="22"/>
          <w:lang w:val="hu-HU" w:eastAsia="hu-HU"/>
        </w:rPr>
        <w:t xml:space="preserve"> nemkívánatos esemény</w:t>
      </w:r>
      <w:r w:rsidR="0009436C">
        <w:rPr>
          <w:szCs w:val="22"/>
          <w:lang w:val="hu-HU" w:eastAsia="hu-HU"/>
        </w:rPr>
        <w:t>)</w:t>
      </w:r>
      <w:r w:rsidRPr="00171E38">
        <w:rPr>
          <w:szCs w:val="22"/>
          <w:lang w:val="hu-HU" w:eastAsia="hu-HU"/>
        </w:rPr>
        <w:t xml:space="preserve"> aránya 1,3% volt az 5 mg zoledronsavat kapó betegeknél (3862-ből 51), és 0,6% volt a placebót kapó betegeknél (3852-ből 22). Az ebben a vizsgálatban észlelt aránytalanságot más, zoledronsavval végzett vizsgálatokban nem észlelték, beleértve azt is, amelyben a 4 mg-os zoledronsavat 3</w:t>
      </w:r>
      <w:r w:rsidR="0050617C">
        <w:rPr>
          <w:szCs w:val="22"/>
          <w:lang w:val="hu-HU" w:eastAsia="hu-HU"/>
        </w:rPr>
        <w:t>–</w:t>
      </w:r>
      <w:r w:rsidRPr="00171E38">
        <w:rPr>
          <w:szCs w:val="22"/>
          <w:lang w:val="hu-HU" w:eastAsia="hu-HU"/>
        </w:rPr>
        <w:t>4 hetente adták onkológiai betegeknek. A pitvarfibrillációnak az ebben az egyetlen klinikai vizsgálatban észlelt emelkedett előfordulási gyakorisága mögött álló mechanizmus nem ismert.</w:t>
      </w:r>
    </w:p>
    <w:p w14:paraId="78D95B8A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599BE3C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Akut fázis reakció</w:t>
      </w:r>
    </w:p>
    <w:p w14:paraId="3623DC70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Ez a gyógyszer okozta mellékhatás olyan tünetek összességéből áll, mint a láz, a myalgia, a fejfájás, a végtagfájdalom, a hányinger, a hányás, a hasmenés</w:t>
      </w:r>
      <w:r w:rsidR="00540B48" w:rsidRPr="00171E38">
        <w:rPr>
          <w:szCs w:val="22"/>
          <w:lang w:val="hu-HU" w:eastAsia="hu-HU"/>
        </w:rPr>
        <w:t>,</w:t>
      </w:r>
      <w:r w:rsidRPr="00171E38">
        <w:rPr>
          <w:szCs w:val="22"/>
          <w:lang w:val="hu-HU" w:eastAsia="hu-HU"/>
        </w:rPr>
        <w:t xml:space="preserve"> az arthralgia</w:t>
      </w:r>
      <w:r w:rsidR="00540B48" w:rsidRPr="00171E38">
        <w:rPr>
          <w:szCs w:val="22"/>
          <w:lang w:val="hu-HU" w:eastAsia="hu-HU"/>
        </w:rPr>
        <w:t xml:space="preserve"> és </w:t>
      </w:r>
      <w:r w:rsidR="00B26FAB" w:rsidRPr="00171E38">
        <w:rPr>
          <w:szCs w:val="22"/>
          <w:lang w:val="hu-HU" w:eastAsia="hu-HU"/>
        </w:rPr>
        <w:t xml:space="preserve">az </w:t>
      </w:r>
      <w:r w:rsidR="00540B48" w:rsidRPr="00171E38">
        <w:rPr>
          <w:szCs w:val="22"/>
          <w:lang w:val="hu-HU" w:eastAsia="hu-HU"/>
        </w:rPr>
        <w:t>arthritis</w:t>
      </w:r>
      <w:r w:rsidR="00B26FAB" w:rsidRPr="00171E38">
        <w:rPr>
          <w:szCs w:val="22"/>
          <w:lang w:val="hu-HU" w:eastAsia="hu-HU"/>
        </w:rPr>
        <w:t xml:space="preserve">, </w:t>
      </w:r>
      <w:r w:rsidR="0009436C">
        <w:rPr>
          <w:szCs w:val="22"/>
          <w:lang w:val="hu-HU" w:eastAsia="hu-HU"/>
        </w:rPr>
        <w:t>következményes</w:t>
      </w:r>
      <w:r w:rsidR="0009436C" w:rsidRPr="00171E38">
        <w:rPr>
          <w:szCs w:val="22"/>
          <w:lang w:val="hu-HU" w:eastAsia="hu-HU"/>
        </w:rPr>
        <w:t xml:space="preserve"> </w:t>
      </w:r>
      <w:r w:rsidR="00540B48" w:rsidRPr="00171E38">
        <w:rPr>
          <w:szCs w:val="22"/>
          <w:lang w:val="hu-HU" w:eastAsia="hu-HU"/>
        </w:rPr>
        <w:t>ízületi duzzanattal</w:t>
      </w:r>
      <w:r w:rsidRPr="00171E38">
        <w:rPr>
          <w:szCs w:val="22"/>
          <w:lang w:val="hu-HU" w:eastAsia="hu-HU"/>
        </w:rPr>
        <w:t xml:space="preserve">. </w:t>
      </w:r>
      <w:r w:rsidR="0009436C">
        <w:rPr>
          <w:szCs w:val="22"/>
          <w:lang w:val="hu-HU" w:eastAsia="hu-HU"/>
        </w:rPr>
        <w:t>A</w:t>
      </w:r>
      <w:r w:rsidRPr="00171E38">
        <w:rPr>
          <w:szCs w:val="22"/>
          <w:lang w:val="hu-HU" w:eastAsia="hu-HU"/>
        </w:rPr>
        <w:t xml:space="preserve"> zoledronsav infúziót követő ≤3 nap</w:t>
      </w:r>
      <w:r w:rsidR="0009436C">
        <w:rPr>
          <w:szCs w:val="22"/>
          <w:lang w:val="hu-HU" w:eastAsia="hu-HU"/>
        </w:rPr>
        <w:t xml:space="preserve"> alatt alakul ki</w:t>
      </w:r>
      <w:r w:rsidRPr="00171E38">
        <w:rPr>
          <w:szCs w:val="22"/>
          <w:lang w:val="hu-HU" w:eastAsia="hu-HU"/>
        </w:rPr>
        <w:t>, és a reakció</w:t>
      </w:r>
      <w:r w:rsidR="0009436C">
        <w:rPr>
          <w:szCs w:val="22"/>
          <w:lang w:val="hu-HU" w:eastAsia="hu-HU"/>
        </w:rPr>
        <w:t>t</w:t>
      </w:r>
      <w:r w:rsidRPr="00171E38">
        <w:rPr>
          <w:szCs w:val="22"/>
          <w:lang w:val="hu-HU" w:eastAsia="hu-HU"/>
        </w:rPr>
        <w:t xml:space="preserve"> szokták még az „influenzaszerű” vagy az „adagolás utáni” tünetegyüttes</w:t>
      </w:r>
      <w:r w:rsidR="0009436C">
        <w:rPr>
          <w:szCs w:val="22"/>
          <w:lang w:val="hu-HU" w:eastAsia="hu-HU"/>
        </w:rPr>
        <w:t>ként is említeni</w:t>
      </w:r>
      <w:r w:rsidRPr="00171E38">
        <w:rPr>
          <w:szCs w:val="22"/>
          <w:lang w:val="hu-HU" w:eastAsia="hu-HU"/>
        </w:rPr>
        <w:t>.</w:t>
      </w:r>
    </w:p>
    <w:p w14:paraId="18CC89F5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9D54A9A" w14:textId="77777777" w:rsidR="00CD7CC5" w:rsidRPr="00171E38" w:rsidRDefault="00CD7CC5" w:rsidP="00EA23D0">
      <w:pPr>
        <w:keepNext/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Atípusos femurtörések</w:t>
      </w:r>
    </w:p>
    <w:p w14:paraId="069BE48B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forgalomba hozatalt követően az alábbi reakciókról számoltak be (gyakoriságuk ritka):</w:t>
      </w:r>
    </w:p>
    <w:p w14:paraId="259B5FDF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Atípusos subtrochanter és diaphysealis femurtörések (biszfoszfonát </w:t>
      </w:r>
      <w:r w:rsidR="0009436C">
        <w:rPr>
          <w:szCs w:val="22"/>
          <w:lang w:val="hu-HU" w:eastAsia="hu-HU"/>
        </w:rPr>
        <w:t>gyógyszer</w:t>
      </w:r>
      <w:r w:rsidRPr="00171E38">
        <w:rPr>
          <w:szCs w:val="22"/>
          <w:lang w:val="hu-HU" w:eastAsia="hu-HU"/>
        </w:rPr>
        <w:t>csoport</w:t>
      </w:r>
      <w:r w:rsidR="0009436C">
        <w:rPr>
          <w:szCs w:val="22"/>
          <w:lang w:val="hu-HU" w:eastAsia="hu-HU"/>
        </w:rPr>
        <w:t xml:space="preserve">ra jellemző </w:t>
      </w:r>
      <w:r w:rsidRPr="00171E38">
        <w:rPr>
          <w:szCs w:val="22"/>
          <w:lang w:val="hu-HU" w:eastAsia="hu-HU"/>
        </w:rPr>
        <w:t>mellékhatás).</w:t>
      </w:r>
    </w:p>
    <w:p w14:paraId="54B9AA67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1CB1AB1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Hypocalcaemiával összefüggő mellékhatások</w:t>
      </w:r>
    </w:p>
    <w:p w14:paraId="17CBDA03" w14:textId="77777777" w:rsidR="00CD7CC5" w:rsidRPr="00171E38" w:rsidRDefault="00CD7CC5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hypocalcaemia egy fontos azonosított kockázat a </w:t>
      </w:r>
      <w:r w:rsidR="00DB24BC" w:rsidRPr="00171E38">
        <w:rPr>
          <w:szCs w:val="22"/>
          <w:lang w:val="hu-HU" w:eastAsia="hu-HU"/>
        </w:rPr>
        <w:t>z</w:t>
      </w:r>
      <w:r w:rsidRPr="00171E38">
        <w:rPr>
          <w:szCs w:val="22"/>
          <w:lang w:val="hu-HU" w:eastAsia="hu-HU"/>
        </w:rPr>
        <w:t xml:space="preserve">oledronsav elfogadott indikációiban. Mind a klinikai vizsgálati, mind a forgalomba hozatalt követő esetek áttekintése alapján elegendő bizonyíték van annak alátámasztására, hogy a </w:t>
      </w:r>
      <w:r w:rsidR="00DB24BC" w:rsidRPr="00171E38">
        <w:rPr>
          <w:szCs w:val="22"/>
          <w:lang w:val="hu-HU" w:eastAsia="hu-HU"/>
        </w:rPr>
        <w:t>z</w:t>
      </w:r>
      <w:r w:rsidRPr="00171E38">
        <w:rPr>
          <w:szCs w:val="22"/>
          <w:lang w:val="hu-HU" w:eastAsia="hu-HU"/>
        </w:rPr>
        <w:t xml:space="preserve">oledronsav kezelés és a bejelentett hypocalcaemiás események, valamint a következményes szívritmuszavar kialakulása között összefüggés van. Továbbá bizonyíték van a hypocalcaemia és a következményes neurológiai esetek – </w:t>
      </w:r>
      <w:r w:rsidR="007E49DD" w:rsidRPr="00171E38">
        <w:rPr>
          <w:szCs w:val="22"/>
          <w:lang w:val="hu-HU" w:eastAsia="hu-HU"/>
        </w:rPr>
        <w:t>convulsió</w:t>
      </w:r>
      <w:r w:rsidRPr="00171E38">
        <w:rPr>
          <w:szCs w:val="22"/>
          <w:lang w:val="hu-HU" w:eastAsia="hu-HU"/>
        </w:rPr>
        <w:t xml:space="preserve">k, </w:t>
      </w:r>
      <w:r w:rsidR="007E49DD" w:rsidRPr="00171E38">
        <w:rPr>
          <w:szCs w:val="22"/>
          <w:lang w:val="hu-HU" w:eastAsia="hu-HU"/>
        </w:rPr>
        <w:t>hypaesthesia</w:t>
      </w:r>
      <w:r w:rsidRPr="00171E38">
        <w:rPr>
          <w:szCs w:val="22"/>
          <w:lang w:val="hu-HU" w:eastAsia="hu-HU"/>
        </w:rPr>
        <w:t xml:space="preserve"> és tet</w:t>
      </w:r>
      <w:r w:rsidR="001C5787">
        <w:rPr>
          <w:szCs w:val="22"/>
          <w:lang w:val="hu-HU" w:eastAsia="hu-HU"/>
        </w:rPr>
        <w:t>a</w:t>
      </w:r>
      <w:r w:rsidRPr="00171E38">
        <w:rPr>
          <w:szCs w:val="22"/>
          <w:lang w:val="hu-HU" w:eastAsia="hu-HU"/>
        </w:rPr>
        <w:t>nia – közötti összefüggésre is (lásd 4.4 pont).</w:t>
      </w:r>
    </w:p>
    <w:p w14:paraId="0277532D" w14:textId="77777777" w:rsidR="00CD7CC5" w:rsidRPr="00171E38" w:rsidRDefault="00CD7CC5" w:rsidP="00171E38">
      <w:pPr>
        <w:spacing w:line="240" w:lineRule="auto"/>
        <w:ind w:right="-1"/>
        <w:rPr>
          <w:szCs w:val="22"/>
          <w:lang w:val="hu-HU"/>
        </w:rPr>
      </w:pPr>
    </w:p>
    <w:p w14:paraId="36BE8DA9" w14:textId="77777777" w:rsidR="001B0D69" w:rsidRPr="00171E38" w:rsidRDefault="004174DB" w:rsidP="00171E38">
      <w:pPr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CalciviD</w:t>
      </w:r>
    </w:p>
    <w:p w14:paraId="474D5B99" w14:textId="77777777" w:rsidR="00DC1C5D" w:rsidRPr="00171E38" w:rsidRDefault="00DC1C5D" w:rsidP="00171E38">
      <w:pPr>
        <w:spacing w:line="240" w:lineRule="auto"/>
        <w:rPr>
          <w:szCs w:val="22"/>
          <w:lang w:val="hu-HU"/>
        </w:rPr>
      </w:pPr>
    </w:p>
    <w:p w14:paraId="7DBFC6D5" w14:textId="77777777" w:rsidR="00EC736D" w:rsidRPr="00171E38" w:rsidRDefault="00EC736D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Anyagcsere- és táplálkozási betegségek és tünetek:</w:t>
      </w:r>
    </w:p>
    <w:p w14:paraId="413BD9CE" w14:textId="77777777" w:rsidR="001B0D69" w:rsidRPr="00171E38" w:rsidRDefault="00EC736D" w:rsidP="00171E38">
      <w:pPr>
        <w:spacing w:line="240" w:lineRule="auto"/>
        <w:rPr>
          <w:szCs w:val="22"/>
          <w:lang w:val="hu-HU"/>
        </w:rPr>
      </w:pPr>
      <w:r w:rsidRPr="00171E38">
        <w:rPr>
          <w:i/>
          <w:szCs w:val="22"/>
          <w:lang w:val="hu-HU"/>
        </w:rPr>
        <w:t>Nem gyakori</w:t>
      </w:r>
      <w:r w:rsidRPr="00171E38">
        <w:rPr>
          <w:szCs w:val="22"/>
          <w:lang w:val="hu-HU"/>
        </w:rPr>
        <w:t xml:space="preserve">: </w:t>
      </w:r>
      <w:r w:rsidR="001B0D69" w:rsidRPr="00171E38">
        <w:rPr>
          <w:szCs w:val="22"/>
          <w:lang w:val="hu-HU"/>
        </w:rPr>
        <w:t>hypercalcaemia és hypercalciuria</w:t>
      </w:r>
    </w:p>
    <w:p w14:paraId="301F9A90" w14:textId="77777777" w:rsidR="00DC1C5D" w:rsidRPr="00171E38" w:rsidRDefault="00B23370" w:rsidP="00171E38">
      <w:pPr>
        <w:spacing w:line="240" w:lineRule="auto"/>
        <w:rPr>
          <w:szCs w:val="22"/>
          <w:lang w:val="hu-HU"/>
        </w:rPr>
      </w:pPr>
      <w:r w:rsidRPr="00171E38">
        <w:rPr>
          <w:spacing w:val="4"/>
          <w:szCs w:val="22"/>
          <w:lang w:val="hu-HU"/>
        </w:rPr>
        <w:t xml:space="preserve">Nagyon ritka: </w:t>
      </w:r>
      <w:r w:rsidRPr="00171E38">
        <w:rPr>
          <w:szCs w:val="22"/>
          <w:lang w:val="hu-HU"/>
        </w:rPr>
        <w:t>tej-alkáli</w:t>
      </w:r>
      <w:r w:rsidR="00B6175F">
        <w:rPr>
          <w:szCs w:val="22"/>
          <w:lang w:val="hu-HU"/>
        </w:rPr>
        <w:t>-</w:t>
      </w:r>
      <w:r w:rsidRPr="00171E38">
        <w:rPr>
          <w:szCs w:val="22"/>
          <w:lang w:val="hu-HU"/>
        </w:rPr>
        <w:t>szindróma, általában túladagoláskor észlelhető (lásd 4.9 pont).</w:t>
      </w:r>
    </w:p>
    <w:p w14:paraId="47796146" w14:textId="77777777" w:rsidR="00B23370" w:rsidRPr="00171E38" w:rsidRDefault="00B23370" w:rsidP="00171E38">
      <w:pPr>
        <w:spacing w:line="240" w:lineRule="auto"/>
        <w:rPr>
          <w:szCs w:val="22"/>
          <w:lang w:val="hu-HU"/>
        </w:rPr>
      </w:pPr>
    </w:p>
    <w:p w14:paraId="1695A7E7" w14:textId="77777777" w:rsidR="00EC736D" w:rsidRPr="00171E38" w:rsidRDefault="00EC736D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Emésztőrendszeri betegségek és tünetek:</w:t>
      </w:r>
    </w:p>
    <w:p w14:paraId="06570ADC" w14:textId="77777777" w:rsidR="001B0D69" w:rsidRPr="00171E38" w:rsidRDefault="00EC736D" w:rsidP="00171E38">
      <w:pPr>
        <w:spacing w:line="240" w:lineRule="auto"/>
        <w:rPr>
          <w:szCs w:val="22"/>
          <w:lang w:val="hu-HU"/>
        </w:rPr>
      </w:pPr>
      <w:r w:rsidRPr="00171E38">
        <w:rPr>
          <w:i/>
          <w:szCs w:val="22"/>
          <w:lang w:val="hu-HU"/>
        </w:rPr>
        <w:t>Ritka:</w:t>
      </w:r>
      <w:r w:rsidRPr="00171E38">
        <w:rPr>
          <w:szCs w:val="22"/>
          <w:lang w:val="hu-HU"/>
        </w:rPr>
        <w:t xml:space="preserve"> </w:t>
      </w:r>
      <w:r w:rsidR="001B0D69" w:rsidRPr="00171E38">
        <w:rPr>
          <w:szCs w:val="22"/>
          <w:lang w:val="hu-HU"/>
        </w:rPr>
        <w:t>constipatio, felf</w:t>
      </w:r>
      <w:r w:rsidR="004557F2" w:rsidRPr="00171E38">
        <w:rPr>
          <w:szCs w:val="22"/>
          <w:lang w:val="hu-HU"/>
        </w:rPr>
        <w:t>ú</w:t>
      </w:r>
      <w:r w:rsidR="001B0D69" w:rsidRPr="00171E38">
        <w:rPr>
          <w:szCs w:val="22"/>
          <w:lang w:val="hu-HU"/>
        </w:rPr>
        <w:t>vódás, nausea, abdominalis fájdalom, diarrhoea</w:t>
      </w:r>
    </w:p>
    <w:p w14:paraId="54484767" w14:textId="77777777" w:rsidR="009B0966" w:rsidRPr="00171E38" w:rsidRDefault="009B0966" w:rsidP="00171E38">
      <w:pPr>
        <w:spacing w:line="240" w:lineRule="auto"/>
        <w:rPr>
          <w:szCs w:val="22"/>
          <w:lang w:val="hu-HU"/>
        </w:rPr>
      </w:pPr>
      <w:r w:rsidRPr="00171E38">
        <w:rPr>
          <w:i/>
          <w:szCs w:val="22"/>
          <w:lang w:val="hu-HU"/>
        </w:rPr>
        <w:t>Nagyon ritka:</w:t>
      </w:r>
      <w:r w:rsidRPr="00171E38">
        <w:rPr>
          <w:szCs w:val="22"/>
          <w:lang w:val="hu-HU"/>
        </w:rPr>
        <w:t xml:space="preserve"> dyspepsia</w:t>
      </w:r>
    </w:p>
    <w:p w14:paraId="73E81E12" w14:textId="77777777" w:rsidR="00EC736D" w:rsidRPr="00171E38" w:rsidRDefault="00EC736D" w:rsidP="00171E38">
      <w:pPr>
        <w:spacing w:line="240" w:lineRule="auto"/>
        <w:rPr>
          <w:szCs w:val="22"/>
          <w:lang w:val="hu-HU"/>
        </w:rPr>
      </w:pPr>
    </w:p>
    <w:p w14:paraId="2AD688B5" w14:textId="77777777" w:rsidR="00EC736D" w:rsidRPr="00171E38" w:rsidRDefault="00EC736D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A bőr és a bőr alatti szövet betegségei és tünetei:</w:t>
      </w:r>
    </w:p>
    <w:p w14:paraId="03475E73" w14:textId="77777777" w:rsidR="001B0D69" w:rsidRPr="00171E38" w:rsidRDefault="00EC736D" w:rsidP="00171E38">
      <w:pPr>
        <w:spacing w:line="240" w:lineRule="auto"/>
        <w:rPr>
          <w:szCs w:val="22"/>
          <w:lang w:val="hu-HU"/>
        </w:rPr>
      </w:pPr>
      <w:r w:rsidRPr="00171E38">
        <w:rPr>
          <w:i/>
          <w:szCs w:val="22"/>
          <w:lang w:val="hu-HU"/>
        </w:rPr>
        <w:t>Ritka:</w:t>
      </w:r>
      <w:r w:rsidRPr="00171E38">
        <w:rPr>
          <w:szCs w:val="22"/>
          <w:lang w:val="hu-HU"/>
        </w:rPr>
        <w:t xml:space="preserve"> </w:t>
      </w:r>
      <w:r w:rsidR="001B0D69" w:rsidRPr="00171E38">
        <w:rPr>
          <w:szCs w:val="22"/>
          <w:lang w:val="hu-HU"/>
        </w:rPr>
        <w:t xml:space="preserve">pruritus, </w:t>
      </w:r>
      <w:r w:rsidR="00BA117C">
        <w:rPr>
          <w:szCs w:val="22"/>
          <w:lang w:val="hu-HU"/>
        </w:rPr>
        <w:t>bőr</w:t>
      </w:r>
      <w:r w:rsidR="004557F2" w:rsidRPr="00171E38">
        <w:rPr>
          <w:szCs w:val="22"/>
          <w:lang w:val="hu-HU"/>
        </w:rPr>
        <w:t xml:space="preserve">kiütés </w:t>
      </w:r>
      <w:r w:rsidR="001B0D69" w:rsidRPr="00171E38">
        <w:rPr>
          <w:szCs w:val="22"/>
          <w:lang w:val="hu-HU"/>
        </w:rPr>
        <w:t>és urticaria</w:t>
      </w:r>
    </w:p>
    <w:p w14:paraId="63FF1B52" w14:textId="77777777" w:rsidR="00205B05" w:rsidRPr="00171E38" w:rsidRDefault="00205B05" w:rsidP="00171E3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CC805D0" w14:textId="77777777" w:rsidR="004174DB" w:rsidRPr="00171E38" w:rsidRDefault="004174DB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>Feltételezett mellékhatások bejelentése</w:t>
      </w:r>
    </w:p>
    <w:p w14:paraId="3093D20F" w14:textId="25A75854" w:rsidR="004174DB" w:rsidRPr="00C052E4" w:rsidRDefault="004174DB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Pr="00C052E4">
          <w:rPr>
            <w:rStyle w:val="Hiperhivatkozs"/>
            <w:szCs w:val="22"/>
            <w:lang w:val="hu-HU"/>
          </w:rPr>
          <w:t>V. függelékben</w:t>
        </w:r>
      </w:hyperlink>
      <w:r w:rsidRPr="00C052E4">
        <w:rPr>
          <w:szCs w:val="22"/>
          <w:lang w:val="hu-HU" w:eastAsia="hu-HU"/>
        </w:rPr>
        <w:t xml:space="preserve"> található elérhetőségek valamelyikén keresztül.</w:t>
      </w:r>
    </w:p>
    <w:p w14:paraId="31EE4698" w14:textId="77777777" w:rsidR="00C052E4" w:rsidRPr="00C052E4" w:rsidRDefault="00C052E4" w:rsidP="00171E3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16F117" w14:textId="77777777" w:rsidR="0098755B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4.9</w:t>
      </w:r>
      <w:r w:rsidR="008664F0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Túladagolás</w:t>
      </w:r>
    </w:p>
    <w:p w14:paraId="142BB7DB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</w:p>
    <w:p w14:paraId="6C38FE62" w14:textId="77777777" w:rsidR="004174DB" w:rsidRPr="00171E38" w:rsidRDefault="004174DB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6183EDC9" w14:textId="77777777" w:rsidR="004174DB" w:rsidRPr="00171E38" w:rsidRDefault="004174DB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 akut túladagolásával kapcsolatos klinikai tapasztalat korlátozott. Legfeljebb 48</w:t>
      </w:r>
      <w:r w:rsidR="001B2EFF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mg-os zoledronsav dózisok tévedésből történő alkalmazásáról számoltak be. Gondosan ellenőrizni kell azokat a betegeket, akik az ajánlottnál nagyobb adagokat kaptak (lásd 4.2 pont), mivel </w:t>
      </w:r>
      <w:r w:rsidR="0009436C">
        <w:rPr>
          <w:szCs w:val="22"/>
          <w:lang w:val="hu-HU" w:eastAsia="hu-HU"/>
        </w:rPr>
        <w:t xml:space="preserve">a veseműködés károsodását </w:t>
      </w:r>
      <w:r w:rsidRPr="00171E38">
        <w:rPr>
          <w:szCs w:val="22"/>
          <w:lang w:val="hu-HU" w:eastAsia="hu-HU"/>
        </w:rPr>
        <w:t>(beleértve a veseelégtelenséget is) és a szérumelektrolit</w:t>
      </w:r>
      <w:r w:rsidR="00994073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>szintek (köztük a kalcium, foszfor és magnézium) eltéréseit észlelték. Hypocalcaemia esetén kalcium-glükonát infúziókat kell alkalmazni, ha az klinikailag indokolt.</w:t>
      </w:r>
    </w:p>
    <w:p w14:paraId="1D461F59" w14:textId="77777777" w:rsidR="004D6F0F" w:rsidRPr="00171E38" w:rsidRDefault="004D6F0F" w:rsidP="00171E38">
      <w:pPr>
        <w:spacing w:line="240" w:lineRule="auto"/>
        <w:rPr>
          <w:bCs/>
          <w:szCs w:val="22"/>
          <w:lang w:val="hu-HU"/>
        </w:rPr>
      </w:pPr>
    </w:p>
    <w:p w14:paraId="262D5F51" w14:textId="77777777" w:rsidR="004174DB" w:rsidRPr="00171E38" w:rsidRDefault="004174DB" w:rsidP="00171E38">
      <w:pPr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CalciviD</w:t>
      </w:r>
    </w:p>
    <w:p w14:paraId="35AE72EE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készítmény túladagolása hypercalcaemiát és hypervitaminosist idézhet elő. Hypercalcaemia tünetei: anorexia, szomjúságérzés, hányinger, hányás, székrekedés, hasi fájdalom, izomgyengeség, fáradtság, zavartság, polydipsia, polyuria, csontfájdalom, mészlerakódás a vesékben, vesekőképződés, súlyos esetekben szívritmus zavar. Extrém esetben a hypercalcaemia kómához, halálhoz vezethet.</w:t>
      </w:r>
      <w:r w:rsidR="008664F0" w:rsidRPr="00171E38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Tartósan magas kalciumszint irreverzibilis vesekárosodást, a lágyszövetek meszesedését idézheti elő.</w:t>
      </w:r>
    </w:p>
    <w:p w14:paraId="007BD966" w14:textId="77777777" w:rsidR="009B0966" w:rsidRPr="00171E38" w:rsidRDefault="009B0966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Tej-alkáli</w:t>
      </w:r>
      <w:r w:rsidR="00B6175F">
        <w:rPr>
          <w:szCs w:val="22"/>
          <w:lang w:val="hu-HU"/>
        </w:rPr>
        <w:t>-</w:t>
      </w:r>
      <w:r w:rsidRPr="00171E38">
        <w:rPr>
          <w:szCs w:val="22"/>
          <w:lang w:val="hu-HU"/>
        </w:rPr>
        <w:t>szindróma jelentkezhet nagy mennyiségű kalcium és felszívódó alkáli só (pl. bikarbonát)</w:t>
      </w:r>
      <w:r w:rsidR="00DC6CEA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együttes fogyasztásakor. A tünetek: gyakori vizelési inger, folyamatos fejfájás, étvágytalanság, hányinger, vagy hányás, szokatlan fáradtság vagy gyengeség, hypercal</w:t>
      </w:r>
      <w:r w:rsidR="00B33B6E">
        <w:rPr>
          <w:szCs w:val="22"/>
          <w:lang w:val="hu-HU"/>
        </w:rPr>
        <w:t>c</w:t>
      </w:r>
      <w:r w:rsidRPr="00171E38">
        <w:rPr>
          <w:szCs w:val="22"/>
          <w:lang w:val="hu-HU"/>
        </w:rPr>
        <w:t xml:space="preserve">aemia, alkalosis és vesekárosodás. </w:t>
      </w:r>
    </w:p>
    <w:p w14:paraId="2A4FD5BA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</w:p>
    <w:p w14:paraId="53C718D6" w14:textId="77777777" w:rsidR="00EC736D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Hypercalcaemia kezelése: A kalcium és D-vitamin szedését abba kell hagyni. Ilyen esetben ugyancsak fel kell függeszteni a tiazid-diuretikum, lítium, A-vitamin, D-vitamin, szívgl</w:t>
      </w:r>
      <w:r w:rsidR="004557F2" w:rsidRPr="00171E38">
        <w:rPr>
          <w:szCs w:val="22"/>
          <w:lang w:val="hu-HU"/>
        </w:rPr>
        <w:t>i</w:t>
      </w:r>
      <w:r w:rsidRPr="00171E38">
        <w:rPr>
          <w:szCs w:val="22"/>
          <w:lang w:val="hu-HU"/>
        </w:rPr>
        <w:t>kozid adását is.</w:t>
      </w:r>
    </w:p>
    <w:p w14:paraId="1810AE09" w14:textId="77777777" w:rsidR="00EC736D" w:rsidRPr="00171E38" w:rsidRDefault="00EC736D" w:rsidP="00171E38">
      <w:pPr>
        <w:spacing w:line="240" w:lineRule="auto"/>
        <w:rPr>
          <w:szCs w:val="22"/>
          <w:lang w:val="hu-HU"/>
        </w:rPr>
      </w:pPr>
    </w:p>
    <w:p w14:paraId="52F15ACC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Tudatzavaros beteg esetén a gyomor kiürítése szükséges. Rehidrálás és a súlyossági foktól függően mono- vagy kombinált kezelés alkalmazható kacs-diuretikumokkal, biszfoszfonátokkal, </w:t>
      </w:r>
      <w:r w:rsidR="004557F2" w:rsidRPr="00171E38">
        <w:rPr>
          <w:szCs w:val="22"/>
          <w:lang w:val="hu-HU"/>
        </w:rPr>
        <w:t>k</w:t>
      </w:r>
      <w:r w:rsidRPr="00171E38">
        <w:rPr>
          <w:szCs w:val="22"/>
          <w:lang w:val="hu-HU"/>
        </w:rPr>
        <w:t>alcitoninnal és kortikoszteroidokkal. A szérum elektrolitokat, a vesefunkciót és diuresist ellenőrizni kell. Súlyos esetben az EKG és a centrális vénás nyomás monitorozása is szükséges.</w:t>
      </w:r>
    </w:p>
    <w:p w14:paraId="1035218C" w14:textId="77777777" w:rsidR="004557F2" w:rsidRPr="00171E38" w:rsidRDefault="004557F2" w:rsidP="00171E38">
      <w:pPr>
        <w:spacing w:line="240" w:lineRule="auto"/>
        <w:rPr>
          <w:szCs w:val="22"/>
          <w:lang w:val="hu-HU"/>
        </w:rPr>
      </w:pPr>
    </w:p>
    <w:p w14:paraId="6154BEBD" w14:textId="77777777" w:rsidR="004557F2" w:rsidRPr="00171E38" w:rsidRDefault="004557F2" w:rsidP="00171E38">
      <w:pPr>
        <w:spacing w:line="240" w:lineRule="auto"/>
        <w:rPr>
          <w:szCs w:val="22"/>
          <w:lang w:val="hu-HU"/>
        </w:rPr>
      </w:pPr>
    </w:p>
    <w:p w14:paraId="0B26526C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5.</w:t>
      </w:r>
      <w:r w:rsidR="004B6D51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FARMAKOLÓGIAI TULAJDONSÁGOK</w:t>
      </w:r>
    </w:p>
    <w:p w14:paraId="5834B314" w14:textId="77777777" w:rsidR="008664F0" w:rsidRPr="00171E38" w:rsidRDefault="008664F0" w:rsidP="00171E38">
      <w:pPr>
        <w:spacing w:line="240" w:lineRule="auto"/>
        <w:outlineLvl w:val="0"/>
        <w:rPr>
          <w:szCs w:val="22"/>
          <w:lang w:val="hu-HU"/>
        </w:rPr>
      </w:pPr>
    </w:p>
    <w:p w14:paraId="78C6E8CB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5.1</w:t>
      </w:r>
      <w:r w:rsidR="004B6D51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Farmakodinámiás tulajdonságok</w:t>
      </w:r>
    </w:p>
    <w:p w14:paraId="01DDAE7C" w14:textId="77777777" w:rsidR="00961026" w:rsidRPr="00171E38" w:rsidRDefault="00961026" w:rsidP="00171E38">
      <w:pPr>
        <w:tabs>
          <w:tab w:val="clear" w:pos="567"/>
          <w:tab w:val="left" w:pos="990"/>
        </w:tabs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307B6C8B" w14:textId="77777777" w:rsidR="00961026" w:rsidRPr="00171E38" w:rsidRDefault="00961026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Farmakoterápiás csoport: </w:t>
      </w:r>
      <w:r w:rsidR="00554E06" w:rsidRPr="00171E38">
        <w:rPr>
          <w:szCs w:val="22"/>
          <w:lang w:val="hu-HU" w:eastAsia="hu-HU"/>
        </w:rPr>
        <w:t xml:space="preserve">Csontbetegségek kezelésének gyógyszerei, Biszfoszfonátok, </w:t>
      </w:r>
      <w:r w:rsidRPr="00171E38">
        <w:rPr>
          <w:szCs w:val="22"/>
          <w:lang w:val="hu-HU"/>
        </w:rPr>
        <w:t>kombináció</w:t>
      </w:r>
      <w:r w:rsidR="00133016" w:rsidRPr="00171E38">
        <w:rPr>
          <w:szCs w:val="22"/>
          <w:lang w:val="hu-HU"/>
        </w:rPr>
        <w:t>;</w:t>
      </w:r>
      <w:r w:rsidR="008664F0" w:rsidRPr="00171E38">
        <w:rPr>
          <w:szCs w:val="22"/>
          <w:lang w:val="hu-HU"/>
        </w:rPr>
        <w:t xml:space="preserve"> </w:t>
      </w:r>
      <w:r w:rsidR="008C05AC" w:rsidRPr="00171E38">
        <w:rPr>
          <w:szCs w:val="22"/>
          <w:lang w:val="hu-HU"/>
        </w:rPr>
        <w:t>ATC</w:t>
      </w:r>
      <w:r w:rsidR="00133016" w:rsidRPr="00171E38">
        <w:rPr>
          <w:szCs w:val="22"/>
          <w:lang w:val="hu-HU"/>
        </w:rPr>
        <w:t>-</w:t>
      </w:r>
      <w:r w:rsidR="008C05AC" w:rsidRPr="00171E38">
        <w:rPr>
          <w:szCs w:val="22"/>
          <w:lang w:val="hu-HU"/>
        </w:rPr>
        <w:t>kód: M05BB</w:t>
      </w:r>
      <w:r w:rsidR="003E14BD" w:rsidRPr="00171E38">
        <w:rPr>
          <w:szCs w:val="22"/>
          <w:lang w:val="hu-HU"/>
        </w:rPr>
        <w:t>08</w:t>
      </w:r>
    </w:p>
    <w:p w14:paraId="09FFCB65" w14:textId="77777777" w:rsidR="008C05AC" w:rsidRPr="00171E38" w:rsidRDefault="008C05AC" w:rsidP="00171E38">
      <w:pPr>
        <w:spacing w:line="240" w:lineRule="auto"/>
        <w:rPr>
          <w:szCs w:val="22"/>
          <w:lang w:val="hu-HU"/>
        </w:rPr>
      </w:pPr>
    </w:p>
    <w:p w14:paraId="352AA354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3FC8ABDA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</w:p>
    <w:p w14:paraId="107597F9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 a biszfoszfonátok hatóanyagcsaládba tartozik, és elsősorban a csontra hat. Az osteoclastok csontreszorpciós tevékenységének gátlószere.</w:t>
      </w:r>
    </w:p>
    <w:p w14:paraId="0A53F3C4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1BB648B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biszfoszfonátok csontra gyakorolt szelektív hatása a mineralizált csonthoz való erős affinitásukon alapszik, azonban a pontos molekuláris mechanizmus, mely az osteoclast tevékenység gátlásához vezet még nem ismert. </w:t>
      </w:r>
      <w:r w:rsidR="008B647B">
        <w:rPr>
          <w:szCs w:val="22"/>
          <w:lang w:val="hu-HU" w:eastAsia="hu-HU"/>
        </w:rPr>
        <w:t>Hosszú távú</w:t>
      </w:r>
      <w:r w:rsidR="008B647B" w:rsidRPr="00171E38">
        <w:rPr>
          <w:szCs w:val="22"/>
          <w:lang w:val="hu-HU" w:eastAsia="hu-HU"/>
        </w:rPr>
        <w:t xml:space="preserve"> állatkísérlete</w:t>
      </w:r>
      <w:r w:rsidR="008B647B">
        <w:rPr>
          <w:szCs w:val="22"/>
          <w:lang w:val="hu-HU" w:eastAsia="hu-HU"/>
        </w:rPr>
        <w:t>s vizs</w:t>
      </w:r>
      <w:r w:rsidR="001C5787">
        <w:rPr>
          <w:szCs w:val="22"/>
          <w:lang w:val="hu-HU" w:eastAsia="hu-HU"/>
        </w:rPr>
        <w:t>g</w:t>
      </w:r>
      <w:r w:rsidR="008B647B">
        <w:rPr>
          <w:szCs w:val="22"/>
          <w:lang w:val="hu-HU" w:eastAsia="hu-HU"/>
        </w:rPr>
        <w:t>álatokban</w:t>
      </w:r>
      <w:r w:rsidR="008B647B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a zoledronsav gátolja a csontreszorpciót anélkül, hogy az újraképződést, a mineralizációt vagy a csont mechanikai tulajdonságait károsan befolyásolná.</w:t>
      </w:r>
    </w:p>
    <w:p w14:paraId="1D0D0722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7D766A4" w14:textId="77777777" w:rsidR="001B2EFF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csontreszorpciót erősen gátló hatása mellett a zoledronsav számos daganatellenes hatással is rendelkezik, amelyek hozzájárul</w:t>
      </w:r>
      <w:r w:rsidR="008B647B">
        <w:rPr>
          <w:szCs w:val="22"/>
          <w:lang w:val="hu-HU" w:eastAsia="hu-HU"/>
        </w:rPr>
        <w:t>hat</w:t>
      </w:r>
      <w:r w:rsidRPr="00171E38">
        <w:rPr>
          <w:szCs w:val="22"/>
          <w:lang w:val="hu-HU" w:eastAsia="hu-HU"/>
        </w:rPr>
        <w:t xml:space="preserve">nak a csontmetasztázisok kezelésében elért </w:t>
      </w:r>
      <w:r w:rsidR="008B647B">
        <w:rPr>
          <w:szCs w:val="22"/>
          <w:lang w:val="hu-HU" w:eastAsia="hu-HU"/>
        </w:rPr>
        <w:t>összesített hatásosságához</w:t>
      </w:r>
      <w:r w:rsidRPr="00171E38">
        <w:rPr>
          <w:szCs w:val="22"/>
          <w:lang w:val="hu-HU" w:eastAsia="hu-HU"/>
        </w:rPr>
        <w:t>.</w:t>
      </w:r>
    </w:p>
    <w:p w14:paraId="3D895966" w14:textId="77777777" w:rsidR="001B2EFF" w:rsidRDefault="001B2EFF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9378441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Preklinikai vizsgálatokban az alábbi tulajdonságait mutatták ki:</w:t>
      </w:r>
    </w:p>
    <w:p w14:paraId="41D9A886" w14:textId="77777777" w:rsidR="00554E06" w:rsidRPr="00171E38" w:rsidRDefault="00554E06" w:rsidP="00171E38">
      <w:pPr>
        <w:widowControl w:val="0"/>
        <w:numPr>
          <w:ilvl w:val="0"/>
          <w:numId w:val="45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In vivo:</w:t>
      </w:r>
      <w:r w:rsidRPr="00171E38">
        <w:rPr>
          <w:szCs w:val="22"/>
          <w:lang w:val="hu-HU" w:eastAsia="hu-HU"/>
        </w:rPr>
        <w:t xml:space="preserve"> Az </w:t>
      </w:r>
      <w:r w:rsidRPr="00171E38">
        <w:rPr>
          <w:rStyle w:val="hps"/>
          <w:szCs w:val="22"/>
          <w:lang w:val="hu-HU"/>
        </w:rPr>
        <w:t>osteoclast okozta csontreszorpció</w:t>
      </w:r>
      <w:r w:rsidRPr="00171E38" w:rsidDel="00AC07AD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gátlása, ami megváltoztatva a csontvelő mikrokörnyezetét kedvezőtlenebbé teszi a daganatsejtek növekedését, antiangiogen hatás, fájdalomcsökkentő hatás.</w:t>
      </w:r>
    </w:p>
    <w:p w14:paraId="562300A2" w14:textId="77777777" w:rsidR="00554E06" w:rsidRPr="00171E38" w:rsidRDefault="00554E06" w:rsidP="00171E38">
      <w:pPr>
        <w:widowControl w:val="0"/>
        <w:numPr>
          <w:ilvl w:val="0"/>
          <w:numId w:val="44"/>
        </w:num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In vitro:</w:t>
      </w:r>
      <w:r w:rsidRPr="00171E38">
        <w:rPr>
          <w:szCs w:val="22"/>
          <w:lang w:val="hu-HU" w:eastAsia="hu-HU"/>
        </w:rPr>
        <w:t xml:space="preserve"> Az osteoblast proliferáció gátlása, a tumorsejtekre gyakorolt direkt citosztatikus és pro-apoptotikus hatás, más daganatgátló szerekkel való szinergista citosztatikus hatás, antiadhéziós/inváziós aktivitás.</w:t>
      </w:r>
    </w:p>
    <w:p w14:paraId="17DC2C88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4A52389" w14:textId="77777777" w:rsidR="00554E06" w:rsidRPr="00171E38" w:rsidRDefault="00554E06" w:rsidP="00171E38">
      <w:pPr>
        <w:pStyle w:val="Default"/>
        <w:rPr>
          <w:i/>
          <w:sz w:val="22"/>
          <w:szCs w:val="22"/>
        </w:rPr>
      </w:pPr>
      <w:r w:rsidRPr="00171E38">
        <w:rPr>
          <w:i/>
          <w:sz w:val="22"/>
          <w:szCs w:val="22"/>
          <w:u w:val="single"/>
        </w:rPr>
        <w:t>Előrehaladott, csontot is involváló, rosszindulatú daganatos betegségekben szenvedő betegek csontrendszert érintő eseményeinek megelőzésére végzett klinikai vizsgálati eredmények</w:t>
      </w:r>
    </w:p>
    <w:p w14:paraId="7E513F91" w14:textId="77777777" w:rsidR="00554E06" w:rsidRPr="00171E38" w:rsidRDefault="00554E06" w:rsidP="00171E38">
      <w:pPr>
        <w:pStyle w:val="Default"/>
        <w:rPr>
          <w:sz w:val="22"/>
          <w:szCs w:val="22"/>
        </w:rPr>
      </w:pPr>
      <w:r w:rsidRPr="00171E38">
        <w:rPr>
          <w:sz w:val="22"/>
          <w:szCs w:val="22"/>
        </w:rPr>
        <w:t>Az első, randomizált, kettős</w:t>
      </w:r>
      <w:r w:rsidR="00DC063D">
        <w:rPr>
          <w:sz w:val="22"/>
          <w:szCs w:val="22"/>
        </w:rPr>
        <w:t xml:space="preserve"> </w:t>
      </w:r>
      <w:r w:rsidRPr="00171E38">
        <w:rPr>
          <w:sz w:val="22"/>
          <w:szCs w:val="22"/>
        </w:rPr>
        <w:t>vak, placebokontrollos vizsgálatban prostatacarcinomás betegekben a 4 mg zoledronsavat placebóval hasonlították össze, a csontrendszert érintő események (Skeletal Related Events, SREs) prevencióját vizsgálva. A 4</w:t>
      </w:r>
      <w:r w:rsidR="001B2EFF">
        <w:rPr>
          <w:sz w:val="22"/>
          <w:szCs w:val="22"/>
        </w:rPr>
        <w:t> </w:t>
      </w:r>
      <w:r w:rsidRPr="00171E38">
        <w:rPr>
          <w:sz w:val="22"/>
          <w:szCs w:val="22"/>
        </w:rPr>
        <w:t>mg zoledronsav a placebóval szemben szignifikánsan csökkentette a legalább egy, csontrendszert érintő eseményt (SRE) elszenvedő betegek arányát, &gt;5 hónappal megnyújtotta az első SRE megjelenésének medián idejét, és csökkentette az egy betegre egy év alatt jutó események incidenciáját - a skeletalis morbiditási rátát. A multiplex eseményanalízis a 4</w:t>
      </w:r>
      <w:r w:rsidR="001B2EFF">
        <w:rPr>
          <w:sz w:val="22"/>
          <w:szCs w:val="22"/>
        </w:rPr>
        <w:t> </w:t>
      </w:r>
      <w:r w:rsidRPr="00171E38">
        <w:rPr>
          <w:sz w:val="22"/>
          <w:szCs w:val="22"/>
        </w:rPr>
        <w:t>mg zoledronsav csoportban 36%-os rizikócsökkenést mutatott az SRE bekövetkeztének tekintetében a placebóhoz viszonyítva. A 4 mg zoledronsavval kezelt betegek fájdalomnövekedése kisebb mértékű volt a placebocsoportban beszámoltakhoz képest, a különbség a 3., 9., 21. és 24. hónapban szignifikánssá vált. Kevesebb 4</w:t>
      </w:r>
      <w:r w:rsidR="001B2EFF">
        <w:rPr>
          <w:sz w:val="22"/>
          <w:szCs w:val="22"/>
        </w:rPr>
        <w:t> </w:t>
      </w:r>
      <w:r w:rsidRPr="00171E38">
        <w:rPr>
          <w:sz w:val="22"/>
          <w:szCs w:val="22"/>
        </w:rPr>
        <w:t xml:space="preserve">mg zoledronsavval kezelt beteg szenvedett patológiás törést is. A kezelés hatása kevésbé volt kifejezett a blastos laesiokat mutató betegekben. A hatásosságra vonatkozó eredményeket a </w:t>
      </w:r>
      <w:r w:rsidR="001B2EFF">
        <w:rPr>
          <w:sz w:val="22"/>
          <w:szCs w:val="22"/>
        </w:rPr>
        <w:t>3</w:t>
      </w:r>
      <w:r w:rsidRPr="00171E38">
        <w:rPr>
          <w:sz w:val="22"/>
          <w:szCs w:val="22"/>
        </w:rPr>
        <w:t>. táblázat mutatja.</w:t>
      </w:r>
    </w:p>
    <w:p w14:paraId="0E00A72C" w14:textId="77777777" w:rsidR="00554E06" w:rsidRPr="00171E38" w:rsidRDefault="00554E06" w:rsidP="00171E38">
      <w:pPr>
        <w:pStyle w:val="Default"/>
        <w:rPr>
          <w:sz w:val="22"/>
          <w:szCs w:val="22"/>
        </w:rPr>
      </w:pPr>
    </w:p>
    <w:p w14:paraId="4A1A0273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Egy második, szolid daganatokat (emlő- és prostatacarcinomát nem) felölelő vizsgálatban a 4 mg zoledronsav szignifikánsan csökkentette az SRE-t mutató betegek arányát, &gt;2 hónappal megnyújtotta az első SRE megjelenésének medián idejét, és csökkentette a skeletalis morbiditási rátát. A multiplex eseményanalízis a 4 mg zoledronsav csoportban 30,7%-os rizikócsökkenést mutatott az SRE bekövetkeztének tekintetében a placebóhoz viszonyítva. A hatásosságra vonatkozó eredményeket a </w:t>
      </w:r>
      <w:r w:rsidR="001B2EFF">
        <w:rPr>
          <w:szCs w:val="22"/>
          <w:lang w:val="hu-HU"/>
        </w:rPr>
        <w:t>4</w:t>
      </w:r>
      <w:r w:rsidRPr="00171E38">
        <w:rPr>
          <w:szCs w:val="22"/>
          <w:lang w:val="hu-HU"/>
        </w:rPr>
        <w:t>.</w:t>
      </w:r>
      <w:r w:rsidR="006621FA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táblázat mutatja.</w:t>
      </w:r>
    </w:p>
    <w:p w14:paraId="62DCC9D8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B385C07" w14:textId="77777777" w:rsidR="00554E06" w:rsidRPr="00171E38" w:rsidRDefault="001B2EFF" w:rsidP="00171E38">
      <w:pPr>
        <w:pStyle w:val="Default"/>
        <w:rPr>
          <w:sz w:val="22"/>
          <w:szCs w:val="22"/>
        </w:rPr>
      </w:pPr>
      <w:r w:rsidRPr="00EA23D0">
        <w:rPr>
          <w:b/>
          <w:sz w:val="22"/>
          <w:szCs w:val="22"/>
        </w:rPr>
        <w:t>3</w:t>
      </w:r>
      <w:r w:rsidR="00554E06" w:rsidRPr="00EA23D0">
        <w:rPr>
          <w:b/>
          <w:sz w:val="22"/>
          <w:szCs w:val="22"/>
        </w:rPr>
        <w:t>. táblázat:</w:t>
      </w:r>
      <w:r w:rsidR="00554E06" w:rsidRPr="001B2EFF">
        <w:rPr>
          <w:b/>
          <w:sz w:val="22"/>
          <w:szCs w:val="22"/>
        </w:rPr>
        <w:t xml:space="preserve"> </w:t>
      </w:r>
      <w:r w:rsidR="00554E06" w:rsidRPr="00171E38">
        <w:rPr>
          <w:bCs/>
          <w:sz w:val="22"/>
          <w:szCs w:val="22"/>
        </w:rPr>
        <w:t xml:space="preserve">A </w:t>
      </w:r>
      <w:r w:rsidR="00554E06" w:rsidRPr="00171E38">
        <w:rPr>
          <w:sz w:val="22"/>
          <w:szCs w:val="22"/>
        </w:rPr>
        <w:t>hatásosság eredményei (hormonkezelésben részesülő prostatacarcinomás betegek)</w:t>
      </w:r>
    </w:p>
    <w:p w14:paraId="4C2F5C59" w14:textId="77777777" w:rsidR="00554E06" w:rsidRPr="00171E38" w:rsidRDefault="00554E06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tbl>
      <w:tblPr>
        <w:tblW w:w="8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7"/>
        <w:gridCol w:w="1290"/>
        <w:gridCol w:w="992"/>
        <w:gridCol w:w="1275"/>
        <w:gridCol w:w="1028"/>
        <w:gridCol w:w="1240"/>
        <w:gridCol w:w="976"/>
      </w:tblGrid>
      <w:tr w:rsidR="00554E06" w:rsidRPr="00171E38" w14:paraId="661393F8" w14:textId="77777777" w:rsidTr="007A1A9A">
        <w:tc>
          <w:tcPr>
            <w:tcW w:w="1687" w:type="dxa"/>
          </w:tcPr>
          <w:p w14:paraId="4FF69A13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282" w:type="dxa"/>
            <w:gridSpan w:val="2"/>
          </w:tcPr>
          <w:p w14:paraId="42819947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>SRE (+TIH)</w:t>
            </w:r>
          </w:p>
        </w:tc>
        <w:tc>
          <w:tcPr>
            <w:tcW w:w="2303" w:type="dxa"/>
            <w:gridSpan w:val="2"/>
          </w:tcPr>
          <w:p w14:paraId="00E2127C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u w:val="single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>Törések*</w:t>
            </w:r>
          </w:p>
        </w:tc>
        <w:tc>
          <w:tcPr>
            <w:tcW w:w="2216" w:type="dxa"/>
            <w:gridSpan w:val="2"/>
          </w:tcPr>
          <w:p w14:paraId="7BEBE2C7" w14:textId="77777777" w:rsidR="00554E06" w:rsidRPr="00171E38" w:rsidRDefault="00554E06" w:rsidP="00171E38">
            <w:pPr>
              <w:pStyle w:val="Default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  <w:u w:val="single"/>
              </w:rPr>
              <w:t xml:space="preserve">A csont irradiációs </w:t>
            </w:r>
          </w:p>
          <w:p w14:paraId="2367F44B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u w:val="single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>kezelése</w:t>
            </w:r>
          </w:p>
        </w:tc>
      </w:tr>
      <w:tr w:rsidR="00554E06" w:rsidRPr="00171E38" w14:paraId="4D8A4ABD" w14:textId="77777777" w:rsidTr="007A1A9A">
        <w:tc>
          <w:tcPr>
            <w:tcW w:w="1687" w:type="dxa"/>
          </w:tcPr>
          <w:p w14:paraId="1820902D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90" w:type="dxa"/>
          </w:tcPr>
          <w:p w14:paraId="3447C439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 mg zoledronsav</w:t>
            </w:r>
          </w:p>
        </w:tc>
        <w:tc>
          <w:tcPr>
            <w:tcW w:w="992" w:type="dxa"/>
          </w:tcPr>
          <w:p w14:paraId="403F8930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placebo</w:t>
            </w:r>
          </w:p>
        </w:tc>
        <w:tc>
          <w:tcPr>
            <w:tcW w:w="1275" w:type="dxa"/>
          </w:tcPr>
          <w:p w14:paraId="607EBF0B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ind w:right="-109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 mg zoledronsav</w:t>
            </w:r>
          </w:p>
        </w:tc>
        <w:tc>
          <w:tcPr>
            <w:tcW w:w="1028" w:type="dxa"/>
          </w:tcPr>
          <w:p w14:paraId="7973E335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placebo</w:t>
            </w:r>
          </w:p>
        </w:tc>
        <w:tc>
          <w:tcPr>
            <w:tcW w:w="1240" w:type="dxa"/>
          </w:tcPr>
          <w:p w14:paraId="6DE05CC4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ind w:right="-109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 mg zoledronsav</w:t>
            </w:r>
          </w:p>
        </w:tc>
        <w:tc>
          <w:tcPr>
            <w:tcW w:w="976" w:type="dxa"/>
          </w:tcPr>
          <w:p w14:paraId="5353B66D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placebo</w:t>
            </w:r>
          </w:p>
        </w:tc>
      </w:tr>
      <w:tr w:rsidR="00554E06" w:rsidRPr="00171E38" w14:paraId="22E43249" w14:textId="77777777" w:rsidTr="007A1A9A">
        <w:tc>
          <w:tcPr>
            <w:tcW w:w="1687" w:type="dxa"/>
          </w:tcPr>
          <w:p w14:paraId="4D621804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</w:t>
            </w:r>
          </w:p>
        </w:tc>
        <w:tc>
          <w:tcPr>
            <w:tcW w:w="1290" w:type="dxa"/>
          </w:tcPr>
          <w:p w14:paraId="474025BF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214</w:t>
            </w:r>
          </w:p>
        </w:tc>
        <w:tc>
          <w:tcPr>
            <w:tcW w:w="992" w:type="dxa"/>
          </w:tcPr>
          <w:p w14:paraId="02F4F77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208</w:t>
            </w:r>
          </w:p>
        </w:tc>
        <w:tc>
          <w:tcPr>
            <w:tcW w:w="1275" w:type="dxa"/>
          </w:tcPr>
          <w:p w14:paraId="0AC74DDB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214</w:t>
            </w:r>
          </w:p>
        </w:tc>
        <w:tc>
          <w:tcPr>
            <w:tcW w:w="1028" w:type="dxa"/>
          </w:tcPr>
          <w:p w14:paraId="1B027D11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208</w:t>
            </w:r>
          </w:p>
        </w:tc>
        <w:tc>
          <w:tcPr>
            <w:tcW w:w="1240" w:type="dxa"/>
          </w:tcPr>
          <w:p w14:paraId="4984A99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214</w:t>
            </w:r>
          </w:p>
        </w:tc>
        <w:tc>
          <w:tcPr>
            <w:tcW w:w="976" w:type="dxa"/>
          </w:tcPr>
          <w:p w14:paraId="016BE2B0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208</w:t>
            </w:r>
          </w:p>
        </w:tc>
      </w:tr>
      <w:tr w:rsidR="00554E06" w:rsidRPr="00171E38" w14:paraId="2C43FBF8" w14:textId="77777777" w:rsidTr="007A1A9A">
        <w:tc>
          <w:tcPr>
            <w:tcW w:w="1687" w:type="dxa"/>
          </w:tcPr>
          <w:p w14:paraId="2769E4C7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 xml:space="preserve">Az SRE-s betegek aránya </w:t>
            </w:r>
          </w:p>
          <w:p w14:paraId="247A657F" w14:textId="77777777" w:rsidR="00554E06" w:rsidRPr="00C052E4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C052E4">
              <w:rPr>
                <w:szCs w:val="22"/>
                <w:lang w:val="hu-HU"/>
              </w:rPr>
              <w:t>(%)</w:t>
            </w:r>
          </w:p>
        </w:tc>
        <w:tc>
          <w:tcPr>
            <w:tcW w:w="1290" w:type="dxa"/>
          </w:tcPr>
          <w:p w14:paraId="06948801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38</w:t>
            </w:r>
          </w:p>
        </w:tc>
        <w:tc>
          <w:tcPr>
            <w:tcW w:w="992" w:type="dxa"/>
          </w:tcPr>
          <w:p w14:paraId="0B323571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49</w:t>
            </w:r>
          </w:p>
        </w:tc>
        <w:tc>
          <w:tcPr>
            <w:tcW w:w="1275" w:type="dxa"/>
          </w:tcPr>
          <w:p w14:paraId="2038EC2F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17</w:t>
            </w:r>
          </w:p>
        </w:tc>
        <w:tc>
          <w:tcPr>
            <w:tcW w:w="1028" w:type="dxa"/>
          </w:tcPr>
          <w:p w14:paraId="42C984C7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25</w:t>
            </w:r>
          </w:p>
        </w:tc>
        <w:tc>
          <w:tcPr>
            <w:tcW w:w="1240" w:type="dxa"/>
          </w:tcPr>
          <w:p w14:paraId="47F7A33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26</w:t>
            </w:r>
          </w:p>
        </w:tc>
        <w:tc>
          <w:tcPr>
            <w:tcW w:w="976" w:type="dxa"/>
          </w:tcPr>
          <w:p w14:paraId="023E54B3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33</w:t>
            </w:r>
          </w:p>
        </w:tc>
      </w:tr>
      <w:tr w:rsidR="00554E06" w:rsidRPr="00171E38" w14:paraId="4BC3E4D4" w14:textId="77777777" w:rsidTr="007A1A9A">
        <w:tc>
          <w:tcPr>
            <w:tcW w:w="1687" w:type="dxa"/>
          </w:tcPr>
          <w:p w14:paraId="472621A0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2282" w:type="dxa"/>
            <w:gridSpan w:val="2"/>
          </w:tcPr>
          <w:p w14:paraId="1CE4E160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0,028</w:t>
            </w:r>
          </w:p>
        </w:tc>
        <w:tc>
          <w:tcPr>
            <w:tcW w:w="2303" w:type="dxa"/>
            <w:gridSpan w:val="2"/>
          </w:tcPr>
          <w:p w14:paraId="13A6E915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0,052</w:t>
            </w:r>
          </w:p>
        </w:tc>
        <w:tc>
          <w:tcPr>
            <w:tcW w:w="2216" w:type="dxa"/>
            <w:gridSpan w:val="2"/>
          </w:tcPr>
          <w:p w14:paraId="05488FD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0,119</w:t>
            </w:r>
          </w:p>
        </w:tc>
      </w:tr>
      <w:tr w:rsidR="00554E06" w:rsidRPr="00171E38" w14:paraId="02493C89" w14:textId="77777777" w:rsidTr="007A1A9A">
        <w:tc>
          <w:tcPr>
            <w:tcW w:w="1687" w:type="dxa"/>
          </w:tcPr>
          <w:p w14:paraId="352E8729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Az SRE-ig eltelt medián idő (nap)</w:t>
            </w:r>
          </w:p>
        </w:tc>
        <w:tc>
          <w:tcPr>
            <w:tcW w:w="1290" w:type="dxa"/>
          </w:tcPr>
          <w:p w14:paraId="55040A2F" w14:textId="77777777" w:rsidR="00554E06" w:rsidRPr="00C052E4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C052E4">
              <w:rPr>
                <w:szCs w:val="22"/>
                <w:lang w:val="hu-HU"/>
              </w:rPr>
              <w:t>488</w:t>
            </w:r>
          </w:p>
        </w:tc>
        <w:tc>
          <w:tcPr>
            <w:tcW w:w="992" w:type="dxa"/>
          </w:tcPr>
          <w:p w14:paraId="17078232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321</w:t>
            </w:r>
          </w:p>
        </w:tc>
        <w:tc>
          <w:tcPr>
            <w:tcW w:w="1275" w:type="dxa"/>
          </w:tcPr>
          <w:p w14:paraId="161A78D4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NÉ</w:t>
            </w:r>
          </w:p>
        </w:tc>
        <w:tc>
          <w:tcPr>
            <w:tcW w:w="1028" w:type="dxa"/>
          </w:tcPr>
          <w:p w14:paraId="109A2D7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NÉ</w:t>
            </w:r>
          </w:p>
        </w:tc>
        <w:tc>
          <w:tcPr>
            <w:tcW w:w="1240" w:type="dxa"/>
          </w:tcPr>
          <w:p w14:paraId="05CFF166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NÉ</w:t>
            </w:r>
          </w:p>
        </w:tc>
        <w:tc>
          <w:tcPr>
            <w:tcW w:w="976" w:type="dxa"/>
          </w:tcPr>
          <w:p w14:paraId="156C997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640</w:t>
            </w:r>
          </w:p>
        </w:tc>
      </w:tr>
      <w:tr w:rsidR="00554E06" w:rsidRPr="00171E38" w14:paraId="6D87D3DC" w14:textId="77777777" w:rsidTr="007A1A9A">
        <w:tc>
          <w:tcPr>
            <w:tcW w:w="1687" w:type="dxa"/>
          </w:tcPr>
          <w:p w14:paraId="4EA40B5E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2282" w:type="dxa"/>
            <w:gridSpan w:val="2"/>
          </w:tcPr>
          <w:p w14:paraId="0654E674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0,009</w:t>
            </w:r>
          </w:p>
        </w:tc>
        <w:tc>
          <w:tcPr>
            <w:tcW w:w="2303" w:type="dxa"/>
            <w:gridSpan w:val="2"/>
          </w:tcPr>
          <w:p w14:paraId="02199755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0,020</w:t>
            </w:r>
          </w:p>
        </w:tc>
        <w:tc>
          <w:tcPr>
            <w:tcW w:w="2216" w:type="dxa"/>
            <w:gridSpan w:val="2"/>
          </w:tcPr>
          <w:p w14:paraId="2ACF4B48" w14:textId="77777777" w:rsidR="00554E06" w:rsidRPr="00171E38" w:rsidRDefault="00554E06" w:rsidP="006621F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</w:t>
            </w:r>
            <w:r w:rsidR="006621FA">
              <w:rPr>
                <w:szCs w:val="22"/>
                <w:lang w:val="hu-HU"/>
              </w:rPr>
              <w:t>,</w:t>
            </w:r>
            <w:r w:rsidRPr="00171E38">
              <w:rPr>
                <w:szCs w:val="22"/>
                <w:lang w:val="hu-HU"/>
              </w:rPr>
              <w:t>055</w:t>
            </w:r>
          </w:p>
        </w:tc>
      </w:tr>
      <w:tr w:rsidR="00554E06" w:rsidRPr="00171E38" w14:paraId="168709CB" w14:textId="77777777" w:rsidTr="007A1A9A">
        <w:tc>
          <w:tcPr>
            <w:tcW w:w="1687" w:type="dxa"/>
          </w:tcPr>
          <w:p w14:paraId="0ED79370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Skeletalis morbiditási ráta</w:t>
            </w:r>
          </w:p>
        </w:tc>
        <w:tc>
          <w:tcPr>
            <w:tcW w:w="1290" w:type="dxa"/>
          </w:tcPr>
          <w:p w14:paraId="7F3FF48B" w14:textId="77777777" w:rsidR="00554E06" w:rsidRPr="00C052E4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C052E4">
              <w:rPr>
                <w:szCs w:val="22"/>
                <w:lang w:val="hu-HU"/>
              </w:rPr>
              <w:t>0,77</w:t>
            </w:r>
          </w:p>
        </w:tc>
        <w:tc>
          <w:tcPr>
            <w:tcW w:w="992" w:type="dxa"/>
          </w:tcPr>
          <w:p w14:paraId="539575ED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1,47</w:t>
            </w:r>
          </w:p>
        </w:tc>
        <w:tc>
          <w:tcPr>
            <w:tcW w:w="1275" w:type="dxa"/>
          </w:tcPr>
          <w:p w14:paraId="27D9E1A3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0,20</w:t>
            </w:r>
          </w:p>
        </w:tc>
        <w:tc>
          <w:tcPr>
            <w:tcW w:w="1028" w:type="dxa"/>
          </w:tcPr>
          <w:p w14:paraId="6CB1EA34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0,45</w:t>
            </w:r>
          </w:p>
        </w:tc>
        <w:tc>
          <w:tcPr>
            <w:tcW w:w="1240" w:type="dxa"/>
          </w:tcPr>
          <w:p w14:paraId="0072AB61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0,42</w:t>
            </w:r>
          </w:p>
        </w:tc>
        <w:tc>
          <w:tcPr>
            <w:tcW w:w="976" w:type="dxa"/>
          </w:tcPr>
          <w:p w14:paraId="4A255DA9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0,89</w:t>
            </w:r>
          </w:p>
        </w:tc>
      </w:tr>
      <w:tr w:rsidR="00554E06" w:rsidRPr="00171E38" w14:paraId="3452A855" w14:textId="77777777" w:rsidTr="007A1A9A">
        <w:tc>
          <w:tcPr>
            <w:tcW w:w="1687" w:type="dxa"/>
          </w:tcPr>
          <w:p w14:paraId="558F772D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2282" w:type="dxa"/>
            <w:gridSpan w:val="2"/>
          </w:tcPr>
          <w:p w14:paraId="7BDBEFA8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0,005</w:t>
            </w:r>
          </w:p>
        </w:tc>
        <w:tc>
          <w:tcPr>
            <w:tcW w:w="2303" w:type="dxa"/>
            <w:gridSpan w:val="2"/>
          </w:tcPr>
          <w:p w14:paraId="3F85F8F7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0,023</w:t>
            </w:r>
          </w:p>
        </w:tc>
        <w:tc>
          <w:tcPr>
            <w:tcW w:w="2216" w:type="dxa"/>
            <w:gridSpan w:val="2"/>
          </w:tcPr>
          <w:p w14:paraId="11ACFC2B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0,060</w:t>
            </w:r>
          </w:p>
        </w:tc>
      </w:tr>
      <w:tr w:rsidR="00554E06" w:rsidRPr="00171E38" w14:paraId="11B536CE" w14:textId="77777777" w:rsidTr="007A1A9A">
        <w:tc>
          <w:tcPr>
            <w:tcW w:w="1687" w:type="dxa"/>
          </w:tcPr>
          <w:p w14:paraId="62108CE2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A többszörös események kockázatának csökkenése** (%)</w:t>
            </w:r>
          </w:p>
        </w:tc>
        <w:tc>
          <w:tcPr>
            <w:tcW w:w="1290" w:type="dxa"/>
          </w:tcPr>
          <w:p w14:paraId="2FF9A94C" w14:textId="77777777" w:rsidR="00554E06" w:rsidRPr="00C052E4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C052E4">
              <w:rPr>
                <w:szCs w:val="22"/>
                <w:lang w:val="hu-HU"/>
              </w:rPr>
              <w:t>36</w:t>
            </w:r>
          </w:p>
        </w:tc>
        <w:tc>
          <w:tcPr>
            <w:tcW w:w="992" w:type="dxa"/>
          </w:tcPr>
          <w:p w14:paraId="17E0915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-</w:t>
            </w:r>
          </w:p>
        </w:tc>
        <w:tc>
          <w:tcPr>
            <w:tcW w:w="1275" w:type="dxa"/>
          </w:tcPr>
          <w:p w14:paraId="1D3584F0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1028" w:type="dxa"/>
          </w:tcPr>
          <w:p w14:paraId="2939B119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1240" w:type="dxa"/>
          </w:tcPr>
          <w:p w14:paraId="254BD19E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976" w:type="dxa"/>
          </w:tcPr>
          <w:p w14:paraId="68B56374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</w:tr>
      <w:tr w:rsidR="00554E06" w:rsidRPr="00171E38" w14:paraId="2188AF7A" w14:textId="77777777" w:rsidTr="007A1A9A">
        <w:tc>
          <w:tcPr>
            <w:tcW w:w="1687" w:type="dxa"/>
          </w:tcPr>
          <w:p w14:paraId="70043242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2282" w:type="dxa"/>
            <w:gridSpan w:val="2"/>
          </w:tcPr>
          <w:p w14:paraId="6C08FB5F" w14:textId="77777777" w:rsidR="00554E06" w:rsidRPr="00171E38" w:rsidRDefault="00554E06" w:rsidP="00C052E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0,002</w:t>
            </w:r>
          </w:p>
        </w:tc>
        <w:tc>
          <w:tcPr>
            <w:tcW w:w="2303" w:type="dxa"/>
            <w:gridSpan w:val="2"/>
          </w:tcPr>
          <w:p w14:paraId="2FA04CD8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2216" w:type="dxa"/>
            <w:gridSpan w:val="2"/>
          </w:tcPr>
          <w:p w14:paraId="33B0D283" w14:textId="77777777" w:rsidR="00554E06" w:rsidRPr="00171E38" w:rsidRDefault="00554E06" w:rsidP="00171E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</w:tr>
    </w:tbl>
    <w:p w14:paraId="13C0A487" w14:textId="77777777" w:rsidR="00554E06" w:rsidRPr="00C052E4" w:rsidRDefault="00554E06" w:rsidP="00C052E4">
      <w:pPr>
        <w:pStyle w:val="Default"/>
        <w:tabs>
          <w:tab w:val="left" w:pos="851"/>
        </w:tabs>
        <w:ind w:left="708" w:hanging="708"/>
        <w:rPr>
          <w:sz w:val="22"/>
          <w:szCs w:val="22"/>
        </w:rPr>
      </w:pPr>
      <w:r w:rsidRPr="00C052E4">
        <w:rPr>
          <w:sz w:val="22"/>
          <w:szCs w:val="22"/>
        </w:rPr>
        <w:t>*</w:t>
      </w:r>
      <w:r w:rsidRPr="00C052E4">
        <w:rPr>
          <w:sz w:val="22"/>
          <w:szCs w:val="22"/>
        </w:rPr>
        <w:tab/>
        <w:t>Beleértve a csigolya- és nem</w:t>
      </w:r>
      <w:r w:rsidR="006621FA">
        <w:rPr>
          <w:sz w:val="22"/>
          <w:szCs w:val="22"/>
        </w:rPr>
        <w:t xml:space="preserve"> </w:t>
      </w:r>
      <w:r w:rsidRPr="00C052E4">
        <w:rPr>
          <w:sz w:val="22"/>
          <w:szCs w:val="22"/>
        </w:rPr>
        <w:t>csigolyafrakturákat.</w:t>
      </w:r>
    </w:p>
    <w:p w14:paraId="60749446" w14:textId="77777777" w:rsidR="00554E06" w:rsidRPr="00C052E4" w:rsidRDefault="00554E06" w:rsidP="00C052E4">
      <w:pPr>
        <w:pStyle w:val="Default"/>
        <w:tabs>
          <w:tab w:val="left" w:pos="851"/>
        </w:tabs>
        <w:ind w:left="708" w:hanging="708"/>
        <w:rPr>
          <w:sz w:val="22"/>
          <w:szCs w:val="22"/>
        </w:rPr>
      </w:pPr>
      <w:r w:rsidRPr="00C052E4">
        <w:rPr>
          <w:sz w:val="22"/>
          <w:szCs w:val="22"/>
        </w:rPr>
        <w:t>**</w:t>
      </w:r>
      <w:r w:rsidRPr="00C052E4">
        <w:rPr>
          <w:sz w:val="22"/>
          <w:szCs w:val="22"/>
        </w:rPr>
        <w:tab/>
        <w:t>Az összes csontrendszeri esemény (összmennyiség és az egyes eseményekig eltelt idő a vizsgálat alatt).</w:t>
      </w:r>
    </w:p>
    <w:p w14:paraId="73693B56" w14:textId="77777777" w:rsidR="00554E06" w:rsidRPr="00171E38" w:rsidRDefault="00554E06" w:rsidP="00171E38">
      <w:pPr>
        <w:pStyle w:val="Default"/>
        <w:ind w:left="709" w:hanging="709"/>
        <w:rPr>
          <w:sz w:val="22"/>
          <w:szCs w:val="22"/>
        </w:rPr>
      </w:pPr>
      <w:r w:rsidRPr="00171E38">
        <w:rPr>
          <w:sz w:val="22"/>
          <w:szCs w:val="22"/>
        </w:rPr>
        <w:t>NÉ</w:t>
      </w:r>
      <w:r w:rsidRPr="00171E38">
        <w:rPr>
          <w:sz w:val="22"/>
          <w:szCs w:val="22"/>
        </w:rPr>
        <w:tab/>
        <w:t>Nem érte el.</w:t>
      </w:r>
    </w:p>
    <w:p w14:paraId="27164063" w14:textId="77777777" w:rsidR="00554E06" w:rsidRPr="00171E38" w:rsidRDefault="00554E06" w:rsidP="00171E38">
      <w:pPr>
        <w:pStyle w:val="Default"/>
        <w:ind w:left="709" w:hanging="709"/>
        <w:rPr>
          <w:sz w:val="22"/>
          <w:szCs w:val="22"/>
        </w:rPr>
      </w:pPr>
      <w:r w:rsidRPr="00171E38">
        <w:rPr>
          <w:sz w:val="22"/>
          <w:szCs w:val="22"/>
        </w:rPr>
        <w:t>NA</w:t>
      </w:r>
      <w:r w:rsidRPr="00171E38">
        <w:rPr>
          <w:sz w:val="22"/>
          <w:szCs w:val="22"/>
        </w:rPr>
        <w:tab/>
        <w:t>Nem alkalmazható.</w:t>
      </w:r>
    </w:p>
    <w:p w14:paraId="1BB0F068" w14:textId="77777777" w:rsidR="00C052E4" w:rsidRPr="00171E38" w:rsidRDefault="00C052E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E038278" w14:textId="77777777" w:rsidR="00554E06" w:rsidRPr="00171E38" w:rsidRDefault="001B2EFF" w:rsidP="00171E38">
      <w:pPr>
        <w:pStyle w:val="Default"/>
        <w:widowControl w:val="0"/>
        <w:suppressAutoHyphens/>
        <w:rPr>
          <w:sz w:val="22"/>
          <w:szCs w:val="22"/>
        </w:rPr>
      </w:pPr>
      <w:r w:rsidRPr="00EA23D0">
        <w:rPr>
          <w:b/>
          <w:sz w:val="22"/>
          <w:szCs w:val="22"/>
        </w:rPr>
        <w:t>4</w:t>
      </w:r>
      <w:r w:rsidR="00554E06" w:rsidRPr="00EA23D0">
        <w:rPr>
          <w:b/>
          <w:sz w:val="22"/>
          <w:szCs w:val="22"/>
        </w:rPr>
        <w:t>. táblázat:</w:t>
      </w:r>
      <w:r w:rsidR="00554E06" w:rsidRPr="00171E38">
        <w:rPr>
          <w:bCs/>
          <w:sz w:val="22"/>
          <w:szCs w:val="22"/>
        </w:rPr>
        <w:t xml:space="preserve"> A</w:t>
      </w:r>
      <w:r w:rsidR="00554E06" w:rsidRPr="00171E38">
        <w:rPr>
          <w:b/>
          <w:bCs/>
          <w:sz w:val="22"/>
          <w:szCs w:val="22"/>
        </w:rPr>
        <w:t xml:space="preserve"> </w:t>
      </w:r>
      <w:r w:rsidR="00554E06" w:rsidRPr="00171E38">
        <w:rPr>
          <w:sz w:val="22"/>
          <w:szCs w:val="22"/>
        </w:rPr>
        <w:t>hatásossági eredmények (szolid tumorok, kivéve az emlő- és prostatacarcinomát)</w:t>
      </w:r>
    </w:p>
    <w:p w14:paraId="17B13ABE" w14:textId="77777777" w:rsidR="00554E06" w:rsidRPr="00171E38" w:rsidRDefault="00554E06" w:rsidP="00171E38">
      <w:pPr>
        <w:pStyle w:val="Default"/>
        <w:widowControl w:val="0"/>
        <w:suppressAutoHyphens/>
        <w:rPr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275"/>
        <w:gridCol w:w="993"/>
        <w:gridCol w:w="1417"/>
        <w:gridCol w:w="992"/>
        <w:gridCol w:w="1276"/>
        <w:gridCol w:w="1134"/>
      </w:tblGrid>
      <w:tr w:rsidR="00554E06" w:rsidRPr="00171E38" w14:paraId="7E989602" w14:textId="77777777" w:rsidTr="007A1A9A">
        <w:tc>
          <w:tcPr>
            <w:tcW w:w="1560" w:type="dxa"/>
          </w:tcPr>
          <w:p w14:paraId="05275C53" w14:textId="77777777" w:rsidR="00554E06" w:rsidRPr="00171E38" w:rsidRDefault="00554E06" w:rsidP="00171E38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520D92B3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  <w:u w:val="single"/>
              </w:rPr>
              <w:t>Bármilyen SRE (+TIH)</w:t>
            </w:r>
          </w:p>
        </w:tc>
        <w:tc>
          <w:tcPr>
            <w:tcW w:w="2409" w:type="dxa"/>
            <w:gridSpan w:val="2"/>
          </w:tcPr>
          <w:p w14:paraId="6DC1BFDB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  <w:u w:val="single"/>
              </w:rPr>
            </w:pPr>
            <w:r w:rsidRPr="00171E38">
              <w:rPr>
                <w:sz w:val="22"/>
                <w:szCs w:val="22"/>
                <w:u w:val="single"/>
              </w:rPr>
              <w:t>Törések*</w:t>
            </w:r>
          </w:p>
        </w:tc>
        <w:tc>
          <w:tcPr>
            <w:tcW w:w="2410" w:type="dxa"/>
            <w:gridSpan w:val="2"/>
          </w:tcPr>
          <w:p w14:paraId="3CEA24CD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  <w:u w:val="single"/>
              </w:rPr>
            </w:pPr>
            <w:r w:rsidRPr="00171E38">
              <w:rPr>
                <w:sz w:val="22"/>
                <w:szCs w:val="22"/>
                <w:u w:val="single"/>
              </w:rPr>
              <w:t xml:space="preserve">A csont irradiációs </w:t>
            </w:r>
          </w:p>
          <w:p w14:paraId="7D92AA34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  <w:u w:val="single"/>
              </w:rPr>
            </w:pPr>
            <w:r w:rsidRPr="00171E38">
              <w:rPr>
                <w:sz w:val="22"/>
                <w:szCs w:val="22"/>
                <w:u w:val="single"/>
              </w:rPr>
              <w:t>kezelése</w:t>
            </w:r>
          </w:p>
        </w:tc>
      </w:tr>
      <w:tr w:rsidR="00554E06" w:rsidRPr="00171E38" w14:paraId="1CC2AC76" w14:textId="77777777" w:rsidTr="007A1A9A">
        <w:tc>
          <w:tcPr>
            <w:tcW w:w="1560" w:type="dxa"/>
          </w:tcPr>
          <w:p w14:paraId="3EBFB427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B6F0585" w14:textId="77777777" w:rsidR="00554E06" w:rsidRPr="00C052E4" w:rsidRDefault="00554E06" w:rsidP="00C052E4">
            <w:pPr>
              <w:pStyle w:val="Default"/>
              <w:widowControl w:val="0"/>
              <w:suppressAutoHyphens/>
              <w:ind w:left="-108"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4 mg zoledronsav</w:t>
            </w:r>
          </w:p>
        </w:tc>
        <w:tc>
          <w:tcPr>
            <w:tcW w:w="993" w:type="dxa"/>
          </w:tcPr>
          <w:p w14:paraId="4D33B8DA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placebo</w:t>
            </w:r>
          </w:p>
        </w:tc>
        <w:tc>
          <w:tcPr>
            <w:tcW w:w="1417" w:type="dxa"/>
          </w:tcPr>
          <w:p w14:paraId="54474E7F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4 mg zoledronsav</w:t>
            </w:r>
          </w:p>
        </w:tc>
        <w:tc>
          <w:tcPr>
            <w:tcW w:w="992" w:type="dxa"/>
          </w:tcPr>
          <w:p w14:paraId="4E9B4D08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placebo</w:t>
            </w:r>
          </w:p>
        </w:tc>
        <w:tc>
          <w:tcPr>
            <w:tcW w:w="1276" w:type="dxa"/>
          </w:tcPr>
          <w:p w14:paraId="36E6FF27" w14:textId="77777777" w:rsidR="00554E06" w:rsidRPr="00171E38" w:rsidRDefault="00554E06" w:rsidP="00171E38">
            <w:pPr>
              <w:pStyle w:val="Default"/>
              <w:widowControl w:val="0"/>
              <w:suppressAutoHyphens/>
              <w:ind w:right="-108"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4 mg zoledronsav</w:t>
            </w:r>
          </w:p>
        </w:tc>
        <w:tc>
          <w:tcPr>
            <w:tcW w:w="1134" w:type="dxa"/>
          </w:tcPr>
          <w:p w14:paraId="56D74D70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placebo</w:t>
            </w:r>
          </w:p>
        </w:tc>
      </w:tr>
      <w:tr w:rsidR="00554E06" w:rsidRPr="00171E38" w14:paraId="6D009D8A" w14:textId="77777777" w:rsidTr="007A1A9A">
        <w:tc>
          <w:tcPr>
            <w:tcW w:w="1560" w:type="dxa"/>
          </w:tcPr>
          <w:p w14:paraId="735EFE7C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N</w:t>
            </w:r>
          </w:p>
        </w:tc>
        <w:tc>
          <w:tcPr>
            <w:tcW w:w="1275" w:type="dxa"/>
          </w:tcPr>
          <w:p w14:paraId="1E55D02A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257</w:t>
            </w:r>
          </w:p>
        </w:tc>
        <w:tc>
          <w:tcPr>
            <w:tcW w:w="993" w:type="dxa"/>
          </w:tcPr>
          <w:p w14:paraId="5D1F8B23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250</w:t>
            </w:r>
          </w:p>
        </w:tc>
        <w:tc>
          <w:tcPr>
            <w:tcW w:w="1417" w:type="dxa"/>
          </w:tcPr>
          <w:p w14:paraId="1E299A2E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257</w:t>
            </w:r>
          </w:p>
        </w:tc>
        <w:tc>
          <w:tcPr>
            <w:tcW w:w="992" w:type="dxa"/>
          </w:tcPr>
          <w:p w14:paraId="3D0C8FBB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250</w:t>
            </w:r>
          </w:p>
        </w:tc>
        <w:tc>
          <w:tcPr>
            <w:tcW w:w="1276" w:type="dxa"/>
          </w:tcPr>
          <w:p w14:paraId="25F2DB8B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257</w:t>
            </w:r>
          </w:p>
        </w:tc>
        <w:tc>
          <w:tcPr>
            <w:tcW w:w="1134" w:type="dxa"/>
          </w:tcPr>
          <w:p w14:paraId="70DD1878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250</w:t>
            </w:r>
          </w:p>
        </w:tc>
      </w:tr>
      <w:tr w:rsidR="00554E06" w:rsidRPr="00171E38" w14:paraId="32C47E9C" w14:textId="77777777" w:rsidTr="007A1A9A">
        <w:tc>
          <w:tcPr>
            <w:tcW w:w="1560" w:type="dxa"/>
          </w:tcPr>
          <w:p w14:paraId="4BA8B157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 xml:space="preserve">Az SRE-s betegek aránya </w:t>
            </w:r>
          </w:p>
          <w:p w14:paraId="21A83A56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(%)</w:t>
            </w:r>
          </w:p>
        </w:tc>
        <w:tc>
          <w:tcPr>
            <w:tcW w:w="1275" w:type="dxa"/>
          </w:tcPr>
          <w:p w14:paraId="4DD2C604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39</w:t>
            </w:r>
          </w:p>
        </w:tc>
        <w:tc>
          <w:tcPr>
            <w:tcW w:w="993" w:type="dxa"/>
          </w:tcPr>
          <w:p w14:paraId="2A0359F3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48</w:t>
            </w:r>
          </w:p>
        </w:tc>
        <w:tc>
          <w:tcPr>
            <w:tcW w:w="1417" w:type="dxa"/>
          </w:tcPr>
          <w:p w14:paraId="5D9E9897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16</w:t>
            </w:r>
          </w:p>
        </w:tc>
        <w:tc>
          <w:tcPr>
            <w:tcW w:w="992" w:type="dxa"/>
          </w:tcPr>
          <w:p w14:paraId="2850C67A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</w:tcPr>
          <w:p w14:paraId="3DDB0632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29</w:t>
            </w:r>
          </w:p>
        </w:tc>
        <w:tc>
          <w:tcPr>
            <w:tcW w:w="1134" w:type="dxa"/>
          </w:tcPr>
          <w:p w14:paraId="168977C5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34</w:t>
            </w:r>
          </w:p>
        </w:tc>
      </w:tr>
      <w:tr w:rsidR="00554E06" w:rsidRPr="00171E38" w14:paraId="2D4050FF" w14:textId="77777777" w:rsidTr="007A1A9A">
        <w:tc>
          <w:tcPr>
            <w:tcW w:w="1560" w:type="dxa"/>
          </w:tcPr>
          <w:p w14:paraId="3739E96F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p-érték</w:t>
            </w:r>
          </w:p>
        </w:tc>
        <w:tc>
          <w:tcPr>
            <w:tcW w:w="2268" w:type="dxa"/>
            <w:gridSpan w:val="2"/>
          </w:tcPr>
          <w:p w14:paraId="43BD1B18" w14:textId="77777777" w:rsidR="00554E06" w:rsidRPr="00C052E4" w:rsidRDefault="00554E06" w:rsidP="00560DEE">
            <w:pPr>
              <w:pStyle w:val="Default"/>
              <w:widowControl w:val="0"/>
              <w:tabs>
                <w:tab w:val="left" w:pos="892"/>
              </w:tabs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0</w:t>
            </w:r>
            <w:r w:rsidR="00560DEE">
              <w:rPr>
                <w:sz w:val="22"/>
                <w:szCs w:val="22"/>
              </w:rPr>
              <w:t>,</w:t>
            </w:r>
            <w:r w:rsidRPr="00C052E4">
              <w:rPr>
                <w:sz w:val="22"/>
                <w:szCs w:val="22"/>
              </w:rPr>
              <w:t>039</w:t>
            </w:r>
          </w:p>
        </w:tc>
        <w:tc>
          <w:tcPr>
            <w:tcW w:w="2409" w:type="dxa"/>
            <w:gridSpan w:val="2"/>
          </w:tcPr>
          <w:p w14:paraId="48C54468" w14:textId="77777777" w:rsidR="00554E06" w:rsidRPr="00171E38" w:rsidRDefault="00554E06" w:rsidP="00560DEE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</w:t>
            </w:r>
            <w:r w:rsidR="00560DEE">
              <w:rPr>
                <w:sz w:val="22"/>
                <w:szCs w:val="22"/>
              </w:rPr>
              <w:t>,</w:t>
            </w:r>
            <w:r w:rsidRPr="00171E38">
              <w:rPr>
                <w:sz w:val="22"/>
                <w:szCs w:val="22"/>
              </w:rPr>
              <w:t>064</w:t>
            </w:r>
          </w:p>
        </w:tc>
        <w:tc>
          <w:tcPr>
            <w:tcW w:w="2410" w:type="dxa"/>
            <w:gridSpan w:val="2"/>
          </w:tcPr>
          <w:p w14:paraId="52DE17B5" w14:textId="77777777" w:rsidR="00554E06" w:rsidRPr="00171E38" w:rsidRDefault="00554E06" w:rsidP="00560DEE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</w:t>
            </w:r>
            <w:r w:rsidR="00560DEE">
              <w:rPr>
                <w:sz w:val="22"/>
                <w:szCs w:val="22"/>
              </w:rPr>
              <w:t>,</w:t>
            </w:r>
            <w:r w:rsidRPr="00171E38">
              <w:rPr>
                <w:sz w:val="22"/>
                <w:szCs w:val="22"/>
              </w:rPr>
              <w:t>173</w:t>
            </w:r>
          </w:p>
        </w:tc>
      </w:tr>
      <w:tr w:rsidR="00554E06" w:rsidRPr="00171E38" w14:paraId="6A4D21B8" w14:textId="77777777" w:rsidTr="007A1A9A">
        <w:tc>
          <w:tcPr>
            <w:tcW w:w="1560" w:type="dxa"/>
          </w:tcPr>
          <w:p w14:paraId="1770231A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Az SRE-ig eltelt medián idő (nap)</w:t>
            </w:r>
          </w:p>
        </w:tc>
        <w:tc>
          <w:tcPr>
            <w:tcW w:w="1275" w:type="dxa"/>
          </w:tcPr>
          <w:p w14:paraId="43FF5577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236</w:t>
            </w:r>
          </w:p>
        </w:tc>
        <w:tc>
          <w:tcPr>
            <w:tcW w:w="993" w:type="dxa"/>
          </w:tcPr>
          <w:p w14:paraId="357E98D6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155</w:t>
            </w:r>
          </w:p>
        </w:tc>
        <w:tc>
          <w:tcPr>
            <w:tcW w:w="1417" w:type="dxa"/>
          </w:tcPr>
          <w:p w14:paraId="54BA2514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NÉ</w:t>
            </w:r>
          </w:p>
        </w:tc>
        <w:tc>
          <w:tcPr>
            <w:tcW w:w="992" w:type="dxa"/>
          </w:tcPr>
          <w:p w14:paraId="042D5A38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NÉ</w:t>
            </w:r>
          </w:p>
        </w:tc>
        <w:tc>
          <w:tcPr>
            <w:tcW w:w="1276" w:type="dxa"/>
          </w:tcPr>
          <w:p w14:paraId="5AEAC3AD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424</w:t>
            </w:r>
          </w:p>
        </w:tc>
        <w:tc>
          <w:tcPr>
            <w:tcW w:w="1134" w:type="dxa"/>
          </w:tcPr>
          <w:p w14:paraId="7B619990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307</w:t>
            </w:r>
          </w:p>
        </w:tc>
      </w:tr>
      <w:tr w:rsidR="00554E06" w:rsidRPr="00171E38" w14:paraId="4A15FD4E" w14:textId="77777777" w:rsidTr="007A1A9A">
        <w:tc>
          <w:tcPr>
            <w:tcW w:w="1560" w:type="dxa"/>
          </w:tcPr>
          <w:p w14:paraId="2C138C27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p-érték</w:t>
            </w:r>
          </w:p>
        </w:tc>
        <w:tc>
          <w:tcPr>
            <w:tcW w:w="2268" w:type="dxa"/>
            <w:gridSpan w:val="2"/>
          </w:tcPr>
          <w:p w14:paraId="04F474C3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0,009</w:t>
            </w:r>
          </w:p>
        </w:tc>
        <w:tc>
          <w:tcPr>
            <w:tcW w:w="2409" w:type="dxa"/>
            <w:gridSpan w:val="2"/>
          </w:tcPr>
          <w:p w14:paraId="312FFFFC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0,020</w:t>
            </w:r>
          </w:p>
        </w:tc>
        <w:tc>
          <w:tcPr>
            <w:tcW w:w="2410" w:type="dxa"/>
            <w:gridSpan w:val="2"/>
          </w:tcPr>
          <w:p w14:paraId="197C214B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0,079</w:t>
            </w:r>
          </w:p>
        </w:tc>
      </w:tr>
      <w:tr w:rsidR="00554E06" w:rsidRPr="00171E38" w14:paraId="5E37F397" w14:textId="77777777" w:rsidTr="007A1A9A">
        <w:tc>
          <w:tcPr>
            <w:tcW w:w="1560" w:type="dxa"/>
          </w:tcPr>
          <w:p w14:paraId="48A388FB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Skeletalis morbiditási ráta</w:t>
            </w:r>
          </w:p>
        </w:tc>
        <w:tc>
          <w:tcPr>
            <w:tcW w:w="1275" w:type="dxa"/>
          </w:tcPr>
          <w:p w14:paraId="44CAD163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1,74</w:t>
            </w:r>
          </w:p>
        </w:tc>
        <w:tc>
          <w:tcPr>
            <w:tcW w:w="993" w:type="dxa"/>
          </w:tcPr>
          <w:p w14:paraId="33CF9264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2,71</w:t>
            </w:r>
          </w:p>
        </w:tc>
        <w:tc>
          <w:tcPr>
            <w:tcW w:w="1417" w:type="dxa"/>
          </w:tcPr>
          <w:p w14:paraId="3D2FCE7C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0,39</w:t>
            </w:r>
          </w:p>
        </w:tc>
        <w:tc>
          <w:tcPr>
            <w:tcW w:w="992" w:type="dxa"/>
          </w:tcPr>
          <w:p w14:paraId="6E1141D0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0,63</w:t>
            </w:r>
          </w:p>
        </w:tc>
        <w:tc>
          <w:tcPr>
            <w:tcW w:w="1276" w:type="dxa"/>
          </w:tcPr>
          <w:p w14:paraId="2716AF71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1,24</w:t>
            </w:r>
          </w:p>
        </w:tc>
        <w:tc>
          <w:tcPr>
            <w:tcW w:w="1134" w:type="dxa"/>
          </w:tcPr>
          <w:p w14:paraId="2C5544AA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1,89</w:t>
            </w:r>
          </w:p>
        </w:tc>
      </w:tr>
      <w:tr w:rsidR="00554E06" w:rsidRPr="00171E38" w14:paraId="3D2591A1" w14:textId="77777777" w:rsidTr="007A1A9A">
        <w:tc>
          <w:tcPr>
            <w:tcW w:w="1560" w:type="dxa"/>
          </w:tcPr>
          <w:p w14:paraId="2388CCC9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p-érték</w:t>
            </w:r>
          </w:p>
        </w:tc>
        <w:tc>
          <w:tcPr>
            <w:tcW w:w="2268" w:type="dxa"/>
            <w:gridSpan w:val="2"/>
          </w:tcPr>
          <w:p w14:paraId="52250832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0,012</w:t>
            </w:r>
          </w:p>
        </w:tc>
        <w:tc>
          <w:tcPr>
            <w:tcW w:w="2409" w:type="dxa"/>
            <w:gridSpan w:val="2"/>
          </w:tcPr>
          <w:p w14:paraId="71B84372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0,066</w:t>
            </w:r>
          </w:p>
        </w:tc>
        <w:tc>
          <w:tcPr>
            <w:tcW w:w="2410" w:type="dxa"/>
            <w:gridSpan w:val="2"/>
          </w:tcPr>
          <w:p w14:paraId="45007216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0,099</w:t>
            </w:r>
          </w:p>
        </w:tc>
      </w:tr>
      <w:tr w:rsidR="00554E06" w:rsidRPr="00171E38" w14:paraId="28C87C88" w14:textId="77777777" w:rsidTr="007A1A9A">
        <w:tc>
          <w:tcPr>
            <w:tcW w:w="1560" w:type="dxa"/>
          </w:tcPr>
          <w:p w14:paraId="6550ACF2" w14:textId="77777777" w:rsidR="00554E06" w:rsidRPr="00C052E4" w:rsidRDefault="00554E06" w:rsidP="00C052E4">
            <w:pPr>
              <w:pStyle w:val="Default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A többszörös események kockázatának csökkenése** (%)</w:t>
            </w:r>
          </w:p>
        </w:tc>
        <w:tc>
          <w:tcPr>
            <w:tcW w:w="1275" w:type="dxa"/>
          </w:tcPr>
          <w:p w14:paraId="6307A97C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30,7</w:t>
            </w:r>
          </w:p>
        </w:tc>
        <w:tc>
          <w:tcPr>
            <w:tcW w:w="993" w:type="dxa"/>
          </w:tcPr>
          <w:p w14:paraId="37FDF7A1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25119F73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</w:t>
            </w:r>
          </w:p>
        </w:tc>
        <w:tc>
          <w:tcPr>
            <w:tcW w:w="992" w:type="dxa"/>
          </w:tcPr>
          <w:p w14:paraId="301ECEF4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</w:t>
            </w:r>
          </w:p>
        </w:tc>
        <w:tc>
          <w:tcPr>
            <w:tcW w:w="1276" w:type="dxa"/>
          </w:tcPr>
          <w:p w14:paraId="28F627C1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</w:t>
            </w:r>
          </w:p>
        </w:tc>
        <w:tc>
          <w:tcPr>
            <w:tcW w:w="1134" w:type="dxa"/>
          </w:tcPr>
          <w:p w14:paraId="065FEB09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</w:t>
            </w:r>
          </w:p>
        </w:tc>
      </w:tr>
      <w:tr w:rsidR="00554E06" w:rsidRPr="00171E38" w14:paraId="625483DF" w14:textId="77777777" w:rsidTr="007A1A9A">
        <w:tc>
          <w:tcPr>
            <w:tcW w:w="1560" w:type="dxa"/>
          </w:tcPr>
          <w:p w14:paraId="2E5E3317" w14:textId="77777777" w:rsidR="00554E06" w:rsidRPr="00C052E4" w:rsidRDefault="00554E06" w:rsidP="00C052E4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p-érték</w:t>
            </w:r>
          </w:p>
        </w:tc>
        <w:tc>
          <w:tcPr>
            <w:tcW w:w="2268" w:type="dxa"/>
            <w:gridSpan w:val="2"/>
          </w:tcPr>
          <w:p w14:paraId="6EDAD058" w14:textId="77777777" w:rsidR="00554E06" w:rsidRPr="00C052E4" w:rsidRDefault="00554E06" w:rsidP="00C052E4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52E4">
              <w:rPr>
                <w:sz w:val="22"/>
                <w:szCs w:val="22"/>
              </w:rPr>
              <w:t>0,003</w:t>
            </w:r>
          </w:p>
        </w:tc>
        <w:tc>
          <w:tcPr>
            <w:tcW w:w="2409" w:type="dxa"/>
            <w:gridSpan w:val="2"/>
          </w:tcPr>
          <w:p w14:paraId="5B77BBC0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</w:t>
            </w:r>
          </w:p>
        </w:tc>
        <w:tc>
          <w:tcPr>
            <w:tcW w:w="2410" w:type="dxa"/>
            <w:gridSpan w:val="2"/>
          </w:tcPr>
          <w:p w14:paraId="1B6A914A" w14:textId="77777777" w:rsidR="00554E06" w:rsidRPr="00171E38" w:rsidRDefault="00554E06" w:rsidP="00171E38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</w:t>
            </w:r>
          </w:p>
        </w:tc>
      </w:tr>
    </w:tbl>
    <w:p w14:paraId="5F53E07F" w14:textId="77777777" w:rsidR="00554E06" w:rsidRPr="00C052E4" w:rsidRDefault="00554E06" w:rsidP="00C052E4">
      <w:pPr>
        <w:pStyle w:val="Default"/>
        <w:widowControl w:val="0"/>
        <w:suppressAutoHyphens/>
        <w:ind w:left="709" w:hanging="709"/>
        <w:rPr>
          <w:sz w:val="22"/>
          <w:szCs w:val="22"/>
        </w:rPr>
      </w:pPr>
      <w:r w:rsidRPr="00C052E4">
        <w:rPr>
          <w:sz w:val="22"/>
          <w:szCs w:val="22"/>
        </w:rPr>
        <w:t>*</w:t>
      </w:r>
      <w:r w:rsidRPr="00C052E4">
        <w:rPr>
          <w:sz w:val="22"/>
          <w:szCs w:val="22"/>
        </w:rPr>
        <w:tab/>
        <w:t>Beleértve a csigolya- és nem</w:t>
      </w:r>
      <w:r w:rsidR="006621FA">
        <w:rPr>
          <w:sz w:val="22"/>
          <w:szCs w:val="22"/>
        </w:rPr>
        <w:t xml:space="preserve"> </w:t>
      </w:r>
      <w:r w:rsidRPr="00C052E4">
        <w:rPr>
          <w:sz w:val="22"/>
          <w:szCs w:val="22"/>
        </w:rPr>
        <w:t>csigolyafrakturákat.</w:t>
      </w:r>
    </w:p>
    <w:p w14:paraId="2FD843DA" w14:textId="77777777" w:rsidR="00554E06" w:rsidRPr="00C052E4" w:rsidRDefault="00554E06" w:rsidP="00C052E4">
      <w:pPr>
        <w:pStyle w:val="Default"/>
        <w:widowControl w:val="0"/>
        <w:tabs>
          <w:tab w:val="left" w:pos="851"/>
        </w:tabs>
        <w:suppressAutoHyphens/>
        <w:ind w:left="708" w:hanging="708"/>
        <w:rPr>
          <w:sz w:val="22"/>
          <w:szCs w:val="22"/>
        </w:rPr>
      </w:pPr>
      <w:r w:rsidRPr="00C052E4">
        <w:rPr>
          <w:sz w:val="22"/>
          <w:szCs w:val="22"/>
        </w:rPr>
        <w:t>**</w:t>
      </w:r>
      <w:r w:rsidRPr="00C052E4">
        <w:rPr>
          <w:sz w:val="22"/>
          <w:szCs w:val="22"/>
        </w:rPr>
        <w:tab/>
        <w:t>Az összes csontrendszeri esemény (összmennyiség és az egyes eseményekig eltelt idő a vizsgálat alatt).</w:t>
      </w:r>
    </w:p>
    <w:p w14:paraId="16AFC243" w14:textId="77777777" w:rsidR="00554E06" w:rsidRPr="00171E38" w:rsidRDefault="00554E06" w:rsidP="00171E38">
      <w:pPr>
        <w:pStyle w:val="Default"/>
        <w:widowControl w:val="0"/>
        <w:suppressAutoHyphens/>
        <w:ind w:left="709" w:hanging="709"/>
        <w:rPr>
          <w:sz w:val="22"/>
          <w:szCs w:val="22"/>
        </w:rPr>
      </w:pPr>
      <w:r w:rsidRPr="00171E38">
        <w:rPr>
          <w:sz w:val="22"/>
          <w:szCs w:val="22"/>
        </w:rPr>
        <w:t>NÉ</w:t>
      </w:r>
      <w:r w:rsidRPr="00171E38">
        <w:rPr>
          <w:sz w:val="22"/>
          <w:szCs w:val="22"/>
        </w:rPr>
        <w:tab/>
        <w:t>Nem érte el.</w:t>
      </w:r>
    </w:p>
    <w:p w14:paraId="6FBC436D" w14:textId="77777777" w:rsidR="00554E06" w:rsidRPr="00171E38" w:rsidRDefault="00554E06" w:rsidP="00171E38">
      <w:pPr>
        <w:pStyle w:val="Default"/>
        <w:widowControl w:val="0"/>
        <w:suppressAutoHyphens/>
        <w:ind w:left="709" w:hanging="709"/>
        <w:rPr>
          <w:sz w:val="22"/>
          <w:szCs w:val="22"/>
        </w:rPr>
      </w:pPr>
      <w:r w:rsidRPr="00171E38">
        <w:rPr>
          <w:sz w:val="22"/>
          <w:szCs w:val="22"/>
        </w:rPr>
        <w:t>NA</w:t>
      </w:r>
      <w:r w:rsidRPr="00171E38">
        <w:rPr>
          <w:sz w:val="22"/>
          <w:szCs w:val="22"/>
        </w:rPr>
        <w:tab/>
        <w:t>Nem alkalmazható.</w:t>
      </w:r>
    </w:p>
    <w:p w14:paraId="2473AA8E" w14:textId="77777777" w:rsidR="00554E06" w:rsidRPr="00171E38" w:rsidRDefault="00554E06" w:rsidP="00171E38">
      <w:pPr>
        <w:pStyle w:val="Default"/>
        <w:widowControl w:val="0"/>
        <w:suppressAutoHyphens/>
        <w:rPr>
          <w:sz w:val="22"/>
          <w:szCs w:val="22"/>
        </w:rPr>
      </w:pPr>
    </w:p>
    <w:p w14:paraId="0462CA1A" w14:textId="77777777" w:rsidR="00554E06" w:rsidRPr="00171E38" w:rsidRDefault="00554E06" w:rsidP="00171E38">
      <w:pPr>
        <w:pStyle w:val="Default"/>
        <w:widowControl w:val="0"/>
        <w:suppressAutoHyphens/>
        <w:rPr>
          <w:sz w:val="22"/>
          <w:szCs w:val="22"/>
        </w:rPr>
      </w:pPr>
      <w:r w:rsidRPr="00171E38">
        <w:rPr>
          <w:sz w:val="22"/>
          <w:szCs w:val="22"/>
        </w:rPr>
        <w:t>Egy randomizált, kettős</w:t>
      </w:r>
      <w:r w:rsidR="00D450E6">
        <w:rPr>
          <w:sz w:val="22"/>
          <w:szCs w:val="22"/>
        </w:rPr>
        <w:t xml:space="preserve"> </w:t>
      </w:r>
      <w:r w:rsidRPr="00171E38">
        <w:rPr>
          <w:sz w:val="22"/>
          <w:szCs w:val="22"/>
        </w:rPr>
        <w:t xml:space="preserve">vak </w:t>
      </w:r>
      <w:r w:rsidR="00D450E6">
        <w:rPr>
          <w:sz w:val="22"/>
          <w:szCs w:val="22"/>
        </w:rPr>
        <w:t>III. f</w:t>
      </w:r>
      <w:r w:rsidRPr="00171E38">
        <w:rPr>
          <w:sz w:val="22"/>
          <w:szCs w:val="22"/>
        </w:rPr>
        <w:t>ázis</w:t>
      </w:r>
      <w:r w:rsidR="00D450E6">
        <w:rPr>
          <w:sz w:val="22"/>
          <w:szCs w:val="22"/>
        </w:rPr>
        <w:t>ú</w:t>
      </w:r>
      <w:r w:rsidRPr="00171E38">
        <w:rPr>
          <w:sz w:val="22"/>
          <w:szCs w:val="22"/>
        </w:rPr>
        <w:t xml:space="preserve"> vizsgálatban a 4 mg zoledronsav hatását minden 3–4 héten adott 90 mg pamidronáttal vetették össze a legalább egy csontlaesios myeloma multiplexben vagy emlőcarcinomában szenvedő betegek esetében. Az eredmények azt mutatták, hogy a 4 mg zoledronsav éppoly hatásos volt az SRE prevenciójában, mint a 90 mg pamidronát. A multiplex eseményanalízis a pamidronáttal kezeltekkel összevetve szignifikáns rizikócsökkenést (16%) mutatott a 4 mg zoledronsavval kezelt betegek esetében. A hatásosságra vonatkozó eredményeket a</w:t>
      </w:r>
      <w:r w:rsidR="006E0BE2">
        <w:rPr>
          <w:sz w:val="22"/>
          <w:szCs w:val="22"/>
        </w:rPr>
        <w:t>z</w:t>
      </w:r>
      <w:r w:rsidRPr="00171E38">
        <w:rPr>
          <w:sz w:val="22"/>
          <w:szCs w:val="22"/>
        </w:rPr>
        <w:t xml:space="preserve"> </w:t>
      </w:r>
      <w:r w:rsidR="001B2EFF">
        <w:rPr>
          <w:sz w:val="22"/>
          <w:szCs w:val="22"/>
        </w:rPr>
        <w:t>5</w:t>
      </w:r>
      <w:r w:rsidRPr="00171E38">
        <w:rPr>
          <w:sz w:val="22"/>
          <w:szCs w:val="22"/>
        </w:rPr>
        <w:t>. táblázat mutatja.</w:t>
      </w:r>
    </w:p>
    <w:p w14:paraId="5CF009FB" w14:textId="77777777" w:rsidR="00554E06" w:rsidRPr="00171E38" w:rsidRDefault="00554E06" w:rsidP="00171E38">
      <w:pPr>
        <w:pStyle w:val="Default"/>
        <w:widowControl w:val="0"/>
        <w:suppressAutoHyphens/>
        <w:rPr>
          <w:sz w:val="22"/>
          <w:szCs w:val="22"/>
        </w:rPr>
      </w:pPr>
    </w:p>
    <w:p w14:paraId="7FBBC768" w14:textId="77777777" w:rsidR="00554E06" w:rsidRPr="00171E38" w:rsidRDefault="001B2EFF" w:rsidP="00424A82">
      <w:pPr>
        <w:pStyle w:val="Default"/>
        <w:keepNext/>
        <w:rPr>
          <w:sz w:val="22"/>
          <w:szCs w:val="22"/>
        </w:rPr>
      </w:pPr>
      <w:r w:rsidRPr="00EA23D0">
        <w:rPr>
          <w:b/>
          <w:sz w:val="22"/>
          <w:szCs w:val="22"/>
        </w:rPr>
        <w:t>5</w:t>
      </w:r>
      <w:r w:rsidR="00554E06" w:rsidRPr="00EA23D0">
        <w:rPr>
          <w:b/>
          <w:sz w:val="22"/>
          <w:szCs w:val="22"/>
        </w:rPr>
        <w:t>. táblázat:</w:t>
      </w:r>
      <w:r w:rsidR="00554E06" w:rsidRPr="00EA23D0">
        <w:rPr>
          <w:sz w:val="22"/>
          <w:szCs w:val="22"/>
        </w:rPr>
        <w:t xml:space="preserve"> </w:t>
      </w:r>
      <w:r w:rsidR="00554E06" w:rsidRPr="00171E38">
        <w:rPr>
          <w:sz w:val="22"/>
          <w:szCs w:val="22"/>
        </w:rPr>
        <w:t>A hatásosság eredményei (emlőcarcinomában és myeloma multiplexben szenvedő betegek)</w:t>
      </w:r>
    </w:p>
    <w:p w14:paraId="61DDF031" w14:textId="77777777" w:rsidR="00554E06" w:rsidRPr="00171E38" w:rsidRDefault="00554E06" w:rsidP="00424A82">
      <w:pPr>
        <w:pStyle w:val="Default"/>
        <w:keepNext/>
        <w:suppressAutoHyphens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7"/>
        <w:gridCol w:w="1279"/>
        <w:gridCol w:w="1218"/>
        <w:gridCol w:w="1211"/>
        <w:gridCol w:w="1218"/>
        <w:gridCol w:w="1239"/>
        <w:gridCol w:w="1218"/>
      </w:tblGrid>
      <w:tr w:rsidR="00554E06" w:rsidRPr="00171E38" w14:paraId="2F2905C7" w14:textId="77777777" w:rsidTr="00424A82">
        <w:tc>
          <w:tcPr>
            <w:tcW w:w="992" w:type="pct"/>
          </w:tcPr>
          <w:p w14:paraId="1A547B1E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42" w:type="pct"/>
            <w:gridSpan w:val="2"/>
          </w:tcPr>
          <w:p w14:paraId="3603F648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u w:val="single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>SRE (+TIH)</w:t>
            </w:r>
          </w:p>
          <w:p w14:paraId="510BED77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33" w:type="pct"/>
            <w:gridSpan w:val="2"/>
          </w:tcPr>
          <w:p w14:paraId="51A1C8BE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u w:val="single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>Törések*</w:t>
            </w:r>
          </w:p>
        </w:tc>
        <w:tc>
          <w:tcPr>
            <w:tcW w:w="1333" w:type="pct"/>
            <w:gridSpan w:val="2"/>
          </w:tcPr>
          <w:p w14:paraId="469F0B0C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u w:val="single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 xml:space="preserve">A csont irradiációs </w:t>
            </w:r>
          </w:p>
          <w:p w14:paraId="5E77A605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u w:val="single"/>
                <w:lang w:val="hu-HU"/>
              </w:rPr>
            </w:pPr>
            <w:r w:rsidRPr="00171E38">
              <w:rPr>
                <w:szCs w:val="22"/>
                <w:u w:val="single"/>
                <w:lang w:val="hu-HU"/>
              </w:rPr>
              <w:t>kezelése</w:t>
            </w:r>
          </w:p>
        </w:tc>
      </w:tr>
      <w:tr w:rsidR="00554E06" w:rsidRPr="00171E38" w14:paraId="101FE211" w14:textId="77777777" w:rsidTr="00424A82">
        <w:tc>
          <w:tcPr>
            <w:tcW w:w="992" w:type="pct"/>
          </w:tcPr>
          <w:p w14:paraId="53CF75B7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58" w:type="pct"/>
          </w:tcPr>
          <w:p w14:paraId="58E3BFD3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 mg zoledronsav</w:t>
            </w:r>
          </w:p>
        </w:tc>
        <w:tc>
          <w:tcPr>
            <w:tcW w:w="584" w:type="pct"/>
          </w:tcPr>
          <w:p w14:paraId="3442F365" w14:textId="77777777" w:rsidR="00554E06" w:rsidRPr="00171E38" w:rsidRDefault="00554E06" w:rsidP="00424A82">
            <w:pPr>
              <w:pStyle w:val="Default"/>
              <w:keepNext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pamidronát </w:t>
            </w:r>
          </w:p>
          <w:p w14:paraId="07803932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90 mg</w:t>
            </w:r>
          </w:p>
        </w:tc>
        <w:tc>
          <w:tcPr>
            <w:tcW w:w="750" w:type="pct"/>
          </w:tcPr>
          <w:p w14:paraId="5D1EDBEC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ind w:left="-109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 mg zoledronsav</w:t>
            </w:r>
          </w:p>
        </w:tc>
        <w:tc>
          <w:tcPr>
            <w:tcW w:w="584" w:type="pct"/>
          </w:tcPr>
          <w:p w14:paraId="03E7E5BF" w14:textId="77777777" w:rsidR="00554E06" w:rsidRPr="00171E38" w:rsidRDefault="00554E06" w:rsidP="00424A82">
            <w:pPr>
              <w:pStyle w:val="Default"/>
              <w:keepNext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pamidronát </w:t>
            </w:r>
          </w:p>
          <w:p w14:paraId="72659146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90 mg</w:t>
            </w:r>
          </w:p>
        </w:tc>
        <w:tc>
          <w:tcPr>
            <w:tcW w:w="750" w:type="pct"/>
          </w:tcPr>
          <w:p w14:paraId="3D830FCF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ind w:left="-109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 mg zoledronsav</w:t>
            </w:r>
          </w:p>
        </w:tc>
        <w:tc>
          <w:tcPr>
            <w:tcW w:w="583" w:type="pct"/>
          </w:tcPr>
          <w:p w14:paraId="680248E5" w14:textId="77777777" w:rsidR="00554E06" w:rsidRPr="00171E38" w:rsidRDefault="00554E06" w:rsidP="00424A82">
            <w:pPr>
              <w:pStyle w:val="Default"/>
              <w:keepNext/>
              <w:jc w:val="center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 xml:space="preserve">pamidronát </w:t>
            </w:r>
          </w:p>
          <w:p w14:paraId="3AB36B15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90 mg</w:t>
            </w:r>
          </w:p>
        </w:tc>
      </w:tr>
      <w:tr w:rsidR="00554E06" w:rsidRPr="00171E38" w14:paraId="66F0E422" w14:textId="77777777" w:rsidTr="00424A82">
        <w:tc>
          <w:tcPr>
            <w:tcW w:w="992" w:type="pct"/>
          </w:tcPr>
          <w:p w14:paraId="32306D0F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</w:t>
            </w:r>
          </w:p>
        </w:tc>
        <w:tc>
          <w:tcPr>
            <w:tcW w:w="758" w:type="pct"/>
          </w:tcPr>
          <w:p w14:paraId="06D4ABD9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561</w:t>
            </w:r>
          </w:p>
        </w:tc>
        <w:tc>
          <w:tcPr>
            <w:tcW w:w="584" w:type="pct"/>
          </w:tcPr>
          <w:p w14:paraId="27D15DAE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555</w:t>
            </w:r>
          </w:p>
        </w:tc>
        <w:tc>
          <w:tcPr>
            <w:tcW w:w="750" w:type="pct"/>
          </w:tcPr>
          <w:p w14:paraId="26039861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561</w:t>
            </w:r>
          </w:p>
        </w:tc>
        <w:tc>
          <w:tcPr>
            <w:tcW w:w="584" w:type="pct"/>
          </w:tcPr>
          <w:p w14:paraId="72F9959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555</w:t>
            </w:r>
          </w:p>
        </w:tc>
        <w:tc>
          <w:tcPr>
            <w:tcW w:w="750" w:type="pct"/>
          </w:tcPr>
          <w:p w14:paraId="6BED4960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561</w:t>
            </w:r>
          </w:p>
        </w:tc>
        <w:tc>
          <w:tcPr>
            <w:tcW w:w="583" w:type="pct"/>
          </w:tcPr>
          <w:p w14:paraId="0924E1A3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555</w:t>
            </w:r>
          </w:p>
        </w:tc>
      </w:tr>
      <w:tr w:rsidR="00554E06" w:rsidRPr="00171E38" w14:paraId="17549B4D" w14:textId="77777777" w:rsidTr="00424A82">
        <w:tc>
          <w:tcPr>
            <w:tcW w:w="992" w:type="pct"/>
          </w:tcPr>
          <w:p w14:paraId="426CD5D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Az SRE-s betegek aránya (%)</w:t>
            </w:r>
          </w:p>
        </w:tc>
        <w:tc>
          <w:tcPr>
            <w:tcW w:w="758" w:type="pct"/>
          </w:tcPr>
          <w:p w14:paraId="6454DC71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48</w:t>
            </w:r>
          </w:p>
        </w:tc>
        <w:tc>
          <w:tcPr>
            <w:tcW w:w="584" w:type="pct"/>
          </w:tcPr>
          <w:p w14:paraId="2699C97F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52</w:t>
            </w:r>
          </w:p>
        </w:tc>
        <w:tc>
          <w:tcPr>
            <w:tcW w:w="750" w:type="pct"/>
          </w:tcPr>
          <w:p w14:paraId="74D3DCEF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37</w:t>
            </w:r>
          </w:p>
        </w:tc>
        <w:tc>
          <w:tcPr>
            <w:tcW w:w="584" w:type="pct"/>
          </w:tcPr>
          <w:p w14:paraId="7ECFA7D1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39</w:t>
            </w:r>
          </w:p>
        </w:tc>
        <w:tc>
          <w:tcPr>
            <w:tcW w:w="750" w:type="pct"/>
          </w:tcPr>
          <w:p w14:paraId="7F660BCF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19</w:t>
            </w:r>
          </w:p>
        </w:tc>
        <w:tc>
          <w:tcPr>
            <w:tcW w:w="583" w:type="pct"/>
          </w:tcPr>
          <w:p w14:paraId="08E01364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24</w:t>
            </w:r>
          </w:p>
        </w:tc>
      </w:tr>
      <w:tr w:rsidR="00554E06" w:rsidRPr="00171E38" w14:paraId="5B66881A" w14:textId="77777777" w:rsidTr="00424A82">
        <w:tc>
          <w:tcPr>
            <w:tcW w:w="992" w:type="pct"/>
          </w:tcPr>
          <w:p w14:paraId="23D6A6C0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1342" w:type="pct"/>
            <w:gridSpan w:val="2"/>
          </w:tcPr>
          <w:p w14:paraId="7CC7DC0D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0,198</w:t>
            </w:r>
          </w:p>
        </w:tc>
        <w:tc>
          <w:tcPr>
            <w:tcW w:w="1333" w:type="pct"/>
            <w:gridSpan w:val="2"/>
          </w:tcPr>
          <w:p w14:paraId="1A51E9C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0,653</w:t>
            </w:r>
          </w:p>
        </w:tc>
        <w:tc>
          <w:tcPr>
            <w:tcW w:w="1333" w:type="pct"/>
            <w:gridSpan w:val="2"/>
          </w:tcPr>
          <w:p w14:paraId="5382C904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0,037</w:t>
            </w:r>
          </w:p>
        </w:tc>
      </w:tr>
      <w:tr w:rsidR="00554E06" w:rsidRPr="00171E38" w14:paraId="5AA01AEF" w14:textId="77777777" w:rsidTr="00424A82">
        <w:tc>
          <w:tcPr>
            <w:tcW w:w="992" w:type="pct"/>
          </w:tcPr>
          <w:p w14:paraId="07802BA2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Az SRE-ig eltelt medián idő (nap)</w:t>
            </w:r>
          </w:p>
        </w:tc>
        <w:tc>
          <w:tcPr>
            <w:tcW w:w="758" w:type="pct"/>
          </w:tcPr>
          <w:p w14:paraId="5B16A5B0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376</w:t>
            </w:r>
          </w:p>
        </w:tc>
        <w:tc>
          <w:tcPr>
            <w:tcW w:w="584" w:type="pct"/>
          </w:tcPr>
          <w:p w14:paraId="0EDF47D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356</w:t>
            </w:r>
          </w:p>
        </w:tc>
        <w:tc>
          <w:tcPr>
            <w:tcW w:w="750" w:type="pct"/>
          </w:tcPr>
          <w:p w14:paraId="26D433C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NÉ</w:t>
            </w:r>
          </w:p>
        </w:tc>
        <w:tc>
          <w:tcPr>
            <w:tcW w:w="584" w:type="pct"/>
          </w:tcPr>
          <w:p w14:paraId="35D38BB3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714</w:t>
            </w:r>
          </w:p>
        </w:tc>
        <w:tc>
          <w:tcPr>
            <w:tcW w:w="750" w:type="pct"/>
          </w:tcPr>
          <w:p w14:paraId="0FA3182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NÉ</w:t>
            </w:r>
          </w:p>
        </w:tc>
        <w:tc>
          <w:tcPr>
            <w:tcW w:w="583" w:type="pct"/>
          </w:tcPr>
          <w:p w14:paraId="7EE2B754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NÉ</w:t>
            </w:r>
          </w:p>
        </w:tc>
      </w:tr>
      <w:tr w:rsidR="00554E06" w:rsidRPr="00171E38" w14:paraId="6A063072" w14:textId="77777777" w:rsidTr="00424A82">
        <w:tc>
          <w:tcPr>
            <w:tcW w:w="992" w:type="pct"/>
          </w:tcPr>
          <w:p w14:paraId="4B3621C2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1342" w:type="pct"/>
            <w:gridSpan w:val="2"/>
          </w:tcPr>
          <w:p w14:paraId="76B9EEA2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0,151</w:t>
            </w:r>
          </w:p>
        </w:tc>
        <w:tc>
          <w:tcPr>
            <w:tcW w:w="1333" w:type="pct"/>
            <w:gridSpan w:val="2"/>
          </w:tcPr>
          <w:p w14:paraId="5604B0E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0,672</w:t>
            </w:r>
          </w:p>
        </w:tc>
        <w:tc>
          <w:tcPr>
            <w:tcW w:w="1333" w:type="pct"/>
            <w:gridSpan w:val="2"/>
          </w:tcPr>
          <w:p w14:paraId="0D03E8C9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0,026</w:t>
            </w:r>
          </w:p>
        </w:tc>
      </w:tr>
      <w:tr w:rsidR="00554E06" w:rsidRPr="00171E38" w14:paraId="3BB6990F" w14:textId="77777777" w:rsidTr="00424A82">
        <w:trPr>
          <w:trHeight w:val="547"/>
        </w:trPr>
        <w:tc>
          <w:tcPr>
            <w:tcW w:w="992" w:type="pct"/>
          </w:tcPr>
          <w:p w14:paraId="0A7D85E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Skeletalis morbiditási ráta</w:t>
            </w:r>
          </w:p>
        </w:tc>
        <w:tc>
          <w:tcPr>
            <w:tcW w:w="758" w:type="pct"/>
          </w:tcPr>
          <w:p w14:paraId="0C874F8E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1,04</w:t>
            </w:r>
          </w:p>
        </w:tc>
        <w:tc>
          <w:tcPr>
            <w:tcW w:w="584" w:type="pct"/>
          </w:tcPr>
          <w:p w14:paraId="3E03C37E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1,39</w:t>
            </w:r>
          </w:p>
        </w:tc>
        <w:tc>
          <w:tcPr>
            <w:tcW w:w="750" w:type="pct"/>
          </w:tcPr>
          <w:p w14:paraId="316F8880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0,53</w:t>
            </w:r>
          </w:p>
        </w:tc>
        <w:tc>
          <w:tcPr>
            <w:tcW w:w="584" w:type="pct"/>
          </w:tcPr>
          <w:p w14:paraId="1ED4542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0,60</w:t>
            </w:r>
          </w:p>
        </w:tc>
        <w:tc>
          <w:tcPr>
            <w:tcW w:w="750" w:type="pct"/>
          </w:tcPr>
          <w:p w14:paraId="52ADBBE7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0,47</w:t>
            </w:r>
          </w:p>
        </w:tc>
        <w:tc>
          <w:tcPr>
            <w:tcW w:w="583" w:type="pct"/>
          </w:tcPr>
          <w:p w14:paraId="6E0E754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0,71</w:t>
            </w:r>
          </w:p>
        </w:tc>
      </w:tr>
      <w:tr w:rsidR="00554E06" w:rsidRPr="00171E38" w14:paraId="5F3C4F27" w14:textId="77777777" w:rsidTr="00424A82">
        <w:tc>
          <w:tcPr>
            <w:tcW w:w="992" w:type="pct"/>
          </w:tcPr>
          <w:p w14:paraId="671AB3F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1342" w:type="pct"/>
            <w:gridSpan w:val="2"/>
          </w:tcPr>
          <w:p w14:paraId="067794B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0,084</w:t>
            </w:r>
          </w:p>
        </w:tc>
        <w:tc>
          <w:tcPr>
            <w:tcW w:w="1333" w:type="pct"/>
            <w:gridSpan w:val="2"/>
          </w:tcPr>
          <w:p w14:paraId="349176AB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0,614</w:t>
            </w:r>
          </w:p>
        </w:tc>
        <w:tc>
          <w:tcPr>
            <w:tcW w:w="1333" w:type="pct"/>
            <w:gridSpan w:val="2"/>
          </w:tcPr>
          <w:p w14:paraId="4B824275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0,015</w:t>
            </w:r>
          </w:p>
        </w:tc>
      </w:tr>
      <w:tr w:rsidR="00554E06" w:rsidRPr="00171E38" w14:paraId="43A51B5A" w14:textId="77777777" w:rsidTr="00424A82">
        <w:tc>
          <w:tcPr>
            <w:tcW w:w="992" w:type="pct"/>
          </w:tcPr>
          <w:p w14:paraId="27B58467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A többszörös események kockázatának csökkenése** (%)</w:t>
            </w:r>
          </w:p>
        </w:tc>
        <w:tc>
          <w:tcPr>
            <w:tcW w:w="758" w:type="pct"/>
          </w:tcPr>
          <w:p w14:paraId="79A53935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16</w:t>
            </w:r>
          </w:p>
        </w:tc>
        <w:tc>
          <w:tcPr>
            <w:tcW w:w="584" w:type="pct"/>
          </w:tcPr>
          <w:p w14:paraId="5290A5A2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-</w:t>
            </w:r>
          </w:p>
        </w:tc>
        <w:tc>
          <w:tcPr>
            <w:tcW w:w="750" w:type="pct"/>
          </w:tcPr>
          <w:p w14:paraId="122F099A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584" w:type="pct"/>
          </w:tcPr>
          <w:p w14:paraId="319012F1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750" w:type="pct"/>
          </w:tcPr>
          <w:p w14:paraId="7F3371A7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583" w:type="pct"/>
          </w:tcPr>
          <w:p w14:paraId="739C0628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</w:tr>
      <w:tr w:rsidR="00554E06" w:rsidRPr="00171E38" w14:paraId="57DCAF97" w14:textId="77777777" w:rsidTr="00424A82">
        <w:tc>
          <w:tcPr>
            <w:tcW w:w="992" w:type="pct"/>
          </w:tcPr>
          <w:p w14:paraId="3017180C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p-érték</w:t>
            </w:r>
          </w:p>
        </w:tc>
        <w:tc>
          <w:tcPr>
            <w:tcW w:w="1342" w:type="pct"/>
            <w:gridSpan w:val="2"/>
          </w:tcPr>
          <w:p w14:paraId="010261B9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0,030</w:t>
            </w:r>
          </w:p>
        </w:tc>
        <w:tc>
          <w:tcPr>
            <w:tcW w:w="1333" w:type="pct"/>
            <w:gridSpan w:val="2"/>
          </w:tcPr>
          <w:p w14:paraId="536BB61F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  <w:tc>
          <w:tcPr>
            <w:tcW w:w="1333" w:type="pct"/>
            <w:gridSpan w:val="2"/>
          </w:tcPr>
          <w:p w14:paraId="66369AC7" w14:textId="77777777" w:rsidR="00554E06" w:rsidRPr="00171E38" w:rsidRDefault="00554E06" w:rsidP="00424A82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171E38">
              <w:rPr>
                <w:szCs w:val="22"/>
                <w:lang w:val="hu-HU"/>
              </w:rPr>
              <w:t>NA</w:t>
            </w:r>
          </w:p>
        </w:tc>
      </w:tr>
    </w:tbl>
    <w:p w14:paraId="484911E4" w14:textId="77777777" w:rsidR="00554E06" w:rsidRPr="00C052E4" w:rsidRDefault="00554E06" w:rsidP="00C052E4">
      <w:pPr>
        <w:pStyle w:val="Default"/>
        <w:widowControl w:val="0"/>
        <w:suppressAutoHyphens/>
        <w:ind w:left="709" w:hanging="709"/>
        <w:rPr>
          <w:sz w:val="22"/>
          <w:szCs w:val="22"/>
        </w:rPr>
      </w:pPr>
      <w:r w:rsidRPr="00C052E4">
        <w:rPr>
          <w:sz w:val="22"/>
          <w:szCs w:val="22"/>
        </w:rPr>
        <w:t>*</w:t>
      </w:r>
      <w:r w:rsidRPr="00C052E4">
        <w:rPr>
          <w:sz w:val="22"/>
          <w:szCs w:val="22"/>
        </w:rPr>
        <w:tab/>
        <w:t>Beleértve a csigolya- és nem</w:t>
      </w:r>
      <w:r w:rsidR="00D450E6">
        <w:rPr>
          <w:sz w:val="22"/>
          <w:szCs w:val="22"/>
        </w:rPr>
        <w:t xml:space="preserve"> </w:t>
      </w:r>
      <w:r w:rsidRPr="00C052E4">
        <w:rPr>
          <w:sz w:val="22"/>
          <w:szCs w:val="22"/>
        </w:rPr>
        <w:t>csigolyafrakturákat.</w:t>
      </w:r>
    </w:p>
    <w:p w14:paraId="36403018" w14:textId="77777777" w:rsidR="00554E06" w:rsidRPr="00C052E4" w:rsidRDefault="00554E06" w:rsidP="00C052E4">
      <w:pPr>
        <w:pStyle w:val="Default"/>
        <w:widowControl w:val="0"/>
        <w:tabs>
          <w:tab w:val="left" w:pos="851"/>
        </w:tabs>
        <w:suppressAutoHyphens/>
        <w:ind w:left="708" w:hanging="708"/>
        <w:rPr>
          <w:sz w:val="22"/>
          <w:szCs w:val="22"/>
        </w:rPr>
      </w:pPr>
      <w:r w:rsidRPr="00C052E4">
        <w:rPr>
          <w:sz w:val="22"/>
          <w:szCs w:val="22"/>
        </w:rPr>
        <w:t>**</w:t>
      </w:r>
      <w:r w:rsidRPr="00C052E4">
        <w:rPr>
          <w:sz w:val="22"/>
          <w:szCs w:val="22"/>
        </w:rPr>
        <w:tab/>
        <w:t>Az összes csontrendszeri esemény (összmennyiség és az egyes eseményekig eltelt idő a vizsgálat alatt).</w:t>
      </w:r>
    </w:p>
    <w:p w14:paraId="5781E182" w14:textId="77777777" w:rsidR="00554E06" w:rsidRPr="00171E38" w:rsidRDefault="00554E06" w:rsidP="00171E38">
      <w:pPr>
        <w:pStyle w:val="Default"/>
        <w:widowControl w:val="0"/>
        <w:suppressAutoHyphens/>
        <w:ind w:left="709" w:hanging="709"/>
        <w:rPr>
          <w:sz w:val="22"/>
          <w:szCs w:val="22"/>
        </w:rPr>
      </w:pPr>
      <w:r w:rsidRPr="00171E38">
        <w:rPr>
          <w:sz w:val="22"/>
          <w:szCs w:val="22"/>
        </w:rPr>
        <w:t>NÉ</w:t>
      </w:r>
      <w:r w:rsidRPr="00171E38">
        <w:rPr>
          <w:sz w:val="22"/>
          <w:szCs w:val="22"/>
        </w:rPr>
        <w:tab/>
        <w:t>Nem érte el.</w:t>
      </w:r>
    </w:p>
    <w:p w14:paraId="2CB51B6F" w14:textId="77777777" w:rsidR="00554E06" w:rsidRPr="00171E38" w:rsidRDefault="00554E06" w:rsidP="00171E38">
      <w:pPr>
        <w:pStyle w:val="Default"/>
        <w:widowControl w:val="0"/>
        <w:suppressAutoHyphens/>
        <w:ind w:left="709" w:hanging="709"/>
        <w:rPr>
          <w:sz w:val="22"/>
          <w:szCs w:val="22"/>
        </w:rPr>
      </w:pPr>
      <w:r w:rsidRPr="00171E38">
        <w:rPr>
          <w:sz w:val="22"/>
          <w:szCs w:val="22"/>
        </w:rPr>
        <w:t>NA</w:t>
      </w:r>
      <w:r w:rsidRPr="00171E38">
        <w:rPr>
          <w:sz w:val="22"/>
          <w:szCs w:val="22"/>
        </w:rPr>
        <w:tab/>
        <w:t>Nem alkalmazható.</w:t>
      </w:r>
    </w:p>
    <w:p w14:paraId="3AEA37AF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666FD8E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4</w:t>
      </w:r>
      <w:r w:rsidR="001B2EFF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 zoledronsavat vizsgálták ezenkívül egy kettős</w:t>
      </w:r>
      <w:r w:rsidR="00054B31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vak, randomizált, placebokontrollos vizsgálatban is, amelybe 228 olyan beteget vontak be, akiknek emlőcarcinoma következtében kialakult, bizonyított csontmetasztázisuk volt. A vizsgálatban a 4 mg zoledronsavnak a csontrendszert érintő eseményekre (SRE) gyakorolt hatását vizsgálták. Az SRE arány: az SRE-k összes száma (kivéve a hypercalcaemiát, és a korábbi törésekre korrigálva) osztva a teljes kockázati időtartammal. A betegek egy éven keresztül négyhetente 4 mg zoledronsavat vagy placebót kaptak. A betegeket egyenlő arányban sorolták a zoledronsav-kezelést, illetve a placebot kapó csoportokba.</w:t>
      </w:r>
    </w:p>
    <w:p w14:paraId="781A0746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9960EB4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Az SRE arány (esemény/emberév) 0,628 volt a zoledronsav és </w:t>
      </w:r>
      <w:smartTag w:uri="urn:schemas-microsoft-com:office:smarttags" w:element="metricconverter">
        <w:smartTagPr>
          <w:attr w:name="ProductID" w:val="1,096 a"/>
        </w:smartTagPr>
        <w:r w:rsidRPr="00171E38">
          <w:rPr>
            <w:szCs w:val="22"/>
            <w:lang w:val="hu-HU" w:eastAsia="hu-HU"/>
          </w:rPr>
          <w:t>1,096 a</w:t>
        </w:r>
      </w:smartTag>
      <w:r w:rsidRPr="00171E38">
        <w:rPr>
          <w:szCs w:val="22"/>
          <w:lang w:val="hu-HU" w:eastAsia="hu-HU"/>
        </w:rPr>
        <w:t xml:space="preserve"> placebo mellett. Azon betegek aránya, akiknél legalább egy SRE fellépett (hypercalcaemia kivételével) 29,8% volt a zoledronsav-kezelést kapó csoportban, szemben a placebócsoportban mért 49,6%-kal (p=0,003). Az első SRE kialakulásáig eltelt idő mediánértékét a zoledronsav-kezelést kapó csoportban a vizsgálat végéig nem érték el, és az jelentősen hosszabb volt, mint placebo mellett (p=0,007). A 4 mg zoledronsav egy többszörös esemény elemzés alapján 41%-kal csökkentette az SRE-k kialakulásának kockázatát (kockázat arány=0,59, p=0,019) a placebóhoz viszonyítva.</w:t>
      </w:r>
    </w:p>
    <w:p w14:paraId="2CBED60D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0266F37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</w:t>
      </w:r>
      <w:r w:rsidR="00C8405A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>kezelésben részesülő csoportban a placebóhoz viszonyítva (1. ábra) a fájdalompontszámok statisztikailag szignifikáns javulását (rövid fájdalom teszttel [</w:t>
      </w:r>
      <w:r w:rsidR="0009436C">
        <w:rPr>
          <w:szCs w:val="22"/>
          <w:lang w:val="hu-HU" w:eastAsia="hu-HU"/>
        </w:rPr>
        <w:t xml:space="preserve">Brief Pain Inventory, </w:t>
      </w:r>
      <w:r w:rsidRPr="00171E38">
        <w:rPr>
          <w:szCs w:val="22"/>
          <w:lang w:val="hu-HU" w:eastAsia="hu-HU"/>
        </w:rPr>
        <w:t>BPI] mérve) a negyedik héten és a vizsgálat során minden további időpontban tapasztalták. A fájdalompontszám a zoledronsav esetében következetesen a kiindulási érték alatt volt, és a fájdalomcsökkenést az analgetikus</w:t>
      </w:r>
      <w:r w:rsidR="00054B31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pontszám csökkenése kísérte.</w:t>
      </w:r>
    </w:p>
    <w:p w14:paraId="4D855730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F6EADD9" w14:textId="77777777" w:rsidR="00554E06" w:rsidRPr="00171E38" w:rsidRDefault="00554E06" w:rsidP="00424A82">
      <w:pPr>
        <w:keepNext/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EA23D0">
        <w:rPr>
          <w:b/>
          <w:bCs/>
          <w:szCs w:val="22"/>
          <w:lang w:val="hu-HU" w:eastAsia="hu-HU"/>
        </w:rPr>
        <w:t>1. ábra: A BPI</w:t>
      </w:r>
      <w:r w:rsidR="00C8405A" w:rsidRPr="00EA23D0">
        <w:rPr>
          <w:b/>
          <w:bCs/>
          <w:szCs w:val="22"/>
          <w:lang w:val="hu-HU" w:eastAsia="hu-HU"/>
        </w:rPr>
        <w:t>-</w:t>
      </w:r>
      <w:r w:rsidRPr="00EA23D0">
        <w:rPr>
          <w:b/>
          <w:bCs/>
          <w:szCs w:val="22"/>
          <w:lang w:val="hu-HU" w:eastAsia="hu-HU"/>
        </w:rPr>
        <w:t xml:space="preserve">pontszám átlagos változása a kiindulási értékhez viszonyítva. A statisztikailag szignifikáns különbségek </w:t>
      </w:r>
      <w:r w:rsidR="0009436C" w:rsidRPr="00EA23D0">
        <w:rPr>
          <w:b/>
          <w:bCs/>
          <w:szCs w:val="22"/>
          <w:lang w:val="hu-HU" w:eastAsia="hu-HU"/>
        </w:rPr>
        <w:t>jelölve vannak</w:t>
      </w:r>
      <w:r w:rsidRPr="00EA23D0">
        <w:rPr>
          <w:b/>
          <w:bCs/>
          <w:szCs w:val="22"/>
          <w:lang w:val="hu-HU" w:eastAsia="hu-HU"/>
        </w:rPr>
        <w:t xml:space="preserve"> (*p&lt;0,05) a két kezelés (4 mg zoledronsav vs. placebo) összehasonlításának céljából.</w:t>
      </w:r>
    </w:p>
    <w:p w14:paraId="24101668" w14:textId="43080D64" w:rsidR="00554E06" w:rsidRPr="00C052E4" w:rsidRDefault="006D0311" w:rsidP="00424A82">
      <w:pPr>
        <w:keepNext/>
        <w:widowControl w:val="0"/>
        <w:suppressAutoHyphens/>
        <w:autoSpaceDE w:val="0"/>
        <w:autoSpaceDN w:val="0"/>
        <w:adjustRightInd w:val="0"/>
        <w:spacing w:line="240" w:lineRule="auto"/>
        <w:jc w:val="center"/>
        <w:rPr>
          <w:szCs w:val="22"/>
          <w:lang w:val="hu-HU" w:eastAsia="hu-HU"/>
        </w:rPr>
      </w:pPr>
      <w:r w:rsidRPr="00C052E4">
        <w:rPr>
          <w:noProof/>
          <w:szCs w:val="22"/>
          <w:lang w:val="hu-HU" w:eastAsia="hu-HU"/>
        </w:rPr>
        <w:drawing>
          <wp:inline distT="0" distB="0" distL="0" distR="0" wp14:anchorId="0AA4FFC1" wp14:editId="37188737">
            <wp:extent cx="4254500" cy="244665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84C94" w14:textId="77777777" w:rsidR="00554E06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</w:p>
    <w:p w14:paraId="42DE9777" w14:textId="77777777" w:rsidR="00C01194" w:rsidRPr="00C01194" w:rsidRDefault="00C01194" w:rsidP="00C0119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C01194">
        <w:rPr>
          <w:szCs w:val="22"/>
          <w:lang w:val="hu-HU" w:eastAsia="hu-HU"/>
        </w:rPr>
        <w:t xml:space="preserve">CZOL446EUS122/SWOG vizsgálat </w:t>
      </w:r>
    </w:p>
    <w:p w14:paraId="706597EE" w14:textId="77777777" w:rsidR="00C01194" w:rsidRPr="00C01194" w:rsidRDefault="00C01194" w:rsidP="00C0119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</w:p>
    <w:p w14:paraId="04826E4A" w14:textId="77777777" w:rsidR="00C01194" w:rsidRDefault="00C01194" w:rsidP="00C0119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C01194">
        <w:rPr>
          <w:szCs w:val="22"/>
          <w:lang w:val="hu-HU" w:eastAsia="hu-HU"/>
        </w:rPr>
        <w:t xml:space="preserve">Ebben a megfigyeléses vizsgálatban az volt az elsődleges cél, hogy megbecsüljék az állkapocs osteonecrosisának (ONJ) 3 év utáni összesített incidenciáját zoledronsavat kapó, csontáttétes </w:t>
      </w:r>
      <w:r w:rsidR="0009436C">
        <w:rPr>
          <w:szCs w:val="22"/>
          <w:lang w:val="hu-HU" w:eastAsia="hu-HU"/>
        </w:rPr>
        <w:t>rák</w:t>
      </w:r>
      <w:r w:rsidRPr="00C01194">
        <w:rPr>
          <w:szCs w:val="22"/>
          <w:lang w:val="hu-HU" w:eastAsia="hu-HU"/>
        </w:rPr>
        <w:t>betegeknél. Az osteoclastgátló terápiát, egyéb daganatellenes terápiát és a fogászati ellátást a klinikai javallatnak megfelelően végezték, hogy a lehető legjobban szimulálják az intézeti és közegészségügyi ellátást. Kiinduláskor fogászati kivizsgálást javasoltak, ám az nem volt kötelező.</w:t>
      </w:r>
    </w:p>
    <w:p w14:paraId="1ACDC4DB" w14:textId="77777777" w:rsidR="009B6A65" w:rsidRPr="00C01194" w:rsidRDefault="009B6A65" w:rsidP="00C0119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305D355" w14:textId="77777777" w:rsidR="00C01194" w:rsidRPr="00C01194" w:rsidRDefault="00C01194" w:rsidP="00C0119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C01194">
        <w:rPr>
          <w:szCs w:val="22"/>
          <w:lang w:val="hu-HU" w:eastAsia="hu-HU"/>
        </w:rPr>
        <w:t>A 3491 értékelhető beteg közül 87 esetben igazolták az ONJ diagnózisát. Összességében az igazolt ONJ becsült, kumulatív incidenciája 3 év után 2,8% volt (95%-os CI: 2,3–3,5%). Az arány 0,8% volt az 1. évben és 2,0% volt a 2. évben. A 3 év utáni, igazolt ONJ a myelomában szenvedő betegeknél volt a leggyakoribb (4,3%) és az emlőrákban szenvedő betegeknél volt a legritkább (2,4%). Az igazolt ONJ esetei statisztikailag szignifikánsan gyakoribbak voltak myeloma multiplexben szenvedő betegeknél (p=0,03), mint az összes többi daganatbetegségben együttesen.</w:t>
      </w:r>
    </w:p>
    <w:p w14:paraId="7189528C" w14:textId="77777777" w:rsidR="00C01194" w:rsidRPr="00C052E4" w:rsidRDefault="00C0119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</w:p>
    <w:p w14:paraId="3C30A990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>Gyermekek</w:t>
      </w:r>
      <w:r w:rsidR="00C01194">
        <w:rPr>
          <w:szCs w:val="22"/>
          <w:u w:val="single"/>
          <w:lang w:val="hu-HU" w:eastAsia="hu-HU"/>
        </w:rPr>
        <w:t xml:space="preserve"> és serdülők</w:t>
      </w:r>
    </w:p>
    <w:p w14:paraId="31E5D7F3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 w:rsidRPr="00171E38">
        <w:rPr>
          <w:i/>
          <w:szCs w:val="22"/>
          <w:u w:val="single"/>
          <w:lang w:val="hu-HU" w:eastAsia="hu-HU"/>
        </w:rPr>
        <w:t xml:space="preserve">A súlyos osteogenesis imperfectában szenvedő </w:t>
      </w:r>
      <w:r w:rsidRPr="00F6294A">
        <w:rPr>
          <w:i/>
          <w:szCs w:val="22"/>
          <w:u w:val="single"/>
          <w:lang w:val="hu-HU" w:eastAsia="hu-HU"/>
        </w:rPr>
        <w:t>1</w:t>
      </w:r>
      <w:r w:rsidR="001B2EFF">
        <w:rPr>
          <w:i/>
          <w:szCs w:val="22"/>
          <w:u w:val="single"/>
          <w:lang w:val="hu-HU" w:eastAsia="hu-HU"/>
        </w:rPr>
        <w:t xml:space="preserve"> és </w:t>
      </w:r>
      <w:r w:rsidR="00311123">
        <w:rPr>
          <w:i/>
          <w:szCs w:val="22"/>
          <w:u w:val="single"/>
          <w:lang w:val="hu-HU" w:eastAsia="hu-HU"/>
        </w:rPr>
        <w:t>betöltött</w:t>
      </w:r>
      <w:r w:rsidR="001C5787">
        <w:rPr>
          <w:i/>
          <w:szCs w:val="22"/>
          <w:u w:val="single"/>
          <w:lang w:val="hu-HU" w:eastAsia="hu-HU"/>
        </w:rPr>
        <w:t xml:space="preserve"> 18.</w:t>
      </w:r>
      <w:r w:rsidR="00311123">
        <w:rPr>
          <w:i/>
          <w:szCs w:val="22"/>
          <w:u w:val="single"/>
          <w:lang w:val="hu-HU" w:eastAsia="hu-HU"/>
        </w:rPr>
        <w:t xml:space="preserve"> </w:t>
      </w:r>
      <w:r w:rsidR="001B2EFF">
        <w:rPr>
          <w:i/>
          <w:szCs w:val="22"/>
          <w:u w:val="single"/>
          <w:lang w:val="hu-HU" w:eastAsia="hu-HU"/>
        </w:rPr>
        <w:t>élet</w:t>
      </w:r>
      <w:r w:rsidRPr="00171E38">
        <w:rPr>
          <w:i/>
          <w:szCs w:val="22"/>
          <w:u w:val="single"/>
          <w:lang w:val="hu-HU" w:eastAsia="hu-HU"/>
        </w:rPr>
        <w:t xml:space="preserve">év </w:t>
      </w:r>
      <w:r w:rsidR="001B2EFF">
        <w:rPr>
          <w:i/>
          <w:szCs w:val="22"/>
          <w:u w:val="single"/>
          <w:lang w:val="hu-HU" w:eastAsia="hu-HU"/>
        </w:rPr>
        <w:t xml:space="preserve">közötti </w:t>
      </w:r>
      <w:r w:rsidRPr="00171E38">
        <w:rPr>
          <w:i/>
          <w:szCs w:val="22"/>
          <w:u w:val="single"/>
          <w:lang w:val="hu-HU" w:eastAsia="hu-HU"/>
        </w:rPr>
        <w:t xml:space="preserve">gyermekek </w:t>
      </w:r>
      <w:r w:rsidR="00264FE7">
        <w:rPr>
          <w:i/>
          <w:szCs w:val="22"/>
          <w:u w:val="single"/>
          <w:lang w:val="hu-HU" w:eastAsia="hu-HU"/>
        </w:rPr>
        <w:t xml:space="preserve">és serdülők </w:t>
      </w:r>
      <w:r w:rsidRPr="00171E38">
        <w:rPr>
          <w:i/>
          <w:szCs w:val="22"/>
          <w:u w:val="single"/>
          <w:lang w:val="hu-HU" w:eastAsia="hu-HU"/>
        </w:rPr>
        <w:t>kezelése során kapott klinikai vizsgálati eredmények</w:t>
      </w:r>
    </w:p>
    <w:p w14:paraId="599A4890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0EDE9A80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Az intravénás zoledronsav súlyos </w:t>
      </w:r>
      <w:r w:rsidR="001B2EFF" w:rsidRPr="001B2EFF">
        <w:rPr>
          <w:szCs w:val="22"/>
          <w:lang w:val="hu-HU" w:eastAsia="hu-HU"/>
        </w:rPr>
        <w:t>(I-es, III-as és IV-es típus</w:t>
      </w:r>
      <w:r w:rsidR="0065190E">
        <w:rPr>
          <w:szCs w:val="22"/>
          <w:lang w:val="hu-HU" w:eastAsia="hu-HU"/>
        </w:rPr>
        <w:t>ú</w:t>
      </w:r>
      <w:r w:rsidR="001B2EFF" w:rsidRPr="001B2EFF">
        <w:rPr>
          <w:szCs w:val="22"/>
          <w:lang w:val="hu-HU" w:eastAsia="hu-HU"/>
        </w:rPr>
        <w:t>)</w:t>
      </w:r>
      <w:r w:rsidR="001B2EFF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osteogenesis imperfectában </w:t>
      </w:r>
      <w:r w:rsidR="001B2EFF">
        <w:rPr>
          <w:szCs w:val="22"/>
          <w:lang w:val="hu-HU" w:eastAsia="hu-HU"/>
        </w:rPr>
        <w:t>(</w:t>
      </w:r>
      <w:r w:rsidR="001B2EFF" w:rsidRPr="001B2EFF">
        <w:rPr>
          <w:szCs w:val="22"/>
          <w:lang w:val="hu-HU" w:eastAsia="hu-HU"/>
        </w:rPr>
        <w:t>1 és betöltött 18. életév közötti</w:t>
      </w:r>
      <w:r w:rsidR="001B2EFF">
        <w:rPr>
          <w:szCs w:val="22"/>
          <w:lang w:val="hu-HU" w:eastAsia="hu-HU"/>
        </w:rPr>
        <w:t>)</w:t>
      </w:r>
      <w:r w:rsidR="001B2EFF" w:rsidRPr="001B2EFF">
        <w:rPr>
          <w:szCs w:val="22"/>
          <w:lang w:val="hu-HU" w:eastAsia="hu-HU"/>
        </w:rPr>
        <w:t xml:space="preserve"> </w:t>
      </w:r>
      <w:r w:rsidR="00264FE7">
        <w:rPr>
          <w:szCs w:val="22"/>
          <w:lang w:val="hu-HU" w:eastAsia="hu-HU"/>
        </w:rPr>
        <w:t xml:space="preserve">gyermekek és serdülők </w:t>
      </w:r>
      <w:r w:rsidRPr="00171E38">
        <w:rPr>
          <w:szCs w:val="22"/>
          <w:lang w:val="hu-HU" w:eastAsia="hu-HU"/>
        </w:rPr>
        <w:t>esetén mutatott hatását intravénás pamidronáthoz hasonlították egy nemzetközi, multicentrikus, randomizált, nyílt vizsgálatban, terápiás csoportonként sorrendben 74 és 76 betegnél. A vizsgálat kezelési periódusa 12 hónap volt, amit egy 4-9 hetes szűrési periódus előzött meg, melynek során legalább 2 hétig D-vitamin</w:t>
      </w:r>
      <w:r w:rsidR="00D660B5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 xml:space="preserve"> és elemi kalciumpótlást kaptak. A klinikai program során az 1</w:t>
      </w:r>
      <w:r w:rsidR="00D660B5">
        <w:rPr>
          <w:szCs w:val="22"/>
          <w:lang w:val="hu-HU" w:eastAsia="hu-HU"/>
        </w:rPr>
        <w:t xml:space="preserve"> – </w:t>
      </w:r>
      <w:r w:rsidRPr="00171E38">
        <w:rPr>
          <w:szCs w:val="22"/>
          <w:lang w:val="hu-HU" w:eastAsia="hu-HU"/>
        </w:rPr>
        <w:t>&lt;</w:t>
      </w:r>
      <w:r w:rsidR="00D660B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3 éves betegek háromhavonta 0,025</w:t>
      </w:r>
      <w:r w:rsidR="001C5787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mg/ttkg zoledronsavat (legfeljebb 0,35 mg-os egyszeri maximális dózisban) a </w:t>
      </w:r>
      <w:r w:rsidRPr="00D660B5">
        <w:rPr>
          <w:szCs w:val="22"/>
          <w:lang w:val="hu-HU" w:eastAsia="hu-HU"/>
        </w:rPr>
        <w:t>3</w:t>
      </w:r>
      <w:r w:rsidR="001B2EFF">
        <w:rPr>
          <w:szCs w:val="22"/>
          <w:lang w:val="hu-HU" w:eastAsia="hu-HU"/>
        </w:rPr>
        <w:t xml:space="preserve"> és betöltött 18 életév közötti</w:t>
      </w:r>
      <w:r w:rsidRPr="00171E38">
        <w:rPr>
          <w:szCs w:val="22"/>
          <w:lang w:val="hu-HU" w:eastAsia="hu-HU"/>
        </w:rPr>
        <w:t xml:space="preserve"> betegek pedig háromhavonta 0,05 mg/ttkg zoledronsavat kaptak (legfeljebb 0,83</w:t>
      </w:r>
      <w:r w:rsidR="001C5787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mg-os egyszeri maximális dózisban). Kiterjesztéses vizsgálatot végeztek annak érdekében, hogy megállapítsák az évente egyszer vagy kétszer adagolt zoledronsav hosszú távú felhasználásának biztonságosságát mind általános szempontból, mind a veseműködésre gyakorolt hatás szempontjából. A 12 hónapig tartó kiterjesztéses időszakban olyan gyermekeket kezeltek, akik az alapvizsgálatban már részesültek egy éven keresztül zoledronsav vagy pamidronát kezelésben.</w:t>
      </w:r>
    </w:p>
    <w:p w14:paraId="0CD9E058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D803A28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vizsgálat elsődleges végpontjául a lumbális gerinc csontdenzitásának (bone mineral density, BMD) százalékos eltérése szolgált a kezelés előtti alapértékhez viszonyítva a 12 hónapig tartó kezelést követően. Bár a BMD-re gyakorolt becsült hatások hasonlóak voltak, a vizsgálat felépítése nem volt </w:t>
      </w:r>
      <w:r w:rsidR="0065190E">
        <w:rPr>
          <w:szCs w:val="22"/>
          <w:lang w:val="hu-HU" w:eastAsia="hu-HU"/>
        </w:rPr>
        <w:t>eléggé robusztus</w:t>
      </w:r>
      <w:r w:rsidRPr="00171E38">
        <w:rPr>
          <w:szCs w:val="22"/>
          <w:lang w:val="hu-HU" w:eastAsia="hu-HU"/>
        </w:rPr>
        <w:t xml:space="preserve"> annak megállapítására, hogy a zoledronsav hatásossága nem gyengébb. Főként a törés gyakoriságában és a fájdalomban mutatott hatásosságra vonatkozólag nem mutatkozott kellő bizonyíték. Súlyos osteogenesis imperfectában szenvedő, zoledronsavval kezelt betegekben az alsó végtag hosszú csontjainak törését az esetek 24%-</w:t>
      </w:r>
      <w:r w:rsidR="0065190E" w:rsidRPr="00171E38">
        <w:rPr>
          <w:szCs w:val="22"/>
          <w:lang w:val="hu-HU" w:eastAsia="hu-HU"/>
        </w:rPr>
        <w:t>áb</w:t>
      </w:r>
      <w:r w:rsidR="0065190E">
        <w:rPr>
          <w:szCs w:val="22"/>
          <w:lang w:val="hu-HU" w:eastAsia="hu-HU"/>
        </w:rPr>
        <w:t>an</w:t>
      </w:r>
      <w:r w:rsidR="0065190E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(combcsont), illetve 14%-ában (sípcsont) jelentették, a pamidronáttal kezelteknél jelentett 12%-kal és 5%-kal szemben, függetlenül a betegség típusától és az ok-okozati viszonytól, azonban az átlagos csonttörés gyakoriság a zoledronsavval</w:t>
      </w:r>
      <w:r w:rsidR="00264FE7">
        <w:rPr>
          <w:szCs w:val="22"/>
          <w:lang w:val="hu-HU" w:eastAsia="hu-HU"/>
        </w:rPr>
        <w:t xml:space="preserve"> (</w:t>
      </w:r>
      <w:r w:rsidR="00264FE7" w:rsidRPr="00171E38">
        <w:rPr>
          <w:szCs w:val="22"/>
          <w:lang w:val="hu-HU" w:eastAsia="hu-HU"/>
        </w:rPr>
        <w:t xml:space="preserve">43% </w:t>
      </w:r>
      <w:r w:rsidR="0065190E" w:rsidRPr="0058399D">
        <w:rPr>
          <w:lang w:val="hu-HU" w:eastAsia="hu-HU"/>
        </w:rPr>
        <w:t>[</w:t>
      </w:r>
      <w:r w:rsidR="00264FE7" w:rsidRPr="00171E38">
        <w:rPr>
          <w:szCs w:val="22"/>
          <w:lang w:val="hu-HU" w:eastAsia="hu-HU"/>
        </w:rPr>
        <w:t>32/74</w:t>
      </w:r>
      <w:r w:rsidR="0065190E" w:rsidRPr="0058399D">
        <w:rPr>
          <w:lang w:val="hu-HU" w:eastAsia="hu-HU"/>
        </w:rPr>
        <w:t xml:space="preserve"> ]</w:t>
      </w:r>
      <w:r w:rsidR="00264FE7">
        <w:rPr>
          <w:szCs w:val="22"/>
          <w:lang w:val="hu-HU" w:eastAsia="hu-HU"/>
        </w:rPr>
        <w:t>)</w:t>
      </w:r>
      <w:r w:rsidRPr="00171E38">
        <w:rPr>
          <w:szCs w:val="22"/>
          <w:lang w:val="hu-HU" w:eastAsia="hu-HU"/>
        </w:rPr>
        <w:t xml:space="preserve">, illetve a pamidronáttal kezelt betegek esetében </w:t>
      </w:r>
      <w:r w:rsidR="00264FE7">
        <w:rPr>
          <w:szCs w:val="22"/>
          <w:lang w:val="hu-HU" w:eastAsia="hu-HU"/>
        </w:rPr>
        <w:t>(</w:t>
      </w:r>
      <w:r w:rsidR="00264FE7" w:rsidRPr="00171E38">
        <w:rPr>
          <w:szCs w:val="22"/>
          <w:lang w:val="hu-HU" w:eastAsia="hu-HU"/>
        </w:rPr>
        <w:t xml:space="preserve">41% </w:t>
      </w:r>
      <w:r w:rsidR="0065190E" w:rsidRPr="0058399D">
        <w:rPr>
          <w:szCs w:val="22"/>
          <w:lang w:val="hu-HU" w:eastAsia="hu-HU"/>
        </w:rPr>
        <w:t>[</w:t>
      </w:r>
      <w:r w:rsidR="00264FE7" w:rsidRPr="00171E38">
        <w:rPr>
          <w:szCs w:val="22"/>
          <w:lang w:val="hu-HU" w:eastAsia="hu-HU"/>
        </w:rPr>
        <w:t>31/76</w:t>
      </w:r>
      <w:r w:rsidR="0065190E" w:rsidRPr="0058399D">
        <w:rPr>
          <w:lang w:val="hu-HU" w:eastAsia="hu-HU"/>
        </w:rPr>
        <w:t xml:space="preserve"> ]</w:t>
      </w:r>
      <w:r w:rsidR="00264FE7">
        <w:rPr>
          <w:szCs w:val="22"/>
          <w:lang w:val="hu-HU" w:eastAsia="hu-HU"/>
        </w:rPr>
        <w:t xml:space="preserve">) </w:t>
      </w:r>
      <w:r w:rsidRPr="00171E38">
        <w:rPr>
          <w:szCs w:val="22"/>
          <w:lang w:val="hu-HU" w:eastAsia="hu-HU"/>
        </w:rPr>
        <w:t xml:space="preserve">hasonló volt. A törési kockázat értékelését megnehezíti az a tény, hogy a súlyos osteogenesis imperfectában szenvedő </w:t>
      </w:r>
      <w:r w:rsidR="0065190E" w:rsidRPr="00171E38">
        <w:rPr>
          <w:szCs w:val="22"/>
          <w:lang w:val="hu-HU" w:eastAsia="hu-HU"/>
        </w:rPr>
        <w:t>betegek</w:t>
      </w:r>
      <w:r w:rsidR="0065190E">
        <w:rPr>
          <w:szCs w:val="22"/>
          <w:lang w:val="hu-HU" w:eastAsia="hu-HU"/>
        </w:rPr>
        <w:t>nél</w:t>
      </w:r>
      <w:r w:rsidR="0065190E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már a kórfolyamat következtében is gyakori a törések előfordulása.</w:t>
      </w:r>
    </w:p>
    <w:p w14:paraId="5B43CE1F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34760F0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Az ebben a populációban tapasztalt mellékhatások típusai hasonlóak voltak azokhoz a reakciókhoz, melyeket korábban a csontrendszert érintő előrehaladott rosszindulatú daganatos megbetegedésben szenvedő felnőttek esetén már megfigyeltek (lásd 4.8 pont). Az előfordulási gyakoriság szerint csoportosított mellékhatásokat a 6. táblázat szemlélteti. A következő egyezményes besorolás használatos: nagyon gyakori (≥1/10), gyakori (≥1/100 – &lt;1/10), nem gyakori (≥1/1000 –&lt;1/100), ritka (≥1/10</w:t>
      </w:r>
      <w:r w:rsidR="00EA21E0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000 –&lt;1/1000), nagyon ritka (&lt;1/10</w:t>
      </w:r>
      <w:r w:rsidR="00EA21E0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000), nem ismert (</w:t>
      </w:r>
      <w:r w:rsidR="00264FE7">
        <w:rPr>
          <w:szCs w:val="22"/>
          <w:lang w:val="hu-HU" w:eastAsia="hu-HU"/>
        </w:rPr>
        <w:t xml:space="preserve">a gyakoriság </w:t>
      </w:r>
      <w:r w:rsidRPr="00171E38">
        <w:rPr>
          <w:szCs w:val="22"/>
          <w:lang w:val="hu-HU" w:eastAsia="hu-HU"/>
        </w:rPr>
        <w:t>a rendelkezésre álló adatokból nem állapítható meg).</w:t>
      </w:r>
    </w:p>
    <w:p w14:paraId="745EC3AE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285EB03" w14:textId="77777777" w:rsidR="00554E06" w:rsidRPr="00EA23D0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hu-HU"/>
        </w:rPr>
      </w:pPr>
      <w:r w:rsidRPr="00EA23D0">
        <w:rPr>
          <w:b/>
          <w:bCs/>
          <w:szCs w:val="22"/>
          <w:lang w:val="hu-HU" w:eastAsia="hu-HU"/>
        </w:rPr>
        <w:t xml:space="preserve">6. táblázat: Súlyos osteogenesis imperfectában szenvedő </w:t>
      </w:r>
      <w:r w:rsidR="0065190E" w:rsidRPr="00EA23D0">
        <w:rPr>
          <w:b/>
          <w:bCs/>
          <w:szCs w:val="22"/>
          <w:lang w:val="hu-HU" w:eastAsia="hu-HU"/>
        </w:rPr>
        <w:t>gyermek- és serdülőkorú betegeknél</w:t>
      </w:r>
      <w:r w:rsidRPr="00EA23D0">
        <w:rPr>
          <w:b/>
          <w:bCs/>
          <w:szCs w:val="22"/>
          <w:lang w:val="hu-HU" w:eastAsia="hu-HU"/>
        </w:rPr>
        <w:t xml:space="preserve"> megfigyelt mellékhatások</w:t>
      </w:r>
      <w:r w:rsidRPr="00EA23D0">
        <w:rPr>
          <w:b/>
          <w:bCs/>
          <w:szCs w:val="22"/>
          <w:vertAlign w:val="superscript"/>
          <w:lang w:val="hu-HU" w:eastAsia="hu-HU"/>
        </w:rPr>
        <w:t>1</w:t>
      </w:r>
    </w:p>
    <w:p w14:paraId="1695B539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7"/>
        <w:gridCol w:w="2999"/>
        <w:gridCol w:w="3034"/>
      </w:tblGrid>
      <w:tr w:rsidR="00554E06" w:rsidRPr="00171E38" w14:paraId="46A70FF6" w14:textId="77777777" w:rsidTr="007A1A9A">
        <w:tc>
          <w:tcPr>
            <w:tcW w:w="3070" w:type="dxa"/>
          </w:tcPr>
          <w:p w14:paraId="08560B2D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bCs/>
                <w:iCs/>
                <w:sz w:val="22"/>
                <w:szCs w:val="22"/>
              </w:rPr>
              <w:t>Idegrendszeri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67F76B0D" w14:textId="77777777" w:rsidR="00554E06" w:rsidRPr="00171E38" w:rsidRDefault="00554E06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19D2CA49" w14:textId="77777777" w:rsidR="00554E06" w:rsidRPr="00171E38" w:rsidRDefault="00554E06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Fejfájás</w:t>
            </w:r>
          </w:p>
        </w:tc>
      </w:tr>
      <w:tr w:rsidR="00554E06" w:rsidRPr="00171E38" w14:paraId="1B09B0F6" w14:textId="77777777" w:rsidTr="007A1A9A">
        <w:tc>
          <w:tcPr>
            <w:tcW w:w="3070" w:type="dxa"/>
          </w:tcPr>
          <w:p w14:paraId="121C281D" w14:textId="77777777" w:rsidR="00554E06" w:rsidRPr="00C052E4" w:rsidRDefault="00554E06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Cs/>
                <w:i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5D3B888C" w14:textId="77777777" w:rsidR="00554E06" w:rsidRPr="00C052E4" w:rsidRDefault="00554E06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4FF23C8C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Tachycardia</w:t>
            </w:r>
          </w:p>
        </w:tc>
      </w:tr>
      <w:tr w:rsidR="00554E06" w:rsidRPr="00171E38" w14:paraId="690F14E8" w14:textId="77777777" w:rsidTr="007A1A9A">
        <w:tc>
          <w:tcPr>
            <w:tcW w:w="3070" w:type="dxa"/>
          </w:tcPr>
          <w:p w14:paraId="5DD688A2" w14:textId="77777777" w:rsidR="00554E06" w:rsidRPr="00171E38" w:rsidRDefault="00554E06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Cs/>
                <w:i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0A44A2B2" w14:textId="77777777" w:rsidR="00554E06" w:rsidRPr="00171E38" w:rsidRDefault="00554E06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0622331A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Nasopharyngitis</w:t>
            </w:r>
          </w:p>
        </w:tc>
      </w:tr>
      <w:tr w:rsidR="00554E06" w:rsidRPr="00171E38" w14:paraId="6F5F8C05" w14:textId="77777777" w:rsidTr="007A1A9A">
        <w:tc>
          <w:tcPr>
            <w:tcW w:w="3070" w:type="dxa"/>
          </w:tcPr>
          <w:p w14:paraId="02A1E56C" w14:textId="77777777" w:rsidR="00554E06" w:rsidRPr="00C052E4" w:rsidRDefault="00554E06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Cs/>
                <w:iCs/>
                <w:sz w:val="22"/>
                <w:szCs w:val="22"/>
              </w:rPr>
              <w:t>Emésztőrendszeri betegségek és tünetek</w:t>
            </w:r>
          </w:p>
        </w:tc>
        <w:tc>
          <w:tcPr>
            <w:tcW w:w="3070" w:type="dxa"/>
            <w:tcBorders>
              <w:right w:val="nil"/>
            </w:tcBorders>
          </w:tcPr>
          <w:p w14:paraId="17EB0B3F" w14:textId="77777777" w:rsidR="00554E06" w:rsidRPr="00C052E4" w:rsidRDefault="00554E06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Nagyon gyakori:</w:t>
            </w:r>
          </w:p>
          <w:p w14:paraId="2F1B2D68" w14:textId="77777777" w:rsidR="00554E06" w:rsidRPr="00171E38" w:rsidRDefault="00554E06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40A9BE21" w14:textId="77777777" w:rsidR="00554E06" w:rsidRPr="00171E38" w:rsidRDefault="00554E06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Hányás, hányinger</w:t>
            </w:r>
          </w:p>
          <w:p w14:paraId="4AEFDF8A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Hasi fájdalom</w:t>
            </w:r>
          </w:p>
        </w:tc>
      </w:tr>
      <w:tr w:rsidR="00554E06" w:rsidRPr="0080144C" w14:paraId="0EAABA27" w14:textId="77777777" w:rsidTr="007A1A9A">
        <w:tc>
          <w:tcPr>
            <w:tcW w:w="3070" w:type="dxa"/>
          </w:tcPr>
          <w:p w14:paraId="3F8B8252" w14:textId="77777777" w:rsidR="00554E06" w:rsidRPr="00C052E4" w:rsidRDefault="00554E06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Cs/>
                <w:iCs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3070" w:type="dxa"/>
            <w:tcBorders>
              <w:right w:val="nil"/>
            </w:tcBorders>
          </w:tcPr>
          <w:p w14:paraId="661349D8" w14:textId="77777777" w:rsidR="00554E06" w:rsidRPr="00C052E4" w:rsidRDefault="00554E06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0D04DD4E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Végtagfájdalom, ízületi fájdalom, csont- és izomfájdalom</w:t>
            </w:r>
          </w:p>
        </w:tc>
      </w:tr>
      <w:tr w:rsidR="00554E06" w:rsidRPr="0080144C" w14:paraId="636763EC" w14:textId="77777777" w:rsidTr="007A1A9A">
        <w:tc>
          <w:tcPr>
            <w:tcW w:w="3070" w:type="dxa"/>
          </w:tcPr>
          <w:p w14:paraId="46B42237" w14:textId="77777777" w:rsidR="00554E06" w:rsidRPr="00C052E4" w:rsidRDefault="00554E06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Cs/>
                <w:i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3070" w:type="dxa"/>
            <w:tcBorders>
              <w:right w:val="nil"/>
            </w:tcBorders>
          </w:tcPr>
          <w:p w14:paraId="07916CBA" w14:textId="77777777" w:rsidR="00554E06" w:rsidRPr="00C052E4" w:rsidRDefault="00554E06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Nagyon gyakori:</w:t>
            </w:r>
          </w:p>
          <w:p w14:paraId="7104DFC1" w14:textId="77777777" w:rsidR="00554E06" w:rsidRPr="00171E38" w:rsidRDefault="00554E06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6308D431" w14:textId="77777777" w:rsidR="00554E06" w:rsidRPr="00171E38" w:rsidRDefault="00554E06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Láz, kimerültség</w:t>
            </w:r>
          </w:p>
          <w:p w14:paraId="64C136FD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Akut fázis reakció, fájdalom</w:t>
            </w:r>
          </w:p>
        </w:tc>
      </w:tr>
      <w:tr w:rsidR="00554E06" w:rsidRPr="00171E38" w14:paraId="095C08EE" w14:textId="77777777" w:rsidTr="007A1A9A">
        <w:tc>
          <w:tcPr>
            <w:tcW w:w="3070" w:type="dxa"/>
          </w:tcPr>
          <w:p w14:paraId="107130AD" w14:textId="77777777" w:rsidR="00554E06" w:rsidRPr="00C052E4" w:rsidRDefault="00554E06" w:rsidP="00C052E4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C052E4">
              <w:rPr>
                <w:bCs/>
                <w:i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3070" w:type="dxa"/>
            <w:tcBorders>
              <w:right w:val="nil"/>
            </w:tcBorders>
          </w:tcPr>
          <w:p w14:paraId="61650B74" w14:textId="77777777" w:rsidR="00554E06" w:rsidRPr="00C052E4" w:rsidRDefault="00554E06" w:rsidP="00C052E4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C052E4">
              <w:rPr>
                <w:szCs w:val="22"/>
                <w:lang w:val="hu-HU" w:eastAsia="hu-HU"/>
              </w:rPr>
              <w:t>Nagyon gyakori:</w:t>
            </w:r>
          </w:p>
          <w:p w14:paraId="7C753A3A" w14:textId="77777777" w:rsidR="00554E06" w:rsidRPr="00171E38" w:rsidRDefault="00554E06" w:rsidP="00171E38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 w:eastAsia="hu-HU"/>
              </w:rPr>
            </w:pPr>
            <w:r w:rsidRPr="00171E38">
              <w:rPr>
                <w:szCs w:val="22"/>
                <w:lang w:val="hu-HU" w:eastAsia="hu-HU"/>
              </w:rPr>
              <w:t>Gyakori:</w:t>
            </w:r>
          </w:p>
        </w:tc>
        <w:tc>
          <w:tcPr>
            <w:tcW w:w="3070" w:type="dxa"/>
            <w:tcBorders>
              <w:left w:val="nil"/>
            </w:tcBorders>
          </w:tcPr>
          <w:p w14:paraId="3847C226" w14:textId="77777777" w:rsidR="00554E06" w:rsidRPr="00171E38" w:rsidRDefault="00554E06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Hypocalcaemia</w:t>
            </w:r>
          </w:p>
          <w:p w14:paraId="33F0080B" w14:textId="77777777" w:rsidR="00554E06" w:rsidRPr="00171E38" w:rsidRDefault="00554E06" w:rsidP="00171E38">
            <w:pPr>
              <w:pStyle w:val="Default"/>
              <w:rPr>
                <w:sz w:val="22"/>
                <w:szCs w:val="22"/>
              </w:rPr>
            </w:pPr>
            <w:r w:rsidRPr="00171E38">
              <w:rPr>
                <w:sz w:val="22"/>
                <w:szCs w:val="22"/>
              </w:rPr>
              <w:t>Hypophosphataemia</w:t>
            </w:r>
          </w:p>
          <w:p w14:paraId="1A71587A" w14:textId="77777777" w:rsidR="00554E06" w:rsidRPr="00171E38" w:rsidRDefault="00554E06" w:rsidP="00171E38">
            <w:pPr>
              <w:pStyle w:val="Defaul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2ACF4650" w14:textId="77777777" w:rsidR="00554E06" w:rsidRPr="00171E38" w:rsidRDefault="00554E06" w:rsidP="00C052E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vertAlign w:val="superscript"/>
          <w:lang w:val="hu-HU" w:eastAsia="hu-HU"/>
        </w:rPr>
        <w:t>1</w:t>
      </w:r>
      <w:r w:rsidRPr="00171E38">
        <w:rPr>
          <w:szCs w:val="22"/>
          <w:lang w:val="hu-HU" w:eastAsia="hu-HU"/>
        </w:rPr>
        <w:t xml:space="preserve"> Az 5%-nál kisebb gyakorisággal előforduló </w:t>
      </w:r>
      <w:r w:rsidR="0065190E">
        <w:rPr>
          <w:szCs w:val="22"/>
          <w:lang w:val="hu-HU" w:eastAsia="hu-HU"/>
        </w:rPr>
        <w:t>nemkívánatos hatások</w:t>
      </w:r>
      <w:r w:rsidR="0065190E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orvosi értékelése azt mutatja, hogy ezek az esetek </w:t>
      </w:r>
      <w:r w:rsidR="0065190E">
        <w:rPr>
          <w:szCs w:val="22"/>
          <w:lang w:val="hu-HU" w:eastAsia="hu-HU"/>
        </w:rPr>
        <w:t>konzisztensek</w:t>
      </w:r>
      <w:r w:rsidR="0065190E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a zoledronsav általános biztonságossági </w:t>
      </w:r>
      <w:r w:rsidR="0065190E" w:rsidRPr="00171E38">
        <w:rPr>
          <w:szCs w:val="22"/>
          <w:lang w:val="hu-HU" w:eastAsia="hu-HU"/>
        </w:rPr>
        <w:t>profiljá</w:t>
      </w:r>
      <w:r w:rsidR="0065190E">
        <w:rPr>
          <w:szCs w:val="22"/>
          <w:lang w:val="hu-HU" w:eastAsia="hu-HU"/>
        </w:rPr>
        <w:t>val</w:t>
      </w:r>
      <w:r w:rsidR="0065190E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(lásd 4.8 pont).</w:t>
      </w:r>
    </w:p>
    <w:p w14:paraId="6CC93936" w14:textId="77777777" w:rsidR="00554E06" w:rsidRPr="00171E38" w:rsidRDefault="00554E06" w:rsidP="00C052E4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EA4B7C3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súlyos osteogenesis imperfectában szenvedő gyermekgyógyászati betegek esetén a zoledronsav-kezelés fokozottabb kockázatot jelent az akut fázis reakció, a hypocalcaemia és az ismeretlen eredetű tachycardia kialakulására, mint a pamidronát</w:t>
      </w:r>
      <w:r w:rsidR="004F32FD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>kezelés, de ez a különbség ismételt infúziót követően csökkent.</w:t>
      </w:r>
    </w:p>
    <w:p w14:paraId="102AAA74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FD9EC4C" w14:textId="77777777" w:rsidR="00554E06" w:rsidRPr="00171E38" w:rsidRDefault="00554E0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Az Európai Gyógyszerügynökség a </w:t>
      </w:r>
      <w:r w:rsidR="00264FE7" w:rsidRPr="00CF4DC9">
        <w:rPr>
          <w:lang w:val="hu-HU"/>
        </w:rPr>
        <w:t xml:space="preserve">gyermekek esetén minden korosztálynál </w:t>
      </w:r>
      <w:r w:rsidRPr="00171E38">
        <w:rPr>
          <w:szCs w:val="22"/>
          <w:lang w:val="hu-HU" w:eastAsia="hu-HU"/>
        </w:rPr>
        <w:t>eltekint a zoledronsav</w:t>
      </w:r>
      <w:r w:rsidR="0065190E">
        <w:rPr>
          <w:szCs w:val="22"/>
          <w:lang w:val="hu-HU" w:eastAsia="hu-HU"/>
        </w:rPr>
        <w:t>at tartalmazó referencia gyógyszer</w:t>
      </w:r>
      <w:r w:rsidRPr="00171E38">
        <w:rPr>
          <w:szCs w:val="22"/>
          <w:lang w:val="hu-HU" w:eastAsia="hu-HU"/>
        </w:rPr>
        <w:t xml:space="preserve"> vizsgálati eredményeinek benyújtási kötelezettségétől tumor indukálta hypercalcaemia kezelésében és előrehaladott, csontot is involváló, rosszindulatú daganatos betegségekben szenvedő betegek csontrendszert érintő eseményeinek megelőzésében (lásd 4.2 pont, gyermekgyógyászati alkalmazásra vonatkozó információk).</w:t>
      </w:r>
    </w:p>
    <w:p w14:paraId="764AF660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</w:p>
    <w:p w14:paraId="34DAA7C1" w14:textId="77777777" w:rsidR="009C239D" w:rsidRPr="00171E38" w:rsidRDefault="001B0D69" w:rsidP="00171E38">
      <w:pPr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CalciviD</w:t>
      </w:r>
      <w:r w:rsidR="004022A5" w:rsidRPr="00171E38">
        <w:rPr>
          <w:szCs w:val="22"/>
          <w:u w:val="single"/>
          <w:lang w:val="hu-HU"/>
        </w:rPr>
        <w:t>:</w:t>
      </w:r>
    </w:p>
    <w:p w14:paraId="436259BA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</w:p>
    <w:p w14:paraId="2F18FA68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kalcium és D</w:t>
      </w:r>
      <w:r w:rsidRPr="00171E38">
        <w:rPr>
          <w:szCs w:val="22"/>
          <w:vertAlign w:val="subscript"/>
          <w:lang w:val="hu-HU"/>
        </w:rPr>
        <w:t>3</w:t>
      </w:r>
      <w:r w:rsidRPr="00171E38">
        <w:rPr>
          <w:szCs w:val="22"/>
          <w:lang w:val="hu-HU"/>
        </w:rPr>
        <w:t>-vitamin adagolás ellensúlyozza a parathormon (PTH) kalciumhiány okozta termelés-növekedését, amely megnövekedett csontreszorpcióhoz vezet. A D-vitamin növeli a kalcium intestinalis felszívódását.</w:t>
      </w:r>
    </w:p>
    <w:p w14:paraId="6C4B2658" w14:textId="77777777" w:rsidR="00133016" w:rsidRPr="00171E38" w:rsidRDefault="00133016" w:rsidP="00171E38">
      <w:pPr>
        <w:spacing w:line="240" w:lineRule="auto"/>
        <w:rPr>
          <w:szCs w:val="22"/>
          <w:lang w:val="hu-HU"/>
        </w:rPr>
      </w:pPr>
    </w:p>
    <w:p w14:paraId="1A0AF183" w14:textId="77777777" w:rsidR="008664F0" w:rsidRPr="00171E38" w:rsidRDefault="008664F0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u w:val="single"/>
          <w:lang w:val="hu-HU"/>
        </w:rPr>
        <w:t>Klinikai hatásosság és biztonságosság</w:t>
      </w:r>
    </w:p>
    <w:p w14:paraId="30DFE5AA" w14:textId="77777777" w:rsidR="008664F0" w:rsidRPr="00171E38" w:rsidRDefault="008664F0" w:rsidP="00171E38">
      <w:pPr>
        <w:spacing w:line="240" w:lineRule="auto"/>
        <w:rPr>
          <w:szCs w:val="22"/>
          <w:lang w:val="hu-HU"/>
        </w:rPr>
      </w:pPr>
    </w:p>
    <w:p w14:paraId="187A71A5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Egy intézményben ápolt D-vitaminhiányos betegek körében végzett klinikai vizsgálat azt mutatta, hogy napi két 500 mg kalciumot és 400 NE D</w:t>
      </w:r>
      <w:r w:rsidRPr="00171E38">
        <w:rPr>
          <w:szCs w:val="22"/>
          <w:vertAlign w:val="subscript"/>
          <w:lang w:val="hu-HU"/>
        </w:rPr>
        <w:t>3</w:t>
      </w:r>
      <w:r w:rsidRPr="00171E38">
        <w:rPr>
          <w:szCs w:val="22"/>
          <w:lang w:val="hu-HU"/>
        </w:rPr>
        <w:t>-vitamint tartalmazó tabletta 6 hónapon át történő szedése normalizálta a D</w:t>
      </w:r>
      <w:r w:rsidRPr="00171E38">
        <w:rPr>
          <w:szCs w:val="22"/>
          <w:vertAlign w:val="subscript"/>
          <w:lang w:val="hu-HU"/>
        </w:rPr>
        <w:t>3</w:t>
      </w:r>
      <w:r w:rsidRPr="00171E38">
        <w:rPr>
          <w:szCs w:val="22"/>
          <w:lang w:val="hu-HU"/>
        </w:rPr>
        <w:t>-vitamin 25-hidroxilezett metabolitjának plazmaszintjét, enyhítette a szekunder hyperparathyreosist és csökkentette az alkalikusfoszfatáz</w:t>
      </w:r>
      <w:r w:rsidR="00F55813">
        <w:rPr>
          <w:szCs w:val="22"/>
          <w:lang w:val="hu-HU"/>
        </w:rPr>
        <w:t>-</w:t>
      </w:r>
      <w:r w:rsidRPr="00171E38">
        <w:rPr>
          <w:szCs w:val="22"/>
          <w:lang w:val="hu-HU"/>
        </w:rPr>
        <w:t>szintet.</w:t>
      </w:r>
    </w:p>
    <w:p w14:paraId="2C6673FA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</w:p>
    <w:p w14:paraId="717BF7AA" w14:textId="77777777" w:rsidR="009C239D" w:rsidRPr="00171E38" w:rsidRDefault="009C239D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Egy 18 hónapos kettős</w:t>
      </w:r>
      <w:r w:rsidR="003274D8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vak, placebokontrollos, 3270 intézményben ápolt, 84</w:t>
      </w:r>
      <w:r w:rsidRPr="00C052E4">
        <w:rPr>
          <w:szCs w:val="22"/>
          <w:lang w:val="hu-HU"/>
        </w:rPr>
        <w:sym w:font="Symbol" w:char="F0B1"/>
      </w:r>
      <w:r w:rsidRPr="00C052E4">
        <w:rPr>
          <w:szCs w:val="22"/>
          <w:lang w:val="hu-HU"/>
        </w:rPr>
        <w:t>6 éves nő bevonásával végzett vizsgálat során a résztvevők 800 NE/nap D-vitamint és 1200 mg/nap elemi kalciumnak megfelelő kalcium-foszfátot kaptak, amelynek következtében, szignifikánsan csökkent a PTH-szekréció. A 18 hónapos kezelés után végzett „intent-to treat” analízis alapján 80 csípőcsont</w:t>
      </w:r>
      <w:r w:rsidRPr="00171E38">
        <w:rPr>
          <w:szCs w:val="22"/>
          <w:lang w:val="hu-HU"/>
        </w:rPr>
        <w:t>törést találtak a kalcium-D-vitaminnal kezelt és 110 törést a placebo csoportban (p = 0,004). A 36 hónapos követéses vizsgálat után a kezelt csoportból 137 nő esetében (n = 1176), míg a placebo csoportból 178</w:t>
      </w:r>
      <w:r w:rsidR="0068330C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fő esetében (n = 1127) regisztráltak legalább egy csípőcsonttörést (p &lt; 0,02).</w:t>
      </w:r>
    </w:p>
    <w:p w14:paraId="3BD9174A" w14:textId="77777777" w:rsidR="003F5B2E" w:rsidRPr="00171E38" w:rsidRDefault="003F5B2E" w:rsidP="00171E38">
      <w:pPr>
        <w:spacing w:line="240" w:lineRule="auto"/>
        <w:rPr>
          <w:szCs w:val="22"/>
          <w:lang w:val="hu-HU"/>
        </w:rPr>
      </w:pPr>
    </w:p>
    <w:p w14:paraId="125F4655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5.2</w:t>
      </w:r>
      <w:r w:rsidR="004B6D51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Farmakokinetikai tulajdonságok</w:t>
      </w:r>
    </w:p>
    <w:p w14:paraId="6C19D330" w14:textId="77777777" w:rsidR="00C64C60" w:rsidRPr="00171E38" w:rsidRDefault="00C64C60" w:rsidP="00171E38">
      <w:pPr>
        <w:spacing w:line="240" w:lineRule="auto"/>
        <w:outlineLvl w:val="0"/>
        <w:rPr>
          <w:szCs w:val="22"/>
          <w:lang w:val="hu-HU"/>
        </w:rPr>
      </w:pPr>
    </w:p>
    <w:p w14:paraId="35C7CE00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>Zoledronsav</w:t>
      </w:r>
    </w:p>
    <w:p w14:paraId="4D36AFB0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Az alábbi farmakokinetikai adatokat (melyeket nem találtak dózisfüggőnek) 64, csontmetasztázisban szenvedő beteg 2, 4, 8 és 16 mg zoledronsav egyszeri és többszöri, 5 és 15 perces infúziós kezelése szolgáltatta.</w:t>
      </w:r>
    </w:p>
    <w:p w14:paraId="45FEDD09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D7283E6" w14:textId="77777777" w:rsidR="0036517A" w:rsidRPr="0036517A" w:rsidRDefault="00A47769" w:rsidP="0036517A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zoledronsav infúzió megkezdését követően a zoledronsav plazmakoncentrációja gyorsan emelkedett és </w:t>
      </w:r>
      <w:r w:rsidR="0065190E">
        <w:rPr>
          <w:szCs w:val="22"/>
          <w:lang w:val="hu-HU" w:eastAsia="hu-HU"/>
        </w:rPr>
        <w:t xml:space="preserve">az infúzió beadásának végére </w:t>
      </w:r>
      <w:r w:rsidRPr="00171E38">
        <w:rPr>
          <w:szCs w:val="22"/>
          <w:lang w:val="hu-HU" w:eastAsia="hu-HU"/>
        </w:rPr>
        <w:t>elérte a csúcskoncentrációt</w:t>
      </w:r>
      <w:r w:rsidR="0065190E">
        <w:rPr>
          <w:szCs w:val="22"/>
          <w:lang w:val="hu-HU" w:eastAsia="hu-HU"/>
        </w:rPr>
        <w:t>. E</w:t>
      </w:r>
      <w:r w:rsidR="0065190E" w:rsidRPr="00171E38">
        <w:rPr>
          <w:szCs w:val="22"/>
          <w:lang w:val="hu-HU" w:eastAsia="hu-HU"/>
        </w:rPr>
        <w:t xml:space="preserve">zt </w:t>
      </w:r>
      <w:r w:rsidRPr="00171E38">
        <w:rPr>
          <w:szCs w:val="22"/>
          <w:lang w:val="hu-HU" w:eastAsia="hu-HU"/>
        </w:rPr>
        <w:t>gyors csökkenés követte</w:t>
      </w:r>
      <w:r w:rsidR="0065190E">
        <w:rPr>
          <w:szCs w:val="22"/>
          <w:lang w:val="hu-HU" w:eastAsia="hu-HU"/>
        </w:rPr>
        <w:t>, 4</w:t>
      </w:r>
      <w:r w:rsidR="0036517A">
        <w:rPr>
          <w:szCs w:val="22"/>
          <w:lang w:val="hu-HU" w:eastAsia="hu-HU"/>
        </w:rPr>
        <w:t> </w:t>
      </w:r>
      <w:r w:rsidR="0065190E">
        <w:rPr>
          <w:szCs w:val="22"/>
          <w:lang w:val="hu-HU" w:eastAsia="hu-HU"/>
        </w:rPr>
        <w:t>óra elteltével</w:t>
      </w:r>
      <w:r w:rsidR="00081E65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a csúcskoncentráció</w:t>
      </w:r>
      <w:r w:rsidR="0065190E">
        <w:rPr>
          <w:szCs w:val="22"/>
          <w:lang w:val="hu-HU" w:eastAsia="hu-HU"/>
        </w:rPr>
        <w:t>nak már csak</w:t>
      </w:r>
      <w:r w:rsidRPr="00171E38">
        <w:rPr>
          <w:szCs w:val="22"/>
          <w:lang w:val="hu-HU" w:eastAsia="hu-HU"/>
        </w:rPr>
        <w:t xml:space="preserve"> &lt;10%-</w:t>
      </w:r>
      <w:r w:rsidR="0065190E">
        <w:rPr>
          <w:szCs w:val="22"/>
          <w:lang w:val="hu-HU" w:eastAsia="hu-HU"/>
        </w:rPr>
        <w:t>a</w:t>
      </w:r>
      <w:r w:rsidRPr="00171E38">
        <w:rPr>
          <w:szCs w:val="22"/>
          <w:lang w:val="hu-HU" w:eastAsia="hu-HU"/>
        </w:rPr>
        <w:t xml:space="preserve">, </w:t>
      </w:r>
      <w:r w:rsidR="0065190E">
        <w:rPr>
          <w:szCs w:val="22"/>
          <w:lang w:val="hu-HU" w:eastAsia="hu-HU"/>
        </w:rPr>
        <w:t xml:space="preserve">24 óra elteltével pedig már csak </w:t>
      </w:r>
      <w:r w:rsidRPr="00171E38">
        <w:rPr>
          <w:szCs w:val="22"/>
          <w:lang w:val="hu-HU" w:eastAsia="hu-HU"/>
        </w:rPr>
        <w:t xml:space="preserve">&lt;1%-a </w:t>
      </w:r>
      <w:r w:rsidR="0036517A">
        <w:rPr>
          <w:szCs w:val="22"/>
          <w:lang w:val="hu-HU" w:eastAsia="hu-HU"/>
        </w:rPr>
        <w:t>volt kimutatható</w:t>
      </w:r>
      <w:r w:rsidRPr="00171E38">
        <w:rPr>
          <w:szCs w:val="22"/>
          <w:lang w:val="hu-HU" w:eastAsia="hu-HU"/>
        </w:rPr>
        <w:t xml:space="preserve">, majd </w:t>
      </w:r>
      <w:r w:rsidR="0036517A" w:rsidRPr="0036517A">
        <w:rPr>
          <w:szCs w:val="22"/>
          <w:lang w:val="hu-HU" w:eastAsia="hu-HU"/>
        </w:rPr>
        <w:t>egy hosszú időszak következett, melynek során a mért koncentrációk nagyon alacsonyak voltak és a 28. napon beadott második zoledronsav infúziót megelőzően nem haladták meg a csúcskoncentráció 0,1%-át.</w:t>
      </w:r>
    </w:p>
    <w:p w14:paraId="0D3B0266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2BD7AF7D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Az intravenásan beadott zoledronsav három fázisban eliminálódik: a szisztémás keringésből gyors bifázisos jelleggel tűnik el, a felezési idő t</w:t>
      </w:r>
      <w:r w:rsidRPr="00424A82">
        <w:rPr>
          <w:szCs w:val="22"/>
          <w:vertAlign w:val="subscript"/>
          <w:lang w:val="hu-HU"/>
        </w:rPr>
        <w:t>½α</w:t>
      </w:r>
      <w:r w:rsidRPr="00424A82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0,24 és t</w:t>
      </w:r>
      <w:r w:rsidRPr="00424A82">
        <w:rPr>
          <w:szCs w:val="22"/>
          <w:vertAlign w:val="subscript"/>
          <w:lang w:val="hu-HU"/>
        </w:rPr>
        <w:t>½β</w:t>
      </w:r>
      <w:r w:rsidRPr="00424A82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1,87 óra, melyet hosszú eliminációs fázis követ, ahol a terminális felezési idő, t</w:t>
      </w:r>
      <w:r w:rsidRPr="00424A82">
        <w:rPr>
          <w:szCs w:val="22"/>
          <w:vertAlign w:val="subscript"/>
          <w:lang w:val="hu-HU"/>
        </w:rPr>
        <w:t>½γ</w:t>
      </w:r>
      <w:r w:rsidRPr="00424A82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pedig 146 óra. A zoledronsav a plazmában nem akkumulálódik a 28 naponta adott ismételt adagok után sem. A z</w:t>
      </w:r>
      <w:r w:rsidRPr="00171E38">
        <w:rPr>
          <w:szCs w:val="22"/>
          <w:lang w:val="hu-HU" w:eastAsia="hu-HU"/>
        </w:rPr>
        <w:t xml:space="preserve">oledronsav </w:t>
      </w:r>
      <w:r w:rsidRPr="00171E38">
        <w:rPr>
          <w:szCs w:val="22"/>
          <w:lang w:val="hu-HU"/>
        </w:rPr>
        <w:t xml:space="preserve">nem metabolizálódik, változatlanul ürül ki a vesén keresztül. Az első 24 órában a bevitt adag 39 </w:t>
      </w:r>
      <w:r w:rsidR="0036517A" w:rsidRPr="0036517A">
        <w:rPr>
          <w:szCs w:val="22"/>
          <w:lang w:val="hu-HU"/>
        </w:rPr>
        <w:t>± </w:t>
      </w:r>
      <w:r w:rsidRPr="00171E38">
        <w:rPr>
          <w:szCs w:val="22"/>
          <w:lang w:val="hu-HU"/>
        </w:rPr>
        <w:t>16%-a ürül ki a vizelettel, míg a többi elsősorban a csontszövethez kötődik. A csontszövetből nagyon lassan szabadul fel és kerül a szisztémás keringésbe, majd a vesén keresztül ürül ki. A teljes test clearance 5,04 ± 2,5 l/óra, függetlenül az alkalmazott adagtól, nemtől, kortól, rassztól és testtömegtől. Az infúziós idő 5-ről 15</w:t>
      </w:r>
      <w:r w:rsidR="0088170B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percre történő növelése a zoledronsav</w:t>
      </w:r>
      <w:r w:rsidR="00350E39">
        <w:rPr>
          <w:szCs w:val="22"/>
          <w:lang w:val="hu-HU"/>
        </w:rPr>
        <w:t>-</w:t>
      </w:r>
      <w:r w:rsidRPr="00171E38">
        <w:rPr>
          <w:szCs w:val="22"/>
          <w:lang w:val="hu-HU"/>
        </w:rPr>
        <w:t xml:space="preserve">koncentráció 30%-os csökkenését okozta az infúzió végére, de a plazmakoncentráció-idő görbe alatti terület </w:t>
      </w:r>
      <w:r w:rsidR="00264FE7" w:rsidRPr="0058399D">
        <w:rPr>
          <w:lang w:val="hu-HU"/>
        </w:rPr>
        <w:t xml:space="preserve">(AUC) </w:t>
      </w:r>
      <w:r w:rsidRPr="00171E38">
        <w:rPr>
          <w:szCs w:val="22"/>
          <w:lang w:val="hu-HU"/>
        </w:rPr>
        <w:t>értékre nem volt hatása.</w:t>
      </w:r>
    </w:p>
    <w:p w14:paraId="0C741D3D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D9263EE" w14:textId="77777777" w:rsidR="00A47769" w:rsidRPr="00171E38" w:rsidRDefault="00AF360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Miként m</w:t>
      </w:r>
      <w:r w:rsidR="00A47769" w:rsidRPr="00171E38">
        <w:rPr>
          <w:szCs w:val="22"/>
          <w:lang w:val="hu-HU" w:eastAsia="hu-HU"/>
        </w:rPr>
        <w:t>ás biszfoszfonát</w:t>
      </w:r>
      <w:r w:rsidR="00511F71">
        <w:rPr>
          <w:szCs w:val="22"/>
          <w:lang w:val="hu-HU" w:eastAsia="hu-HU"/>
        </w:rPr>
        <w:t>ok</w:t>
      </w:r>
      <w:r w:rsidR="00A47769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esetén</w:t>
      </w:r>
      <w:r w:rsidR="00511F71">
        <w:rPr>
          <w:szCs w:val="22"/>
          <w:lang w:val="hu-HU" w:eastAsia="hu-HU"/>
        </w:rPr>
        <w:t>,</w:t>
      </w:r>
      <w:r w:rsidRPr="00171E38">
        <w:rPr>
          <w:szCs w:val="22"/>
          <w:lang w:val="hu-HU" w:eastAsia="hu-HU"/>
        </w:rPr>
        <w:t xml:space="preserve"> </w:t>
      </w:r>
      <w:r w:rsidR="00A47769" w:rsidRPr="00171E38">
        <w:rPr>
          <w:szCs w:val="22"/>
          <w:lang w:val="hu-HU" w:eastAsia="hu-HU"/>
        </w:rPr>
        <w:t>a zoledronsav farmakokinetikai paraméterei is erős egyéni variációt mutattak.</w:t>
      </w:r>
    </w:p>
    <w:p w14:paraId="54109932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1BD1F70C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zoledronsavra vonatkozóan nincs farmakokinetikai adat a hypercalcaemiás, vagy májelégtelenségben szenvedő betegek esetében. A zoledronsav </w:t>
      </w:r>
      <w:r w:rsidRPr="00171E38">
        <w:rPr>
          <w:i/>
          <w:szCs w:val="22"/>
          <w:lang w:val="hu-HU" w:eastAsia="hu-HU"/>
        </w:rPr>
        <w:t>in vitro</w:t>
      </w:r>
      <w:r w:rsidRPr="00171E38">
        <w:rPr>
          <w:szCs w:val="22"/>
          <w:lang w:val="hu-HU" w:eastAsia="hu-HU"/>
        </w:rPr>
        <w:t xml:space="preserve"> nem gátolja a humán P450 enzimeket, nem mutat biotranszformációt, és állatkísérletekben az alkalmazott adagok kevesebb mint 3%-a volt kimutatható a székletben, arra utal</w:t>
      </w:r>
      <w:r w:rsidR="00511F71">
        <w:rPr>
          <w:szCs w:val="22"/>
          <w:lang w:val="hu-HU" w:eastAsia="hu-HU"/>
        </w:rPr>
        <w:t>va</w:t>
      </w:r>
      <w:r w:rsidRPr="00171E38">
        <w:rPr>
          <w:szCs w:val="22"/>
          <w:lang w:val="hu-HU" w:eastAsia="hu-HU"/>
        </w:rPr>
        <w:t>, hogy a májfunkciónak nincs lényeges szerepe a zoledronsav farmakokinetikájában.</w:t>
      </w:r>
    </w:p>
    <w:p w14:paraId="60FF3FB4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B3BCD02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 vese</w:t>
      </w:r>
      <w:r w:rsidR="00511F71">
        <w:rPr>
          <w:szCs w:val="22"/>
          <w:lang w:val="hu-HU" w:eastAsia="hu-HU"/>
        </w:rPr>
        <w:t>-</w:t>
      </w:r>
      <w:r w:rsidRPr="00171E38">
        <w:rPr>
          <w:szCs w:val="22"/>
          <w:lang w:val="hu-HU" w:eastAsia="hu-HU"/>
        </w:rPr>
        <w:t xml:space="preserve">clearance-e korrelációt mutatott a kreatinin-clearance-szel, a veseclearance a kreatinin-clearance értékének 75 ± 33%-a; 64 daganatos </w:t>
      </w:r>
      <w:r w:rsidR="00511F71">
        <w:rPr>
          <w:szCs w:val="22"/>
          <w:lang w:val="hu-HU" w:eastAsia="hu-HU"/>
        </w:rPr>
        <w:t>betegnél</w:t>
      </w:r>
      <w:r w:rsidR="00511F71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vizsgálva ez átlagosan 84</w:t>
      </w:r>
      <w:r w:rsidR="004252B3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±</w:t>
      </w:r>
      <w:r w:rsidR="004252B3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29 ml/percnek (szélső értékek 22–143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ml/perc) felelt meg. Populációs vizsgálatok szerint a 20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ml/perc (súlyos vesekárosodás) vagy 50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ml/perc (mérsékelt fokú vesekárosodás) kreatinin-clearance-ű betegeket a 84 ml/perc kreatinin-clearance értékűekkel összehasonlítva a megfelelő zoledronsav clearance értékek 37%</w:t>
      </w:r>
      <w:r w:rsidR="003F6AC3">
        <w:rPr>
          <w:szCs w:val="22"/>
          <w:lang w:val="hu-HU" w:eastAsia="hu-HU"/>
        </w:rPr>
        <w:t>-</w:t>
      </w:r>
      <w:r w:rsidR="00511F71">
        <w:rPr>
          <w:szCs w:val="22"/>
          <w:lang w:val="hu-HU" w:eastAsia="hu-HU"/>
        </w:rPr>
        <w:t>on,</w:t>
      </w:r>
      <w:r w:rsidRPr="00171E38">
        <w:rPr>
          <w:szCs w:val="22"/>
          <w:lang w:val="hu-HU" w:eastAsia="hu-HU"/>
        </w:rPr>
        <w:t xml:space="preserve"> ill</w:t>
      </w:r>
      <w:r w:rsidR="00511F71">
        <w:rPr>
          <w:szCs w:val="22"/>
          <w:lang w:val="hu-HU" w:eastAsia="hu-HU"/>
        </w:rPr>
        <w:t>etve</w:t>
      </w:r>
      <w:r w:rsidRPr="00171E38">
        <w:rPr>
          <w:szCs w:val="22"/>
          <w:lang w:val="hu-HU" w:eastAsia="hu-HU"/>
        </w:rPr>
        <w:t xml:space="preserve"> 72%-on várhatók. Súlyos vesekárosodásban szenvedő betegekre (&lt;</w:t>
      </w:r>
      <w:r w:rsidR="004252B3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30 ml/perc kreatinin-clearance) vonatkozóan csak korlátozott számú farmakokinetikai adat áll rendelkezésünkre.</w:t>
      </w:r>
    </w:p>
    <w:p w14:paraId="00349FCB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7DE2EEF5" w14:textId="77777777" w:rsidR="00A47769" w:rsidRPr="00171E38" w:rsidRDefault="00AF360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Egy </w:t>
      </w:r>
      <w:r w:rsidRPr="00171E38">
        <w:rPr>
          <w:i/>
          <w:iCs/>
          <w:szCs w:val="22"/>
          <w:lang w:val="hu-HU"/>
        </w:rPr>
        <w:t xml:space="preserve">in vitro </w:t>
      </w:r>
      <w:r w:rsidRPr="00171E38">
        <w:rPr>
          <w:szCs w:val="22"/>
          <w:lang w:val="hu-HU"/>
        </w:rPr>
        <w:t>vizsgálatban a zoledronsav alacsony affinitást mutatott a humán vér alakos elemeihez, a 30</w:t>
      </w:r>
      <w:r w:rsidR="00081E65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ng/ml-től 5000</w:t>
      </w:r>
      <w:r w:rsidR="00081E65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ng/ml-ig terjedő koncentrációkban 0,59-es átlagos vér/plazma koncentrációs aránnyal. A plazmafehérje-kötődés alacsony, a nem kötött frakció a 2</w:t>
      </w:r>
      <w:r w:rsidR="00081E65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ng/ml zoledronsav mellett mért 60%-tól 2000</w:t>
      </w:r>
      <w:r w:rsidR="00081E65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ng/ml zoledronsav mellett mért 77%-ig terjed.</w:t>
      </w:r>
    </w:p>
    <w:p w14:paraId="05F62066" w14:textId="77777777" w:rsidR="00AF3600" w:rsidRPr="00171E38" w:rsidRDefault="00AF360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4E45A06D" w14:textId="77777777" w:rsidR="00A47769" w:rsidRPr="00171E38" w:rsidRDefault="00264FE7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 w:eastAsia="hu-HU"/>
        </w:rPr>
      </w:pPr>
      <w:r>
        <w:rPr>
          <w:i/>
          <w:szCs w:val="22"/>
          <w:u w:val="single"/>
          <w:lang w:val="hu-HU" w:eastAsia="hu-HU"/>
        </w:rPr>
        <w:t xml:space="preserve">Különleges </w:t>
      </w:r>
      <w:r w:rsidR="00A47769" w:rsidRPr="00171E38">
        <w:rPr>
          <w:i/>
          <w:szCs w:val="22"/>
          <w:u w:val="single"/>
          <w:lang w:val="hu-HU" w:eastAsia="hu-HU"/>
        </w:rPr>
        <w:t>betegcsoportok</w:t>
      </w:r>
    </w:p>
    <w:p w14:paraId="6028585A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Gyermekek</w:t>
      </w:r>
      <w:r w:rsidR="00C01194">
        <w:rPr>
          <w:i/>
          <w:szCs w:val="22"/>
          <w:lang w:val="hu-HU" w:eastAsia="hu-HU"/>
        </w:rPr>
        <w:t xml:space="preserve"> és serdülők</w:t>
      </w:r>
    </w:p>
    <w:p w14:paraId="06D25DF9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súlyos osteogenesis imperfectában szenvedő gyermekek </w:t>
      </w:r>
      <w:r w:rsidR="00511F71">
        <w:rPr>
          <w:szCs w:val="22"/>
          <w:lang w:val="hu-HU" w:eastAsia="hu-HU"/>
        </w:rPr>
        <w:t xml:space="preserve">és serdülők </w:t>
      </w:r>
      <w:r w:rsidRPr="00171E38">
        <w:rPr>
          <w:szCs w:val="22"/>
          <w:lang w:val="hu-HU" w:eastAsia="hu-HU"/>
        </w:rPr>
        <w:t xml:space="preserve">esetén szerzett korlátozott farmakokinetikai adat arra utal, hogy a zoledronsav farmakokinetikája a </w:t>
      </w:r>
      <w:r w:rsidRPr="004252B3">
        <w:rPr>
          <w:szCs w:val="22"/>
          <w:lang w:val="hu-HU" w:eastAsia="hu-HU"/>
        </w:rPr>
        <w:t>3</w:t>
      </w:r>
      <w:r w:rsidR="007430D4">
        <w:rPr>
          <w:szCs w:val="22"/>
          <w:lang w:val="hu-HU" w:eastAsia="hu-HU"/>
        </w:rPr>
        <w:t xml:space="preserve"> és betöltött 18. életév közötti</w:t>
      </w:r>
      <w:r w:rsidRPr="00171E38">
        <w:rPr>
          <w:szCs w:val="22"/>
          <w:lang w:val="hu-HU" w:eastAsia="hu-HU"/>
        </w:rPr>
        <w:t xml:space="preserve"> gyermekeknél</w:t>
      </w:r>
      <w:r w:rsidR="007430D4">
        <w:rPr>
          <w:szCs w:val="22"/>
          <w:lang w:val="hu-HU" w:eastAsia="hu-HU"/>
        </w:rPr>
        <w:t xml:space="preserve"> és serdülőknél</w:t>
      </w:r>
      <w:r w:rsidRPr="00171E38">
        <w:rPr>
          <w:szCs w:val="22"/>
          <w:lang w:val="hu-HU" w:eastAsia="hu-HU"/>
        </w:rPr>
        <w:t xml:space="preserve"> </w:t>
      </w:r>
      <w:r w:rsidR="004252B3">
        <w:rPr>
          <w:szCs w:val="22"/>
          <w:lang w:val="hu-HU" w:eastAsia="hu-HU"/>
        </w:rPr>
        <w:t>–</w:t>
      </w:r>
      <w:r w:rsidRPr="00171E38">
        <w:rPr>
          <w:szCs w:val="22"/>
          <w:lang w:val="hu-HU" w:eastAsia="hu-HU"/>
        </w:rPr>
        <w:t xml:space="preserve"> hasonló mg/ttkg dózis mellett </w:t>
      </w:r>
      <w:r w:rsidR="004252B3">
        <w:rPr>
          <w:szCs w:val="22"/>
          <w:lang w:val="hu-HU" w:eastAsia="hu-HU"/>
        </w:rPr>
        <w:t>–</w:t>
      </w:r>
      <w:r w:rsidRPr="00171E38">
        <w:rPr>
          <w:szCs w:val="22"/>
          <w:lang w:val="hu-HU" w:eastAsia="hu-HU"/>
        </w:rPr>
        <w:t xml:space="preserve"> a felnőttekéhez hasonló. Úgy tűnik, hogy az életkor, a testtömeg, a nem és a kreatinin-clearance nincs hatással a zoledronsav szisztémás expozíciójára.</w:t>
      </w:r>
    </w:p>
    <w:p w14:paraId="4F6BD4CD" w14:textId="77777777" w:rsidR="00133016" w:rsidRPr="00171E38" w:rsidRDefault="00133016" w:rsidP="00171E38">
      <w:pPr>
        <w:spacing w:line="240" w:lineRule="auto"/>
        <w:rPr>
          <w:bCs/>
          <w:szCs w:val="22"/>
          <w:lang w:val="hu-HU"/>
        </w:rPr>
      </w:pPr>
    </w:p>
    <w:p w14:paraId="76CF90EA" w14:textId="77777777" w:rsidR="00E34FC5" w:rsidRPr="00171E38" w:rsidRDefault="00E34FC5" w:rsidP="00171E38">
      <w:pPr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Kalcium:</w:t>
      </w:r>
    </w:p>
    <w:p w14:paraId="13F7560D" w14:textId="77777777" w:rsidR="00E34FC5" w:rsidRPr="00171E38" w:rsidRDefault="00E34FC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Felszívódás</w:t>
      </w:r>
    </w:p>
    <w:p w14:paraId="12ACD9B6" w14:textId="77777777" w:rsidR="00E34FC5" w:rsidRPr="00171E38" w:rsidRDefault="004733EF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</w:t>
      </w:r>
      <w:r w:rsidR="00E34FC5" w:rsidRPr="00171E38">
        <w:rPr>
          <w:szCs w:val="22"/>
          <w:lang w:val="hu-HU"/>
        </w:rPr>
        <w:t xml:space="preserve"> szájon át bevitt kalcium mintegy 30%-a szívódik fel a tápcsatornából.</w:t>
      </w:r>
    </w:p>
    <w:p w14:paraId="0C28DC4F" w14:textId="77777777" w:rsidR="00E34FC5" w:rsidRPr="00171E38" w:rsidRDefault="00E34FC5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698773A" w14:textId="77777777" w:rsidR="00E34FC5" w:rsidRPr="00171E38" w:rsidRDefault="00A22005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El</w:t>
      </w:r>
      <w:r w:rsidR="00E34FC5" w:rsidRPr="00171E38">
        <w:rPr>
          <w:i/>
          <w:szCs w:val="22"/>
          <w:lang w:val="hu-HU"/>
        </w:rPr>
        <w:t xml:space="preserve">oszlás és </w:t>
      </w:r>
      <w:r w:rsidRPr="00171E38">
        <w:rPr>
          <w:i/>
          <w:szCs w:val="22"/>
          <w:lang w:val="hu-HU"/>
        </w:rPr>
        <w:t>biotranszformáció</w:t>
      </w:r>
    </w:p>
    <w:p w14:paraId="7222AC35" w14:textId="77777777" w:rsidR="00E34FC5" w:rsidRPr="00171E38" w:rsidRDefault="004733EF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</w:t>
      </w:r>
      <w:r w:rsidR="00E34FC5" w:rsidRPr="00171E38">
        <w:rPr>
          <w:szCs w:val="22"/>
          <w:lang w:val="hu-HU"/>
        </w:rPr>
        <w:t xml:space="preserve"> szervezet kalcium tartalmának 99%-a a csontok és a fogak ásványi anyagokból felépülő részében található. A fennmaradó 1% az intra- és az extracellularis térben fordul elő. A vér összes kalcium tartalmának kb. 50%-a az élettani szempontból aktív, ionizált forma, hozzávetőleg </w:t>
      </w:r>
      <w:r w:rsidR="00D318A7">
        <w:rPr>
          <w:szCs w:val="22"/>
          <w:lang w:val="hu-HU"/>
        </w:rPr>
        <w:t>10</w:t>
      </w:r>
      <w:r w:rsidR="00E34FC5" w:rsidRPr="00171E38">
        <w:rPr>
          <w:szCs w:val="22"/>
          <w:lang w:val="hu-HU"/>
        </w:rPr>
        <w:t xml:space="preserve">%-a citráttal, foszfáttal és más anionokkal komplexet képez. A szérumkalcium fennmaradó </w:t>
      </w:r>
      <w:r w:rsidR="00D318A7">
        <w:rPr>
          <w:szCs w:val="22"/>
          <w:lang w:val="hu-HU"/>
        </w:rPr>
        <w:t>40</w:t>
      </w:r>
      <w:r w:rsidR="00E34FC5" w:rsidRPr="00171E38">
        <w:rPr>
          <w:szCs w:val="22"/>
          <w:lang w:val="hu-HU"/>
        </w:rPr>
        <w:t>%-a fehérjékhez, elsősorban albuminhoz kötve fordul elő.</w:t>
      </w:r>
    </w:p>
    <w:p w14:paraId="373559AD" w14:textId="77777777" w:rsidR="00E34FC5" w:rsidRPr="00171E38" w:rsidRDefault="00E34FC5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4BE1565" w14:textId="77777777" w:rsidR="00E34FC5" w:rsidRPr="00171E38" w:rsidRDefault="00E34FC5" w:rsidP="00171E38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Elimináció</w:t>
      </w:r>
    </w:p>
    <w:p w14:paraId="5B478B79" w14:textId="77777777" w:rsidR="00E34FC5" w:rsidRPr="00171E38" w:rsidRDefault="00E34FC5" w:rsidP="00171E3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kalcium a vizelettel, a széklettel és a verejtékkel ürül ki. A vizelettel történő kiválasztás a glomeruláris filtrációtól és a tubuláris reabszorpciótól függ.</w:t>
      </w:r>
    </w:p>
    <w:p w14:paraId="62BE7B3E" w14:textId="77777777" w:rsidR="00E34FC5" w:rsidRPr="00171E38" w:rsidRDefault="00E34FC5" w:rsidP="00171E38">
      <w:pPr>
        <w:spacing w:line="240" w:lineRule="auto"/>
        <w:rPr>
          <w:szCs w:val="22"/>
          <w:lang w:val="hu-HU"/>
        </w:rPr>
      </w:pPr>
    </w:p>
    <w:p w14:paraId="408AF501" w14:textId="77777777" w:rsidR="00E34FC5" w:rsidRPr="00171E38" w:rsidRDefault="00E34FC5" w:rsidP="00171E38">
      <w:pPr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D-vitamin:</w:t>
      </w:r>
    </w:p>
    <w:p w14:paraId="2DE60E64" w14:textId="77777777" w:rsidR="00E34FC5" w:rsidRPr="00171E38" w:rsidRDefault="00E34FC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Felszívódás</w:t>
      </w:r>
    </w:p>
    <w:p w14:paraId="6DC2E2CC" w14:textId="77777777" w:rsidR="00E34FC5" w:rsidRPr="00171E38" w:rsidRDefault="00E34FC5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D</w:t>
      </w:r>
      <w:r w:rsidRPr="00171E38">
        <w:rPr>
          <w:szCs w:val="22"/>
          <w:vertAlign w:val="subscript"/>
          <w:lang w:val="hu-HU"/>
        </w:rPr>
        <w:t>3</w:t>
      </w:r>
      <w:r w:rsidRPr="00171E38">
        <w:rPr>
          <w:szCs w:val="22"/>
          <w:lang w:val="hu-HU"/>
        </w:rPr>
        <w:t>-vitamin a vékonybélből szívódik fel.</w:t>
      </w:r>
    </w:p>
    <w:p w14:paraId="6883AF75" w14:textId="77777777" w:rsidR="00E34FC5" w:rsidRPr="00171E38" w:rsidRDefault="00E34FC5" w:rsidP="00171E38">
      <w:pPr>
        <w:spacing w:line="240" w:lineRule="auto"/>
        <w:rPr>
          <w:szCs w:val="22"/>
          <w:lang w:val="hu-HU"/>
        </w:rPr>
      </w:pPr>
    </w:p>
    <w:p w14:paraId="1EEF0561" w14:textId="77777777" w:rsidR="00E34FC5" w:rsidRPr="00171E38" w:rsidRDefault="00A2200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El</w:t>
      </w:r>
      <w:r w:rsidR="00E34FC5" w:rsidRPr="00171E38">
        <w:rPr>
          <w:i/>
          <w:szCs w:val="22"/>
          <w:lang w:val="hu-HU"/>
        </w:rPr>
        <w:t xml:space="preserve">oszlás és </w:t>
      </w:r>
      <w:r w:rsidRPr="00171E38">
        <w:rPr>
          <w:i/>
          <w:szCs w:val="22"/>
          <w:lang w:val="hu-HU"/>
        </w:rPr>
        <w:t>biotranszformáció</w:t>
      </w:r>
    </w:p>
    <w:p w14:paraId="52AE26F7" w14:textId="77777777" w:rsidR="00E34FC5" w:rsidRPr="00171E38" w:rsidRDefault="00E34FC5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kolekalciferol és metabolitjai a vérben egy specifikus globulinhoz kapcsolódva keringenek. A kolekalciferolt a máj hidroxilálja aktív 25-hidroxi-kolekalciferollá, ami a vesében 1,25-hidroxi-kolekalciferollá alakul. Az 1,25-hidroxi-kolekalciferol metabolit felelős a kalciumfelszívódás emelkedéséért. A nem metabolizálódott D-vitamin a zsír- és izomszövetben raktározódik.</w:t>
      </w:r>
    </w:p>
    <w:p w14:paraId="7E19AB91" w14:textId="77777777" w:rsidR="00E34FC5" w:rsidRPr="00171E38" w:rsidRDefault="00E34FC5" w:rsidP="00171E38">
      <w:pPr>
        <w:spacing w:line="240" w:lineRule="auto"/>
        <w:rPr>
          <w:szCs w:val="22"/>
          <w:lang w:val="hu-HU"/>
        </w:rPr>
      </w:pPr>
    </w:p>
    <w:p w14:paraId="39D7D1B6" w14:textId="77777777" w:rsidR="00E34FC5" w:rsidRPr="00171E38" w:rsidRDefault="00E34FC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Elimináció</w:t>
      </w:r>
    </w:p>
    <w:p w14:paraId="27950CA9" w14:textId="77777777" w:rsidR="00E34FC5" w:rsidRPr="00171E38" w:rsidRDefault="00E34FC5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A D-vitamin a széklettel és a vizelettel ürül.</w:t>
      </w:r>
    </w:p>
    <w:p w14:paraId="1C136532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2F1DF2AD" w14:textId="77777777" w:rsidR="00A22005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5.3</w:t>
      </w:r>
      <w:r w:rsidR="00A22005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A preklinikai biztonság</w:t>
      </w:r>
      <w:r w:rsidR="007F2CAC" w:rsidRPr="00171E38">
        <w:rPr>
          <w:b/>
          <w:bCs/>
          <w:szCs w:val="22"/>
          <w:lang w:val="hu-HU"/>
        </w:rPr>
        <w:t>osság</w:t>
      </w:r>
      <w:r w:rsidRPr="00171E38">
        <w:rPr>
          <w:b/>
          <w:bCs/>
          <w:szCs w:val="22"/>
          <w:lang w:val="hu-HU"/>
        </w:rPr>
        <w:t>i vizsgálatok eredményei</w:t>
      </w:r>
    </w:p>
    <w:p w14:paraId="2AF3A393" w14:textId="77777777" w:rsidR="005C2828" w:rsidRPr="00171E38" w:rsidRDefault="005C2828" w:rsidP="00171E38">
      <w:pPr>
        <w:spacing w:line="240" w:lineRule="auto"/>
        <w:outlineLvl w:val="0"/>
        <w:rPr>
          <w:szCs w:val="22"/>
          <w:lang w:val="hu-HU"/>
        </w:rPr>
      </w:pPr>
    </w:p>
    <w:p w14:paraId="5FD7183D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171E38">
        <w:rPr>
          <w:szCs w:val="22"/>
          <w:u w:val="single"/>
          <w:lang w:val="hu-HU" w:eastAsia="hu-HU"/>
        </w:rPr>
        <w:t>Zoledronsav</w:t>
      </w:r>
    </w:p>
    <w:p w14:paraId="59C9D432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Akut toxicitás</w:t>
      </w:r>
    </w:p>
    <w:p w14:paraId="2EDE5B8E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legmagasabb nem</w:t>
      </w:r>
      <w:r w:rsidR="00AA5753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 xml:space="preserve">letális egyszeri intravénás adag </w:t>
      </w:r>
      <w:r w:rsidR="00511F71">
        <w:rPr>
          <w:szCs w:val="22"/>
          <w:lang w:val="hu-HU" w:eastAsia="hu-HU"/>
        </w:rPr>
        <w:t xml:space="preserve">egereknél </w:t>
      </w:r>
      <w:r w:rsidRPr="00171E38">
        <w:rPr>
          <w:szCs w:val="22"/>
          <w:lang w:val="hu-HU" w:eastAsia="hu-HU"/>
        </w:rPr>
        <w:t>10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mg/ttkg, </w:t>
      </w:r>
      <w:r w:rsidR="00511F71">
        <w:rPr>
          <w:szCs w:val="22"/>
          <w:lang w:val="hu-HU" w:eastAsia="hu-HU"/>
        </w:rPr>
        <w:t>patkányoknál</w:t>
      </w:r>
      <w:r w:rsidR="00511F71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0,6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mg/ttkg </w:t>
      </w:r>
      <w:r w:rsidR="00511F71">
        <w:rPr>
          <w:szCs w:val="22"/>
          <w:lang w:val="hu-HU" w:eastAsia="hu-HU"/>
        </w:rPr>
        <w:t>volt</w:t>
      </w:r>
      <w:r w:rsidRPr="00171E38">
        <w:rPr>
          <w:szCs w:val="22"/>
          <w:lang w:val="hu-HU" w:eastAsia="hu-HU"/>
        </w:rPr>
        <w:t>.</w:t>
      </w:r>
    </w:p>
    <w:p w14:paraId="236B24D0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0700B50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Szubkrónikus és krónikus toxicitás</w:t>
      </w:r>
    </w:p>
    <w:p w14:paraId="456EEE67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patkányok a szubkután és a kutyák az intravénásan alkalmazott, 4 hetes zoledronsav-kezelést jól tolerálták 0,02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 xml:space="preserve">mg/ttkg napi adagig. </w:t>
      </w:r>
      <w:r w:rsidR="007D14B2">
        <w:rPr>
          <w:szCs w:val="22"/>
          <w:lang w:val="hu-HU" w:eastAsia="hu-HU"/>
        </w:rPr>
        <w:t>A p</w:t>
      </w:r>
      <w:r w:rsidRPr="00171E38">
        <w:rPr>
          <w:szCs w:val="22"/>
          <w:lang w:val="hu-HU" w:eastAsia="hu-HU"/>
        </w:rPr>
        <w:t>atkányok a 0,001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mg/ttkg/nap szubkután, ill. a kutyák a 2</w:t>
      </w:r>
      <w:r w:rsidR="00863B71">
        <w:rPr>
          <w:szCs w:val="22"/>
          <w:lang w:val="hu-HU" w:eastAsia="hu-HU"/>
        </w:rPr>
        <w:noBreakHyphen/>
      </w:r>
      <w:r w:rsidRPr="00171E38">
        <w:rPr>
          <w:szCs w:val="22"/>
          <w:lang w:val="hu-HU" w:eastAsia="hu-HU"/>
        </w:rPr>
        <w:t>3</w:t>
      </w:r>
      <w:r w:rsidR="00863B71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naponta egyszer adott 0,005</w:t>
      </w:r>
      <w:r w:rsidR="00081E65">
        <w:rPr>
          <w:szCs w:val="22"/>
          <w:lang w:val="hu-HU" w:eastAsia="hu-HU"/>
        </w:rPr>
        <w:t> </w:t>
      </w:r>
      <w:r w:rsidRPr="00171E38">
        <w:rPr>
          <w:szCs w:val="22"/>
          <w:lang w:val="hu-HU" w:eastAsia="hu-HU"/>
        </w:rPr>
        <w:t>mg/ttkg intravénás adagokat</w:t>
      </w:r>
      <w:r w:rsidR="007D14B2">
        <w:rPr>
          <w:szCs w:val="22"/>
          <w:lang w:val="hu-HU" w:eastAsia="hu-HU"/>
        </w:rPr>
        <w:t>,</w:t>
      </w:r>
      <w:r w:rsidRPr="00171E38">
        <w:rPr>
          <w:szCs w:val="22"/>
          <w:lang w:val="hu-HU" w:eastAsia="hu-HU"/>
        </w:rPr>
        <w:t xml:space="preserve"> 52 héten át </w:t>
      </w:r>
      <w:r w:rsidR="00511F71">
        <w:rPr>
          <w:szCs w:val="22"/>
          <w:lang w:val="hu-HU" w:eastAsia="hu-HU"/>
        </w:rPr>
        <w:t>alkalmazva</w:t>
      </w:r>
      <w:r w:rsidR="007039C6">
        <w:rPr>
          <w:szCs w:val="22"/>
          <w:lang w:val="hu-HU" w:eastAsia="hu-HU"/>
        </w:rPr>
        <w:t>,</w:t>
      </w:r>
      <w:r w:rsidR="007039C6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szintén jól tolerálták.</w:t>
      </w:r>
    </w:p>
    <w:p w14:paraId="4BBCC64D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24104C7E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Ismételt adagolás vizsgálatokban, a leggyakoribb eltérés </w:t>
      </w:r>
      <w:r w:rsidR="007039C6">
        <w:rPr>
          <w:szCs w:val="22"/>
          <w:lang w:val="hu-HU" w:eastAsia="hu-HU"/>
        </w:rPr>
        <w:t>–</w:t>
      </w:r>
      <w:r w:rsidRPr="00171E38">
        <w:rPr>
          <w:szCs w:val="22"/>
          <w:lang w:val="hu-HU" w:eastAsia="hu-HU"/>
        </w:rPr>
        <w:t xml:space="preserve"> csaknem valamennyi dózis alkalmazásakor </w:t>
      </w:r>
      <w:r w:rsidR="00863B71">
        <w:rPr>
          <w:szCs w:val="22"/>
          <w:lang w:val="hu-HU" w:eastAsia="hu-HU"/>
        </w:rPr>
        <w:t>–</w:t>
      </w:r>
      <w:r w:rsidRPr="00171E38">
        <w:rPr>
          <w:szCs w:val="22"/>
          <w:lang w:val="hu-HU" w:eastAsia="hu-HU"/>
        </w:rPr>
        <w:t xml:space="preserve"> a primer spongiosa állomány megnövekedése volt a növekedésben lévő állatok hosszú csöves csontjainak metaphysisében, ami az anyag farmakológiai (antireszorptív) hatásával hozható kapcsolatba.</w:t>
      </w:r>
    </w:p>
    <w:p w14:paraId="2053536B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7B3FAF3" w14:textId="77777777" w:rsidR="00A47769" w:rsidRPr="00171E38" w:rsidRDefault="009266ED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Állatkísérletek</w:t>
      </w:r>
      <w:r>
        <w:rPr>
          <w:szCs w:val="22"/>
          <w:lang w:val="hu-HU" w:eastAsia="hu-HU"/>
        </w:rPr>
        <w:t>nél</w:t>
      </w:r>
      <w:r w:rsidRPr="00171E38">
        <w:rPr>
          <w:szCs w:val="22"/>
          <w:lang w:val="hu-HU" w:eastAsia="hu-HU"/>
        </w:rPr>
        <w:t xml:space="preserve"> </w:t>
      </w:r>
      <w:r w:rsidR="00A47769" w:rsidRPr="00171E38">
        <w:rPr>
          <w:szCs w:val="22"/>
          <w:lang w:val="hu-HU" w:eastAsia="hu-HU"/>
        </w:rPr>
        <w:t>a krónikus, ismételt parenterális adagolás esetén a vesére vonatkozó biztonsági sáv keskeny volt, de az egyszeri (1,6</w:t>
      </w:r>
      <w:r w:rsidR="00081E65">
        <w:rPr>
          <w:szCs w:val="22"/>
          <w:lang w:val="hu-HU" w:eastAsia="hu-HU"/>
        </w:rPr>
        <w:t> </w:t>
      </w:r>
      <w:r w:rsidR="00A47769" w:rsidRPr="00171E38">
        <w:rPr>
          <w:szCs w:val="22"/>
          <w:lang w:val="hu-HU" w:eastAsia="hu-HU"/>
        </w:rPr>
        <w:t>mg/ttkg) dózis</w:t>
      </w:r>
      <w:r w:rsidR="00C813BF">
        <w:rPr>
          <w:szCs w:val="22"/>
          <w:lang w:val="hu-HU" w:eastAsia="hu-HU"/>
        </w:rPr>
        <w:t>ú</w:t>
      </w:r>
      <w:r w:rsidR="00A47769" w:rsidRPr="00171E38">
        <w:rPr>
          <w:szCs w:val="22"/>
          <w:lang w:val="hu-HU" w:eastAsia="hu-HU"/>
        </w:rPr>
        <w:t xml:space="preserve"> és az egy hónapon át tartó ismételt (0,06</w:t>
      </w:r>
      <w:r w:rsidR="007039C6">
        <w:rPr>
          <w:szCs w:val="22"/>
          <w:lang w:val="hu-HU" w:eastAsia="hu-HU"/>
        </w:rPr>
        <w:noBreakHyphen/>
      </w:r>
      <w:r w:rsidR="00A47769" w:rsidRPr="00171E38">
        <w:rPr>
          <w:szCs w:val="22"/>
          <w:lang w:val="hu-HU" w:eastAsia="hu-HU"/>
        </w:rPr>
        <w:t>0,6</w:t>
      </w:r>
      <w:r w:rsidR="007039C6">
        <w:rPr>
          <w:szCs w:val="22"/>
          <w:lang w:val="hu-HU" w:eastAsia="hu-HU"/>
        </w:rPr>
        <w:t> </w:t>
      </w:r>
      <w:r w:rsidR="00A47769" w:rsidRPr="00171E38">
        <w:rPr>
          <w:szCs w:val="22"/>
          <w:lang w:val="hu-HU" w:eastAsia="hu-HU"/>
        </w:rPr>
        <w:t>mg/ttkg/nap) adagolású vizsgálatokban a kumulatív mellékhatásmentes szintek ("no adverse event levels"</w:t>
      </w:r>
      <w:r w:rsidR="007039C6">
        <w:rPr>
          <w:szCs w:val="22"/>
          <w:lang w:val="hu-HU" w:eastAsia="hu-HU"/>
        </w:rPr>
        <w:t>,</w:t>
      </w:r>
      <w:r w:rsidR="00A47769" w:rsidRPr="00171E38">
        <w:rPr>
          <w:szCs w:val="22"/>
          <w:lang w:val="hu-HU" w:eastAsia="hu-HU"/>
        </w:rPr>
        <w:t xml:space="preserve"> NOAELs) nem utaltak vesére kifejtett hatásra annál a mennyiségnél, amely megfelelt vagy meghaladta a maximálisan javasolt humán terápiás adagot. A zoledronsav hosszabbtávú, ismételt alkalmazása a maximálisan javasolt humán terápiás adagban toxikus hatásokat eredményezett más szervekben, beleértve a gyomor-bél</w:t>
      </w:r>
      <w:r w:rsidR="00D50578">
        <w:rPr>
          <w:szCs w:val="22"/>
          <w:lang w:val="hu-HU" w:eastAsia="hu-HU"/>
        </w:rPr>
        <w:t xml:space="preserve"> </w:t>
      </w:r>
      <w:r w:rsidR="00A47769" w:rsidRPr="00171E38">
        <w:rPr>
          <w:szCs w:val="22"/>
          <w:lang w:val="hu-HU" w:eastAsia="hu-HU"/>
        </w:rPr>
        <w:t>rendszert, a májat, lépet és a tüdőt, valamint az intravénás injekció beadásának helyét.</w:t>
      </w:r>
    </w:p>
    <w:p w14:paraId="0EAF1645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6DF60E4F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Reprodukciós toxicitás</w:t>
      </w:r>
    </w:p>
    <w:p w14:paraId="138FE436" w14:textId="77777777" w:rsidR="00A47769" w:rsidRPr="00171E38" w:rsidRDefault="009266ED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Patkányok</w:t>
      </w:r>
      <w:r>
        <w:rPr>
          <w:szCs w:val="22"/>
          <w:lang w:val="hu-HU" w:eastAsia="hu-HU"/>
        </w:rPr>
        <w:t>nál</w:t>
      </w:r>
      <w:r w:rsidRPr="00171E38">
        <w:rPr>
          <w:szCs w:val="22"/>
          <w:lang w:val="hu-HU" w:eastAsia="hu-HU"/>
        </w:rPr>
        <w:t xml:space="preserve"> </w:t>
      </w:r>
      <w:r w:rsidR="00A47769" w:rsidRPr="00171E38">
        <w:rPr>
          <w:szCs w:val="22"/>
          <w:lang w:val="hu-HU" w:eastAsia="hu-HU"/>
        </w:rPr>
        <w:t>a ≥</w:t>
      </w:r>
      <w:r w:rsidR="007039C6">
        <w:rPr>
          <w:szCs w:val="22"/>
          <w:lang w:val="hu-HU" w:eastAsia="hu-HU"/>
        </w:rPr>
        <w:t> </w:t>
      </w:r>
      <w:r w:rsidR="00A47769" w:rsidRPr="00171E38">
        <w:rPr>
          <w:szCs w:val="22"/>
          <w:lang w:val="hu-HU" w:eastAsia="hu-HU"/>
        </w:rPr>
        <w:t>0,2</w:t>
      </w:r>
      <w:r w:rsidR="00081E65">
        <w:rPr>
          <w:szCs w:val="22"/>
          <w:lang w:val="hu-HU" w:eastAsia="hu-HU"/>
        </w:rPr>
        <w:t> </w:t>
      </w:r>
      <w:r w:rsidR="00A47769" w:rsidRPr="00171E38">
        <w:rPr>
          <w:szCs w:val="22"/>
          <w:lang w:val="hu-HU" w:eastAsia="hu-HU"/>
        </w:rPr>
        <w:t xml:space="preserve">mg/ttkg szubkután zoledronsav adag teratogén volt. Bár </w:t>
      </w:r>
      <w:r w:rsidRPr="00171E38">
        <w:rPr>
          <w:szCs w:val="22"/>
          <w:lang w:val="hu-HU" w:eastAsia="hu-HU"/>
        </w:rPr>
        <w:t>nyulak</w:t>
      </w:r>
      <w:r>
        <w:rPr>
          <w:szCs w:val="22"/>
          <w:lang w:val="hu-HU" w:eastAsia="hu-HU"/>
        </w:rPr>
        <w:t>nál</w:t>
      </w:r>
      <w:r w:rsidRPr="00171E38">
        <w:rPr>
          <w:szCs w:val="22"/>
          <w:lang w:val="hu-HU" w:eastAsia="hu-HU"/>
        </w:rPr>
        <w:t xml:space="preserve"> </w:t>
      </w:r>
      <w:r w:rsidR="00A47769" w:rsidRPr="00171E38">
        <w:rPr>
          <w:szCs w:val="22"/>
          <w:lang w:val="hu-HU" w:eastAsia="hu-HU"/>
        </w:rPr>
        <w:t xml:space="preserve">sem teratogenitást, sem foetotoxicitást nem észleltek, maternalis toxicitást </w:t>
      </w:r>
      <w:r w:rsidR="00C813BF">
        <w:rPr>
          <w:szCs w:val="22"/>
          <w:lang w:val="hu-HU" w:eastAsia="hu-HU"/>
        </w:rPr>
        <w:t xml:space="preserve">azonban </w:t>
      </w:r>
      <w:r w:rsidR="00A47769" w:rsidRPr="00171E38">
        <w:rPr>
          <w:szCs w:val="22"/>
          <w:lang w:val="hu-HU" w:eastAsia="hu-HU"/>
        </w:rPr>
        <w:t xml:space="preserve">igen. </w:t>
      </w:r>
      <w:r w:rsidRPr="00171E38">
        <w:rPr>
          <w:szCs w:val="22"/>
          <w:lang w:val="hu-HU" w:eastAsia="hu-HU"/>
        </w:rPr>
        <w:t>Patkányok</w:t>
      </w:r>
      <w:r>
        <w:rPr>
          <w:szCs w:val="22"/>
          <w:lang w:val="hu-HU" w:eastAsia="hu-HU"/>
        </w:rPr>
        <w:t>nál</w:t>
      </w:r>
      <w:r w:rsidRPr="00171E38">
        <w:rPr>
          <w:szCs w:val="22"/>
          <w:lang w:val="hu-HU" w:eastAsia="hu-HU"/>
        </w:rPr>
        <w:t xml:space="preserve"> </w:t>
      </w:r>
      <w:r w:rsidR="00A47769" w:rsidRPr="00171E38">
        <w:rPr>
          <w:szCs w:val="22"/>
          <w:lang w:val="hu-HU" w:eastAsia="hu-HU"/>
        </w:rPr>
        <w:t>a legkisebb vizsgált adag mellett (0,01</w:t>
      </w:r>
      <w:r w:rsidR="00081E65">
        <w:rPr>
          <w:szCs w:val="22"/>
          <w:lang w:val="hu-HU" w:eastAsia="hu-HU"/>
        </w:rPr>
        <w:t> </w:t>
      </w:r>
      <w:r w:rsidR="00A47769" w:rsidRPr="00171E38">
        <w:rPr>
          <w:szCs w:val="22"/>
          <w:lang w:val="hu-HU" w:eastAsia="hu-HU"/>
        </w:rPr>
        <w:t>mg/ttkg) dystociát észleltek.</w:t>
      </w:r>
    </w:p>
    <w:p w14:paraId="1232BAAB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3F2FFDCD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i/>
          <w:szCs w:val="22"/>
          <w:lang w:val="hu-HU" w:eastAsia="hu-HU"/>
        </w:rPr>
      </w:pPr>
      <w:r w:rsidRPr="00171E38">
        <w:rPr>
          <w:i/>
          <w:szCs w:val="22"/>
          <w:lang w:val="hu-HU" w:eastAsia="hu-HU"/>
        </w:rPr>
        <w:t>Mutagenitás és karcinogenitás</w:t>
      </w:r>
    </w:p>
    <w:p w14:paraId="2F28667C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 zoledronsav a mutagenitás</w:t>
      </w:r>
      <w:r w:rsidR="00C813BF">
        <w:rPr>
          <w:szCs w:val="22"/>
          <w:lang w:val="hu-HU" w:eastAsia="hu-HU"/>
        </w:rPr>
        <w:t>i</w:t>
      </w:r>
      <w:r w:rsidRPr="00171E38">
        <w:rPr>
          <w:szCs w:val="22"/>
          <w:lang w:val="hu-HU" w:eastAsia="hu-HU"/>
        </w:rPr>
        <w:t xml:space="preserve"> tesztekben nem bizonyult mutagénnek, és a karcinogenitás</w:t>
      </w:r>
      <w:r w:rsidR="00C813BF">
        <w:rPr>
          <w:szCs w:val="22"/>
          <w:lang w:val="hu-HU" w:eastAsia="hu-HU"/>
        </w:rPr>
        <w:t>i</w:t>
      </w:r>
      <w:r w:rsidRPr="00171E38">
        <w:rPr>
          <w:szCs w:val="22"/>
          <w:lang w:val="hu-HU" w:eastAsia="hu-HU"/>
        </w:rPr>
        <w:t xml:space="preserve"> tesztekben sem mutatta annak jelét, hogy bárminemű karcinogén hatással bírna.</w:t>
      </w:r>
    </w:p>
    <w:p w14:paraId="3BF061B0" w14:textId="77777777" w:rsidR="004B6D51" w:rsidRPr="00171E38" w:rsidRDefault="004B6D51" w:rsidP="00171E38">
      <w:pPr>
        <w:spacing w:line="240" w:lineRule="auto"/>
        <w:outlineLvl w:val="0"/>
        <w:rPr>
          <w:szCs w:val="22"/>
          <w:lang w:val="hu-HU"/>
        </w:rPr>
      </w:pPr>
    </w:p>
    <w:p w14:paraId="0FE07116" w14:textId="77777777" w:rsidR="001B0D69" w:rsidRPr="00171E38" w:rsidRDefault="001B0D69" w:rsidP="00171E38">
      <w:pPr>
        <w:spacing w:line="240" w:lineRule="auto"/>
        <w:outlineLvl w:val="0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CalciviD:</w:t>
      </w:r>
    </w:p>
    <w:p w14:paraId="305F0BCB" w14:textId="77777777" w:rsidR="00E34FC5" w:rsidRPr="00171E38" w:rsidRDefault="00E34FC5" w:rsidP="00171E38">
      <w:pPr>
        <w:spacing w:line="240" w:lineRule="auto"/>
        <w:outlineLvl w:val="0"/>
        <w:rPr>
          <w:szCs w:val="22"/>
          <w:lang w:val="hu-HU"/>
        </w:rPr>
      </w:pPr>
    </w:p>
    <w:p w14:paraId="49544A6E" w14:textId="77777777" w:rsidR="001B0D69" w:rsidRPr="00171E38" w:rsidRDefault="003274D8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Állatkísérletek</w:t>
      </w:r>
      <w:r>
        <w:rPr>
          <w:szCs w:val="22"/>
          <w:lang w:val="hu-HU"/>
        </w:rPr>
        <w:t>nél</w:t>
      </w:r>
      <w:r w:rsidRPr="00171E38">
        <w:rPr>
          <w:szCs w:val="22"/>
          <w:lang w:val="hu-HU"/>
        </w:rPr>
        <w:t xml:space="preserve"> </w:t>
      </w:r>
      <w:r w:rsidR="001B0D69" w:rsidRPr="00171E38">
        <w:rPr>
          <w:szCs w:val="22"/>
          <w:lang w:val="hu-HU"/>
        </w:rPr>
        <w:t>a humán terápiás dózis többszörösének alkalmazásakor teratogén hatást figyeltek meg. Az ártalmatlanságra vonatkozó</w:t>
      </w:r>
      <w:r w:rsidR="004557F2" w:rsidRPr="00171E38">
        <w:rPr>
          <w:szCs w:val="22"/>
          <w:lang w:val="hu-HU"/>
        </w:rPr>
        <w:t xml:space="preserve">an </w:t>
      </w:r>
      <w:r w:rsidR="001B0D69" w:rsidRPr="00171E38">
        <w:rPr>
          <w:szCs w:val="22"/>
          <w:lang w:val="hu-HU"/>
        </w:rPr>
        <w:t>a fentebb megadottakon túlmenően</w:t>
      </w:r>
      <w:r w:rsidR="004557F2" w:rsidRPr="00171E38">
        <w:rPr>
          <w:szCs w:val="22"/>
          <w:lang w:val="hu-HU"/>
        </w:rPr>
        <w:t xml:space="preserve"> </w:t>
      </w:r>
      <w:r w:rsidR="001B0D69" w:rsidRPr="00171E38">
        <w:rPr>
          <w:szCs w:val="22"/>
          <w:lang w:val="hu-HU"/>
        </w:rPr>
        <w:t>további információ nem áll rendelkezésre.</w:t>
      </w:r>
    </w:p>
    <w:p w14:paraId="41B83614" w14:textId="77777777" w:rsidR="00133016" w:rsidRPr="00171E38" w:rsidRDefault="00133016" w:rsidP="00171E38">
      <w:pPr>
        <w:spacing w:line="240" w:lineRule="auto"/>
        <w:rPr>
          <w:bCs/>
          <w:szCs w:val="22"/>
          <w:lang w:val="hu-HU"/>
        </w:rPr>
      </w:pPr>
    </w:p>
    <w:p w14:paraId="52FF681E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</w:p>
    <w:p w14:paraId="2B4A3259" w14:textId="77777777" w:rsidR="0061658D" w:rsidRPr="00171E38" w:rsidRDefault="0061658D" w:rsidP="00171E38">
      <w:pPr>
        <w:spacing w:line="240" w:lineRule="auto"/>
        <w:ind w:left="567" w:hanging="567"/>
        <w:rPr>
          <w:b/>
          <w:noProof/>
          <w:szCs w:val="22"/>
          <w:lang w:val="hu-HU"/>
        </w:rPr>
      </w:pPr>
      <w:r w:rsidRPr="00E74A9E">
        <w:rPr>
          <w:b/>
          <w:noProof/>
          <w:szCs w:val="22"/>
          <w:lang w:val="hu-HU"/>
        </w:rPr>
        <w:t>6.</w:t>
      </w:r>
      <w:r w:rsidRPr="00E74A9E">
        <w:rPr>
          <w:b/>
          <w:noProof/>
          <w:szCs w:val="22"/>
          <w:lang w:val="hu-HU"/>
        </w:rPr>
        <w:tab/>
        <w:t>GYÓGYSZERÉSZETI JELLEMZŐK</w:t>
      </w:r>
    </w:p>
    <w:p w14:paraId="587A45F0" w14:textId="77777777" w:rsidR="0061658D" w:rsidRPr="00171E38" w:rsidRDefault="0061658D" w:rsidP="00171E38">
      <w:pPr>
        <w:spacing w:line="240" w:lineRule="auto"/>
        <w:rPr>
          <w:noProof/>
          <w:szCs w:val="22"/>
          <w:lang w:val="hu-HU"/>
        </w:rPr>
      </w:pPr>
    </w:p>
    <w:p w14:paraId="65D9FE92" w14:textId="77777777" w:rsidR="0061658D" w:rsidRPr="00171E38" w:rsidRDefault="0061658D" w:rsidP="00171E38">
      <w:pPr>
        <w:spacing w:line="240" w:lineRule="auto"/>
        <w:ind w:left="567" w:hanging="567"/>
        <w:rPr>
          <w:b/>
          <w:noProof/>
          <w:szCs w:val="22"/>
          <w:lang w:val="hu-HU"/>
        </w:rPr>
      </w:pPr>
      <w:r w:rsidRPr="00171E38">
        <w:rPr>
          <w:b/>
          <w:noProof/>
          <w:szCs w:val="22"/>
          <w:lang w:val="hu-HU"/>
        </w:rPr>
        <w:t>6.1</w:t>
      </w:r>
      <w:r w:rsidRPr="00171E38">
        <w:rPr>
          <w:b/>
          <w:noProof/>
          <w:szCs w:val="22"/>
          <w:lang w:val="hu-HU"/>
        </w:rPr>
        <w:tab/>
        <w:t>Segédanyagok felsorolása</w:t>
      </w:r>
    </w:p>
    <w:p w14:paraId="770826F0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</w:p>
    <w:p w14:paraId="0ECAC7B7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145C7B25" w14:textId="77777777" w:rsidR="00A47769" w:rsidRPr="00E74A9E" w:rsidRDefault="009952D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>
        <w:rPr>
          <w:szCs w:val="22"/>
          <w:lang w:val="hu-HU" w:eastAsia="hu-HU"/>
        </w:rPr>
        <w:t>m</w:t>
      </w:r>
      <w:r w:rsidR="00A47769" w:rsidRPr="00E74A9E">
        <w:rPr>
          <w:szCs w:val="22"/>
          <w:lang w:val="hu-HU" w:eastAsia="hu-HU"/>
        </w:rPr>
        <w:t>annit (E421)</w:t>
      </w:r>
    </w:p>
    <w:p w14:paraId="3AECEEBE" w14:textId="77777777" w:rsidR="00A47769" w:rsidRPr="00EA23D0" w:rsidRDefault="009952D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>
        <w:rPr>
          <w:szCs w:val="22"/>
          <w:lang w:val="hu-HU" w:eastAsia="hu-HU"/>
        </w:rPr>
        <w:t>i</w:t>
      </w:r>
      <w:r w:rsidR="00A47769" w:rsidRPr="00EA23D0">
        <w:rPr>
          <w:szCs w:val="22"/>
          <w:lang w:val="hu-HU" w:eastAsia="hu-HU"/>
        </w:rPr>
        <w:t>njekcióhoz való víz</w:t>
      </w:r>
    </w:p>
    <w:p w14:paraId="2E8FC09F" w14:textId="77777777" w:rsidR="00E74A9E" w:rsidRPr="00171E38" w:rsidRDefault="009952D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>
        <w:rPr>
          <w:szCs w:val="22"/>
          <w:lang w:val="hu-HU" w:eastAsia="hu-HU"/>
        </w:rPr>
        <w:t>n</w:t>
      </w:r>
      <w:r w:rsidR="00E74A9E">
        <w:rPr>
          <w:szCs w:val="22"/>
          <w:lang w:val="hu-HU" w:eastAsia="hu-HU"/>
        </w:rPr>
        <w:t>átrium-citrát</w:t>
      </w:r>
    </w:p>
    <w:p w14:paraId="5BDD662E" w14:textId="77777777" w:rsidR="008C05AC" w:rsidRPr="00171E38" w:rsidRDefault="008C05AC" w:rsidP="00171E38">
      <w:pPr>
        <w:spacing w:line="240" w:lineRule="auto"/>
        <w:rPr>
          <w:bCs/>
          <w:szCs w:val="22"/>
          <w:lang w:val="hu-HU"/>
        </w:rPr>
      </w:pPr>
    </w:p>
    <w:p w14:paraId="57A5EB6B" w14:textId="77777777" w:rsidR="000F1388" w:rsidRPr="00171E38" w:rsidRDefault="001B0D6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u w:val="single"/>
          <w:lang w:val="hu-HU"/>
        </w:rPr>
        <w:t>CalciviD</w:t>
      </w:r>
      <w:r w:rsidRPr="00171E38">
        <w:rPr>
          <w:bCs/>
          <w:szCs w:val="22"/>
          <w:u w:val="single"/>
          <w:lang w:val="hu-HU"/>
        </w:rPr>
        <w:t>:</w:t>
      </w:r>
    </w:p>
    <w:p w14:paraId="1345599E" w14:textId="77777777" w:rsidR="000F1388" w:rsidRPr="00171E38" w:rsidRDefault="000F1388" w:rsidP="00171E38">
      <w:pPr>
        <w:spacing w:line="240" w:lineRule="auto"/>
        <w:rPr>
          <w:szCs w:val="22"/>
          <w:lang w:val="hu-HU"/>
        </w:rPr>
      </w:pPr>
    </w:p>
    <w:p w14:paraId="668BAB88" w14:textId="77777777" w:rsidR="00E34FC5" w:rsidRPr="00171E38" w:rsidRDefault="009952D0" w:rsidP="00171E38">
      <w:pPr>
        <w:spacing w:line="240" w:lineRule="auto"/>
        <w:rPr>
          <w:i/>
          <w:szCs w:val="22"/>
          <w:lang w:val="hu-HU"/>
        </w:rPr>
      </w:pPr>
      <w:r>
        <w:rPr>
          <w:i/>
          <w:szCs w:val="22"/>
          <w:lang w:val="hu-HU"/>
        </w:rPr>
        <w:t>Tablettamag</w:t>
      </w:r>
      <w:r w:rsidR="00E34FC5" w:rsidRPr="00171E38">
        <w:rPr>
          <w:i/>
          <w:szCs w:val="22"/>
          <w:lang w:val="hu-HU"/>
        </w:rPr>
        <w:t>:</w:t>
      </w:r>
    </w:p>
    <w:p w14:paraId="174075E6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</w:t>
      </w:r>
      <w:r w:rsidR="001B0D69" w:rsidRPr="00171E38">
        <w:rPr>
          <w:szCs w:val="22"/>
          <w:lang w:val="hu-HU"/>
        </w:rPr>
        <w:t>agnézium-sztearát</w:t>
      </w:r>
    </w:p>
    <w:p w14:paraId="1EF7A4D7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1B0D69" w:rsidRPr="00171E38">
        <w:rPr>
          <w:szCs w:val="22"/>
          <w:lang w:val="hu-HU"/>
        </w:rPr>
        <w:t>roszpovidon</w:t>
      </w:r>
      <w:r w:rsidR="00DC30E4" w:rsidRPr="00171E38">
        <w:rPr>
          <w:szCs w:val="22"/>
          <w:lang w:val="hu-HU"/>
        </w:rPr>
        <w:t xml:space="preserve"> (A típus)</w:t>
      </w:r>
    </w:p>
    <w:p w14:paraId="1D7B8CFF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1B0D69" w:rsidRPr="00171E38">
        <w:rPr>
          <w:szCs w:val="22"/>
          <w:lang w:val="hu-HU"/>
        </w:rPr>
        <w:t>opovidon</w:t>
      </w:r>
      <w:r w:rsidR="00321438">
        <w:rPr>
          <w:szCs w:val="22"/>
          <w:lang w:val="hu-HU"/>
        </w:rPr>
        <w:t xml:space="preserve"> </w:t>
      </w:r>
      <w:r w:rsidR="00321438" w:rsidRPr="00321438">
        <w:rPr>
          <w:szCs w:val="22"/>
          <w:lang w:val="hu-HU"/>
        </w:rPr>
        <w:t>(K-érték: 25,2-30,8)</w:t>
      </w:r>
    </w:p>
    <w:p w14:paraId="27DCD1A7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</w:t>
      </w:r>
      <w:r w:rsidR="001B0D69" w:rsidRPr="00171E38">
        <w:rPr>
          <w:szCs w:val="22"/>
          <w:lang w:val="hu-HU"/>
        </w:rPr>
        <w:t>ikrokristályos cellulóz</w:t>
      </w:r>
    </w:p>
    <w:p w14:paraId="5D63C44A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</w:t>
      </w:r>
      <w:r w:rsidR="001B0D69" w:rsidRPr="00171E38">
        <w:rPr>
          <w:szCs w:val="22"/>
          <w:lang w:val="hu-HU"/>
        </w:rPr>
        <w:t>zacharóz</w:t>
      </w:r>
    </w:p>
    <w:p w14:paraId="576E35CE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z</w:t>
      </w:r>
      <w:r w:rsidR="001B0D69" w:rsidRPr="00171E38">
        <w:rPr>
          <w:szCs w:val="22"/>
          <w:lang w:val="hu-HU"/>
        </w:rPr>
        <w:t>selatin</w:t>
      </w:r>
    </w:p>
    <w:p w14:paraId="3A130165" w14:textId="77777777" w:rsidR="000F1388" w:rsidRPr="00C052E4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DC30E4" w:rsidRPr="00171E38">
        <w:rPr>
          <w:szCs w:val="22"/>
          <w:lang w:val="hu-HU"/>
        </w:rPr>
        <w:t>ll-rac</w:t>
      </w:r>
      <w:r w:rsidR="001B0D69" w:rsidRPr="00171E38">
        <w:rPr>
          <w:szCs w:val="22"/>
          <w:lang w:val="hu-HU"/>
        </w:rPr>
        <w:t>-</w:t>
      </w:r>
      <w:r w:rsidR="001B0D69" w:rsidRPr="00C052E4">
        <w:rPr>
          <w:szCs w:val="22"/>
          <w:lang w:val="hu-HU"/>
        </w:rPr>
        <w:sym w:font="Symbol" w:char="F061"/>
      </w:r>
      <w:r w:rsidR="001B0D69" w:rsidRPr="00C052E4">
        <w:rPr>
          <w:szCs w:val="22"/>
          <w:lang w:val="hu-HU"/>
        </w:rPr>
        <w:t>-tokoferol</w:t>
      </w:r>
      <w:r w:rsidR="00321438">
        <w:rPr>
          <w:szCs w:val="22"/>
          <w:lang w:val="hu-HU"/>
        </w:rPr>
        <w:t xml:space="preserve"> </w:t>
      </w:r>
      <w:r w:rsidR="00321438" w:rsidRPr="00321438">
        <w:rPr>
          <w:szCs w:val="22"/>
          <w:lang w:val="hu-HU"/>
        </w:rPr>
        <w:t>(E307)</w:t>
      </w:r>
    </w:p>
    <w:p w14:paraId="06294634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</w:t>
      </w:r>
      <w:r w:rsidR="001B0D69" w:rsidRPr="00171E38">
        <w:rPr>
          <w:szCs w:val="22"/>
          <w:lang w:val="hu-HU"/>
        </w:rPr>
        <w:t>idrogénezett szójababolaj</w:t>
      </w:r>
    </w:p>
    <w:p w14:paraId="7876E971" w14:textId="77777777" w:rsidR="001B0D69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0F1388" w:rsidRPr="00171E38">
        <w:rPr>
          <w:szCs w:val="22"/>
          <w:lang w:val="hu-HU"/>
        </w:rPr>
        <w:t>ukoricakeményítő</w:t>
      </w:r>
    </w:p>
    <w:p w14:paraId="04E688DE" w14:textId="77777777" w:rsidR="000F1388" w:rsidRPr="00171E38" w:rsidRDefault="000F1388" w:rsidP="00171E38">
      <w:pPr>
        <w:spacing w:line="240" w:lineRule="auto"/>
        <w:rPr>
          <w:szCs w:val="22"/>
          <w:lang w:val="hu-HU"/>
        </w:rPr>
      </w:pPr>
    </w:p>
    <w:p w14:paraId="1B1D6705" w14:textId="77777777" w:rsidR="000F1388" w:rsidRPr="00171E38" w:rsidRDefault="00E34FC5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Filmb</w:t>
      </w:r>
      <w:r w:rsidR="001B0D69" w:rsidRPr="00171E38">
        <w:rPr>
          <w:i/>
          <w:szCs w:val="22"/>
          <w:lang w:val="hu-HU"/>
        </w:rPr>
        <w:t>evonat:</w:t>
      </w:r>
    </w:p>
    <w:p w14:paraId="5205F166" w14:textId="77777777" w:rsidR="000F1388" w:rsidRPr="00171E38" w:rsidRDefault="001B0D69" w:rsidP="00171E38">
      <w:pPr>
        <w:spacing w:line="240" w:lineRule="auto"/>
        <w:rPr>
          <w:i/>
          <w:szCs w:val="22"/>
          <w:lang w:val="hu-HU"/>
        </w:rPr>
      </w:pPr>
      <w:r w:rsidRPr="00171E38">
        <w:rPr>
          <w:i/>
          <w:szCs w:val="22"/>
          <w:lang w:val="hu-HU"/>
        </w:rPr>
        <w:t>Sepifilm 4202 yellow</w:t>
      </w:r>
      <w:r w:rsidR="003111D5">
        <w:rPr>
          <w:i/>
          <w:szCs w:val="22"/>
          <w:lang w:val="hu-HU"/>
        </w:rPr>
        <w:t xml:space="preserve"> PW</w:t>
      </w:r>
      <w:r w:rsidRPr="00171E38">
        <w:rPr>
          <w:i/>
          <w:szCs w:val="22"/>
          <w:lang w:val="hu-HU"/>
        </w:rPr>
        <w:t>:</w:t>
      </w:r>
    </w:p>
    <w:p w14:paraId="490AB3F1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</w:t>
      </w:r>
      <w:r w:rsidR="001B0D69" w:rsidRPr="00171E38">
        <w:rPr>
          <w:szCs w:val="22"/>
          <w:lang w:val="hu-HU"/>
        </w:rPr>
        <w:t>árga vas-oxid (E172)</w:t>
      </w:r>
    </w:p>
    <w:p w14:paraId="3AA5EEE1" w14:textId="77777777" w:rsidR="006A0309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</w:t>
      </w:r>
      <w:r w:rsidR="006A0309" w:rsidRPr="00171E38">
        <w:rPr>
          <w:szCs w:val="22"/>
          <w:lang w:val="hu-HU"/>
        </w:rPr>
        <w:t>ipromellóz</w:t>
      </w:r>
      <w:r w:rsidR="00321438">
        <w:rPr>
          <w:szCs w:val="22"/>
          <w:lang w:val="hu-HU"/>
        </w:rPr>
        <w:t xml:space="preserve"> </w:t>
      </w:r>
      <w:r w:rsidR="00321438" w:rsidRPr="00321438">
        <w:rPr>
          <w:szCs w:val="22"/>
          <w:lang w:val="hu-HU"/>
        </w:rPr>
        <w:t>(15 mPas)</w:t>
      </w:r>
    </w:p>
    <w:p w14:paraId="0ACA0EC6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</w:t>
      </w:r>
      <w:r w:rsidR="001B0D69" w:rsidRPr="00171E38">
        <w:rPr>
          <w:szCs w:val="22"/>
          <w:lang w:val="hu-HU"/>
        </w:rPr>
        <w:t>it</w:t>
      </w:r>
      <w:r w:rsidR="0069722C" w:rsidRPr="00171E38">
        <w:rPr>
          <w:szCs w:val="22"/>
          <w:lang w:val="hu-HU"/>
        </w:rPr>
        <w:t>á</w:t>
      </w:r>
      <w:r w:rsidR="001B0D69" w:rsidRPr="00171E38">
        <w:rPr>
          <w:szCs w:val="22"/>
          <w:lang w:val="hu-HU"/>
        </w:rPr>
        <w:t>n-dioxid (E171)</w:t>
      </w:r>
    </w:p>
    <w:p w14:paraId="04A57E07" w14:textId="77777777" w:rsidR="000F1388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</w:t>
      </w:r>
      <w:r w:rsidR="001B0D69" w:rsidRPr="00171E38">
        <w:rPr>
          <w:szCs w:val="22"/>
          <w:lang w:val="hu-HU"/>
        </w:rPr>
        <w:t>akrogol</w:t>
      </w:r>
      <w:r w:rsidR="008C05AC" w:rsidRPr="00171E38">
        <w:rPr>
          <w:szCs w:val="22"/>
          <w:lang w:val="hu-HU"/>
        </w:rPr>
        <w:t xml:space="preserve"> </w:t>
      </w:r>
      <w:r w:rsidR="00321438">
        <w:rPr>
          <w:szCs w:val="22"/>
          <w:lang w:val="hu-HU"/>
        </w:rPr>
        <w:t>3350</w:t>
      </w:r>
    </w:p>
    <w:p w14:paraId="5BE07994" w14:textId="77777777" w:rsidR="001B0D69" w:rsidRPr="00171E38" w:rsidRDefault="009952D0" w:rsidP="00171E3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</w:t>
      </w:r>
      <w:r w:rsidR="000F1388" w:rsidRPr="00171E38">
        <w:rPr>
          <w:szCs w:val="22"/>
          <w:lang w:val="hu-HU"/>
        </w:rPr>
        <w:t>alkum</w:t>
      </w:r>
    </w:p>
    <w:p w14:paraId="4DA514F5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5121CDF3" w14:textId="77777777" w:rsidR="001B0D69" w:rsidRPr="00171E38" w:rsidRDefault="001B0D69" w:rsidP="00424A82">
      <w:pPr>
        <w:keepNext/>
        <w:spacing w:line="240" w:lineRule="auto"/>
        <w:outlineLvl w:val="0"/>
        <w:rPr>
          <w:szCs w:val="22"/>
          <w:lang w:val="hu-HU"/>
        </w:rPr>
      </w:pPr>
      <w:r w:rsidRPr="00171E38">
        <w:rPr>
          <w:b/>
          <w:bCs/>
          <w:szCs w:val="22"/>
          <w:lang w:val="hu-HU"/>
        </w:rPr>
        <w:t>6.2</w:t>
      </w:r>
      <w:r w:rsidR="0061658D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Inkompatibilitások</w:t>
      </w:r>
    </w:p>
    <w:p w14:paraId="18E6C00B" w14:textId="77777777" w:rsidR="001B0D69" w:rsidRPr="00171E38" w:rsidRDefault="001B0D69" w:rsidP="00424A82">
      <w:pPr>
        <w:keepNext/>
        <w:spacing w:line="240" w:lineRule="auto"/>
        <w:rPr>
          <w:szCs w:val="22"/>
          <w:lang w:val="hu-HU"/>
        </w:rPr>
      </w:pPr>
    </w:p>
    <w:p w14:paraId="67621486" w14:textId="77777777" w:rsidR="00A47769" w:rsidRPr="00171E38" w:rsidRDefault="00A47769" w:rsidP="00424A82">
      <w:pPr>
        <w:keepNext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38BA512A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EC89518" w14:textId="77777777" w:rsidR="00DC30E4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Ezt a gyógyszert tilos kalciummal vagy más, két vegyértékű kationt tartalmazó infúziós oldattal, például Ringer-laktát oldattal keverni</w:t>
      </w:r>
      <w:r w:rsidR="00DC30E4" w:rsidRPr="00171E38">
        <w:rPr>
          <w:szCs w:val="22"/>
          <w:lang w:val="hu-HU" w:eastAsia="hu-HU"/>
        </w:rPr>
        <w:t>.</w:t>
      </w:r>
      <w:r w:rsidRPr="00171E38">
        <w:rPr>
          <w:szCs w:val="22"/>
          <w:lang w:val="hu-HU" w:eastAsia="hu-HU"/>
        </w:rPr>
        <w:t xml:space="preserve"> </w:t>
      </w:r>
    </w:p>
    <w:p w14:paraId="500C9595" w14:textId="77777777" w:rsidR="00A47769" w:rsidRPr="00171E38" w:rsidRDefault="00DC30E4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E</w:t>
      </w:r>
      <w:r w:rsidR="00A47769" w:rsidRPr="00171E38">
        <w:rPr>
          <w:szCs w:val="22"/>
          <w:lang w:val="hu-HU" w:eastAsia="hu-HU"/>
        </w:rPr>
        <w:t>gyedüli intravénás oldatként, elkülönített infúziós szereléken át kell beadni.</w:t>
      </w:r>
    </w:p>
    <w:p w14:paraId="0DD34322" w14:textId="77777777" w:rsidR="00052517" w:rsidRPr="00171E38" w:rsidRDefault="00052517" w:rsidP="00171E38">
      <w:pPr>
        <w:spacing w:line="240" w:lineRule="auto"/>
        <w:rPr>
          <w:szCs w:val="22"/>
          <w:lang w:val="hu-HU"/>
        </w:rPr>
      </w:pPr>
    </w:p>
    <w:p w14:paraId="7CC32632" w14:textId="77777777" w:rsidR="00E34FC5" w:rsidRPr="00171E38" w:rsidRDefault="001B0D69" w:rsidP="00171E38">
      <w:pPr>
        <w:spacing w:line="240" w:lineRule="auto"/>
        <w:rPr>
          <w:bCs/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>CalciviD</w:t>
      </w:r>
      <w:r w:rsidRPr="00171E38">
        <w:rPr>
          <w:bCs/>
          <w:szCs w:val="22"/>
          <w:u w:val="single"/>
          <w:lang w:val="hu-HU"/>
        </w:rPr>
        <w:t>:</w:t>
      </w:r>
    </w:p>
    <w:p w14:paraId="659D4ADE" w14:textId="77777777" w:rsidR="000734D8" w:rsidRPr="00171E38" w:rsidRDefault="006A0309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>Nem értelmezhető</w:t>
      </w:r>
      <w:r w:rsidR="001B0D69" w:rsidRPr="00171E38">
        <w:rPr>
          <w:szCs w:val="22"/>
          <w:lang w:val="hu-HU"/>
        </w:rPr>
        <w:t>.</w:t>
      </w:r>
    </w:p>
    <w:p w14:paraId="5E4E067B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725B82BC" w14:textId="77777777" w:rsidR="0061658D" w:rsidRPr="00171E38" w:rsidRDefault="0061658D" w:rsidP="00171E38">
      <w:pPr>
        <w:spacing w:line="240" w:lineRule="auto"/>
        <w:ind w:left="567" w:hanging="567"/>
        <w:rPr>
          <w:b/>
          <w:noProof/>
          <w:szCs w:val="22"/>
          <w:lang w:val="hu-HU"/>
        </w:rPr>
      </w:pPr>
      <w:r w:rsidRPr="00171E38">
        <w:rPr>
          <w:b/>
          <w:noProof/>
          <w:szCs w:val="22"/>
          <w:lang w:val="hu-HU"/>
        </w:rPr>
        <w:t>6.3</w:t>
      </w:r>
      <w:r w:rsidRPr="00171E38">
        <w:rPr>
          <w:b/>
          <w:noProof/>
          <w:szCs w:val="22"/>
          <w:lang w:val="hu-HU"/>
        </w:rPr>
        <w:tab/>
        <w:t>Felhasználhatósági időtartam</w:t>
      </w:r>
    </w:p>
    <w:p w14:paraId="3BB34F46" w14:textId="77777777" w:rsidR="0061658D" w:rsidRPr="00171E38" w:rsidRDefault="0061658D" w:rsidP="00171E38">
      <w:pPr>
        <w:spacing w:line="240" w:lineRule="auto"/>
        <w:outlineLvl w:val="0"/>
        <w:rPr>
          <w:bCs/>
          <w:szCs w:val="22"/>
          <w:lang w:val="hu-HU"/>
        </w:rPr>
      </w:pPr>
    </w:p>
    <w:p w14:paraId="68F4F656" w14:textId="77777777" w:rsidR="00B3033C" w:rsidRPr="0058399D" w:rsidRDefault="001D04C7" w:rsidP="00B3033C">
      <w:pPr>
        <w:widowControl w:val="0"/>
        <w:suppressAutoHyphens/>
        <w:autoSpaceDE w:val="0"/>
        <w:autoSpaceDN w:val="0"/>
        <w:adjustRightInd w:val="0"/>
        <w:spacing w:line="240" w:lineRule="auto"/>
        <w:rPr>
          <w:lang w:val="hu-HU" w:eastAsia="hu-HU"/>
        </w:rPr>
      </w:pPr>
      <w:r>
        <w:rPr>
          <w:lang w:val="hu-HU" w:eastAsia="hu-HU"/>
        </w:rPr>
        <w:t xml:space="preserve">2 </w:t>
      </w:r>
      <w:r w:rsidR="00B3033C" w:rsidRPr="0058399D">
        <w:rPr>
          <w:lang w:val="hu-HU" w:eastAsia="hu-HU"/>
        </w:rPr>
        <w:t>év.</w:t>
      </w:r>
    </w:p>
    <w:p w14:paraId="189B2D24" w14:textId="77777777" w:rsidR="001B0D69" w:rsidRPr="00171E38" w:rsidRDefault="001B0D69" w:rsidP="00171E38">
      <w:pPr>
        <w:spacing w:line="240" w:lineRule="auto"/>
        <w:outlineLvl w:val="0"/>
        <w:rPr>
          <w:szCs w:val="22"/>
          <w:lang w:val="hu-HU"/>
        </w:rPr>
      </w:pPr>
    </w:p>
    <w:p w14:paraId="141F8723" w14:textId="77777777" w:rsidR="00A47769" w:rsidRPr="0058399D" w:rsidRDefault="009952D0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 w:eastAsia="hu-HU"/>
        </w:rPr>
      </w:pPr>
      <w:r w:rsidRPr="0058399D">
        <w:rPr>
          <w:szCs w:val="22"/>
          <w:u w:val="single"/>
          <w:lang w:val="hu-HU" w:eastAsia="hu-HU"/>
        </w:rPr>
        <w:t>Zoledronsav Richter 4 mg/100 ml oldatos infúzió:</w:t>
      </w:r>
    </w:p>
    <w:p w14:paraId="18900104" w14:textId="77777777" w:rsidR="00B3033C" w:rsidRPr="00171E38" w:rsidRDefault="00B3033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58399D">
        <w:rPr>
          <w:lang w:val="hu-HU" w:eastAsia="hu-HU"/>
        </w:rPr>
        <w:t>Az első felbontás után</w:t>
      </w:r>
      <w:r w:rsidR="001D04C7">
        <w:rPr>
          <w:lang w:val="hu-HU" w:eastAsia="hu-HU"/>
        </w:rPr>
        <w:t xml:space="preserve"> a készítmény</w:t>
      </w:r>
      <w:r w:rsidRPr="0058399D">
        <w:rPr>
          <w:lang w:val="hu-HU" w:eastAsia="hu-HU"/>
        </w:rPr>
        <w:t xml:space="preserve"> kémiai és fizikai </w:t>
      </w:r>
      <w:bookmarkStart w:id="2" w:name="_Hlk104881207"/>
      <w:r w:rsidRPr="0058399D">
        <w:rPr>
          <w:lang w:val="hu-HU" w:eastAsia="hu-HU"/>
        </w:rPr>
        <w:t>stabilitás</w:t>
      </w:r>
      <w:r w:rsidR="001D04C7">
        <w:rPr>
          <w:lang w:val="hu-HU" w:eastAsia="hu-HU"/>
        </w:rPr>
        <w:t>a</w:t>
      </w:r>
      <w:r w:rsidRPr="0058399D">
        <w:rPr>
          <w:lang w:val="hu-HU" w:eastAsia="hu-HU"/>
        </w:rPr>
        <w:t xml:space="preserve"> </w:t>
      </w:r>
      <w:r w:rsidR="001D04C7" w:rsidRPr="001D04C7">
        <w:rPr>
          <w:lang w:val="hu-HU" w:eastAsia="hu-HU"/>
        </w:rPr>
        <w:t xml:space="preserve">2 °C–8 °C között és 25 °C-on </w:t>
      </w:r>
      <w:r w:rsidRPr="0058399D">
        <w:rPr>
          <w:lang w:val="hu-HU" w:eastAsia="hu-HU"/>
        </w:rPr>
        <w:t xml:space="preserve">24 órán </w:t>
      </w:r>
      <w:r w:rsidR="001D04C7">
        <w:rPr>
          <w:lang w:val="hu-HU" w:eastAsia="hu-HU"/>
        </w:rPr>
        <w:t>át igazolt.</w:t>
      </w:r>
      <w:r w:rsidR="001D04C7" w:rsidRPr="0058399D">
        <w:rPr>
          <w:lang w:val="hu-HU" w:eastAsia="hu-HU"/>
        </w:rPr>
        <w:t xml:space="preserve"> </w:t>
      </w:r>
      <w:r w:rsidRPr="0058399D">
        <w:rPr>
          <w:lang w:val="hu-HU" w:eastAsia="hu-HU"/>
        </w:rPr>
        <w:t xml:space="preserve">Mikrobiológiai szempontból az oldatos infúziót azonnal fel kell használni. </w:t>
      </w:r>
      <w:r w:rsidR="001D04C7">
        <w:rPr>
          <w:lang w:val="hu-HU" w:eastAsia="hu-HU"/>
        </w:rPr>
        <w:t>Amennyiben nem használják fel azonnal</w:t>
      </w:r>
      <w:r w:rsidRPr="0058399D">
        <w:rPr>
          <w:lang w:val="hu-HU" w:eastAsia="hu-HU"/>
        </w:rPr>
        <w:t>, a felhasználás</w:t>
      </w:r>
      <w:r w:rsidR="001D04C7">
        <w:rPr>
          <w:lang w:val="hu-HU" w:eastAsia="hu-HU"/>
        </w:rPr>
        <w:t>ig</w:t>
      </w:r>
      <w:r w:rsidRPr="0058399D">
        <w:rPr>
          <w:lang w:val="hu-HU" w:eastAsia="hu-HU"/>
        </w:rPr>
        <w:t xml:space="preserve"> </w:t>
      </w:r>
      <w:r w:rsidR="001D04C7">
        <w:rPr>
          <w:lang w:val="hu-HU" w:eastAsia="hu-HU"/>
        </w:rPr>
        <w:t>az eltartási idő és a tárolási körülmények</w:t>
      </w:r>
      <w:r w:rsidRPr="0058399D">
        <w:rPr>
          <w:lang w:val="hu-HU" w:eastAsia="hu-HU"/>
        </w:rPr>
        <w:t xml:space="preserve"> </w:t>
      </w:r>
      <w:r w:rsidR="001D04C7">
        <w:rPr>
          <w:lang w:val="hu-HU" w:eastAsia="hu-HU"/>
        </w:rPr>
        <w:t xml:space="preserve">a </w:t>
      </w:r>
      <w:r w:rsidRPr="0058399D">
        <w:rPr>
          <w:lang w:val="hu-HU" w:eastAsia="hu-HU"/>
        </w:rPr>
        <w:t>felhasználó felelős</w:t>
      </w:r>
      <w:r w:rsidR="001D04C7">
        <w:rPr>
          <w:lang w:val="hu-HU" w:eastAsia="hu-HU"/>
        </w:rPr>
        <w:t>sége</w:t>
      </w:r>
      <w:r w:rsidRPr="0058399D">
        <w:rPr>
          <w:lang w:val="hu-HU" w:eastAsia="hu-HU"/>
        </w:rPr>
        <w:t xml:space="preserve">. </w:t>
      </w:r>
      <w:r w:rsidRPr="0072011B">
        <w:rPr>
          <w:lang w:val="hu-HU" w:eastAsia="hu-HU"/>
        </w:rPr>
        <w:t>A hűtőszekrényben tárolt oldatot ezután az alkalmazás előtt hagyni kell szobahőmérsékletűre melegedni.</w:t>
      </w:r>
      <w:bookmarkEnd w:id="2"/>
    </w:p>
    <w:p w14:paraId="6783ABE0" w14:textId="77777777" w:rsidR="00A47769" w:rsidRPr="00171E38" w:rsidRDefault="00A47769" w:rsidP="00171E38">
      <w:pPr>
        <w:spacing w:line="240" w:lineRule="auto"/>
        <w:outlineLvl w:val="0"/>
        <w:rPr>
          <w:szCs w:val="22"/>
          <w:lang w:val="hu-HU"/>
        </w:rPr>
      </w:pPr>
    </w:p>
    <w:p w14:paraId="41659DC5" w14:textId="77777777" w:rsidR="0061658D" w:rsidRPr="00171E38" w:rsidRDefault="0061658D" w:rsidP="00171E38">
      <w:pPr>
        <w:spacing w:line="240" w:lineRule="auto"/>
        <w:ind w:left="567" w:hanging="567"/>
        <w:rPr>
          <w:b/>
          <w:noProof/>
          <w:szCs w:val="22"/>
          <w:lang w:val="hu-HU"/>
        </w:rPr>
      </w:pPr>
      <w:r w:rsidRPr="00171E38">
        <w:rPr>
          <w:b/>
          <w:noProof/>
          <w:szCs w:val="22"/>
          <w:lang w:val="hu-HU"/>
        </w:rPr>
        <w:t>6.4</w:t>
      </w:r>
      <w:r w:rsidRPr="00171E38">
        <w:rPr>
          <w:b/>
          <w:noProof/>
          <w:szCs w:val="22"/>
          <w:lang w:val="hu-HU"/>
        </w:rPr>
        <w:tab/>
        <w:t>Különleges tárolási előírások</w:t>
      </w:r>
    </w:p>
    <w:p w14:paraId="72626FE5" w14:textId="77777777" w:rsidR="005F4643" w:rsidRPr="00171E38" w:rsidRDefault="005F4643" w:rsidP="00171E38">
      <w:pPr>
        <w:spacing w:line="240" w:lineRule="auto"/>
        <w:outlineLvl w:val="0"/>
        <w:rPr>
          <w:bCs/>
          <w:szCs w:val="22"/>
          <w:lang w:val="hu-HU"/>
        </w:rPr>
      </w:pPr>
    </w:p>
    <w:p w14:paraId="456BA285" w14:textId="77777777" w:rsidR="005F4643" w:rsidRPr="00171E38" w:rsidRDefault="005F4643" w:rsidP="00171E38">
      <w:pPr>
        <w:spacing w:line="240" w:lineRule="auto"/>
        <w:outlineLvl w:val="0"/>
        <w:rPr>
          <w:szCs w:val="22"/>
          <w:lang w:val="hu-HU"/>
        </w:rPr>
      </w:pPr>
      <w:r w:rsidRPr="00171E38">
        <w:rPr>
          <w:szCs w:val="22"/>
          <w:lang w:val="hu-HU"/>
        </w:rPr>
        <w:t>Legfeljebb 25</w:t>
      </w:r>
      <w:r w:rsidR="004315DC">
        <w:rPr>
          <w:szCs w:val="22"/>
          <w:lang w:val="hu-HU"/>
        </w:rPr>
        <w:t> </w:t>
      </w:r>
      <w:r w:rsidRPr="00171E38">
        <w:rPr>
          <w:szCs w:val="22"/>
          <w:lang w:val="hu-HU"/>
        </w:rPr>
        <w:t>°C-on, a nedvességtől való védelem érdekében az eredeti csomagolásban tartandó.</w:t>
      </w:r>
    </w:p>
    <w:p w14:paraId="4D46ABBF" w14:textId="77777777" w:rsidR="005F4643" w:rsidRPr="00171E38" w:rsidRDefault="005F4643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</w:p>
    <w:p w14:paraId="2B3799A7" w14:textId="77777777" w:rsidR="00A47769" w:rsidRPr="00171E38" w:rsidRDefault="00A47769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0F0E584A" w14:textId="77777777" w:rsidR="00A47769" w:rsidRPr="00171E38" w:rsidRDefault="00B3033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8399D">
        <w:rPr>
          <w:lang w:val="hu-HU" w:eastAsia="hu-HU"/>
        </w:rPr>
        <w:t>A gyógyszer első felbontása utáni tárolására vonatkozó előírásokat lásd a 6.3 pontban.</w:t>
      </w:r>
    </w:p>
    <w:p w14:paraId="345DC056" w14:textId="77777777" w:rsidR="00C052E4" w:rsidRPr="00171E38" w:rsidRDefault="00C052E4" w:rsidP="00171E38">
      <w:pPr>
        <w:spacing w:line="240" w:lineRule="auto"/>
        <w:outlineLvl w:val="0"/>
        <w:rPr>
          <w:szCs w:val="22"/>
          <w:lang w:val="hu-HU"/>
        </w:rPr>
      </w:pPr>
    </w:p>
    <w:p w14:paraId="0BA87897" w14:textId="77777777" w:rsidR="0061658D" w:rsidRPr="00171E38" w:rsidRDefault="0061658D" w:rsidP="00171E38">
      <w:pPr>
        <w:spacing w:line="240" w:lineRule="auto"/>
        <w:ind w:left="567" w:hanging="567"/>
        <w:rPr>
          <w:b/>
          <w:noProof/>
          <w:szCs w:val="22"/>
          <w:lang w:val="hu-HU"/>
        </w:rPr>
      </w:pPr>
      <w:r w:rsidRPr="00171E38">
        <w:rPr>
          <w:b/>
          <w:noProof/>
          <w:szCs w:val="22"/>
          <w:lang w:val="hu-HU"/>
        </w:rPr>
        <w:t>6.5</w:t>
      </w:r>
      <w:r w:rsidRPr="00171E38">
        <w:rPr>
          <w:b/>
          <w:noProof/>
          <w:szCs w:val="22"/>
          <w:lang w:val="hu-HU"/>
        </w:rPr>
        <w:tab/>
        <w:t>Csomagolás típusa és kiszerelése</w:t>
      </w:r>
    </w:p>
    <w:p w14:paraId="5926E80F" w14:textId="77777777" w:rsidR="001B0D69" w:rsidRPr="00171E38" w:rsidRDefault="001B0D69" w:rsidP="00171E38">
      <w:pPr>
        <w:spacing w:line="240" w:lineRule="auto"/>
        <w:rPr>
          <w:szCs w:val="22"/>
          <w:lang w:val="hu-HU"/>
        </w:rPr>
      </w:pPr>
    </w:p>
    <w:p w14:paraId="44A171EC" w14:textId="77777777" w:rsidR="001422D0" w:rsidRDefault="001422D0" w:rsidP="00171E38">
      <w:pPr>
        <w:spacing w:line="240" w:lineRule="auto"/>
        <w:rPr>
          <w:szCs w:val="22"/>
          <w:lang w:val="hu-HU"/>
        </w:rPr>
      </w:pPr>
      <w:r w:rsidRPr="00171E38">
        <w:rPr>
          <w:szCs w:val="22"/>
          <w:lang w:val="hu-HU"/>
        </w:rPr>
        <w:t xml:space="preserve">1 db injekciós tartály Zoledronsav Richter </w:t>
      </w:r>
      <w:r w:rsidR="00571CC5">
        <w:rPr>
          <w:szCs w:val="22"/>
          <w:lang w:val="hu-HU"/>
        </w:rPr>
        <w:t>4 mg/100 ml</w:t>
      </w:r>
      <w:r w:rsidRPr="00171E38">
        <w:rPr>
          <w:szCs w:val="22"/>
          <w:lang w:val="hu-HU"/>
        </w:rPr>
        <w:t xml:space="preserve"> </w:t>
      </w:r>
      <w:r w:rsidR="00571CC5">
        <w:rPr>
          <w:szCs w:val="22"/>
          <w:lang w:val="hu-HU"/>
        </w:rPr>
        <w:t>oldatos infúzió</w:t>
      </w:r>
      <w:r w:rsidRPr="00171E38">
        <w:rPr>
          <w:szCs w:val="22"/>
          <w:lang w:val="hu-HU"/>
        </w:rPr>
        <w:t xml:space="preserve"> és 2</w:t>
      </w:r>
      <w:r w:rsidR="004315DC">
        <w:rPr>
          <w:szCs w:val="22"/>
          <w:lang w:val="hu-HU"/>
        </w:rPr>
        <w:t>×</w:t>
      </w:r>
      <w:r w:rsidRPr="00171E38">
        <w:rPr>
          <w:szCs w:val="22"/>
          <w:lang w:val="hu-HU"/>
        </w:rPr>
        <w:t>14 db CalciviD filmtabletta színtelen, átlátszó PVC</w:t>
      </w:r>
      <w:r w:rsidR="00DD0921" w:rsidRPr="00171E38">
        <w:rPr>
          <w:szCs w:val="22"/>
          <w:lang w:val="hu-HU"/>
        </w:rPr>
        <w:t>/</w:t>
      </w:r>
      <w:r w:rsidR="009952D0">
        <w:rPr>
          <w:szCs w:val="22"/>
          <w:lang w:val="hu-HU"/>
        </w:rPr>
        <w:t>/</w:t>
      </w:r>
      <w:r w:rsidRPr="00171E38">
        <w:rPr>
          <w:szCs w:val="22"/>
          <w:lang w:val="hu-HU"/>
        </w:rPr>
        <w:t>Al buborékcsomagolásban</w:t>
      </w:r>
      <w:bookmarkStart w:id="3" w:name="_Hlk104537758"/>
      <w:r w:rsidRPr="00171E38">
        <w:rPr>
          <w:szCs w:val="22"/>
          <w:lang w:val="hu-HU"/>
        </w:rPr>
        <w:t xml:space="preserve">, </w:t>
      </w:r>
      <w:r w:rsidR="00E4609E">
        <w:rPr>
          <w:szCs w:val="22"/>
          <w:lang w:val="hu-HU"/>
        </w:rPr>
        <w:t xml:space="preserve">Chirana CHG 531, Chirana CHG 318, Chirana CHG 331 vagy Braun Intrafix Primeline típusú, </w:t>
      </w:r>
      <w:r w:rsidR="00AC5FA6">
        <w:rPr>
          <w:szCs w:val="22"/>
          <w:lang w:val="hu-HU"/>
        </w:rPr>
        <w:t>egyszerhasználatos infúziós szerelékkel</w:t>
      </w:r>
      <w:r w:rsidR="00477EA9">
        <w:rPr>
          <w:szCs w:val="22"/>
          <w:lang w:val="hu-HU"/>
        </w:rPr>
        <w:t xml:space="preserve"> vagy a</w:t>
      </w:r>
      <w:r w:rsidR="009952D0">
        <w:rPr>
          <w:szCs w:val="22"/>
          <w:lang w:val="hu-HU"/>
        </w:rPr>
        <w:t xml:space="preserve"> </w:t>
      </w:r>
      <w:r w:rsidR="00477EA9">
        <w:rPr>
          <w:szCs w:val="22"/>
          <w:lang w:val="hu-HU"/>
        </w:rPr>
        <w:t>nélkül,</w:t>
      </w:r>
      <w:r w:rsidR="00AC5FA6">
        <w:rPr>
          <w:szCs w:val="22"/>
          <w:lang w:val="hu-HU"/>
        </w:rPr>
        <w:t xml:space="preserve"> </w:t>
      </w:r>
      <w:r w:rsidRPr="00171E38">
        <w:rPr>
          <w:szCs w:val="22"/>
          <w:lang w:val="hu-HU"/>
        </w:rPr>
        <w:t>egy dobozban.</w:t>
      </w:r>
      <w:bookmarkEnd w:id="3"/>
    </w:p>
    <w:p w14:paraId="009C48D9" w14:textId="77777777" w:rsidR="00F047DB" w:rsidRDefault="00F047DB" w:rsidP="00171E38">
      <w:pPr>
        <w:spacing w:line="240" w:lineRule="auto"/>
        <w:rPr>
          <w:szCs w:val="22"/>
          <w:lang w:val="hu-HU"/>
        </w:rPr>
      </w:pPr>
    </w:p>
    <w:p w14:paraId="06A365B5" w14:textId="77777777" w:rsidR="009952D0" w:rsidRPr="00171E38" w:rsidRDefault="00F047DB" w:rsidP="0058399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58399D">
        <w:rPr>
          <w:lang w:val="hu-HU" w:eastAsia="hu-HU"/>
        </w:rPr>
        <w:t>100 ml oldat lehúzható, ezüst színű alumínium fóliával borított, két infúziós csatlakozási ponttal rendelkező gumidugót tartalmazó, PP kupakkal ellátott, színtelen PP tartályba töltve.</w:t>
      </w:r>
    </w:p>
    <w:p w14:paraId="45817F10" w14:textId="77777777" w:rsidR="009952D0" w:rsidRPr="0072011B" w:rsidRDefault="009952D0" w:rsidP="0058399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3F45187" w14:textId="77777777" w:rsidR="001B0D69" w:rsidRPr="0072011B" w:rsidRDefault="009952D0" w:rsidP="00C052E4">
      <w:pPr>
        <w:spacing w:line="240" w:lineRule="auto"/>
        <w:rPr>
          <w:szCs w:val="22"/>
          <w:lang w:val="hu-HU" w:eastAsia="en-GB"/>
        </w:rPr>
      </w:pPr>
      <w:r w:rsidRPr="0072011B">
        <w:rPr>
          <w:szCs w:val="22"/>
          <w:lang w:val="hu-HU" w:eastAsia="en-GB"/>
        </w:rPr>
        <w:t>Nem feltétlenül mindegyik kiszerelés kerül kereskedelmi forgalomba.</w:t>
      </w:r>
    </w:p>
    <w:p w14:paraId="1EE871ED" w14:textId="77777777" w:rsidR="009952D0" w:rsidRPr="00171E38" w:rsidRDefault="009952D0" w:rsidP="00C052E4">
      <w:pPr>
        <w:spacing w:line="240" w:lineRule="auto"/>
        <w:rPr>
          <w:szCs w:val="22"/>
          <w:lang w:val="hu-HU"/>
        </w:rPr>
      </w:pPr>
    </w:p>
    <w:p w14:paraId="56674852" w14:textId="77777777" w:rsidR="0061658D" w:rsidRPr="00171E38" w:rsidRDefault="0061658D" w:rsidP="00C052E4">
      <w:pPr>
        <w:spacing w:line="240" w:lineRule="auto"/>
        <w:ind w:left="567" w:hanging="567"/>
        <w:rPr>
          <w:b/>
          <w:noProof/>
          <w:szCs w:val="22"/>
          <w:lang w:val="hu-HU"/>
        </w:rPr>
      </w:pPr>
      <w:r w:rsidRPr="00171E38">
        <w:rPr>
          <w:b/>
          <w:noProof/>
          <w:szCs w:val="22"/>
          <w:lang w:val="hu-HU"/>
        </w:rPr>
        <w:t>6.6</w:t>
      </w:r>
      <w:r w:rsidRPr="00171E38">
        <w:rPr>
          <w:b/>
          <w:noProof/>
          <w:szCs w:val="22"/>
          <w:lang w:val="hu-HU"/>
        </w:rPr>
        <w:tab/>
        <w:t>A megsemmisítésre vonatkozó különleges óvintézkedések</w:t>
      </w:r>
      <w:r w:rsidR="006A0309" w:rsidRPr="00171E38">
        <w:rPr>
          <w:b/>
          <w:noProof/>
          <w:szCs w:val="22"/>
          <w:lang w:val="hu-HU"/>
        </w:rPr>
        <w:t xml:space="preserve"> és egyéb, a készítmény kezelésével kapcsolatos információk</w:t>
      </w:r>
    </w:p>
    <w:p w14:paraId="534E469B" w14:textId="77777777" w:rsidR="0061658D" w:rsidRPr="00171E38" w:rsidRDefault="0061658D" w:rsidP="00171E38">
      <w:pPr>
        <w:tabs>
          <w:tab w:val="clear" w:pos="567"/>
          <w:tab w:val="left" w:pos="3020"/>
        </w:tabs>
        <w:spacing w:line="240" w:lineRule="auto"/>
        <w:outlineLvl w:val="0"/>
        <w:rPr>
          <w:szCs w:val="22"/>
          <w:lang w:val="hu-HU"/>
        </w:rPr>
      </w:pPr>
    </w:p>
    <w:p w14:paraId="7CF799D2" w14:textId="77777777" w:rsidR="002A750C" w:rsidRPr="00171E38" w:rsidRDefault="002A750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171E38">
        <w:rPr>
          <w:szCs w:val="22"/>
          <w:u w:val="single"/>
          <w:lang w:val="hu-HU"/>
        </w:rPr>
        <w:t xml:space="preserve">Zoledronsav Richter </w:t>
      </w:r>
      <w:r w:rsidR="00571CC5">
        <w:rPr>
          <w:szCs w:val="22"/>
          <w:u w:val="single"/>
          <w:lang w:val="hu-HU"/>
        </w:rPr>
        <w:t>4 mg/100 ml</w:t>
      </w:r>
      <w:r w:rsidRPr="00171E38">
        <w:rPr>
          <w:szCs w:val="22"/>
          <w:u w:val="single"/>
          <w:lang w:val="hu-HU"/>
        </w:rPr>
        <w:t xml:space="preserve"> </w:t>
      </w:r>
      <w:r w:rsidR="00571CC5">
        <w:rPr>
          <w:szCs w:val="22"/>
          <w:u w:val="single"/>
          <w:lang w:val="hu-HU"/>
        </w:rPr>
        <w:t>oldatos infúzió</w:t>
      </w:r>
    </w:p>
    <w:p w14:paraId="41D5149C" w14:textId="77777777" w:rsidR="002A750C" w:rsidRPr="00171E38" w:rsidRDefault="002A750C" w:rsidP="00171E38">
      <w:pPr>
        <w:tabs>
          <w:tab w:val="clear" w:pos="567"/>
          <w:tab w:val="left" w:pos="3020"/>
        </w:tabs>
        <w:spacing w:line="240" w:lineRule="auto"/>
        <w:outlineLvl w:val="0"/>
        <w:rPr>
          <w:szCs w:val="22"/>
          <w:lang w:val="hu-HU"/>
        </w:rPr>
      </w:pPr>
    </w:p>
    <w:p w14:paraId="26848050" w14:textId="77777777" w:rsidR="002A750C" w:rsidRPr="00171E38" w:rsidRDefault="002A750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A </w:t>
      </w:r>
      <w:r w:rsidRPr="00171E38">
        <w:rPr>
          <w:szCs w:val="22"/>
          <w:lang w:val="hu-HU"/>
        </w:rPr>
        <w:t>Zoledronsav</w:t>
      </w:r>
      <w:r w:rsidRPr="00171E38">
        <w:rPr>
          <w:szCs w:val="22"/>
          <w:lang w:val="hu-HU" w:eastAsia="hu-HU"/>
        </w:rPr>
        <w:t xml:space="preserve"> Richter kezelésével kapcsolatos további információk, köztük a csökkentett dózisok elkészítésére vonatkozó útmutatás, a 4.2 pontban található.</w:t>
      </w:r>
    </w:p>
    <w:p w14:paraId="443B3628" w14:textId="77777777" w:rsidR="002A750C" w:rsidRPr="00171E38" w:rsidRDefault="002A750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Kizárólag tiszta, részecskéktől és elszíneződéstől mentes oldatot szabad alkalmazni.</w:t>
      </w:r>
    </w:p>
    <w:p w14:paraId="2E99861B" w14:textId="77777777" w:rsidR="002A750C" w:rsidRPr="00171E38" w:rsidRDefault="002A750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>Az egészségügyi szakembereknek nem tanácsos a fel nem használt gyógyszert a szennyvízelvezető rendszeren keresztül megsemmisíteni.</w:t>
      </w:r>
    </w:p>
    <w:p w14:paraId="52BA9106" w14:textId="77777777" w:rsidR="002A750C" w:rsidRPr="00171E38" w:rsidRDefault="002A750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r w:rsidRPr="00171E38">
        <w:rPr>
          <w:szCs w:val="22"/>
          <w:lang w:val="hu-HU" w:eastAsia="hu-HU"/>
        </w:rPr>
        <w:t xml:space="preserve">Bármilyen fel nem használt gyógyszer, illetve hulladékanyag megsemmisítését a </w:t>
      </w:r>
      <w:r w:rsidR="00B71AF1">
        <w:rPr>
          <w:szCs w:val="22"/>
          <w:lang w:val="hu-HU" w:eastAsia="hu-HU"/>
        </w:rPr>
        <w:t>gyógyszerekre vonatkozó</w:t>
      </w:r>
      <w:r w:rsidR="00B71AF1" w:rsidRPr="00171E38">
        <w:rPr>
          <w:szCs w:val="22"/>
          <w:lang w:val="hu-HU" w:eastAsia="hu-HU"/>
        </w:rPr>
        <w:t xml:space="preserve"> </w:t>
      </w:r>
      <w:r w:rsidRPr="00171E38">
        <w:rPr>
          <w:szCs w:val="22"/>
          <w:lang w:val="hu-HU" w:eastAsia="hu-HU"/>
        </w:rPr>
        <w:t>előírások szerint kell végrehajtani.</w:t>
      </w:r>
    </w:p>
    <w:p w14:paraId="5A5A7D80" w14:textId="77777777" w:rsidR="002A750C" w:rsidRDefault="002A750C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5C8D8E09" w14:textId="77777777" w:rsidR="00AC5FA6" w:rsidRDefault="00AC5FA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  <w:bookmarkStart w:id="4" w:name="_Hlk104821323"/>
      <w:r w:rsidRPr="00AC5FA6">
        <w:rPr>
          <w:szCs w:val="22"/>
          <w:lang w:val="hu-HU" w:eastAsia="hu-HU"/>
        </w:rPr>
        <w:t xml:space="preserve">Az </w:t>
      </w:r>
      <w:r>
        <w:rPr>
          <w:szCs w:val="22"/>
          <w:lang w:val="hu-HU" w:eastAsia="hu-HU"/>
        </w:rPr>
        <w:t>infúziós szerelék</w:t>
      </w:r>
      <w:r w:rsidRPr="00AC5FA6">
        <w:rPr>
          <w:szCs w:val="22"/>
          <w:lang w:val="hu-HU" w:eastAsia="hu-HU"/>
        </w:rPr>
        <w:t xml:space="preserve"> alkalmazására vonatkozó utasításokat lásd a </w:t>
      </w:r>
      <w:r w:rsidR="005A66B5">
        <w:rPr>
          <w:szCs w:val="22"/>
          <w:lang w:val="hu-HU" w:eastAsia="hu-HU"/>
        </w:rPr>
        <w:t>használati útmutatójában.</w:t>
      </w:r>
    </w:p>
    <w:bookmarkEnd w:id="4"/>
    <w:p w14:paraId="3D8ED6BF" w14:textId="77777777" w:rsidR="00AC5FA6" w:rsidRPr="00AC5FA6" w:rsidRDefault="00AC5FA6" w:rsidP="00171E38">
      <w:pPr>
        <w:widowControl w:val="0"/>
        <w:suppressAutoHyphens/>
        <w:autoSpaceDE w:val="0"/>
        <w:autoSpaceDN w:val="0"/>
        <w:adjustRightInd w:val="0"/>
        <w:spacing w:line="240" w:lineRule="auto"/>
        <w:rPr>
          <w:szCs w:val="22"/>
          <w:lang w:val="hu-HU" w:eastAsia="hu-HU"/>
        </w:rPr>
      </w:pPr>
    </w:p>
    <w:p w14:paraId="2BD1314F" w14:textId="77777777" w:rsidR="002A750C" w:rsidRPr="00C052E4" w:rsidRDefault="002A750C" w:rsidP="00171E38">
      <w:pPr>
        <w:spacing w:line="240" w:lineRule="auto"/>
        <w:rPr>
          <w:szCs w:val="22"/>
          <w:lang w:val="hu-HU" w:eastAsia="zh-CN"/>
        </w:rPr>
      </w:pPr>
      <w:r w:rsidRPr="00171E38">
        <w:rPr>
          <w:b/>
          <w:bCs/>
          <w:szCs w:val="22"/>
          <w:lang w:val="hu-HU"/>
        </w:rPr>
        <w:t>Megjegyzés</w:t>
      </w:r>
      <w:r w:rsidRPr="00171E38">
        <w:rPr>
          <w:szCs w:val="22"/>
          <w:lang w:val="hu-HU"/>
        </w:rPr>
        <w:t xml:space="preserve">: </w:t>
      </w:r>
      <w:r w:rsidRPr="00C052E4">
        <w:rPr>
          <w:szCs w:val="22"/>
          <w:lang w:val="hu-HU"/>
        </w:rPr>
        <w:sym w:font="Wingdings" w:char="F058"/>
      </w:r>
      <w:r w:rsidRPr="00C052E4">
        <w:rPr>
          <w:bCs/>
          <w:szCs w:val="22"/>
          <w:lang w:val="hu-HU"/>
        </w:rPr>
        <w:t xml:space="preserve"> (egy kereszt)</w:t>
      </w:r>
    </w:p>
    <w:p w14:paraId="135D67F6" w14:textId="77777777" w:rsidR="002A750C" w:rsidRPr="00171E38" w:rsidRDefault="002A750C" w:rsidP="00171E38">
      <w:pPr>
        <w:spacing w:line="240" w:lineRule="auto"/>
        <w:rPr>
          <w:szCs w:val="22"/>
          <w:lang w:val="hu-HU" w:eastAsia="zh-CN"/>
        </w:rPr>
      </w:pPr>
      <w:r w:rsidRPr="00171E38">
        <w:rPr>
          <w:szCs w:val="22"/>
          <w:lang w:val="hu-HU" w:eastAsia="zh-CN"/>
        </w:rPr>
        <w:t xml:space="preserve">Osztályozás: </w:t>
      </w:r>
      <w:r w:rsidRPr="00171E38">
        <w:rPr>
          <w:b/>
          <w:bCs/>
          <w:szCs w:val="22"/>
          <w:lang w:val="hu-HU" w:eastAsia="zh-CN"/>
        </w:rPr>
        <w:t>II./2 csoport</w:t>
      </w:r>
    </w:p>
    <w:p w14:paraId="016A0E0E" w14:textId="77777777" w:rsidR="002A750C" w:rsidRPr="00171E38" w:rsidRDefault="002A750C" w:rsidP="00171E38">
      <w:pPr>
        <w:spacing w:line="240" w:lineRule="auto"/>
        <w:rPr>
          <w:bCs/>
          <w:szCs w:val="22"/>
          <w:lang w:val="hu-HU"/>
        </w:rPr>
      </w:pPr>
      <w:r w:rsidRPr="00171E38">
        <w:rPr>
          <w:szCs w:val="22"/>
          <w:lang w:val="hu-HU"/>
        </w:rPr>
        <w:t>Korlátozott érvényű orvosi rendelvényhez kötött, szakorvosi, kórházi diagnózist követően folyamatos szakorvosi ellenőrzés mellett alkalmazható gyógyszer (Sz).</w:t>
      </w:r>
    </w:p>
    <w:p w14:paraId="5CA9DFB7" w14:textId="77777777" w:rsidR="0061658D" w:rsidRPr="00171E38" w:rsidRDefault="0061658D" w:rsidP="00171E38">
      <w:pPr>
        <w:spacing w:line="240" w:lineRule="auto"/>
        <w:outlineLvl w:val="0"/>
        <w:rPr>
          <w:bCs/>
          <w:szCs w:val="22"/>
          <w:lang w:val="hu-HU"/>
        </w:rPr>
      </w:pPr>
    </w:p>
    <w:p w14:paraId="7BF844E6" w14:textId="77777777" w:rsidR="00AB4982" w:rsidRPr="00171E38" w:rsidRDefault="00AB4982" w:rsidP="00171E38">
      <w:pPr>
        <w:spacing w:line="240" w:lineRule="auto"/>
        <w:outlineLvl w:val="0"/>
        <w:rPr>
          <w:bCs/>
          <w:szCs w:val="22"/>
          <w:lang w:val="hu-HU"/>
        </w:rPr>
      </w:pPr>
    </w:p>
    <w:p w14:paraId="7E78138D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7.</w:t>
      </w:r>
      <w:r w:rsidR="0061658D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A FORGALOMIBA HOZATALI ENGEDÉLY JOGOSULTJA</w:t>
      </w:r>
    </w:p>
    <w:p w14:paraId="5F930CEB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27638796" w14:textId="77777777" w:rsidR="00A54F01" w:rsidRPr="00171E38" w:rsidRDefault="001B0D69" w:rsidP="00171E38">
      <w:pPr>
        <w:spacing w:line="240" w:lineRule="auto"/>
        <w:outlineLvl w:val="0"/>
        <w:rPr>
          <w:bCs/>
          <w:szCs w:val="22"/>
          <w:lang w:val="hu-HU"/>
        </w:rPr>
      </w:pPr>
      <w:r w:rsidRPr="00171E38">
        <w:rPr>
          <w:bCs/>
          <w:szCs w:val="22"/>
          <w:lang w:val="hu-HU"/>
        </w:rPr>
        <w:t xml:space="preserve">Richter Gedeon </w:t>
      </w:r>
      <w:r w:rsidR="00A54F01" w:rsidRPr="00171E38">
        <w:rPr>
          <w:bCs/>
          <w:szCs w:val="22"/>
          <w:lang w:val="hu-HU"/>
        </w:rPr>
        <w:t>Nyr</w:t>
      </w:r>
      <w:r w:rsidRPr="00171E38">
        <w:rPr>
          <w:bCs/>
          <w:szCs w:val="22"/>
          <w:lang w:val="hu-HU"/>
        </w:rPr>
        <w:t>t.</w:t>
      </w:r>
    </w:p>
    <w:p w14:paraId="305554C5" w14:textId="77777777" w:rsidR="008A19DF" w:rsidRPr="00171E38" w:rsidRDefault="00A54F01" w:rsidP="00171E38">
      <w:pPr>
        <w:spacing w:line="240" w:lineRule="auto"/>
        <w:outlineLvl w:val="0"/>
        <w:rPr>
          <w:bCs/>
          <w:szCs w:val="22"/>
          <w:lang w:val="hu-HU"/>
        </w:rPr>
      </w:pPr>
      <w:r w:rsidRPr="00171E38">
        <w:rPr>
          <w:bCs/>
          <w:szCs w:val="22"/>
          <w:lang w:val="hu-HU"/>
        </w:rPr>
        <w:t>H-</w:t>
      </w:r>
      <w:r w:rsidR="00790560" w:rsidRPr="00171E38">
        <w:rPr>
          <w:bCs/>
          <w:szCs w:val="22"/>
          <w:lang w:val="hu-HU"/>
        </w:rPr>
        <w:t>1103 Budapest</w:t>
      </w:r>
    </w:p>
    <w:p w14:paraId="54A1C3C9" w14:textId="77777777" w:rsidR="00A54F01" w:rsidRPr="00171E38" w:rsidRDefault="001B0D69" w:rsidP="00171E38">
      <w:pPr>
        <w:spacing w:line="240" w:lineRule="auto"/>
        <w:outlineLvl w:val="0"/>
        <w:rPr>
          <w:bCs/>
          <w:szCs w:val="22"/>
          <w:lang w:val="hu-HU"/>
        </w:rPr>
      </w:pPr>
      <w:r w:rsidRPr="00171E38">
        <w:rPr>
          <w:bCs/>
          <w:szCs w:val="22"/>
          <w:lang w:val="hu-HU"/>
        </w:rPr>
        <w:t>Gyömrői út 19-21.</w:t>
      </w:r>
    </w:p>
    <w:p w14:paraId="5CE0D507" w14:textId="77777777" w:rsidR="001B0D69" w:rsidRPr="00171E38" w:rsidRDefault="00A54F01" w:rsidP="00171E38">
      <w:pPr>
        <w:spacing w:line="240" w:lineRule="auto"/>
        <w:outlineLvl w:val="0"/>
        <w:rPr>
          <w:bCs/>
          <w:szCs w:val="22"/>
          <w:lang w:val="hu-HU"/>
        </w:rPr>
      </w:pPr>
      <w:r w:rsidRPr="00171E38">
        <w:rPr>
          <w:bCs/>
          <w:szCs w:val="22"/>
          <w:lang w:val="hu-HU"/>
        </w:rPr>
        <w:t>Magyarország</w:t>
      </w:r>
    </w:p>
    <w:p w14:paraId="385953AC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55EBB710" w14:textId="77777777" w:rsidR="00FB3CBD" w:rsidRPr="00171E38" w:rsidRDefault="00FB3CBD" w:rsidP="00171E38">
      <w:pPr>
        <w:spacing w:line="240" w:lineRule="auto"/>
        <w:rPr>
          <w:bCs/>
          <w:szCs w:val="22"/>
          <w:lang w:val="hu-HU"/>
        </w:rPr>
      </w:pPr>
    </w:p>
    <w:p w14:paraId="4EDAC8E3" w14:textId="77777777" w:rsidR="001B0D69" w:rsidRPr="00171E38" w:rsidRDefault="001B0D69" w:rsidP="00171E38">
      <w:pPr>
        <w:spacing w:line="240" w:lineRule="auto"/>
        <w:outlineLvl w:val="0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8.</w:t>
      </w:r>
      <w:r w:rsidR="0061658D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A FORGALOMBA HOZATALI ENGEDÉLY SZÁMA</w:t>
      </w:r>
      <w:r w:rsidR="00CD6F23" w:rsidRPr="00171E38">
        <w:rPr>
          <w:b/>
          <w:bCs/>
          <w:szCs w:val="22"/>
          <w:lang w:val="hu-HU"/>
        </w:rPr>
        <w:t>(I)</w:t>
      </w:r>
    </w:p>
    <w:p w14:paraId="3A5991C5" w14:textId="77777777" w:rsidR="0061658D" w:rsidRPr="00171E38" w:rsidRDefault="0061658D" w:rsidP="00171E38">
      <w:pPr>
        <w:spacing w:line="240" w:lineRule="auto"/>
        <w:rPr>
          <w:bCs/>
          <w:szCs w:val="22"/>
          <w:lang w:val="hu-HU"/>
        </w:rPr>
      </w:pPr>
    </w:p>
    <w:p w14:paraId="1939FC39" w14:textId="77777777" w:rsidR="0093056D" w:rsidRPr="0093056D" w:rsidRDefault="0093056D" w:rsidP="0093056D">
      <w:pPr>
        <w:tabs>
          <w:tab w:val="clear" w:pos="567"/>
          <w:tab w:val="left" w:pos="1843"/>
          <w:tab w:val="left" w:pos="2835"/>
        </w:tabs>
        <w:spacing w:line="240" w:lineRule="auto"/>
        <w:rPr>
          <w:bCs/>
          <w:szCs w:val="22"/>
          <w:lang w:val="hu-HU"/>
        </w:rPr>
      </w:pPr>
      <w:r w:rsidRPr="0093056D">
        <w:rPr>
          <w:bCs/>
          <w:szCs w:val="22"/>
          <w:lang w:val="hu-HU"/>
        </w:rPr>
        <w:t>OGYI-T-23031/02</w:t>
      </w:r>
      <w:r>
        <w:rPr>
          <w:bCs/>
          <w:szCs w:val="22"/>
          <w:lang w:val="hu-HU"/>
        </w:rPr>
        <w:tab/>
        <w:t>1×</w:t>
      </w:r>
      <w:r w:rsidRPr="0093056D">
        <w:rPr>
          <w:bCs/>
          <w:szCs w:val="22"/>
          <w:lang w:val="hu-HU"/>
        </w:rPr>
        <w:t>100 ml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infúziós tartály infúziós szerelék nélkül</w:t>
      </w:r>
    </w:p>
    <w:p w14:paraId="608DDF63" w14:textId="77777777" w:rsidR="0093056D" w:rsidRPr="0093056D" w:rsidRDefault="0093056D" w:rsidP="0093056D">
      <w:pPr>
        <w:tabs>
          <w:tab w:val="left" w:pos="2835"/>
        </w:tabs>
        <w:spacing w:line="240" w:lineRule="auto"/>
        <w:ind w:left="1843"/>
        <w:rPr>
          <w:bCs/>
          <w:szCs w:val="22"/>
          <w:lang w:val="hu-HU"/>
        </w:rPr>
      </w:pPr>
      <w:r>
        <w:rPr>
          <w:bCs/>
          <w:szCs w:val="22"/>
          <w:lang w:val="hu-HU"/>
        </w:rPr>
        <w:t>+ 2×14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átlátszó PVC//Al buborékcsomagolás</w:t>
      </w:r>
    </w:p>
    <w:p w14:paraId="3DBFBA26" w14:textId="77777777" w:rsidR="0093056D" w:rsidRPr="0093056D" w:rsidRDefault="0093056D" w:rsidP="0093056D">
      <w:pPr>
        <w:spacing w:line="240" w:lineRule="auto"/>
        <w:rPr>
          <w:bCs/>
          <w:szCs w:val="22"/>
          <w:lang w:val="hu-HU"/>
        </w:rPr>
      </w:pPr>
    </w:p>
    <w:p w14:paraId="7F550DD5" w14:textId="77777777" w:rsidR="0093056D" w:rsidRPr="0093056D" w:rsidRDefault="0093056D" w:rsidP="0093056D">
      <w:pPr>
        <w:tabs>
          <w:tab w:val="clear" w:pos="567"/>
          <w:tab w:val="left" w:pos="1843"/>
        </w:tabs>
        <w:spacing w:line="240" w:lineRule="auto"/>
        <w:ind w:left="2835" w:hanging="2835"/>
        <w:rPr>
          <w:bCs/>
          <w:szCs w:val="22"/>
          <w:lang w:val="hu-HU"/>
        </w:rPr>
      </w:pPr>
      <w:r>
        <w:rPr>
          <w:bCs/>
          <w:szCs w:val="22"/>
          <w:lang w:val="hu-HU"/>
        </w:rPr>
        <w:t>OGYI-T-23031/03</w:t>
      </w:r>
      <w:r>
        <w:rPr>
          <w:bCs/>
          <w:szCs w:val="22"/>
          <w:lang w:val="hu-HU"/>
        </w:rPr>
        <w:tab/>
        <w:t>1×</w:t>
      </w:r>
      <w:r w:rsidRPr="0093056D">
        <w:rPr>
          <w:bCs/>
          <w:szCs w:val="22"/>
          <w:lang w:val="hu-HU"/>
        </w:rPr>
        <w:t>100 ml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infúziós tartály Chirana CHG 531 típusú egyszerhasználatos infúziós szerelékkel</w:t>
      </w:r>
    </w:p>
    <w:p w14:paraId="7D008FE6" w14:textId="77777777" w:rsidR="0093056D" w:rsidRPr="0093056D" w:rsidRDefault="0093056D" w:rsidP="0093056D">
      <w:pPr>
        <w:spacing w:line="240" w:lineRule="auto"/>
        <w:ind w:left="1843"/>
        <w:rPr>
          <w:bCs/>
          <w:szCs w:val="22"/>
          <w:lang w:val="hu-HU"/>
        </w:rPr>
      </w:pPr>
      <w:r>
        <w:rPr>
          <w:bCs/>
          <w:szCs w:val="22"/>
          <w:lang w:val="hu-HU"/>
        </w:rPr>
        <w:t>+ 2×</w:t>
      </w:r>
      <w:r w:rsidRPr="0093056D">
        <w:rPr>
          <w:bCs/>
          <w:szCs w:val="22"/>
          <w:lang w:val="hu-HU"/>
        </w:rPr>
        <w:t>14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átlátszó PVC//Al buborékcsomagolás</w:t>
      </w:r>
    </w:p>
    <w:p w14:paraId="199D5D93" w14:textId="77777777" w:rsidR="0093056D" w:rsidRPr="0093056D" w:rsidRDefault="0093056D" w:rsidP="0093056D">
      <w:pPr>
        <w:spacing w:line="240" w:lineRule="auto"/>
        <w:rPr>
          <w:bCs/>
          <w:szCs w:val="22"/>
          <w:lang w:val="hu-HU"/>
        </w:rPr>
      </w:pPr>
    </w:p>
    <w:p w14:paraId="451B7CFC" w14:textId="77777777" w:rsidR="0093056D" w:rsidRPr="0093056D" w:rsidRDefault="0093056D" w:rsidP="0093056D">
      <w:pPr>
        <w:tabs>
          <w:tab w:val="left" w:pos="1843"/>
        </w:tabs>
        <w:spacing w:line="240" w:lineRule="auto"/>
        <w:ind w:left="2835" w:hanging="2835"/>
        <w:rPr>
          <w:bCs/>
          <w:szCs w:val="22"/>
          <w:lang w:val="hu-HU"/>
        </w:rPr>
      </w:pPr>
      <w:r w:rsidRPr="0093056D">
        <w:rPr>
          <w:bCs/>
          <w:szCs w:val="22"/>
          <w:lang w:val="hu-HU"/>
        </w:rPr>
        <w:t>OGYI-T-23031/04</w:t>
      </w:r>
      <w:r>
        <w:rPr>
          <w:bCs/>
          <w:szCs w:val="22"/>
          <w:lang w:val="hu-HU"/>
        </w:rPr>
        <w:tab/>
        <w:t>1×100 ml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infúziós tartály Chirana CHG 318 típusú egyszerhasználatos infúziós szerelékkel</w:t>
      </w:r>
    </w:p>
    <w:p w14:paraId="4A96AC4F" w14:textId="77777777" w:rsidR="0093056D" w:rsidRPr="0093056D" w:rsidRDefault="0093056D" w:rsidP="0093056D">
      <w:pPr>
        <w:spacing w:line="240" w:lineRule="auto"/>
        <w:ind w:left="1843"/>
        <w:rPr>
          <w:bCs/>
          <w:szCs w:val="22"/>
          <w:lang w:val="hu-HU"/>
        </w:rPr>
      </w:pPr>
      <w:r>
        <w:rPr>
          <w:bCs/>
          <w:szCs w:val="22"/>
          <w:lang w:val="hu-HU"/>
        </w:rPr>
        <w:t>+ 2×14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átlátszó PVC//Al buborékcsomagolás</w:t>
      </w:r>
    </w:p>
    <w:p w14:paraId="115D2799" w14:textId="77777777" w:rsidR="0093056D" w:rsidRPr="0093056D" w:rsidRDefault="0093056D" w:rsidP="0093056D">
      <w:pPr>
        <w:spacing w:line="240" w:lineRule="auto"/>
        <w:rPr>
          <w:bCs/>
          <w:szCs w:val="22"/>
          <w:lang w:val="hu-HU"/>
        </w:rPr>
      </w:pPr>
    </w:p>
    <w:p w14:paraId="3DC4C457" w14:textId="77777777" w:rsidR="0093056D" w:rsidRPr="0093056D" w:rsidRDefault="0093056D" w:rsidP="0093056D">
      <w:pPr>
        <w:tabs>
          <w:tab w:val="clear" w:pos="567"/>
          <w:tab w:val="left" w:pos="1843"/>
        </w:tabs>
        <w:spacing w:line="240" w:lineRule="auto"/>
        <w:ind w:left="2835" w:hanging="2835"/>
        <w:rPr>
          <w:bCs/>
          <w:szCs w:val="22"/>
          <w:lang w:val="hu-HU"/>
        </w:rPr>
      </w:pPr>
      <w:r w:rsidRPr="0093056D">
        <w:rPr>
          <w:bCs/>
          <w:szCs w:val="22"/>
          <w:lang w:val="hu-HU"/>
        </w:rPr>
        <w:t>OGYI</w:t>
      </w:r>
      <w:r>
        <w:rPr>
          <w:bCs/>
          <w:szCs w:val="22"/>
          <w:lang w:val="hu-HU"/>
        </w:rPr>
        <w:t>-T-23031/05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1</w:t>
      </w:r>
      <w:r>
        <w:rPr>
          <w:bCs/>
          <w:szCs w:val="22"/>
          <w:lang w:val="hu-HU"/>
        </w:rPr>
        <w:t>×</w:t>
      </w:r>
      <w:r w:rsidRPr="0093056D">
        <w:rPr>
          <w:bCs/>
          <w:szCs w:val="22"/>
          <w:lang w:val="hu-HU"/>
        </w:rPr>
        <w:t>100 ml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infúziós tartály Chirana CHG 331 típusú egyszerhasználatos infúziós szerelékkel</w:t>
      </w:r>
    </w:p>
    <w:p w14:paraId="40AD1A71" w14:textId="77777777" w:rsidR="0093056D" w:rsidRPr="0093056D" w:rsidRDefault="0093056D" w:rsidP="0093056D">
      <w:pPr>
        <w:spacing w:line="240" w:lineRule="auto"/>
        <w:ind w:left="1843"/>
        <w:rPr>
          <w:bCs/>
          <w:szCs w:val="22"/>
          <w:lang w:val="hu-HU"/>
        </w:rPr>
      </w:pPr>
      <w:r>
        <w:rPr>
          <w:bCs/>
          <w:szCs w:val="22"/>
          <w:lang w:val="hu-HU"/>
        </w:rPr>
        <w:t>+ 2×</w:t>
      </w:r>
      <w:r w:rsidRPr="0093056D">
        <w:rPr>
          <w:bCs/>
          <w:szCs w:val="22"/>
          <w:lang w:val="hu-HU"/>
        </w:rPr>
        <w:t>14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átlátszó PVC//Al buborékcsomagolás</w:t>
      </w:r>
    </w:p>
    <w:p w14:paraId="4BDC3CEA" w14:textId="77777777" w:rsidR="0093056D" w:rsidRPr="0093056D" w:rsidRDefault="0093056D" w:rsidP="0093056D">
      <w:pPr>
        <w:spacing w:line="240" w:lineRule="auto"/>
        <w:rPr>
          <w:bCs/>
          <w:szCs w:val="22"/>
          <w:lang w:val="hu-HU"/>
        </w:rPr>
      </w:pPr>
    </w:p>
    <w:p w14:paraId="5B19AB02" w14:textId="77777777" w:rsidR="0093056D" w:rsidRPr="0093056D" w:rsidRDefault="0093056D" w:rsidP="0093056D">
      <w:pPr>
        <w:tabs>
          <w:tab w:val="clear" w:pos="567"/>
          <w:tab w:val="left" w:pos="1843"/>
        </w:tabs>
        <w:spacing w:line="240" w:lineRule="auto"/>
        <w:ind w:left="2835" w:hanging="2835"/>
        <w:rPr>
          <w:bCs/>
          <w:szCs w:val="22"/>
          <w:lang w:val="hu-HU"/>
        </w:rPr>
      </w:pPr>
      <w:r>
        <w:rPr>
          <w:bCs/>
          <w:szCs w:val="22"/>
          <w:lang w:val="hu-HU"/>
        </w:rPr>
        <w:t>OGYI-T-23031/06</w:t>
      </w:r>
      <w:r>
        <w:rPr>
          <w:bCs/>
          <w:szCs w:val="22"/>
          <w:lang w:val="hu-HU"/>
        </w:rPr>
        <w:tab/>
        <w:t>1×</w:t>
      </w:r>
      <w:r w:rsidRPr="0093056D">
        <w:rPr>
          <w:bCs/>
          <w:szCs w:val="22"/>
          <w:lang w:val="hu-HU"/>
        </w:rPr>
        <w:t>100 ml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infúziós tartály Braun Intrafix Primeline típusú egyszerhasználatos infúziós szerelékkel</w:t>
      </w:r>
    </w:p>
    <w:p w14:paraId="02C248F1" w14:textId="77777777" w:rsidR="0093056D" w:rsidRPr="0093056D" w:rsidRDefault="0093056D" w:rsidP="0093056D">
      <w:pPr>
        <w:spacing w:line="240" w:lineRule="auto"/>
        <w:ind w:left="1843"/>
        <w:rPr>
          <w:bCs/>
          <w:szCs w:val="22"/>
          <w:lang w:val="hu-HU"/>
        </w:rPr>
      </w:pPr>
      <w:r>
        <w:rPr>
          <w:bCs/>
          <w:szCs w:val="22"/>
          <w:lang w:val="hu-HU"/>
        </w:rPr>
        <w:t>+ 2×</w:t>
      </w:r>
      <w:r w:rsidRPr="0093056D">
        <w:rPr>
          <w:bCs/>
          <w:szCs w:val="22"/>
          <w:lang w:val="hu-HU"/>
        </w:rPr>
        <w:t>14</w:t>
      </w:r>
      <w:r>
        <w:rPr>
          <w:bCs/>
          <w:szCs w:val="22"/>
          <w:lang w:val="hu-HU"/>
        </w:rPr>
        <w:tab/>
      </w:r>
      <w:r w:rsidRPr="0093056D">
        <w:rPr>
          <w:bCs/>
          <w:szCs w:val="22"/>
          <w:lang w:val="hu-HU"/>
        </w:rPr>
        <w:t>átlátszó PVC//Al buborékcsomagolás</w:t>
      </w:r>
    </w:p>
    <w:p w14:paraId="7274F786" w14:textId="77777777" w:rsidR="00870BF9" w:rsidRPr="00171E38" w:rsidRDefault="00870BF9" w:rsidP="00171E38">
      <w:pPr>
        <w:spacing w:line="240" w:lineRule="auto"/>
        <w:rPr>
          <w:bCs/>
          <w:szCs w:val="22"/>
          <w:lang w:val="hu-HU"/>
        </w:rPr>
      </w:pPr>
    </w:p>
    <w:p w14:paraId="0C48D5CF" w14:textId="77777777" w:rsidR="003204B8" w:rsidRPr="00171E38" w:rsidRDefault="003204B8" w:rsidP="00171E38">
      <w:pPr>
        <w:spacing w:line="240" w:lineRule="auto"/>
        <w:rPr>
          <w:bCs/>
          <w:szCs w:val="22"/>
          <w:lang w:val="hu-HU"/>
        </w:rPr>
      </w:pPr>
    </w:p>
    <w:p w14:paraId="613F0FA2" w14:textId="77777777" w:rsidR="001B0D69" w:rsidRPr="00171E38" w:rsidRDefault="001B0D69" w:rsidP="00171E38">
      <w:pPr>
        <w:spacing w:line="240" w:lineRule="auto"/>
        <w:ind w:left="567" w:hanging="567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 xml:space="preserve">9. </w:t>
      </w:r>
      <w:r w:rsidR="0061658D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A FORGALOMBAHOZATALI ENGEDÉLY ELSŐ KIADÁSÁNAK/</w:t>
      </w:r>
      <w:r w:rsidRPr="00171E38">
        <w:rPr>
          <w:b/>
          <w:bCs/>
          <w:szCs w:val="22"/>
          <w:lang w:val="hu-HU"/>
        </w:rPr>
        <w:br/>
        <w:t>MEGÚJÍTÁSÁNAK DÁTUMA</w:t>
      </w:r>
    </w:p>
    <w:p w14:paraId="4B47A4D9" w14:textId="77777777" w:rsidR="00DC30E4" w:rsidRPr="00171E38" w:rsidRDefault="00DC30E4" w:rsidP="00171E38">
      <w:pPr>
        <w:spacing w:line="240" w:lineRule="auto"/>
        <w:rPr>
          <w:noProof/>
          <w:szCs w:val="22"/>
          <w:lang w:val="hu-HU"/>
        </w:rPr>
      </w:pPr>
    </w:p>
    <w:p w14:paraId="168C015C" w14:textId="77777777" w:rsidR="001B0D69" w:rsidRPr="00171E38" w:rsidRDefault="00DC30E4" w:rsidP="00171E38">
      <w:pPr>
        <w:spacing w:line="240" w:lineRule="auto"/>
        <w:rPr>
          <w:bCs/>
          <w:szCs w:val="22"/>
          <w:lang w:val="hu-HU"/>
        </w:rPr>
      </w:pPr>
      <w:r w:rsidRPr="00171E38">
        <w:rPr>
          <w:noProof/>
          <w:szCs w:val="22"/>
          <w:lang w:val="hu-HU"/>
        </w:rPr>
        <w:t>A forgalomba hozatali engedély első kiadásának dátuma:</w:t>
      </w:r>
      <w:r w:rsidR="00870BF9" w:rsidRPr="00171E38">
        <w:rPr>
          <w:noProof/>
          <w:szCs w:val="22"/>
          <w:lang w:val="hu-HU"/>
        </w:rPr>
        <w:t xml:space="preserve"> </w:t>
      </w:r>
      <w:r w:rsidR="0093056D">
        <w:rPr>
          <w:noProof/>
          <w:szCs w:val="22"/>
          <w:lang w:val="hu-HU"/>
        </w:rPr>
        <w:t>2022. október 5.</w:t>
      </w:r>
    </w:p>
    <w:p w14:paraId="141CE8D0" w14:textId="77777777" w:rsidR="00FB3CBD" w:rsidRDefault="00FB3CBD" w:rsidP="00171E38">
      <w:pPr>
        <w:spacing w:line="240" w:lineRule="auto"/>
        <w:rPr>
          <w:bCs/>
          <w:szCs w:val="22"/>
          <w:lang w:val="hu-HU"/>
        </w:rPr>
      </w:pPr>
    </w:p>
    <w:p w14:paraId="341C247E" w14:textId="77777777" w:rsidR="00C052E4" w:rsidRPr="00171E38" w:rsidRDefault="00C052E4" w:rsidP="00171E38">
      <w:pPr>
        <w:spacing w:line="240" w:lineRule="auto"/>
        <w:rPr>
          <w:bCs/>
          <w:szCs w:val="22"/>
          <w:lang w:val="hu-HU"/>
        </w:rPr>
      </w:pPr>
    </w:p>
    <w:p w14:paraId="36B0C0B4" w14:textId="77777777" w:rsidR="001B0D69" w:rsidRPr="00171E38" w:rsidRDefault="001B0D69" w:rsidP="00171E38">
      <w:pPr>
        <w:spacing w:line="240" w:lineRule="auto"/>
        <w:rPr>
          <w:b/>
          <w:bCs/>
          <w:szCs w:val="22"/>
          <w:lang w:val="hu-HU"/>
        </w:rPr>
      </w:pPr>
      <w:r w:rsidRPr="00171E38">
        <w:rPr>
          <w:b/>
          <w:bCs/>
          <w:szCs w:val="22"/>
          <w:lang w:val="hu-HU"/>
        </w:rPr>
        <w:t>10.</w:t>
      </w:r>
      <w:r w:rsidR="0061658D" w:rsidRPr="00171E38">
        <w:rPr>
          <w:b/>
          <w:bCs/>
          <w:szCs w:val="22"/>
          <w:lang w:val="hu-HU"/>
        </w:rPr>
        <w:tab/>
      </w:r>
      <w:r w:rsidRPr="00171E38">
        <w:rPr>
          <w:b/>
          <w:bCs/>
          <w:szCs w:val="22"/>
          <w:lang w:val="hu-HU"/>
        </w:rPr>
        <w:t>A SZÖVEG ELLENŐRZÉSÉNEK DÁTUMA</w:t>
      </w:r>
    </w:p>
    <w:p w14:paraId="35DD8572" w14:textId="77777777" w:rsidR="001B0D69" w:rsidRPr="00171E38" w:rsidRDefault="001B0D69" w:rsidP="00171E38">
      <w:pPr>
        <w:spacing w:line="240" w:lineRule="auto"/>
        <w:rPr>
          <w:bCs/>
          <w:szCs w:val="22"/>
          <w:lang w:val="hu-HU"/>
        </w:rPr>
      </w:pPr>
    </w:p>
    <w:p w14:paraId="0E5527E8" w14:textId="0ADCF3E2" w:rsidR="00870BF9" w:rsidRPr="00171E38" w:rsidRDefault="00FC20DA" w:rsidP="00171E38">
      <w:pPr>
        <w:spacing w:line="240" w:lineRule="auto"/>
        <w:rPr>
          <w:bCs/>
          <w:szCs w:val="22"/>
          <w:lang w:val="hu-HU"/>
        </w:rPr>
      </w:pPr>
      <w:r>
        <w:rPr>
          <w:bCs/>
          <w:szCs w:val="22"/>
          <w:lang w:val="hu-HU"/>
        </w:rPr>
        <w:t>2024. szeptember 6.</w:t>
      </w:r>
    </w:p>
    <w:sectPr w:rsidR="00870BF9" w:rsidRPr="00171E38" w:rsidSect="00C052E4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5F463" w14:textId="77777777" w:rsidR="00AD1553" w:rsidRDefault="00AD1553">
      <w:r>
        <w:separator/>
      </w:r>
    </w:p>
  </w:endnote>
  <w:endnote w:type="continuationSeparator" w:id="0">
    <w:p w14:paraId="42B10FBB" w14:textId="77777777" w:rsidR="00AD1553" w:rsidRDefault="00AD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28A28" w14:textId="77777777" w:rsidR="00EA320E" w:rsidRPr="004C746F" w:rsidRDefault="00EA320E" w:rsidP="004C746F">
    <w:pPr>
      <w:pStyle w:val="llb"/>
      <w:tabs>
        <w:tab w:val="clear" w:pos="567"/>
        <w:tab w:val="clear" w:pos="4536"/>
        <w:tab w:val="clear" w:pos="9072"/>
      </w:tabs>
      <w:ind w:right="-2"/>
      <w:rPr>
        <w:sz w:val="18"/>
        <w:szCs w:val="18"/>
        <w:lang w:val="hu-H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B2545" w14:textId="27C53959" w:rsidR="00EA320E" w:rsidRPr="00096BB8" w:rsidRDefault="00080D17" w:rsidP="00616D08">
    <w:pPr>
      <w:pStyle w:val="llb"/>
      <w:tabs>
        <w:tab w:val="clear" w:pos="567"/>
        <w:tab w:val="clear" w:pos="4536"/>
        <w:tab w:val="clear" w:pos="9072"/>
      </w:tabs>
      <w:rPr>
        <w:sz w:val="18"/>
        <w:szCs w:val="18"/>
        <w:lang w:val="hu-HU"/>
      </w:rPr>
    </w:pPr>
    <w:r w:rsidRPr="00080D17">
      <w:rPr>
        <w:sz w:val="18"/>
        <w:szCs w:val="18"/>
        <w:lang w:val="hu-HU"/>
      </w:rPr>
      <w:t>NNGYK/GYSZ/47606/2024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3A444" w14:textId="77777777" w:rsidR="00AD1553" w:rsidRDefault="00AD1553">
      <w:r>
        <w:separator/>
      </w:r>
    </w:p>
  </w:footnote>
  <w:footnote w:type="continuationSeparator" w:id="0">
    <w:p w14:paraId="5FE8DB6D" w14:textId="77777777" w:rsidR="00AD1553" w:rsidRDefault="00AD1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9D253" w14:textId="77777777" w:rsidR="00EA320E" w:rsidRDefault="00EA320E" w:rsidP="0029748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1B67A23" w14:textId="77777777" w:rsidR="00EA320E" w:rsidRDefault="00EA320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E911A" w14:textId="181D8A59" w:rsidR="00EA320E" w:rsidRPr="0058399D" w:rsidRDefault="00BB78E7" w:rsidP="0058399D">
    <w:pPr>
      <w:pStyle w:val="lfej"/>
      <w:jc w:val="center"/>
      <w:rPr>
        <w:sz w:val="18"/>
        <w:szCs w:val="18"/>
      </w:rPr>
    </w:pPr>
    <w:r w:rsidRPr="0058399D">
      <w:rPr>
        <w:sz w:val="18"/>
        <w:szCs w:val="18"/>
      </w:rPr>
      <w:fldChar w:fldCharType="begin"/>
    </w:r>
    <w:r w:rsidRPr="0058399D">
      <w:rPr>
        <w:sz w:val="18"/>
        <w:szCs w:val="18"/>
      </w:rPr>
      <w:instrText>PAGE   \* MERGEFORMAT</w:instrText>
    </w:r>
    <w:r w:rsidRPr="0058399D">
      <w:rPr>
        <w:sz w:val="18"/>
        <w:szCs w:val="18"/>
      </w:rPr>
      <w:fldChar w:fldCharType="separate"/>
    </w:r>
    <w:r w:rsidR="008376F1" w:rsidRPr="008376F1">
      <w:rPr>
        <w:noProof/>
        <w:sz w:val="18"/>
        <w:szCs w:val="18"/>
        <w:lang w:val="hu-HU"/>
      </w:rPr>
      <w:t>22</w:t>
    </w:r>
    <w:r w:rsidRPr="0058399D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E3C50" w14:textId="77777777" w:rsidR="00EA320E" w:rsidRDefault="00EA320E" w:rsidP="00616D08">
    <w:pPr>
      <w:pStyle w:val="lfej"/>
      <w:tabs>
        <w:tab w:val="clear" w:pos="567"/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" w15:restartNumberingAfterBreak="0">
    <w:nsid w:val="01F24CDA"/>
    <w:multiLevelType w:val="hybridMultilevel"/>
    <w:tmpl w:val="178A83A8"/>
    <w:lvl w:ilvl="0" w:tplc="4D30AE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BA3B22"/>
    <w:multiLevelType w:val="multilevel"/>
    <w:tmpl w:val="845AEA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6368D"/>
    <w:multiLevelType w:val="hybridMultilevel"/>
    <w:tmpl w:val="0B0E9634"/>
    <w:lvl w:ilvl="0" w:tplc="4D30AE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4ED3589"/>
    <w:multiLevelType w:val="hybridMultilevel"/>
    <w:tmpl w:val="0E48434A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1E1053"/>
    <w:multiLevelType w:val="hybridMultilevel"/>
    <w:tmpl w:val="42FC355C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24C4C"/>
    <w:multiLevelType w:val="hybridMultilevel"/>
    <w:tmpl w:val="845AEA70"/>
    <w:lvl w:ilvl="0" w:tplc="E16E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E63B3F"/>
    <w:multiLevelType w:val="multilevel"/>
    <w:tmpl w:val="C73CD9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45119"/>
    <w:multiLevelType w:val="multilevel"/>
    <w:tmpl w:val="845AEA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20D92"/>
    <w:multiLevelType w:val="hybridMultilevel"/>
    <w:tmpl w:val="92EE557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9551D7"/>
    <w:multiLevelType w:val="hybridMultilevel"/>
    <w:tmpl w:val="C73CD96E"/>
    <w:lvl w:ilvl="0" w:tplc="E16E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3776AE"/>
    <w:multiLevelType w:val="multilevel"/>
    <w:tmpl w:val="C73CD9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C604F7"/>
    <w:multiLevelType w:val="multilevel"/>
    <w:tmpl w:val="C782601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7C43EA"/>
    <w:multiLevelType w:val="hybridMultilevel"/>
    <w:tmpl w:val="4B2675D6"/>
    <w:lvl w:ilvl="0" w:tplc="E16E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4B57B1"/>
    <w:multiLevelType w:val="hybridMultilevel"/>
    <w:tmpl w:val="BACEEE4C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32662"/>
    <w:multiLevelType w:val="hybridMultilevel"/>
    <w:tmpl w:val="0554E49A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63746AB"/>
    <w:multiLevelType w:val="hybridMultilevel"/>
    <w:tmpl w:val="BD201DC6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2109E"/>
    <w:multiLevelType w:val="multilevel"/>
    <w:tmpl w:val="C73CD9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B55D39"/>
    <w:multiLevelType w:val="hybridMultilevel"/>
    <w:tmpl w:val="4434DE8A"/>
    <w:lvl w:ilvl="0" w:tplc="E16E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07DEF"/>
    <w:multiLevelType w:val="hybridMultilevel"/>
    <w:tmpl w:val="3B1AC4B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5397A43"/>
    <w:multiLevelType w:val="hybridMultilevel"/>
    <w:tmpl w:val="5854E894"/>
    <w:lvl w:ilvl="0" w:tplc="5A0AA2F2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3A69139F"/>
    <w:multiLevelType w:val="multilevel"/>
    <w:tmpl w:val="C73CD9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0D1709"/>
    <w:multiLevelType w:val="hybridMultilevel"/>
    <w:tmpl w:val="F348B7D0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892D38"/>
    <w:multiLevelType w:val="hybridMultilevel"/>
    <w:tmpl w:val="D7F0C31A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081AA7"/>
    <w:multiLevelType w:val="hybridMultilevel"/>
    <w:tmpl w:val="432EBC1C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9F0C14"/>
    <w:multiLevelType w:val="hybridMultilevel"/>
    <w:tmpl w:val="CE180C18"/>
    <w:lvl w:ilvl="0" w:tplc="EB7222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DC357A"/>
    <w:multiLevelType w:val="hybridMultilevel"/>
    <w:tmpl w:val="AB44E99C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C84284"/>
    <w:multiLevelType w:val="hybridMultilevel"/>
    <w:tmpl w:val="C95E98EC"/>
    <w:lvl w:ilvl="0" w:tplc="4F140D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F60E1"/>
    <w:multiLevelType w:val="hybridMultilevel"/>
    <w:tmpl w:val="B24C8D30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DF3236D"/>
    <w:multiLevelType w:val="hybridMultilevel"/>
    <w:tmpl w:val="D278EB6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537CF"/>
    <w:multiLevelType w:val="multilevel"/>
    <w:tmpl w:val="845AEA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1116B"/>
    <w:multiLevelType w:val="multilevel"/>
    <w:tmpl w:val="C73CD9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FA5A24"/>
    <w:multiLevelType w:val="hybridMultilevel"/>
    <w:tmpl w:val="C782601A"/>
    <w:lvl w:ilvl="0" w:tplc="51CED1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240C79"/>
    <w:multiLevelType w:val="hybridMultilevel"/>
    <w:tmpl w:val="7FCEA1C4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02A70F5"/>
    <w:multiLevelType w:val="hybridMultilevel"/>
    <w:tmpl w:val="71ECC552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567BF4"/>
    <w:multiLevelType w:val="hybridMultilevel"/>
    <w:tmpl w:val="11F8AD08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F26928"/>
    <w:multiLevelType w:val="hybridMultilevel"/>
    <w:tmpl w:val="E6C4B3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07358C"/>
    <w:multiLevelType w:val="hybridMultilevel"/>
    <w:tmpl w:val="04B86934"/>
    <w:lvl w:ilvl="0" w:tplc="21760888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6E5451E5"/>
    <w:multiLevelType w:val="hybridMultilevel"/>
    <w:tmpl w:val="2B98E94C"/>
    <w:lvl w:ilvl="0" w:tplc="E16E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8A33F6"/>
    <w:multiLevelType w:val="multilevel"/>
    <w:tmpl w:val="198C67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D4A4F"/>
    <w:multiLevelType w:val="hybridMultilevel"/>
    <w:tmpl w:val="198C679C"/>
    <w:lvl w:ilvl="0" w:tplc="E16E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1163F5"/>
    <w:multiLevelType w:val="hybridMultilevel"/>
    <w:tmpl w:val="E716E020"/>
    <w:lvl w:ilvl="0" w:tplc="5A0AA2F2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E90F43"/>
    <w:multiLevelType w:val="multilevel"/>
    <w:tmpl w:val="845AEA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1"/>
  </w:num>
  <w:num w:numId="3">
    <w:abstractNumId w:val="0"/>
  </w:num>
  <w:num w:numId="4">
    <w:abstractNumId w:val="19"/>
  </w:num>
  <w:num w:numId="5">
    <w:abstractNumId w:val="18"/>
  </w:num>
  <w:num w:numId="6">
    <w:abstractNumId w:val="13"/>
  </w:num>
  <w:num w:numId="7">
    <w:abstractNumId w:val="42"/>
  </w:num>
  <w:num w:numId="8">
    <w:abstractNumId w:val="41"/>
  </w:num>
  <w:num w:numId="9">
    <w:abstractNumId w:val="20"/>
  </w:num>
  <w:num w:numId="10">
    <w:abstractNumId w:val="43"/>
  </w:num>
  <w:num w:numId="11">
    <w:abstractNumId w:val="33"/>
  </w:num>
  <w:num w:numId="12">
    <w:abstractNumId w:val="12"/>
  </w:num>
  <w:num w:numId="13">
    <w:abstractNumId w:val="10"/>
  </w:num>
  <w:num w:numId="14">
    <w:abstractNumId w:val="40"/>
  </w:num>
  <w:num w:numId="15">
    <w:abstractNumId w:val="28"/>
  </w:num>
  <w:num w:numId="16">
    <w:abstractNumId w:val="6"/>
  </w:num>
  <w:num w:numId="17">
    <w:abstractNumId w:val="5"/>
  </w:num>
  <w:num w:numId="18">
    <w:abstractNumId w:val="9"/>
  </w:num>
  <w:num w:numId="19">
    <w:abstractNumId w:val="32"/>
  </w:num>
  <w:num w:numId="20">
    <w:abstractNumId w:val="38"/>
  </w:num>
  <w:num w:numId="21">
    <w:abstractNumId w:val="22"/>
  </w:num>
  <w:num w:numId="22">
    <w:abstractNumId w:val="35"/>
  </w:num>
  <w:num w:numId="23">
    <w:abstractNumId w:val="17"/>
  </w:num>
  <w:num w:numId="24">
    <w:abstractNumId w:val="27"/>
  </w:num>
  <w:num w:numId="25">
    <w:abstractNumId w:val="7"/>
  </w:num>
  <w:num w:numId="26">
    <w:abstractNumId w:val="14"/>
  </w:num>
  <w:num w:numId="27">
    <w:abstractNumId w:val="11"/>
  </w:num>
  <w:num w:numId="28">
    <w:abstractNumId w:val="24"/>
  </w:num>
  <w:num w:numId="29">
    <w:abstractNumId w:val="31"/>
  </w:num>
  <w:num w:numId="30">
    <w:abstractNumId w:val="23"/>
  </w:num>
  <w:num w:numId="31">
    <w:abstractNumId w:val="8"/>
  </w:num>
  <w:num w:numId="32">
    <w:abstractNumId w:val="4"/>
  </w:num>
  <w:num w:numId="33">
    <w:abstractNumId w:val="2"/>
  </w:num>
  <w:num w:numId="34">
    <w:abstractNumId w:val="25"/>
  </w:num>
  <w:num w:numId="35">
    <w:abstractNumId w:val="44"/>
  </w:num>
  <w:num w:numId="36">
    <w:abstractNumId w:val="16"/>
  </w:num>
  <w:num w:numId="37">
    <w:abstractNumId w:val="37"/>
  </w:num>
  <w:num w:numId="38">
    <w:abstractNumId w:val="15"/>
  </w:num>
  <w:num w:numId="39">
    <w:abstractNumId w:val="36"/>
  </w:num>
  <w:num w:numId="40">
    <w:abstractNumId w:val="26"/>
  </w:num>
  <w:num w:numId="41">
    <w:abstractNumId w:val="30"/>
  </w:num>
  <w:num w:numId="42">
    <w:abstractNumId w:val="29"/>
  </w:num>
  <w:num w:numId="43">
    <w:abstractNumId w:val="34"/>
  </w:num>
  <w:num w:numId="44">
    <w:abstractNumId w:val="1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2DB"/>
    <w:rsid w:val="00002053"/>
    <w:rsid w:val="000031B7"/>
    <w:rsid w:val="000037D8"/>
    <w:rsid w:val="00011CD4"/>
    <w:rsid w:val="0001444E"/>
    <w:rsid w:val="00023A94"/>
    <w:rsid w:val="00024E14"/>
    <w:rsid w:val="00025285"/>
    <w:rsid w:val="00026A0A"/>
    <w:rsid w:val="000273AB"/>
    <w:rsid w:val="00031D85"/>
    <w:rsid w:val="0003541F"/>
    <w:rsid w:val="00047B24"/>
    <w:rsid w:val="00050B28"/>
    <w:rsid w:val="00052517"/>
    <w:rsid w:val="00054B31"/>
    <w:rsid w:val="00054EF3"/>
    <w:rsid w:val="000619E0"/>
    <w:rsid w:val="00063182"/>
    <w:rsid w:val="00065419"/>
    <w:rsid w:val="0007060B"/>
    <w:rsid w:val="0007093C"/>
    <w:rsid w:val="00071B34"/>
    <w:rsid w:val="000734D8"/>
    <w:rsid w:val="00080D0C"/>
    <w:rsid w:val="00080D17"/>
    <w:rsid w:val="00081DDC"/>
    <w:rsid w:val="00081E65"/>
    <w:rsid w:val="0008234C"/>
    <w:rsid w:val="000864AE"/>
    <w:rsid w:val="0009202E"/>
    <w:rsid w:val="000921A3"/>
    <w:rsid w:val="00093E5C"/>
    <w:rsid w:val="0009436C"/>
    <w:rsid w:val="00096BB8"/>
    <w:rsid w:val="00097779"/>
    <w:rsid w:val="000A101A"/>
    <w:rsid w:val="000A148C"/>
    <w:rsid w:val="000B4C73"/>
    <w:rsid w:val="000B7358"/>
    <w:rsid w:val="000C45F7"/>
    <w:rsid w:val="000C5F82"/>
    <w:rsid w:val="000C66A4"/>
    <w:rsid w:val="000C7C17"/>
    <w:rsid w:val="000D5364"/>
    <w:rsid w:val="000D6B0F"/>
    <w:rsid w:val="000E267F"/>
    <w:rsid w:val="000F1388"/>
    <w:rsid w:val="000F2CA7"/>
    <w:rsid w:val="000F7600"/>
    <w:rsid w:val="001020A6"/>
    <w:rsid w:val="001024B6"/>
    <w:rsid w:val="00104D89"/>
    <w:rsid w:val="00111A0F"/>
    <w:rsid w:val="00111D07"/>
    <w:rsid w:val="00111E93"/>
    <w:rsid w:val="001136C3"/>
    <w:rsid w:val="00115F0A"/>
    <w:rsid w:val="00115FD0"/>
    <w:rsid w:val="00120FF0"/>
    <w:rsid w:val="00125C12"/>
    <w:rsid w:val="00130C9F"/>
    <w:rsid w:val="00130E36"/>
    <w:rsid w:val="001311DD"/>
    <w:rsid w:val="00131EAE"/>
    <w:rsid w:val="00133016"/>
    <w:rsid w:val="0013578B"/>
    <w:rsid w:val="00135F6D"/>
    <w:rsid w:val="00136F3A"/>
    <w:rsid w:val="00137467"/>
    <w:rsid w:val="0013798C"/>
    <w:rsid w:val="0014080C"/>
    <w:rsid w:val="001422D0"/>
    <w:rsid w:val="001462AA"/>
    <w:rsid w:val="00147166"/>
    <w:rsid w:val="00151E45"/>
    <w:rsid w:val="00151E88"/>
    <w:rsid w:val="00154E96"/>
    <w:rsid w:val="00157C2A"/>
    <w:rsid w:val="001604F7"/>
    <w:rsid w:val="0016158C"/>
    <w:rsid w:val="00163FF0"/>
    <w:rsid w:val="00171E38"/>
    <w:rsid w:val="0017492E"/>
    <w:rsid w:val="00177001"/>
    <w:rsid w:val="00177D50"/>
    <w:rsid w:val="00181F6B"/>
    <w:rsid w:val="001833E9"/>
    <w:rsid w:val="001844FF"/>
    <w:rsid w:val="001965AA"/>
    <w:rsid w:val="0019723A"/>
    <w:rsid w:val="001A6B40"/>
    <w:rsid w:val="001A79C1"/>
    <w:rsid w:val="001A7D6B"/>
    <w:rsid w:val="001B0D69"/>
    <w:rsid w:val="001B2158"/>
    <w:rsid w:val="001B2EFF"/>
    <w:rsid w:val="001B5F7B"/>
    <w:rsid w:val="001B654F"/>
    <w:rsid w:val="001C0F78"/>
    <w:rsid w:val="001C28DC"/>
    <w:rsid w:val="001C4D02"/>
    <w:rsid w:val="001C5787"/>
    <w:rsid w:val="001D04C7"/>
    <w:rsid w:val="001D32D3"/>
    <w:rsid w:val="001D380E"/>
    <w:rsid w:val="001D46B9"/>
    <w:rsid w:val="001D66A8"/>
    <w:rsid w:val="001D7E54"/>
    <w:rsid w:val="001E29C3"/>
    <w:rsid w:val="001E2D73"/>
    <w:rsid w:val="001E62D0"/>
    <w:rsid w:val="001F75C0"/>
    <w:rsid w:val="0020570B"/>
    <w:rsid w:val="00205B05"/>
    <w:rsid w:val="00206C43"/>
    <w:rsid w:val="00215556"/>
    <w:rsid w:val="002228E7"/>
    <w:rsid w:val="00225125"/>
    <w:rsid w:val="0022656F"/>
    <w:rsid w:val="00226D1E"/>
    <w:rsid w:val="00226D7B"/>
    <w:rsid w:val="00227055"/>
    <w:rsid w:val="00230A36"/>
    <w:rsid w:val="0023221E"/>
    <w:rsid w:val="002333A4"/>
    <w:rsid w:val="00234606"/>
    <w:rsid w:val="00237ADA"/>
    <w:rsid w:val="002408BF"/>
    <w:rsid w:val="002418C5"/>
    <w:rsid w:val="0024214E"/>
    <w:rsid w:val="00243807"/>
    <w:rsid w:val="002450D1"/>
    <w:rsid w:val="00250000"/>
    <w:rsid w:val="00255094"/>
    <w:rsid w:val="00255215"/>
    <w:rsid w:val="00255279"/>
    <w:rsid w:val="00261A2E"/>
    <w:rsid w:val="00261ACC"/>
    <w:rsid w:val="00262EA8"/>
    <w:rsid w:val="00264FE7"/>
    <w:rsid w:val="0027225B"/>
    <w:rsid w:val="00272F45"/>
    <w:rsid w:val="00273886"/>
    <w:rsid w:val="002740C3"/>
    <w:rsid w:val="00275A83"/>
    <w:rsid w:val="002852B7"/>
    <w:rsid w:val="0028778E"/>
    <w:rsid w:val="00295345"/>
    <w:rsid w:val="0029748E"/>
    <w:rsid w:val="002A10CD"/>
    <w:rsid w:val="002A23E8"/>
    <w:rsid w:val="002A4122"/>
    <w:rsid w:val="002A750C"/>
    <w:rsid w:val="002A7663"/>
    <w:rsid w:val="002B032E"/>
    <w:rsid w:val="002B4D69"/>
    <w:rsid w:val="002B58C2"/>
    <w:rsid w:val="002B79C4"/>
    <w:rsid w:val="002C039B"/>
    <w:rsid w:val="002C36E9"/>
    <w:rsid w:val="002C547E"/>
    <w:rsid w:val="002C57CA"/>
    <w:rsid w:val="002C63ED"/>
    <w:rsid w:val="002D4958"/>
    <w:rsid w:val="002D5D9A"/>
    <w:rsid w:val="002E2B53"/>
    <w:rsid w:val="002E4F6B"/>
    <w:rsid w:val="002E65A9"/>
    <w:rsid w:val="002E70AF"/>
    <w:rsid w:val="002F518A"/>
    <w:rsid w:val="003012E7"/>
    <w:rsid w:val="00306FED"/>
    <w:rsid w:val="00311001"/>
    <w:rsid w:val="00311123"/>
    <w:rsid w:val="003111D5"/>
    <w:rsid w:val="00315CFC"/>
    <w:rsid w:val="00317431"/>
    <w:rsid w:val="003204B8"/>
    <w:rsid w:val="00321438"/>
    <w:rsid w:val="00325633"/>
    <w:rsid w:val="00327240"/>
    <w:rsid w:val="003274D8"/>
    <w:rsid w:val="003328B7"/>
    <w:rsid w:val="003337DB"/>
    <w:rsid w:val="00337464"/>
    <w:rsid w:val="0034141E"/>
    <w:rsid w:val="00341611"/>
    <w:rsid w:val="00350E39"/>
    <w:rsid w:val="003528A4"/>
    <w:rsid w:val="00354DAC"/>
    <w:rsid w:val="00362855"/>
    <w:rsid w:val="00364125"/>
    <w:rsid w:val="0036517A"/>
    <w:rsid w:val="00366067"/>
    <w:rsid w:val="00376189"/>
    <w:rsid w:val="00381ED0"/>
    <w:rsid w:val="00382182"/>
    <w:rsid w:val="00382EF8"/>
    <w:rsid w:val="0038359A"/>
    <w:rsid w:val="00384D96"/>
    <w:rsid w:val="003867B5"/>
    <w:rsid w:val="003946EF"/>
    <w:rsid w:val="003A01FF"/>
    <w:rsid w:val="003A3E35"/>
    <w:rsid w:val="003A487C"/>
    <w:rsid w:val="003B5A5B"/>
    <w:rsid w:val="003C0DB9"/>
    <w:rsid w:val="003C0EA8"/>
    <w:rsid w:val="003C3A2C"/>
    <w:rsid w:val="003C5BD4"/>
    <w:rsid w:val="003C5F48"/>
    <w:rsid w:val="003D19EC"/>
    <w:rsid w:val="003D1A10"/>
    <w:rsid w:val="003D6484"/>
    <w:rsid w:val="003E14BD"/>
    <w:rsid w:val="003E17B9"/>
    <w:rsid w:val="003E4108"/>
    <w:rsid w:val="003F2ACA"/>
    <w:rsid w:val="003F2B72"/>
    <w:rsid w:val="003F5B2E"/>
    <w:rsid w:val="003F6AC3"/>
    <w:rsid w:val="004022A5"/>
    <w:rsid w:val="004024F9"/>
    <w:rsid w:val="00403B47"/>
    <w:rsid w:val="0040470F"/>
    <w:rsid w:val="00405210"/>
    <w:rsid w:val="004126D5"/>
    <w:rsid w:val="00416082"/>
    <w:rsid w:val="004174DB"/>
    <w:rsid w:val="00420367"/>
    <w:rsid w:val="00424390"/>
    <w:rsid w:val="00424A82"/>
    <w:rsid w:val="004251CE"/>
    <w:rsid w:val="004252B3"/>
    <w:rsid w:val="004315DC"/>
    <w:rsid w:val="004350E1"/>
    <w:rsid w:val="00436F54"/>
    <w:rsid w:val="00442EB5"/>
    <w:rsid w:val="00444E0E"/>
    <w:rsid w:val="004451A7"/>
    <w:rsid w:val="00445757"/>
    <w:rsid w:val="00445E5A"/>
    <w:rsid w:val="004463ED"/>
    <w:rsid w:val="00446A19"/>
    <w:rsid w:val="00446DB3"/>
    <w:rsid w:val="00450533"/>
    <w:rsid w:val="00451064"/>
    <w:rsid w:val="004557F2"/>
    <w:rsid w:val="00461CAB"/>
    <w:rsid w:val="004621C3"/>
    <w:rsid w:val="004733EF"/>
    <w:rsid w:val="0047629E"/>
    <w:rsid w:val="00477071"/>
    <w:rsid w:val="004779FB"/>
    <w:rsid w:val="00477EA9"/>
    <w:rsid w:val="00487C60"/>
    <w:rsid w:val="00491B7F"/>
    <w:rsid w:val="00492CAD"/>
    <w:rsid w:val="004A09AE"/>
    <w:rsid w:val="004A468F"/>
    <w:rsid w:val="004B16E2"/>
    <w:rsid w:val="004B3A2E"/>
    <w:rsid w:val="004B6277"/>
    <w:rsid w:val="004B64E8"/>
    <w:rsid w:val="004B6D51"/>
    <w:rsid w:val="004C746F"/>
    <w:rsid w:val="004C7C98"/>
    <w:rsid w:val="004D0AF6"/>
    <w:rsid w:val="004D1FD7"/>
    <w:rsid w:val="004D2751"/>
    <w:rsid w:val="004D577F"/>
    <w:rsid w:val="004D6F0F"/>
    <w:rsid w:val="004E010F"/>
    <w:rsid w:val="004E3D80"/>
    <w:rsid w:val="004E54F4"/>
    <w:rsid w:val="004E5C73"/>
    <w:rsid w:val="004E7EE1"/>
    <w:rsid w:val="004F10E1"/>
    <w:rsid w:val="004F32FD"/>
    <w:rsid w:val="00500BDE"/>
    <w:rsid w:val="00502143"/>
    <w:rsid w:val="0050264A"/>
    <w:rsid w:val="005037CE"/>
    <w:rsid w:val="00506176"/>
    <w:rsid w:val="0050617C"/>
    <w:rsid w:val="00511F71"/>
    <w:rsid w:val="00512B64"/>
    <w:rsid w:val="00513815"/>
    <w:rsid w:val="00517336"/>
    <w:rsid w:val="00517BBD"/>
    <w:rsid w:val="00517F03"/>
    <w:rsid w:val="00523D40"/>
    <w:rsid w:val="00531B0B"/>
    <w:rsid w:val="00533AFA"/>
    <w:rsid w:val="005343D8"/>
    <w:rsid w:val="005354ED"/>
    <w:rsid w:val="005359E5"/>
    <w:rsid w:val="00536757"/>
    <w:rsid w:val="00540B48"/>
    <w:rsid w:val="00541C8D"/>
    <w:rsid w:val="00550466"/>
    <w:rsid w:val="005511C0"/>
    <w:rsid w:val="0055406D"/>
    <w:rsid w:val="005548D2"/>
    <w:rsid w:val="00554E06"/>
    <w:rsid w:val="00554FB0"/>
    <w:rsid w:val="00555094"/>
    <w:rsid w:val="005552A5"/>
    <w:rsid w:val="00555C3E"/>
    <w:rsid w:val="00560DEE"/>
    <w:rsid w:val="0056787F"/>
    <w:rsid w:val="00571CC5"/>
    <w:rsid w:val="00576836"/>
    <w:rsid w:val="00581B55"/>
    <w:rsid w:val="0058399D"/>
    <w:rsid w:val="00591C5F"/>
    <w:rsid w:val="00594AC5"/>
    <w:rsid w:val="00595E46"/>
    <w:rsid w:val="005A21C3"/>
    <w:rsid w:val="005A22DB"/>
    <w:rsid w:val="005A584F"/>
    <w:rsid w:val="005A637C"/>
    <w:rsid w:val="005A63E5"/>
    <w:rsid w:val="005A66B5"/>
    <w:rsid w:val="005B5895"/>
    <w:rsid w:val="005C068F"/>
    <w:rsid w:val="005C0DBE"/>
    <w:rsid w:val="005C2828"/>
    <w:rsid w:val="005C2DC1"/>
    <w:rsid w:val="005C57BF"/>
    <w:rsid w:val="005D1753"/>
    <w:rsid w:val="005D4CAA"/>
    <w:rsid w:val="005D689E"/>
    <w:rsid w:val="005E1252"/>
    <w:rsid w:val="005E68CE"/>
    <w:rsid w:val="005F3AA7"/>
    <w:rsid w:val="005F4292"/>
    <w:rsid w:val="005F4643"/>
    <w:rsid w:val="00600044"/>
    <w:rsid w:val="00600D99"/>
    <w:rsid w:val="0060110C"/>
    <w:rsid w:val="0060144C"/>
    <w:rsid w:val="00615130"/>
    <w:rsid w:val="006158FC"/>
    <w:rsid w:val="00615DDE"/>
    <w:rsid w:val="0061658D"/>
    <w:rsid w:val="00616D08"/>
    <w:rsid w:val="006173F7"/>
    <w:rsid w:val="006213B2"/>
    <w:rsid w:val="00624936"/>
    <w:rsid w:val="00624DBE"/>
    <w:rsid w:val="00634DAE"/>
    <w:rsid w:val="00641EFB"/>
    <w:rsid w:val="006430C6"/>
    <w:rsid w:val="00650AD0"/>
    <w:rsid w:val="0065190E"/>
    <w:rsid w:val="00657225"/>
    <w:rsid w:val="0066020D"/>
    <w:rsid w:val="00660F9A"/>
    <w:rsid w:val="006621FA"/>
    <w:rsid w:val="00666E1C"/>
    <w:rsid w:val="00670566"/>
    <w:rsid w:val="0067505A"/>
    <w:rsid w:val="0067741F"/>
    <w:rsid w:val="00677E8C"/>
    <w:rsid w:val="00681E41"/>
    <w:rsid w:val="0068330C"/>
    <w:rsid w:val="00683943"/>
    <w:rsid w:val="00683C0C"/>
    <w:rsid w:val="00685F96"/>
    <w:rsid w:val="006969F9"/>
    <w:rsid w:val="0069722C"/>
    <w:rsid w:val="00697609"/>
    <w:rsid w:val="006A0309"/>
    <w:rsid w:val="006A7268"/>
    <w:rsid w:val="006A77E7"/>
    <w:rsid w:val="006A7D68"/>
    <w:rsid w:val="006B333F"/>
    <w:rsid w:val="006B5DB7"/>
    <w:rsid w:val="006B6574"/>
    <w:rsid w:val="006C099D"/>
    <w:rsid w:val="006D0311"/>
    <w:rsid w:val="006D5961"/>
    <w:rsid w:val="006E0BE2"/>
    <w:rsid w:val="006E5FC5"/>
    <w:rsid w:val="006E609E"/>
    <w:rsid w:val="006F0F4A"/>
    <w:rsid w:val="006F6A55"/>
    <w:rsid w:val="00702611"/>
    <w:rsid w:val="007039C6"/>
    <w:rsid w:val="007045DE"/>
    <w:rsid w:val="007061C6"/>
    <w:rsid w:val="007078FF"/>
    <w:rsid w:val="007125FF"/>
    <w:rsid w:val="007146CD"/>
    <w:rsid w:val="0072011B"/>
    <w:rsid w:val="00724BA2"/>
    <w:rsid w:val="00735C84"/>
    <w:rsid w:val="007430D4"/>
    <w:rsid w:val="0075022B"/>
    <w:rsid w:val="00750FDD"/>
    <w:rsid w:val="00751666"/>
    <w:rsid w:val="00752616"/>
    <w:rsid w:val="00755528"/>
    <w:rsid w:val="0075672E"/>
    <w:rsid w:val="00761354"/>
    <w:rsid w:val="007627BD"/>
    <w:rsid w:val="00762D9D"/>
    <w:rsid w:val="007632BD"/>
    <w:rsid w:val="00766FCF"/>
    <w:rsid w:val="0077059B"/>
    <w:rsid w:val="00781F8E"/>
    <w:rsid w:val="00782518"/>
    <w:rsid w:val="00783CCE"/>
    <w:rsid w:val="00785C0E"/>
    <w:rsid w:val="00785C92"/>
    <w:rsid w:val="007865FC"/>
    <w:rsid w:val="00790560"/>
    <w:rsid w:val="0079059F"/>
    <w:rsid w:val="007965C3"/>
    <w:rsid w:val="007967EE"/>
    <w:rsid w:val="007A1A9A"/>
    <w:rsid w:val="007A2DFE"/>
    <w:rsid w:val="007A3215"/>
    <w:rsid w:val="007A3532"/>
    <w:rsid w:val="007A4B13"/>
    <w:rsid w:val="007A63E0"/>
    <w:rsid w:val="007A6E49"/>
    <w:rsid w:val="007B0DEF"/>
    <w:rsid w:val="007B1813"/>
    <w:rsid w:val="007B5F7B"/>
    <w:rsid w:val="007B70FF"/>
    <w:rsid w:val="007C15A3"/>
    <w:rsid w:val="007C3CBA"/>
    <w:rsid w:val="007C4520"/>
    <w:rsid w:val="007C766F"/>
    <w:rsid w:val="007D14B2"/>
    <w:rsid w:val="007D4EF9"/>
    <w:rsid w:val="007E31EB"/>
    <w:rsid w:val="007E49DD"/>
    <w:rsid w:val="007E6788"/>
    <w:rsid w:val="007F09D8"/>
    <w:rsid w:val="007F1452"/>
    <w:rsid w:val="007F2CAC"/>
    <w:rsid w:val="0080144C"/>
    <w:rsid w:val="0080513D"/>
    <w:rsid w:val="008054DF"/>
    <w:rsid w:val="00811C28"/>
    <w:rsid w:val="00815753"/>
    <w:rsid w:val="00831D68"/>
    <w:rsid w:val="00831D73"/>
    <w:rsid w:val="008350E2"/>
    <w:rsid w:val="0083562E"/>
    <w:rsid w:val="008376F1"/>
    <w:rsid w:val="0083776D"/>
    <w:rsid w:val="00842B4F"/>
    <w:rsid w:val="00843A6E"/>
    <w:rsid w:val="00844742"/>
    <w:rsid w:val="00844A3E"/>
    <w:rsid w:val="00850824"/>
    <w:rsid w:val="008550BD"/>
    <w:rsid w:val="00861052"/>
    <w:rsid w:val="00863B71"/>
    <w:rsid w:val="0086522E"/>
    <w:rsid w:val="008664F0"/>
    <w:rsid w:val="00866D90"/>
    <w:rsid w:val="00870BF9"/>
    <w:rsid w:val="00871A0A"/>
    <w:rsid w:val="008723C5"/>
    <w:rsid w:val="00873E5E"/>
    <w:rsid w:val="0088170B"/>
    <w:rsid w:val="008826B4"/>
    <w:rsid w:val="00882E60"/>
    <w:rsid w:val="008851AC"/>
    <w:rsid w:val="00891471"/>
    <w:rsid w:val="00893964"/>
    <w:rsid w:val="00894981"/>
    <w:rsid w:val="008A19DF"/>
    <w:rsid w:val="008A1D00"/>
    <w:rsid w:val="008A4724"/>
    <w:rsid w:val="008A5A77"/>
    <w:rsid w:val="008A6770"/>
    <w:rsid w:val="008B23D9"/>
    <w:rsid w:val="008B47ED"/>
    <w:rsid w:val="008B51D7"/>
    <w:rsid w:val="008B647B"/>
    <w:rsid w:val="008B6529"/>
    <w:rsid w:val="008C05AC"/>
    <w:rsid w:val="008C3882"/>
    <w:rsid w:val="008D1266"/>
    <w:rsid w:val="008D4D71"/>
    <w:rsid w:val="008D508F"/>
    <w:rsid w:val="008D7C99"/>
    <w:rsid w:val="008E3EA8"/>
    <w:rsid w:val="008F1933"/>
    <w:rsid w:val="008F4374"/>
    <w:rsid w:val="008F6727"/>
    <w:rsid w:val="009066B4"/>
    <w:rsid w:val="009207D9"/>
    <w:rsid w:val="009266ED"/>
    <w:rsid w:val="0093056D"/>
    <w:rsid w:val="00934271"/>
    <w:rsid w:val="00941614"/>
    <w:rsid w:val="00941823"/>
    <w:rsid w:val="00945448"/>
    <w:rsid w:val="00946CD2"/>
    <w:rsid w:val="00946DF0"/>
    <w:rsid w:val="00957FA5"/>
    <w:rsid w:val="00961026"/>
    <w:rsid w:val="009619E4"/>
    <w:rsid w:val="00970C9A"/>
    <w:rsid w:val="009735E6"/>
    <w:rsid w:val="00973F3A"/>
    <w:rsid w:val="009820C8"/>
    <w:rsid w:val="009840E2"/>
    <w:rsid w:val="0098755B"/>
    <w:rsid w:val="009903B3"/>
    <w:rsid w:val="00994073"/>
    <w:rsid w:val="009952D0"/>
    <w:rsid w:val="009956C2"/>
    <w:rsid w:val="009A1F3E"/>
    <w:rsid w:val="009A62FD"/>
    <w:rsid w:val="009A7584"/>
    <w:rsid w:val="009B0966"/>
    <w:rsid w:val="009B0B5F"/>
    <w:rsid w:val="009B3FF8"/>
    <w:rsid w:val="009B4EFC"/>
    <w:rsid w:val="009B6A65"/>
    <w:rsid w:val="009C239D"/>
    <w:rsid w:val="009C2CEF"/>
    <w:rsid w:val="009D3D5C"/>
    <w:rsid w:val="009D3D6B"/>
    <w:rsid w:val="009D4BE3"/>
    <w:rsid w:val="009E01C5"/>
    <w:rsid w:val="009E1E70"/>
    <w:rsid w:val="009E1F72"/>
    <w:rsid w:val="009E3EB5"/>
    <w:rsid w:val="009E5E94"/>
    <w:rsid w:val="009E7B97"/>
    <w:rsid w:val="009F039D"/>
    <w:rsid w:val="009F1DD4"/>
    <w:rsid w:val="009F2DE8"/>
    <w:rsid w:val="009F6A12"/>
    <w:rsid w:val="00A03EC0"/>
    <w:rsid w:val="00A06401"/>
    <w:rsid w:val="00A0764D"/>
    <w:rsid w:val="00A13A05"/>
    <w:rsid w:val="00A156F7"/>
    <w:rsid w:val="00A16794"/>
    <w:rsid w:val="00A20304"/>
    <w:rsid w:val="00A22005"/>
    <w:rsid w:val="00A24E50"/>
    <w:rsid w:val="00A31914"/>
    <w:rsid w:val="00A3359D"/>
    <w:rsid w:val="00A4085D"/>
    <w:rsid w:val="00A41DE0"/>
    <w:rsid w:val="00A41E10"/>
    <w:rsid w:val="00A42C7E"/>
    <w:rsid w:val="00A43FD0"/>
    <w:rsid w:val="00A46314"/>
    <w:rsid w:val="00A47769"/>
    <w:rsid w:val="00A47802"/>
    <w:rsid w:val="00A47951"/>
    <w:rsid w:val="00A5226E"/>
    <w:rsid w:val="00A54F01"/>
    <w:rsid w:val="00A61F66"/>
    <w:rsid w:val="00A70069"/>
    <w:rsid w:val="00A751B6"/>
    <w:rsid w:val="00A81F26"/>
    <w:rsid w:val="00A856CC"/>
    <w:rsid w:val="00A876BF"/>
    <w:rsid w:val="00A9364C"/>
    <w:rsid w:val="00A93794"/>
    <w:rsid w:val="00A93FBD"/>
    <w:rsid w:val="00AA5753"/>
    <w:rsid w:val="00AA6507"/>
    <w:rsid w:val="00AB1EBC"/>
    <w:rsid w:val="00AB2DAB"/>
    <w:rsid w:val="00AB3DA5"/>
    <w:rsid w:val="00AB40A1"/>
    <w:rsid w:val="00AB4982"/>
    <w:rsid w:val="00AB4FD0"/>
    <w:rsid w:val="00AC0753"/>
    <w:rsid w:val="00AC33EF"/>
    <w:rsid w:val="00AC5FA6"/>
    <w:rsid w:val="00AD1553"/>
    <w:rsid w:val="00AD2215"/>
    <w:rsid w:val="00AD29E8"/>
    <w:rsid w:val="00AD2D20"/>
    <w:rsid w:val="00AD5AD5"/>
    <w:rsid w:val="00AD6A32"/>
    <w:rsid w:val="00AE3617"/>
    <w:rsid w:val="00AE622A"/>
    <w:rsid w:val="00AE71E8"/>
    <w:rsid w:val="00AF3600"/>
    <w:rsid w:val="00AF6290"/>
    <w:rsid w:val="00B00C08"/>
    <w:rsid w:val="00B02FC0"/>
    <w:rsid w:val="00B05CCB"/>
    <w:rsid w:val="00B075AF"/>
    <w:rsid w:val="00B12770"/>
    <w:rsid w:val="00B2159D"/>
    <w:rsid w:val="00B23370"/>
    <w:rsid w:val="00B2399E"/>
    <w:rsid w:val="00B26FAB"/>
    <w:rsid w:val="00B3033C"/>
    <w:rsid w:val="00B329EE"/>
    <w:rsid w:val="00B32EE0"/>
    <w:rsid w:val="00B33B6E"/>
    <w:rsid w:val="00B40474"/>
    <w:rsid w:val="00B42C03"/>
    <w:rsid w:val="00B43947"/>
    <w:rsid w:val="00B45777"/>
    <w:rsid w:val="00B46808"/>
    <w:rsid w:val="00B47BDC"/>
    <w:rsid w:val="00B50922"/>
    <w:rsid w:val="00B550CF"/>
    <w:rsid w:val="00B5547E"/>
    <w:rsid w:val="00B55FA8"/>
    <w:rsid w:val="00B6175F"/>
    <w:rsid w:val="00B6218B"/>
    <w:rsid w:val="00B64D9C"/>
    <w:rsid w:val="00B666CA"/>
    <w:rsid w:val="00B71AF1"/>
    <w:rsid w:val="00B722DB"/>
    <w:rsid w:val="00B73C5F"/>
    <w:rsid w:val="00B839CB"/>
    <w:rsid w:val="00B8513D"/>
    <w:rsid w:val="00B931B4"/>
    <w:rsid w:val="00B95779"/>
    <w:rsid w:val="00BA0832"/>
    <w:rsid w:val="00BA117C"/>
    <w:rsid w:val="00BA4B20"/>
    <w:rsid w:val="00BA55AD"/>
    <w:rsid w:val="00BB2170"/>
    <w:rsid w:val="00BB78E7"/>
    <w:rsid w:val="00BB7A36"/>
    <w:rsid w:val="00BC1A15"/>
    <w:rsid w:val="00BC33CE"/>
    <w:rsid w:val="00BC51FC"/>
    <w:rsid w:val="00BD1586"/>
    <w:rsid w:val="00BD534E"/>
    <w:rsid w:val="00BD58DF"/>
    <w:rsid w:val="00BD6C11"/>
    <w:rsid w:val="00BE2D2B"/>
    <w:rsid w:val="00BE56C7"/>
    <w:rsid w:val="00BF33F2"/>
    <w:rsid w:val="00BF3617"/>
    <w:rsid w:val="00BF3FB7"/>
    <w:rsid w:val="00BF52EE"/>
    <w:rsid w:val="00C01194"/>
    <w:rsid w:val="00C014E2"/>
    <w:rsid w:val="00C0500C"/>
    <w:rsid w:val="00C052E4"/>
    <w:rsid w:val="00C15A46"/>
    <w:rsid w:val="00C220C0"/>
    <w:rsid w:val="00C22442"/>
    <w:rsid w:val="00C30EBB"/>
    <w:rsid w:val="00C327BD"/>
    <w:rsid w:val="00C338D4"/>
    <w:rsid w:val="00C35B82"/>
    <w:rsid w:val="00C36A9F"/>
    <w:rsid w:val="00C404FB"/>
    <w:rsid w:val="00C42910"/>
    <w:rsid w:val="00C43491"/>
    <w:rsid w:val="00C50E4D"/>
    <w:rsid w:val="00C5645B"/>
    <w:rsid w:val="00C57F59"/>
    <w:rsid w:val="00C61B11"/>
    <w:rsid w:val="00C631FB"/>
    <w:rsid w:val="00C64C60"/>
    <w:rsid w:val="00C671F7"/>
    <w:rsid w:val="00C70068"/>
    <w:rsid w:val="00C70F2B"/>
    <w:rsid w:val="00C713C1"/>
    <w:rsid w:val="00C7535F"/>
    <w:rsid w:val="00C75483"/>
    <w:rsid w:val="00C77484"/>
    <w:rsid w:val="00C777A9"/>
    <w:rsid w:val="00C77DA4"/>
    <w:rsid w:val="00C813BF"/>
    <w:rsid w:val="00C8405A"/>
    <w:rsid w:val="00C853DC"/>
    <w:rsid w:val="00C91A3F"/>
    <w:rsid w:val="00C924EA"/>
    <w:rsid w:val="00C926B5"/>
    <w:rsid w:val="00C939F2"/>
    <w:rsid w:val="00C93AA1"/>
    <w:rsid w:val="00CA204B"/>
    <w:rsid w:val="00CA26E2"/>
    <w:rsid w:val="00CA2E05"/>
    <w:rsid w:val="00CB0DBF"/>
    <w:rsid w:val="00CB407C"/>
    <w:rsid w:val="00CB4EB5"/>
    <w:rsid w:val="00CB68A1"/>
    <w:rsid w:val="00CC17B8"/>
    <w:rsid w:val="00CC4177"/>
    <w:rsid w:val="00CC52DD"/>
    <w:rsid w:val="00CD13DA"/>
    <w:rsid w:val="00CD6F23"/>
    <w:rsid w:val="00CD7CC5"/>
    <w:rsid w:val="00CE1FE4"/>
    <w:rsid w:val="00CF33F5"/>
    <w:rsid w:val="00CF4787"/>
    <w:rsid w:val="00D021A6"/>
    <w:rsid w:val="00D039C4"/>
    <w:rsid w:val="00D07DCF"/>
    <w:rsid w:val="00D07F90"/>
    <w:rsid w:val="00D120C4"/>
    <w:rsid w:val="00D14116"/>
    <w:rsid w:val="00D14233"/>
    <w:rsid w:val="00D1564C"/>
    <w:rsid w:val="00D21D38"/>
    <w:rsid w:val="00D262AD"/>
    <w:rsid w:val="00D318A7"/>
    <w:rsid w:val="00D3237C"/>
    <w:rsid w:val="00D35883"/>
    <w:rsid w:val="00D416AF"/>
    <w:rsid w:val="00D41733"/>
    <w:rsid w:val="00D42223"/>
    <w:rsid w:val="00D4252E"/>
    <w:rsid w:val="00D450E6"/>
    <w:rsid w:val="00D45164"/>
    <w:rsid w:val="00D47282"/>
    <w:rsid w:val="00D47994"/>
    <w:rsid w:val="00D50578"/>
    <w:rsid w:val="00D660B5"/>
    <w:rsid w:val="00D72C61"/>
    <w:rsid w:val="00D74001"/>
    <w:rsid w:val="00D74172"/>
    <w:rsid w:val="00D83246"/>
    <w:rsid w:val="00D84056"/>
    <w:rsid w:val="00D8526E"/>
    <w:rsid w:val="00D861C0"/>
    <w:rsid w:val="00D8639E"/>
    <w:rsid w:val="00D878D2"/>
    <w:rsid w:val="00D90BB0"/>
    <w:rsid w:val="00D921F8"/>
    <w:rsid w:val="00DA2458"/>
    <w:rsid w:val="00DA3543"/>
    <w:rsid w:val="00DA37E8"/>
    <w:rsid w:val="00DB21C1"/>
    <w:rsid w:val="00DB24BC"/>
    <w:rsid w:val="00DB2A83"/>
    <w:rsid w:val="00DB6D35"/>
    <w:rsid w:val="00DC063D"/>
    <w:rsid w:val="00DC0B89"/>
    <w:rsid w:val="00DC0C7E"/>
    <w:rsid w:val="00DC1C5D"/>
    <w:rsid w:val="00DC30E4"/>
    <w:rsid w:val="00DC6CEA"/>
    <w:rsid w:val="00DC75EE"/>
    <w:rsid w:val="00DD0921"/>
    <w:rsid w:val="00DD0C13"/>
    <w:rsid w:val="00DD13E2"/>
    <w:rsid w:val="00DD61A0"/>
    <w:rsid w:val="00DD670C"/>
    <w:rsid w:val="00DD78CF"/>
    <w:rsid w:val="00DE0B4F"/>
    <w:rsid w:val="00DE1C75"/>
    <w:rsid w:val="00DE2678"/>
    <w:rsid w:val="00DE3328"/>
    <w:rsid w:val="00DE3950"/>
    <w:rsid w:val="00DE42F1"/>
    <w:rsid w:val="00DF0B83"/>
    <w:rsid w:val="00DF0E25"/>
    <w:rsid w:val="00DF12DE"/>
    <w:rsid w:val="00DF2AA7"/>
    <w:rsid w:val="00DF638C"/>
    <w:rsid w:val="00DF7D80"/>
    <w:rsid w:val="00E00D49"/>
    <w:rsid w:val="00E03AB4"/>
    <w:rsid w:val="00E06B1B"/>
    <w:rsid w:val="00E1130F"/>
    <w:rsid w:val="00E147AF"/>
    <w:rsid w:val="00E16797"/>
    <w:rsid w:val="00E23D25"/>
    <w:rsid w:val="00E245DC"/>
    <w:rsid w:val="00E24C15"/>
    <w:rsid w:val="00E26273"/>
    <w:rsid w:val="00E31832"/>
    <w:rsid w:val="00E33423"/>
    <w:rsid w:val="00E34FC5"/>
    <w:rsid w:val="00E37968"/>
    <w:rsid w:val="00E42079"/>
    <w:rsid w:val="00E4609E"/>
    <w:rsid w:val="00E47439"/>
    <w:rsid w:val="00E476B9"/>
    <w:rsid w:val="00E51AA9"/>
    <w:rsid w:val="00E61679"/>
    <w:rsid w:val="00E6236A"/>
    <w:rsid w:val="00E62AA3"/>
    <w:rsid w:val="00E62FC7"/>
    <w:rsid w:val="00E6440F"/>
    <w:rsid w:val="00E702DB"/>
    <w:rsid w:val="00E74A9E"/>
    <w:rsid w:val="00E75023"/>
    <w:rsid w:val="00E77DC4"/>
    <w:rsid w:val="00E80B22"/>
    <w:rsid w:val="00E8132C"/>
    <w:rsid w:val="00E84E39"/>
    <w:rsid w:val="00E8502B"/>
    <w:rsid w:val="00E909C8"/>
    <w:rsid w:val="00E91809"/>
    <w:rsid w:val="00E91A3B"/>
    <w:rsid w:val="00E956DD"/>
    <w:rsid w:val="00E9738D"/>
    <w:rsid w:val="00E97E66"/>
    <w:rsid w:val="00EA21E0"/>
    <w:rsid w:val="00EA23D0"/>
    <w:rsid w:val="00EA320E"/>
    <w:rsid w:val="00EA49BA"/>
    <w:rsid w:val="00EA5AA6"/>
    <w:rsid w:val="00EA6718"/>
    <w:rsid w:val="00EA689E"/>
    <w:rsid w:val="00EA6C82"/>
    <w:rsid w:val="00EB00FA"/>
    <w:rsid w:val="00EB116E"/>
    <w:rsid w:val="00EB3026"/>
    <w:rsid w:val="00EB54BA"/>
    <w:rsid w:val="00EC09C8"/>
    <w:rsid w:val="00EC3099"/>
    <w:rsid w:val="00EC398F"/>
    <w:rsid w:val="00EC3B0C"/>
    <w:rsid w:val="00EC4378"/>
    <w:rsid w:val="00EC6042"/>
    <w:rsid w:val="00EC6A05"/>
    <w:rsid w:val="00EC736D"/>
    <w:rsid w:val="00ED0253"/>
    <w:rsid w:val="00ED113D"/>
    <w:rsid w:val="00ED1C55"/>
    <w:rsid w:val="00ED78D2"/>
    <w:rsid w:val="00EE6282"/>
    <w:rsid w:val="00EF6574"/>
    <w:rsid w:val="00F02D0F"/>
    <w:rsid w:val="00F0411F"/>
    <w:rsid w:val="00F047DB"/>
    <w:rsid w:val="00F06E80"/>
    <w:rsid w:val="00F11B60"/>
    <w:rsid w:val="00F217F2"/>
    <w:rsid w:val="00F23A15"/>
    <w:rsid w:val="00F2562C"/>
    <w:rsid w:val="00F31225"/>
    <w:rsid w:val="00F31A55"/>
    <w:rsid w:val="00F33451"/>
    <w:rsid w:val="00F4166D"/>
    <w:rsid w:val="00F4333E"/>
    <w:rsid w:val="00F47356"/>
    <w:rsid w:val="00F47A94"/>
    <w:rsid w:val="00F5220F"/>
    <w:rsid w:val="00F55813"/>
    <w:rsid w:val="00F5659F"/>
    <w:rsid w:val="00F6002A"/>
    <w:rsid w:val="00F6294A"/>
    <w:rsid w:val="00F64AF1"/>
    <w:rsid w:val="00F66F29"/>
    <w:rsid w:val="00F76C00"/>
    <w:rsid w:val="00F81875"/>
    <w:rsid w:val="00F81E70"/>
    <w:rsid w:val="00F833C0"/>
    <w:rsid w:val="00F86F9C"/>
    <w:rsid w:val="00F906CF"/>
    <w:rsid w:val="00F91937"/>
    <w:rsid w:val="00F92001"/>
    <w:rsid w:val="00F92A06"/>
    <w:rsid w:val="00F9360C"/>
    <w:rsid w:val="00FA31CA"/>
    <w:rsid w:val="00FA42FD"/>
    <w:rsid w:val="00FB075F"/>
    <w:rsid w:val="00FB3CBD"/>
    <w:rsid w:val="00FB588D"/>
    <w:rsid w:val="00FB58C1"/>
    <w:rsid w:val="00FC0C09"/>
    <w:rsid w:val="00FC20DA"/>
    <w:rsid w:val="00FC303F"/>
    <w:rsid w:val="00FD7AF2"/>
    <w:rsid w:val="00FF12C6"/>
    <w:rsid w:val="00FF15E5"/>
    <w:rsid w:val="00FF4FDF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3067AE1"/>
  <w15:chartTrackingRefBased/>
  <w15:docId w15:val="{E28D480D-4E5A-4C2D-A29F-DC90295AC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81875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rsid w:val="00E476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6165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A22DB"/>
    <w:pPr>
      <w:tabs>
        <w:tab w:val="center" w:pos="4536"/>
        <w:tab w:val="right" w:pos="9072"/>
      </w:tabs>
    </w:pPr>
  </w:style>
  <w:style w:type="paragraph" w:customStyle="1" w:styleId="BodyText31">
    <w:name w:val="Body Text 31"/>
    <w:basedOn w:val="Norml"/>
    <w:rsid w:val="005A22DB"/>
    <w:pPr>
      <w:spacing w:line="360" w:lineRule="auto"/>
      <w:jc w:val="both"/>
    </w:pPr>
    <w:rPr>
      <w:b/>
      <w:lang w:val="en-US"/>
    </w:rPr>
  </w:style>
  <w:style w:type="paragraph" w:styleId="llb">
    <w:name w:val="footer"/>
    <w:basedOn w:val="Norml"/>
    <w:rsid w:val="005A22DB"/>
    <w:pPr>
      <w:tabs>
        <w:tab w:val="center" w:pos="4536"/>
        <w:tab w:val="right" w:pos="9072"/>
      </w:tabs>
    </w:pPr>
  </w:style>
  <w:style w:type="paragraph" w:customStyle="1" w:styleId="CTDfejlc">
    <w:name w:val="CTD fejléc"/>
    <w:basedOn w:val="Norml"/>
    <w:next w:val="Norml"/>
    <w:rsid w:val="005A22DB"/>
    <w:pPr>
      <w:pBdr>
        <w:top w:val="single" w:sz="6" w:space="1" w:color="auto"/>
        <w:bottom w:val="single" w:sz="6" w:space="1" w:color="auto"/>
      </w:pBdr>
      <w:jc w:val="center"/>
    </w:pPr>
    <w:rPr>
      <w:b/>
    </w:rPr>
  </w:style>
  <w:style w:type="paragraph" w:customStyle="1" w:styleId="CTDfejlcphform">
    <w:name w:val="CTD fejléc phform"/>
    <w:basedOn w:val="Norml"/>
    <w:rsid w:val="005A22DB"/>
    <w:pPr>
      <w:pBdr>
        <w:top w:val="single" w:sz="6" w:space="1" w:color="auto"/>
        <w:bottom w:val="single" w:sz="6" w:space="1" w:color="auto"/>
      </w:pBdr>
      <w:tabs>
        <w:tab w:val="center" w:pos="4536"/>
        <w:tab w:val="right" w:pos="9072"/>
      </w:tabs>
    </w:pPr>
    <w:rPr>
      <w:sz w:val="20"/>
    </w:rPr>
  </w:style>
  <w:style w:type="paragraph" w:customStyle="1" w:styleId="CTDfejezetcm">
    <w:name w:val="CTD fejezetcím"/>
    <w:basedOn w:val="Norml"/>
    <w:rsid w:val="005A22DB"/>
    <w:rPr>
      <w:caps/>
      <w:sz w:val="20"/>
    </w:rPr>
  </w:style>
  <w:style w:type="paragraph" w:customStyle="1" w:styleId="CTDazonost">
    <w:name w:val="CTD azonosító"/>
    <w:basedOn w:val="Norml"/>
    <w:rsid w:val="005A22DB"/>
    <w:pPr>
      <w:pBdr>
        <w:bottom w:val="single" w:sz="4" w:space="1" w:color="auto"/>
      </w:pBdr>
    </w:pPr>
    <w:rPr>
      <w:sz w:val="20"/>
      <w:lang w:val="hu-HU"/>
    </w:rPr>
  </w:style>
  <w:style w:type="paragraph" w:customStyle="1" w:styleId="CTDlblc">
    <w:name w:val="CTD lábléc"/>
    <w:basedOn w:val="Norml"/>
    <w:rsid w:val="005A22DB"/>
    <w:pPr>
      <w:jc w:val="center"/>
    </w:pPr>
    <w:rPr>
      <w:caps/>
      <w:sz w:val="20"/>
      <w:lang w:val="hu-HU"/>
    </w:rPr>
  </w:style>
  <w:style w:type="paragraph" w:customStyle="1" w:styleId="EMEAEnBodyText">
    <w:name w:val="EMEA En Body Text"/>
    <w:basedOn w:val="Norml"/>
    <w:rsid w:val="00DF12DE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character" w:customStyle="1" w:styleId="Cmsor1Char">
    <w:name w:val="Címsor 1 Char"/>
    <w:link w:val="Cmsor1"/>
    <w:rsid w:val="00E476B9"/>
    <w:rPr>
      <w:rFonts w:ascii="Arial" w:hAnsi="Arial" w:cs="Arial"/>
      <w:b/>
      <w:bCs/>
      <w:kern w:val="32"/>
      <w:sz w:val="32"/>
      <w:szCs w:val="32"/>
      <w:lang w:val="en-GB" w:eastAsia="en-US" w:bidi="ar-SA"/>
    </w:rPr>
  </w:style>
  <w:style w:type="paragraph" w:styleId="Buborkszveg">
    <w:name w:val="Balloon Text"/>
    <w:basedOn w:val="Norml"/>
    <w:semiHidden/>
    <w:rsid w:val="000E267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A77E7"/>
    <w:rPr>
      <w:sz w:val="16"/>
      <w:szCs w:val="16"/>
    </w:rPr>
  </w:style>
  <w:style w:type="paragraph" w:styleId="Jegyzetszveg">
    <w:name w:val="annotation text"/>
    <w:basedOn w:val="Norml"/>
    <w:semiHidden/>
    <w:rsid w:val="006A77E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6A77E7"/>
    <w:rPr>
      <w:b/>
      <w:bCs/>
    </w:rPr>
  </w:style>
  <w:style w:type="character" w:customStyle="1" w:styleId="WW-Absatz-Standardschriftart">
    <w:name w:val="WW-Absatz-Standardschriftart"/>
    <w:rsid w:val="002C36E9"/>
  </w:style>
  <w:style w:type="character" w:styleId="Oldalszm">
    <w:name w:val="page number"/>
    <w:basedOn w:val="Bekezdsalapbettpusa"/>
    <w:rsid w:val="002C36E9"/>
  </w:style>
  <w:style w:type="paragraph" w:customStyle="1" w:styleId="Normal1">
    <w:name w:val="Normal1"/>
    <w:basedOn w:val="Norml"/>
    <w:rsid w:val="00E6440F"/>
    <w:pPr>
      <w:tabs>
        <w:tab w:val="clear" w:pos="567"/>
      </w:tabs>
      <w:suppressAutoHyphens/>
      <w:spacing w:line="240" w:lineRule="auto"/>
    </w:pPr>
    <w:rPr>
      <w:rFonts w:ascii="Arial" w:hAnsi="Arial"/>
      <w:sz w:val="20"/>
      <w:lang w:val="hu-HU"/>
    </w:rPr>
  </w:style>
  <w:style w:type="paragraph" w:customStyle="1" w:styleId="Nincstrkz1">
    <w:name w:val="Nincs térköz1"/>
    <w:qFormat/>
    <w:rsid w:val="00157C2A"/>
    <w:rPr>
      <w:rFonts w:ascii="Calibri" w:eastAsia="Calibri" w:hAnsi="Calibri"/>
      <w:sz w:val="22"/>
      <w:szCs w:val="22"/>
      <w:lang w:eastAsia="en-US"/>
    </w:rPr>
  </w:style>
  <w:style w:type="character" w:customStyle="1" w:styleId="lfejChar">
    <w:name w:val="Élőfej Char"/>
    <w:link w:val="lfej"/>
    <w:uiPriority w:val="99"/>
    <w:rsid w:val="004C746F"/>
    <w:rPr>
      <w:sz w:val="22"/>
      <w:lang w:val="en-GB" w:eastAsia="en-US"/>
    </w:rPr>
  </w:style>
  <w:style w:type="paragraph" w:customStyle="1" w:styleId="Default">
    <w:name w:val="Default"/>
    <w:rsid w:val="00E245D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t">
    <w:name w:val="st"/>
    <w:rsid w:val="00420367"/>
  </w:style>
  <w:style w:type="character" w:styleId="Hiperhivatkozs">
    <w:name w:val="Hyperlink"/>
    <w:uiPriority w:val="99"/>
    <w:unhideWhenUsed/>
    <w:rsid w:val="004174DB"/>
    <w:rPr>
      <w:color w:val="0000FF"/>
      <w:u w:val="single"/>
    </w:rPr>
  </w:style>
  <w:style w:type="character" w:customStyle="1" w:styleId="hps">
    <w:name w:val="hps"/>
    <w:rsid w:val="00554E06"/>
  </w:style>
  <w:style w:type="paragraph" w:styleId="Vltozat">
    <w:name w:val="Revision"/>
    <w:hidden/>
    <w:uiPriority w:val="99"/>
    <w:semiHidden/>
    <w:rsid w:val="00FF7169"/>
    <w:rPr>
      <w:sz w:val="22"/>
      <w:lang w:val="en-GB" w:eastAsia="en-US"/>
    </w:rPr>
  </w:style>
  <w:style w:type="character" w:styleId="Mrltotthiperhivatkozs">
    <w:name w:val="FollowedHyperlink"/>
    <w:basedOn w:val="Bekezdsalapbettpusa"/>
    <w:rsid w:val="00080D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0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DA58A-7AA5-4918-909D-9062A9E7B6C2}">
  <ds:schemaRefs>
    <ds:schemaRef ds:uri="891cce82-80a3-4f9d-897f-e31b6bedda70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2c325633-5125-4e96-a0a6-9fcd5cfb1c70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A8EB85C-F502-44B6-AA1D-ACBDA7EBF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8EC045-5B41-4D96-9CD1-1668CE0DC4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9BFDC6-C570-4108-877C-37ED5F30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7782</Words>
  <Characters>55989</Characters>
  <Application>Microsoft Office Word</Application>
  <DocSecurity>4</DocSecurity>
  <Lines>466</Lines>
  <Paragraphs>127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According to his/her respective qualifications the undersigned expert declares hereby to have performed the duties set out in Council Directive 2001/83/EC</vt:lpstr>
      <vt:lpstr>According to his/her respective qualifications the undersigned expert declares hereby to have performed the duties set out in Council Directive 2001/83/EC</vt:lpstr>
    </vt:vector>
  </TitlesOfParts>
  <Company>na</Company>
  <LinksUpToDate>false</LinksUpToDate>
  <CharactersWithSpaces>63644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According to his/her respective qualifications the undersigned expert declares hereby to have performed the duties set out in Council Directive 2001/83/EC</dc:title>
  <dc:subject/>
  <dc:creator>RG Rt.</dc:creator>
  <cp:keywords/>
  <cp:lastModifiedBy>HU_OGYI_50.1</cp:lastModifiedBy>
  <cp:revision>2</cp:revision>
  <cp:lastPrinted>2016-05-23T08:05:00Z</cp:lastPrinted>
  <dcterms:created xsi:type="dcterms:W3CDTF">2024-10-07T06:33:00Z</dcterms:created>
  <dcterms:modified xsi:type="dcterms:W3CDTF">2024-10-07T06:33:00Z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