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4E289" w14:textId="77777777" w:rsidR="001F0677" w:rsidRPr="00361327" w:rsidRDefault="001F0677" w:rsidP="00361327">
      <w:pPr>
        <w:widowControl w:val="0"/>
        <w:spacing w:line="240" w:lineRule="auto"/>
        <w:rPr>
          <w:szCs w:val="22"/>
          <w:lang w:val="hu-HU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1.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623A9B0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31B1F6" w14:textId="5CA57428" w:rsidR="001F0677" w:rsidRPr="00361327" w:rsidRDefault="001F0677" w:rsidP="00361327">
      <w:pPr>
        <w:widowControl w:val="0"/>
        <w:spacing w:line="240" w:lineRule="auto"/>
        <w:rPr>
          <w:szCs w:val="22"/>
          <w:lang w:val="hu-HU"/>
        </w:rPr>
      </w:pPr>
      <w:r w:rsidRPr="00361327">
        <w:rPr>
          <w:szCs w:val="22"/>
          <w:lang w:val="hu-HU"/>
        </w:rPr>
        <w:t xml:space="preserve">Zoledronsav </w:t>
      </w:r>
      <w:r w:rsidR="0043693C" w:rsidRPr="00361327">
        <w:rPr>
          <w:szCs w:val="22"/>
          <w:lang w:val="hu-HU"/>
        </w:rPr>
        <w:t>Onkogen</w:t>
      </w:r>
      <w:r w:rsidRPr="00361327">
        <w:rPr>
          <w:szCs w:val="22"/>
          <w:lang w:val="hu-HU"/>
        </w:rPr>
        <w:t xml:space="preserve"> 4</w:t>
      </w:r>
      <w:r w:rsidR="000217C4" w:rsidRPr="00361327">
        <w:rPr>
          <w:szCs w:val="22"/>
          <w:lang w:val="hu-HU"/>
        </w:rPr>
        <w:t> </w:t>
      </w:r>
      <w:r w:rsidRPr="00361327">
        <w:rPr>
          <w:szCs w:val="22"/>
          <w:lang w:val="hu-HU"/>
        </w:rPr>
        <w:t>mg/5</w:t>
      </w:r>
      <w:r w:rsidR="000217C4" w:rsidRPr="00361327">
        <w:rPr>
          <w:szCs w:val="22"/>
          <w:lang w:val="hu-HU"/>
        </w:rPr>
        <w:t> </w:t>
      </w:r>
      <w:r w:rsidRPr="00361327">
        <w:rPr>
          <w:szCs w:val="22"/>
          <w:lang w:val="hu-HU"/>
        </w:rPr>
        <w:t>ml koncentrátum oldatos infúzióhoz</w:t>
      </w:r>
    </w:p>
    <w:p w14:paraId="6A84E8DB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7E60622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E860CDD" w14:textId="77777777" w:rsidR="001F0677" w:rsidRPr="00361327" w:rsidRDefault="001F0677" w:rsidP="00361327">
      <w:pPr>
        <w:widowControl w:val="0"/>
        <w:spacing w:line="240" w:lineRule="auto"/>
        <w:rPr>
          <w:b/>
          <w:szCs w:val="22"/>
          <w:lang w:val="hu-HU"/>
        </w:rPr>
      </w:pPr>
      <w:r w:rsidRPr="00361327">
        <w:rPr>
          <w:b/>
          <w:szCs w:val="22"/>
          <w:lang w:val="hu-HU"/>
        </w:rPr>
        <w:t>2.</w:t>
      </w:r>
      <w:r w:rsidRPr="00361327">
        <w:rPr>
          <w:b/>
          <w:szCs w:val="22"/>
          <w:lang w:val="hu-HU"/>
        </w:rPr>
        <w:tab/>
        <w:t>MINŐSÉGI ÉS MENNYISÉGI ÖSSZETÉTEL</w:t>
      </w:r>
    </w:p>
    <w:p w14:paraId="17A82AD7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7896D2C1" w14:textId="77777777" w:rsidR="007A5D97" w:rsidRPr="00361327" w:rsidRDefault="007A5D97" w:rsidP="00361327">
      <w:pPr>
        <w:widowControl w:val="0"/>
        <w:rPr>
          <w:szCs w:val="22"/>
          <w:lang w:val="hu-HU"/>
        </w:rPr>
      </w:pPr>
      <w:r w:rsidRPr="00361327">
        <w:rPr>
          <w:spacing w:val="-1"/>
          <w:szCs w:val="22"/>
          <w:lang w:val="hu-HU"/>
        </w:rPr>
        <w:t>4 mg zoledronsavat tartalmaz injekciós tartályonként, ami 4,264 mg zoledronsav-monohidrátnak felel meg.</w:t>
      </w:r>
    </w:p>
    <w:p w14:paraId="396C503F" w14:textId="5023FCB9" w:rsidR="001F0677" w:rsidRPr="00756773" w:rsidRDefault="0005478B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>1</w:t>
      </w:r>
      <w:r w:rsidRPr="00756773" w:rsidDel="0022126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 xml:space="preserve">ml koncentrátum </w:t>
      </w:r>
      <w:r w:rsidR="002B20A0" w:rsidRPr="00756773">
        <w:rPr>
          <w:sz w:val="22"/>
          <w:szCs w:val="22"/>
        </w:rPr>
        <w:t>0,8 mg zoledronsavat tartalmaz (monohidrát formájában)</w:t>
      </w:r>
      <w:r w:rsidR="001F0677" w:rsidRPr="00756773">
        <w:rPr>
          <w:sz w:val="22"/>
          <w:szCs w:val="22"/>
        </w:rPr>
        <w:t>.</w:t>
      </w:r>
    </w:p>
    <w:p w14:paraId="212639C4" w14:textId="77777777" w:rsidR="00671692" w:rsidRPr="00756773" w:rsidRDefault="00671692" w:rsidP="00361327">
      <w:pPr>
        <w:pStyle w:val="EMEAEnBodyText"/>
        <w:widowControl w:val="0"/>
        <w:autoSpaceDE w:val="0"/>
        <w:autoSpaceDN w:val="0"/>
        <w:adjustRightInd w:val="0"/>
        <w:spacing w:before="0" w:after="0"/>
        <w:rPr>
          <w:szCs w:val="22"/>
          <w:lang w:val="hu-HU"/>
        </w:rPr>
      </w:pPr>
    </w:p>
    <w:p w14:paraId="0B4F4081" w14:textId="44663C5B" w:rsidR="001F0677" w:rsidRPr="00756773" w:rsidRDefault="001F0677" w:rsidP="00361327">
      <w:pPr>
        <w:pStyle w:val="EMEAEnBodyText"/>
        <w:widowControl w:val="0"/>
        <w:autoSpaceDE w:val="0"/>
        <w:autoSpaceDN w:val="0"/>
        <w:adjustRightInd w:val="0"/>
        <w:spacing w:before="0" w:after="0"/>
        <w:rPr>
          <w:szCs w:val="22"/>
          <w:lang w:val="hu-HU"/>
        </w:rPr>
      </w:pPr>
      <w:r w:rsidRPr="00756773">
        <w:rPr>
          <w:szCs w:val="22"/>
          <w:lang w:val="hu-HU"/>
        </w:rPr>
        <w:t>A segédanyagok teljes listáját lásd a 6.1</w:t>
      </w:r>
      <w:r w:rsidR="000217C4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pontban.</w:t>
      </w:r>
    </w:p>
    <w:p w14:paraId="7A6A5081" w14:textId="77777777" w:rsidR="001F0677" w:rsidRPr="00361327" w:rsidRDefault="001F0677" w:rsidP="00361327">
      <w:pPr>
        <w:widowControl w:val="0"/>
        <w:spacing w:line="240" w:lineRule="auto"/>
        <w:rPr>
          <w:b/>
          <w:szCs w:val="22"/>
          <w:lang w:val="hu-HU"/>
        </w:rPr>
      </w:pPr>
    </w:p>
    <w:p w14:paraId="5B9F552E" w14:textId="77777777" w:rsidR="001F0677" w:rsidRPr="00361327" w:rsidRDefault="001F0677" w:rsidP="00361327">
      <w:pPr>
        <w:widowControl w:val="0"/>
        <w:spacing w:line="240" w:lineRule="auto"/>
        <w:rPr>
          <w:b/>
          <w:szCs w:val="22"/>
          <w:lang w:val="hu-HU"/>
        </w:rPr>
      </w:pPr>
    </w:p>
    <w:p w14:paraId="0A93AA58" w14:textId="77777777" w:rsidR="001F0677" w:rsidRPr="00361327" w:rsidRDefault="001F0677" w:rsidP="00361327">
      <w:pPr>
        <w:widowControl w:val="0"/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3.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5DFAA345" w14:textId="77777777" w:rsidR="001F0677" w:rsidRPr="00361327" w:rsidRDefault="001F0677" w:rsidP="00361327">
      <w:pPr>
        <w:widowControl w:val="0"/>
        <w:spacing w:line="240" w:lineRule="auto"/>
        <w:ind w:left="567" w:hanging="567"/>
        <w:rPr>
          <w:b/>
          <w:szCs w:val="22"/>
          <w:lang w:val="hu-HU"/>
        </w:rPr>
      </w:pPr>
    </w:p>
    <w:p w14:paraId="73567BD5" w14:textId="37D7BE7C" w:rsidR="001F0677" w:rsidRPr="00361327" w:rsidRDefault="001F0677" w:rsidP="00361327">
      <w:pPr>
        <w:widowControl w:val="0"/>
        <w:spacing w:line="240" w:lineRule="auto"/>
        <w:rPr>
          <w:szCs w:val="22"/>
          <w:lang w:val="hu-HU" w:eastAsia="en-US"/>
        </w:rPr>
      </w:pPr>
      <w:r w:rsidRPr="00361327">
        <w:rPr>
          <w:szCs w:val="22"/>
          <w:lang w:val="hu-HU" w:eastAsia="en-US"/>
        </w:rPr>
        <w:t>Koncentrátum oldatos infúzióhoz.</w:t>
      </w:r>
    </w:p>
    <w:p w14:paraId="57D99E8D" w14:textId="01916E06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1327">
        <w:rPr>
          <w:szCs w:val="22"/>
          <w:lang w:val="hu-HU" w:eastAsia="en-US"/>
        </w:rPr>
        <w:t>Tiszta</w:t>
      </w:r>
      <w:r w:rsidR="002B20A0">
        <w:rPr>
          <w:szCs w:val="22"/>
          <w:lang w:val="hu-HU" w:eastAsia="en-US"/>
        </w:rPr>
        <w:t xml:space="preserve">, </w:t>
      </w:r>
      <w:r w:rsidRPr="00361327">
        <w:rPr>
          <w:szCs w:val="22"/>
          <w:lang w:val="hu-HU" w:eastAsia="en-US"/>
        </w:rPr>
        <w:t xml:space="preserve">színtelen </w:t>
      </w:r>
      <w:r w:rsidR="002B20A0">
        <w:rPr>
          <w:szCs w:val="22"/>
          <w:lang w:val="hu-HU" w:eastAsia="en-US"/>
        </w:rPr>
        <w:t xml:space="preserve">vagy sárgás színű, steril </w:t>
      </w:r>
      <w:r w:rsidRPr="00361327">
        <w:rPr>
          <w:szCs w:val="22"/>
          <w:lang w:val="hu-HU" w:eastAsia="en-US"/>
        </w:rPr>
        <w:t>oldat</w:t>
      </w:r>
      <w:r w:rsidR="002B20A0">
        <w:rPr>
          <w:szCs w:val="22"/>
          <w:lang w:val="hu-HU" w:eastAsia="en-US"/>
        </w:rPr>
        <w:t>.</w:t>
      </w:r>
      <w:r w:rsidR="00DB33F1" w:rsidRPr="00361327">
        <w:rPr>
          <w:szCs w:val="22"/>
          <w:lang w:val="hu-HU" w:eastAsia="en-US"/>
        </w:rPr>
        <w:t xml:space="preserve"> pH</w:t>
      </w:r>
      <w:r w:rsidR="00520DBA" w:rsidRPr="00361327">
        <w:rPr>
          <w:szCs w:val="22"/>
          <w:lang w:val="hu-HU" w:eastAsia="en-US"/>
        </w:rPr>
        <w:t>-ja 5,7-6,7.</w:t>
      </w:r>
    </w:p>
    <w:p w14:paraId="52A470F2" w14:textId="77777777" w:rsidR="001F0677" w:rsidRPr="00361327" w:rsidRDefault="001F0677" w:rsidP="00361327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098DD912" w14:textId="77777777" w:rsidR="001F0677" w:rsidRPr="00361327" w:rsidRDefault="001F0677" w:rsidP="00361327">
      <w:pPr>
        <w:widowControl w:val="0"/>
        <w:spacing w:line="240" w:lineRule="auto"/>
        <w:rPr>
          <w:szCs w:val="22"/>
          <w:lang w:val="hu-HU"/>
        </w:rPr>
      </w:pPr>
    </w:p>
    <w:p w14:paraId="21CD4342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1327">
        <w:rPr>
          <w:b/>
          <w:szCs w:val="22"/>
          <w:lang w:val="hu-HU"/>
        </w:rPr>
        <w:t>4.</w:t>
      </w:r>
      <w:r w:rsidRPr="00361327">
        <w:rPr>
          <w:b/>
          <w:szCs w:val="22"/>
          <w:lang w:val="hu-HU"/>
        </w:rPr>
        <w:tab/>
        <w:t>KLINIKAI JELLEMZŐK</w:t>
      </w:r>
    </w:p>
    <w:p w14:paraId="5A9A0BE6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2C756FC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4.1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1460F8FC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673CA38D" w14:textId="205444A5" w:rsidR="001F0677" w:rsidRPr="00756773" w:rsidRDefault="001F0677" w:rsidP="00361327">
      <w:pPr>
        <w:pStyle w:val="Default"/>
        <w:widowControl w:val="0"/>
        <w:numPr>
          <w:ilvl w:val="0"/>
          <w:numId w:val="4"/>
        </w:numPr>
        <w:ind w:left="709" w:hanging="709"/>
        <w:rPr>
          <w:sz w:val="22"/>
          <w:szCs w:val="22"/>
        </w:rPr>
      </w:pPr>
      <w:r w:rsidRPr="00756773">
        <w:rPr>
          <w:sz w:val="22"/>
          <w:szCs w:val="22"/>
        </w:rPr>
        <w:t xml:space="preserve">Előrehaladott, csontot is </w:t>
      </w:r>
      <w:r w:rsidR="00F62FB4" w:rsidRPr="00756773">
        <w:rPr>
          <w:sz w:val="22"/>
          <w:szCs w:val="22"/>
        </w:rPr>
        <w:t>érintő</w:t>
      </w:r>
      <w:r w:rsidRPr="00756773">
        <w:rPr>
          <w:sz w:val="22"/>
          <w:szCs w:val="22"/>
        </w:rPr>
        <w:t xml:space="preserve">, </w:t>
      </w:r>
      <w:r w:rsidR="00C45F6A" w:rsidRPr="00756773">
        <w:rPr>
          <w:sz w:val="22"/>
          <w:szCs w:val="22"/>
        </w:rPr>
        <w:t>malignus</w:t>
      </w:r>
      <w:r w:rsidRPr="00756773">
        <w:rPr>
          <w:sz w:val="22"/>
          <w:szCs w:val="22"/>
        </w:rPr>
        <w:t xml:space="preserve"> daganatos betegségekben szenvedő felnőtt betegek csontrendszert érintő eseményeinek (patológiás törések, csigolyakompresszió, a csont</w:t>
      </w:r>
      <w:r w:rsidR="00C45F6A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 xml:space="preserve">besugárzás vagy </w:t>
      </w:r>
      <w:r w:rsidR="00F62FB4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műtét, ill. tumor indukálta hypercalcaemia) megelőzésére.</w:t>
      </w:r>
    </w:p>
    <w:p w14:paraId="1C5B476B" w14:textId="77777777" w:rsidR="001F0677" w:rsidRPr="00756773" w:rsidRDefault="001F0677" w:rsidP="00361327">
      <w:pPr>
        <w:pStyle w:val="Default"/>
        <w:widowControl w:val="0"/>
        <w:numPr>
          <w:ilvl w:val="0"/>
          <w:numId w:val="4"/>
        </w:numPr>
        <w:ind w:left="709" w:hanging="709"/>
        <w:rPr>
          <w:sz w:val="22"/>
          <w:szCs w:val="22"/>
        </w:rPr>
      </w:pPr>
      <w:r w:rsidRPr="00756773">
        <w:rPr>
          <w:sz w:val="22"/>
          <w:szCs w:val="22"/>
        </w:rPr>
        <w:t>Tumor indukálta hypercalcaemia (TIH) kezelése felnőtt betegeknél.</w:t>
      </w:r>
    </w:p>
    <w:p w14:paraId="74CF9CA0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5BB88E46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4.2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5236FFDA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30221AB" w14:textId="6E6B509D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 xml:space="preserve">A betegeknek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-t csak az intravénás biszfoszfonátok alkalmazásában jártas egészségügyi szakember írhatja fel és adhatja be.</w:t>
      </w:r>
    </w:p>
    <w:p w14:paraId="26008AF3" w14:textId="77777777" w:rsidR="008A1084" w:rsidRPr="00756773" w:rsidRDefault="008A1084" w:rsidP="009A3F18">
      <w:pPr>
        <w:pStyle w:val="Default"/>
        <w:rPr>
          <w:sz w:val="22"/>
          <w:szCs w:val="22"/>
        </w:rPr>
      </w:pPr>
    </w:p>
    <w:p w14:paraId="23D25DF0" w14:textId="5CC4BA93" w:rsidR="00304054" w:rsidRPr="00756773" w:rsidRDefault="00304054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</w:t>
      </w:r>
      <w:r w:rsidR="00CB1696" w:rsidRPr="00756773">
        <w:rPr>
          <w:sz w:val="22"/>
          <w:szCs w:val="22"/>
        </w:rPr>
        <w:t>nel</w:t>
      </w:r>
      <w:r w:rsidRPr="00756773">
        <w:rPr>
          <w:sz w:val="22"/>
          <w:szCs w:val="22"/>
        </w:rPr>
        <w:t xml:space="preserve"> kezelt betegek</w:t>
      </w:r>
      <w:r w:rsidR="00E22A72" w:rsidRPr="00756773">
        <w:rPr>
          <w:sz w:val="22"/>
          <w:szCs w:val="22"/>
        </w:rPr>
        <w:t xml:space="preserve"> a gyógyszer dobozában a betegtájékoztató mellett kapnak egy</w:t>
      </w:r>
      <w:r w:rsidR="00FB3373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emlékeztető kártyát</w:t>
      </w:r>
      <w:r w:rsidR="008A0D7A" w:rsidRPr="00756773">
        <w:rPr>
          <w:sz w:val="22"/>
          <w:szCs w:val="22"/>
        </w:rPr>
        <w:t xml:space="preserve"> az állkapocs-osteonecrosis kockázatáról.</w:t>
      </w:r>
    </w:p>
    <w:p w14:paraId="586A783C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07936A8B" w14:textId="77777777" w:rsidR="001F0677" w:rsidRPr="00756773" w:rsidRDefault="001F0677" w:rsidP="009A3F18">
      <w:pPr>
        <w:pStyle w:val="Default"/>
        <w:rPr>
          <w:iCs/>
          <w:sz w:val="22"/>
          <w:szCs w:val="22"/>
          <w:u w:val="single"/>
        </w:rPr>
      </w:pPr>
      <w:r w:rsidRPr="00756773">
        <w:rPr>
          <w:iCs/>
          <w:sz w:val="22"/>
          <w:szCs w:val="22"/>
          <w:u w:val="single"/>
        </w:rPr>
        <w:t>Adagolás</w:t>
      </w:r>
    </w:p>
    <w:p w14:paraId="3D6B1AAE" w14:textId="02367066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iCs/>
          <w:sz w:val="22"/>
          <w:szCs w:val="22"/>
          <w:u w:val="single"/>
        </w:rPr>
        <w:t xml:space="preserve">Előrehaladott, csontot is </w:t>
      </w:r>
      <w:r w:rsidR="00F62FB4" w:rsidRPr="00756773">
        <w:rPr>
          <w:iCs/>
          <w:sz w:val="22"/>
          <w:szCs w:val="22"/>
          <w:u w:val="single"/>
        </w:rPr>
        <w:t>érintő</w:t>
      </w:r>
      <w:r w:rsidRPr="00756773">
        <w:rPr>
          <w:iCs/>
          <w:sz w:val="22"/>
          <w:szCs w:val="22"/>
          <w:u w:val="single"/>
        </w:rPr>
        <w:t>, rosszindulatú daganatos betegségekben szenvedő betegek csontrendszert érintő eseményeinek megelőzése</w:t>
      </w:r>
    </w:p>
    <w:p w14:paraId="50EB6A4A" w14:textId="7D82A81B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i/>
          <w:iCs/>
          <w:sz w:val="22"/>
          <w:szCs w:val="22"/>
        </w:rPr>
        <w:t xml:space="preserve">Felnőttek és </w:t>
      </w:r>
      <w:r w:rsidR="000C5C75" w:rsidRPr="00756773">
        <w:rPr>
          <w:i/>
          <w:iCs/>
          <w:sz w:val="22"/>
          <w:szCs w:val="22"/>
        </w:rPr>
        <w:t>idős</w:t>
      </w:r>
      <w:r w:rsidR="000C5C75">
        <w:rPr>
          <w:i/>
          <w:iCs/>
          <w:sz w:val="22"/>
          <w:szCs w:val="22"/>
        </w:rPr>
        <w:t>ek</w:t>
      </w:r>
    </w:p>
    <w:p w14:paraId="725973FE" w14:textId="187816B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Előrehaladott, csontot is </w:t>
      </w:r>
      <w:r w:rsidR="00F62FB4" w:rsidRPr="00756773">
        <w:rPr>
          <w:sz w:val="22"/>
          <w:szCs w:val="22"/>
        </w:rPr>
        <w:t>érintő</w:t>
      </w:r>
      <w:r w:rsidRPr="00756773">
        <w:rPr>
          <w:sz w:val="22"/>
          <w:szCs w:val="22"/>
        </w:rPr>
        <w:t>, rosszindulatú daganatos betegségekben szenvedő betegek csontrendszert érintő eseményeinek megelőzésére az ajánlott adag 4</w:t>
      </w:r>
      <w:r w:rsidR="00E02807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3-4 hetenként.</w:t>
      </w:r>
    </w:p>
    <w:p w14:paraId="6CC3D2AE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2F763D58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betegeknek </w:t>
      </w:r>
      <w:r w:rsidRPr="00756773">
        <w:rPr>
          <w:i/>
          <w:sz w:val="22"/>
          <w:szCs w:val="22"/>
        </w:rPr>
        <w:t>per os</w:t>
      </w:r>
      <w:r w:rsidRPr="00756773">
        <w:rPr>
          <w:sz w:val="22"/>
          <w:szCs w:val="22"/>
        </w:rPr>
        <w:t xml:space="preserve"> napi 500</w:t>
      </w:r>
      <w:r w:rsidR="00E02807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kalciumpótlást és 400</w:t>
      </w:r>
      <w:r w:rsidR="00E02807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NE D-vitamint is kell kapniuk.</w:t>
      </w:r>
    </w:p>
    <w:p w14:paraId="661C349B" w14:textId="77777777" w:rsidR="007F7AA8" w:rsidRPr="00756773" w:rsidRDefault="007F7AA8" w:rsidP="009A3F18">
      <w:pPr>
        <w:pStyle w:val="Default"/>
        <w:rPr>
          <w:sz w:val="22"/>
          <w:szCs w:val="22"/>
        </w:rPr>
      </w:pPr>
    </w:p>
    <w:p w14:paraId="631AFDC4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csontáttétes betegek csontrendszert érintő eseményeinek megelőzése céljából történő kezeléséről hozott döntéskor tekintetbe kell venni, hogy a kezelés hatásának kialakulása 2-3 hónap.</w:t>
      </w:r>
    </w:p>
    <w:p w14:paraId="1D8631C8" w14:textId="77777777" w:rsidR="001F0677" w:rsidRPr="00756773" w:rsidRDefault="001F0677" w:rsidP="009A3F18">
      <w:pPr>
        <w:pStyle w:val="Default"/>
        <w:rPr>
          <w:i/>
          <w:iCs/>
          <w:sz w:val="22"/>
          <w:szCs w:val="22"/>
        </w:rPr>
      </w:pPr>
    </w:p>
    <w:p w14:paraId="40307683" w14:textId="77777777" w:rsidR="001F0677" w:rsidRPr="00756773" w:rsidRDefault="001F0677" w:rsidP="009A3F18">
      <w:pPr>
        <w:pStyle w:val="Default"/>
        <w:rPr>
          <w:i/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>A TIH kezelése</w:t>
      </w:r>
    </w:p>
    <w:p w14:paraId="1E3F438D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i/>
          <w:iCs/>
          <w:sz w:val="22"/>
          <w:szCs w:val="22"/>
        </w:rPr>
        <w:t>Felnőttek és időskorúak</w:t>
      </w:r>
    </w:p>
    <w:p w14:paraId="7C0F4865" w14:textId="520C1B1C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Hypercalcaemiában (az albuminra korrigált szérumkalciumszint ≥ 12,0</w:t>
      </w:r>
      <w:r w:rsidR="005B02E9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mg/dl vagy 3,0</w:t>
      </w:r>
      <w:r w:rsidR="005B02E9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mmol/l) az ajánlott adag egy egyszeri 4</w:t>
      </w:r>
      <w:r w:rsidR="005B02E9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mg-os zoledronsav dózis.</w:t>
      </w:r>
    </w:p>
    <w:p w14:paraId="7159322A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05E66F9F" w14:textId="77777777" w:rsidR="001F0677" w:rsidRPr="00756773" w:rsidRDefault="001F0677" w:rsidP="00361327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i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i/>
          <w:iCs/>
          <w:snapToGrid/>
          <w:color w:val="000000"/>
          <w:szCs w:val="22"/>
          <w:lang w:val="hu-HU" w:eastAsia="hu-HU"/>
        </w:rPr>
        <w:lastRenderedPageBreak/>
        <w:t>Vesekárosodás</w:t>
      </w:r>
    </w:p>
    <w:p w14:paraId="7454CBB3" w14:textId="77777777" w:rsidR="001F0677" w:rsidRPr="00756773" w:rsidRDefault="001F0677" w:rsidP="00361327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i/>
          <w:iCs/>
          <w:snapToGrid/>
          <w:color w:val="000000"/>
          <w:szCs w:val="22"/>
          <w:lang w:val="hu-HU" w:eastAsia="hu-HU"/>
        </w:rPr>
        <w:t>TIH:</w:t>
      </w:r>
    </w:p>
    <w:p w14:paraId="741780EB" w14:textId="176C51AF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A TIH-ben és egyúttal súlyos vesekárosodásban szenvedő betegek Zoledronsav </w:t>
      </w:r>
      <w:r w:rsidR="0043693C" w:rsidRPr="00756773">
        <w:rPr>
          <w:rFonts w:eastAsia="Times New Roman"/>
          <w:snapToGrid/>
          <w:color w:val="000000"/>
          <w:szCs w:val="22"/>
          <w:lang w:val="hu-HU" w:eastAsia="hu-HU"/>
        </w:rPr>
        <w:t>Onkogen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-kezelése csak a várható</w:t>
      </w:r>
      <w:r w:rsidR="00F12691" w:rsidRPr="00756773">
        <w:rPr>
          <w:rFonts w:eastAsia="Times New Roman"/>
          <w:szCs w:val="22"/>
          <w:lang w:val="hu-HU" w:eastAsia="hu-HU"/>
        </w:rPr>
        <w:t xml:space="preserve"> előny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="00F12691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és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kockázat mérlegelése után jöhet szóba. A klinikai vizsgálatok során kizárták azokat a betegeket, akiknek a szérum</w:t>
      </w:r>
      <w:r w:rsidR="00F62FB4" w:rsidRPr="00756773">
        <w:rPr>
          <w:rFonts w:eastAsia="Times New Roman"/>
          <w:snapToGrid/>
          <w:color w:val="000000"/>
          <w:szCs w:val="22"/>
          <w:lang w:val="hu-HU" w:eastAsia="hu-HU"/>
        </w:rPr>
        <w:t>-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kreatininszintje a 400</w:t>
      </w:r>
      <w:r w:rsidR="00197D9D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μmol/l vagy 4,5</w:t>
      </w:r>
      <w:r w:rsidR="00197D9D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mg/dl értéket meghaladta. Nincs szükség dózismódosításra azon TIH-es betegek esetében, akik szérum</w:t>
      </w:r>
      <w:r w:rsidR="00F62FB4" w:rsidRPr="00756773">
        <w:rPr>
          <w:rFonts w:eastAsia="Times New Roman"/>
          <w:snapToGrid/>
          <w:color w:val="000000"/>
          <w:szCs w:val="22"/>
          <w:lang w:val="hu-HU" w:eastAsia="hu-HU"/>
        </w:rPr>
        <w:t>-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kreatininszintje 400</w:t>
      </w:r>
      <w:r w:rsidR="00197D9D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μmol/l vagy 4,5</w:t>
      </w:r>
      <w:r w:rsidR="00197D9D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mg/dl alatt van (lásd 4.4</w:t>
      </w:r>
      <w:r w:rsidR="00197D9D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pont).</w:t>
      </w:r>
    </w:p>
    <w:p w14:paraId="44B9B0FB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/>
        </w:rPr>
      </w:pPr>
    </w:p>
    <w:p w14:paraId="22C75F88" w14:textId="0AF16E1F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i/>
          <w:iCs/>
          <w:snapToGrid/>
          <w:color w:val="000000"/>
          <w:szCs w:val="22"/>
          <w:lang w:val="hu-HU" w:eastAsia="hu-HU"/>
        </w:rPr>
        <w:t xml:space="preserve">Előrehaladott, csontot is </w:t>
      </w:r>
      <w:r w:rsidR="00F62FB4" w:rsidRPr="00756773">
        <w:rPr>
          <w:rFonts w:eastAsia="Times New Roman"/>
          <w:i/>
          <w:iCs/>
          <w:snapToGrid/>
          <w:color w:val="000000"/>
          <w:szCs w:val="22"/>
          <w:lang w:val="hu-HU" w:eastAsia="hu-HU"/>
        </w:rPr>
        <w:t>érintő</w:t>
      </w:r>
      <w:r w:rsidR="00F62FB4" w:rsidRPr="00756773">
        <w:rPr>
          <w:i/>
          <w:iCs/>
          <w:szCs w:val="22"/>
          <w:lang w:val="hu-HU"/>
        </w:rPr>
        <w:t xml:space="preserve"> </w:t>
      </w:r>
      <w:r w:rsidR="000E79A6" w:rsidRPr="00756773">
        <w:rPr>
          <w:i/>
          <w:iCs/>
          <w:szCs w:val="22"/>
          <w:lang w:val="hu-HU"/>
        </w:rPr>
        <w:t>malignus</w:t>
      </w:r>
      <w:r w:rsidR="000E79A6" w:rsidRPr="00756773" w:rsidDel="000E79A6">
        <w:rPr>
          <w:rFonts w:eastAsia="Times New Roman"/>
          <w:i/>
          <w:iCs/>
          <w:snapToGrid/>
          <w:color w:val="000000"/>
          <w:szCs w:val="22"/>
          <w:lang w:val="hu-HU" w:eastAsia="hu-HU"/>
        </w:rPr>
        <w:t xml:space="preserve"> </w:t>
      </w:r>
      <w:r w:rsidRPr="00756773">
        <w:rPr>
          <w:rFonts w:eastAsia="Times New Roman"/>
          <w:i/>
          <w:iCs/>
          <w:snapToGrid/>
          <w:color w:val="000000"/>
          <w:szCs w:val="22"/>
          <w:lang w:val="hu-HU" w:eastAsia="hu-HU"/>
        </w:rPr>
        <w:t>daganatos betegségekben szenvedő betegek csontrendszert érintő eseményeinek megelőzése:</w:t>
      </w:r>
    </w:p>
    <w:p w14:paraId="55A8AFC8" w14:textId="6B94E19A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Myeloma multiplexben vagy szolid tumorokból eredő metasztatikus csontelváltozásokban szenvedő betegek Zoledronsav </w:t>
      </w:r>
      <w:r w:rsidR="0043693C" w:rsidRPr="00756773">
        <w:rPr>
          <w:rFonts w:eastAsia="Times New Roman"/>
          <w:snapToGrid/>
          <w:color w:val="000000"/>
          <w:szCs w:val="22"/>
          <w:lang w:val="hu-HU" w:eastAsia="hu-HU"/>
        </w:rPr>
        <w:t>Onkogen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-kezelésének megkezdésekor meg kell határozni a szérum</w:t>
      </w:r>
      <w:r w:rsidR="00F62FB4" w:rsidRPr="00756773">
        <w:rPr>
          <w:rFonts w:eastAsia="Times New Roman"/>
          <w:snapToGrid/>
          <w:color w:val="000000"/>
          <w:szCs w:val="22"/>
          <w:lang w:val="hu-HU" w:eastAsia="hu-HU"/>
        </w:rPr>
        <w:t>-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kreatininszintet és a kreatinin-clearance-et</w:t>
      </w:r>
      <w:r w:rsidR="003D012D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="003D012D" w:rsidRPr="00756773">
        <w:rPr>
          <w:szCs w:val="22"/>
          <w:lang w:val="hu-HU"/>
        </w:rPr>
        <w:t>(CLcr)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. A kreatinin-clearance a Cockcroft-Gault képlet segítségével számolható ki a szérumkreatininb</w:t>
      </w:r>
      <w:r w:rsidR="00F62FB4" w:rsidRPr="00756773">
        <w:rPr>
          <w:rFonts w:eastAsia="Times New Roman"/>
          <w:snapToGrid/>
          <w:color w:val="000000"/>
          <w:szCs w:val="22"/>
          <w:lang w:val="hu-HU" w:eastAsia="hu-HU"/>
        </w:rPr>
        <w:t>ó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l. A Zoledronsav </w:t>
      </w:r>
      <w:r w:rsidR="0043693C" w:rsidRPr="00756773">
        <w:rPr>
          <w:rFonts w:eastAsia="Times New Roman"/>
          <w:snapToGrid/>
          <w:color w:val="000000"/>
          <w:szCs w:val="22"/>
          <w:lang w:val="hu-HU" w:eastAsia="hu-HU"/>
        </w:rPr>
        <w:t>Onkogen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nem javasolt azon betegek számára, akiknek a kezelés megkezdése előtt súlyos vesekárosodásuk volt (aminek az e populációra vonatkozó definíciója: kreatinin-clearance &lt; 30</w:t>
      </w:r>
      <w:r w:rsidR="006D3E28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ml/perc). A </w:t>
      </w:r>
      <w:r w:rsidR="00FE2B88" w:rsidRPr="00756773">
        <w:rPr>
          <w:rFonts w:eastAsia="Times New Roman"/>
          <w:snapToGrid/>
          <w:color w:val="000000"/>
          <w:szCs w:val="22"/>
          <w:lang w:val="hu-HU" w:eastAsia="hu-HU"/>
        </w:rPr>
        <w:t>z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oledronsav klinikai vizsgálatai során kizárták azokat a betegeket, akiknek a szérum</w:t>
      </w:r>
      <w:r w:rsidR="00F62FB4" w:rsidRPr="00756773">
        <w:rPr>
          <w:rFonts w:eastAsia="Times New Roman"/>
          <w:snapToGrid/>
          <w:color w:val="000000"/>
          <w:szCs w:val="22"/>
          <w:lang w:val="hu-HU" w:eastAsia="hu-HU"/>
        </w:rPr>
        <w:t>-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kreatininszintje meghaladta a 265</w:t>
      </w:r>
      <w:r w:rsidR="006D3E28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μmol/l vagy 3</w:t>
      </w:r>
      <w:r w:rsidR="006D3E28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mg/dl értéket.</w:t>
      </w:r>
    </w:p>
    <w:p w14:paraId="436C8185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p w14:paraId="34B19A71" w14:textId="499FCE9A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lang w:val="hu-HU" w:eastAsia="hu-HU"/>
        </w:rPr>
        <w:t>Azo</w:t>
      </w:r>
      <w:r w:rsidR="00B437C0" w:rsidRPr="00756773">
        <w:rPr>
          <w:rFonts w:eastAsia="Times New Roman"/>
          <w:snapToGrid/>
          <w:color w:val="000000"/>
          <w:szCs w:val="22"/>
          <w:lang w:val="hu-HU" w:eastAsia="hu-HU"/>
        </w:rPr>
        <w:t>knak a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csontmetasztázisokban szenvedő betegek esetében, akiknek a kezelés megkezdése előtt enyhe</w:t>
      </w:r>
      <w:r w:rsidR="00F62FB4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vagy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közepes fokú vesekárosodásuk volt – aminek az e populációra vonatkozó definíciója: kreatinin-clearance 30-60</w:t>
      </w:r>
      <w:r w:rsidR="006D3E28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ml/perc – a következő Zoledronsav </w:t>
      </w:r>
      <w:r w:rsidR="0043693C" w:rsidRPr="00756773">
        <w:rPr>
          <w:rFonts w:eastAsia="Times New Roman"/>
          <w:snapToGrid/>
          <w:color w:val="000000"/>
          <w:szCs w:val="22"/>
          <w:lang w:val="hu-HU" w:eastAsia="hu-HU"/>
        </w:rPr>
        <w:t>Onkogen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="00EA174C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dózisok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javasoltak (lásd még 4.4</w:t>
      </w:r>
      <w:r w:rsidR="006D3E28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pont):</w:t>
      </w:r>
    </w:p>
    <w:p w14:paraId="1C7EB3B3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15"/>
        <w:gridCol w:w="3815"/>
      </w:tblGrid>
      <w:tr w:rsidR="001F0677" w:rsidRPr="00756773" w14:paraId="63F6EE96" w14:textId="77777777" w:rsidTr="00D97E21">
        <w:trPr>
          <w:trHeight w:val="98"/>
        </w:trPr>
        <w:tc>
          <w:tcPr>
            <w:tcW w:w="3815" w:type="dxa"/>
          </w:tcPr>
          <w:p w14:paraId="43C09AEA" w14:textId="33E91A48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/>
              </w:rPr>
              <w:t>Kiindulási kreatinin-clearance (ml/perc)</w:t>
            </w:r>
          </w:p>
        </w:tc>
        <w:tc>
          <w:tcPr>
            <w:tcW w:w="3815" w:type="dxa"/>
          </w:tcPr>
          <w:p w14:paraId="4F03E863" w14:textId="10A21AF2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/>
              </w:rPr>
              <w:t xml:space="preserve">Javasolt Zoledronsav </w:t>
            </w:r>
            <w:r w:rsidR="0043693C" w:rsidRPr="0075677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/>
              </w:rPr>
              <w:t>Onkogen</w:t>
            </w:r>
            <w:r w:rsidRPr="0075677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/>
              </w:rPr>
              <w:t xml:space="preserve"> dózis*</w:t>
            </w:r>
          </w:p>
        </w:tc>
      </w:tr>
      <w:tr w:rsidR="001F0677" w:rsidRPr="00756773" w14:paraId="0CB879B0" w14:textId="77777777" w:rsidTr="00D97E21">
        <w:trPr>
          <w:trHeight w:val="100"/>
        </w:trPr>
        <w:tc>
          <w:tcPr>
            <w:tcW w:w="3815" w:type="dxa"/>
          </w:tcPr>
          <w:p w14:paraId="132BDB6B" w14:textId="0A18D92B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&gt; 60</w:t>
            </w:r>
          </w:p>
        </w:tc>
        <w:tc>
          <w:tcPr>
            <w:tcW w:w="3815" w:type="dxa"/>
          </w:tcPr>
          <w:p w14:paraId="148D5311" w14:textId="765002C9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4,0</w:t>
            </w:r>
            <w:r w:rsidR="006D3E28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</w:tr>
      <w:tr w:rsidR="001F0677" w:rsidRPr="00756773" w14:paraId="5B56485D" w14:textId="77777777" w:rsidTr="00D97E21">
        <w:trPr>
          <w:trHeight w:val="100"/>
        </w:trPr>
        <w:tc>
          <w:tcPr>
            <w:tcW w:w="3815" w:type="dxa"/>
          </w:tcPr>
          <w:p w14:paraId="1C21057E" w14:textId="7687D3C0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50–60</w:t>
            </w:r>
          </w:p>
        </w:tc>
        <w:tc>
          <w:tcPr>
            <w:tcW w:w="3815" w:type="dxa"/>
          </w:tcPr>
          <w:p w14:paraId="39DC8139" w14:textId="53D35AF8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3,5</w:t>
            </w:r>
            <w:r w:rsidR="006D3E28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mg* zoledronsav</w:t>
            </w:r>
          </w:p>
        </w:tc>
      </w:tr>
      <w:tr w:rsidR="001F0677" w:rsidRPr="00756773" w14:paraId="449665C9" w14:textId="77777777" w:rsidTr="00D97E21">
        <w:trPr>
          <w:trHeight w:val="100"/>
        </w:trPr>
        <w:tc>
          <w:tcPr>
            <w:tcW w:w="3815" w:type="dxa"/>
          </w:tcPr>
          <w:p w14:paraId="1822FDC4" w14:textId="6E55BD6C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40–49</w:t>
            </w:r>
          </w:p>
        </w:tc>
        <w:tc>
          <w:tcPr>
            <w:tcW w:w="3815" w:type="dxa"/>
          </w:tcPr>
          <w:p w14:paraId="116E03D9" w14:textId="6A50D690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3,3</w:t>
            </w:r>
            <w:r w:rsidR="006D3E28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mg* zoledronsav</w:t>
            </w:r>
          </w:p>
        </w:tc>
      </w:tr>
      <w:tr w:rsidR="001F0677" w:rsidRPr="00756773" w14:paraId="0A9D7CFA" w14:textId="77777777" w:rsidTr="00D97E21">
        <w:trPr>
          <w:trHeight w:val="100"/>
        </w:trPr>
        <w:tc>
          <w:tcPr>
            <w:tcW w:w="3815" w:type="dxa"/>
          </w:tcPr>
          <w:p w14:paraId="58CBB492" w14:textId="3A4435BE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30–39</w:t>
            </w:r>
          </w:p>
        </w:tc>
        <w:tc>
          <w:tcPr>
            <w:tcW w:w="3815" w:type="dxa"/>
          </w:tcPr>
          <w:p w14:paraId="19DB3C1A" w14:textId="65CE9549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3,0</w:t>
            </w:r>
            <w:r w:rsidR="006D3E28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mg* zoledronsav</w:t>
            </w:r>
          </w:p>
        </w:tc>
      </w:tr>
    </w:tbl>
    <w:p w14:paraId="56D039E4" w14:textId="12C5B4F4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*A dózisokat 0,66 (mg</w:t>
      </w:r>
      <w:r w:rsidR="00CA1BA2" w:rsidRPr="00756773">
        <w:rPr>
          <w:sz w:val="22"/>
          <w:szCs w:val="22"/>
        </w:rPr>
        <w:t> </w:t>
      </w:r>
      <w:r w:rsidR="00F62FB4" w:rsidRPr="00756773">
        <w:rPr>
          <w:sz w:val="22"/>
          <w:szCs w:val="22"/>
        </w:rPr>
        <w:t>×</w:t>
      </w:r>
      <w:r w:rsidR="00CA1BA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óra/l) AUC (kreatinin-clearance = 75</w:t>
      </w:r>
      <w:r w:rsidR="00CA1BA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ml/perc) célérték feltételezésével számolták ki. A károsodott veseműködésű betegek csökkentett </w:t>
      </w:r>
      <w:r w:rsidR="00B437C0" w:rsidRPr="00756773">
        <w:rPr>
          <w:sz w:val="22"/>
          <w:szCs w:val="22"/>
        </w:rPr>
        <w:t xml:space="preserve">dózisaival </w:t>
      </w:r>
      <w:r w:rsidRPr="00756773">
        <w:rPr>
          <w:sz w:val="22"/>
          <w:szCs w:val="22"/>
        </w:rPr>
        <w:t>várhatóan ugyanolyan AUC érhető el, mint a 75</w:t>
      </w:r>
      <w:r w:rsidR="005662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ml/perc kreatinin-clearance-</w:t>
      </w:r>
      <w:r w:rsidR="00270AAD" w:rsidRPr="00756773">
        <w:rPr>
          <w:sz w:val="22"/>
          <w:szCs w:val="22"/>
        </w:rPr>
        <w:t>szel rendelkező</w:t>
      </w:r>
      <w:r w:rsidRPr="00756773">
        <w:rPr>
          <w:sz w:val="22"/>
          <w:szCs w:val="22"/>
        </w:rPr>
        <w:t xml:space="preserve"> betegek esetében.</w:t>
      </w:r>
    </w:p>
    <w:p w14:paraId="0D49CD14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634D254C" w14:textId="45BBA14C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kezelés megkezdését követően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minden egyes </w:t>
      </w:r>
      <w:r w:rsidR="00270AAD" w:rsidRPr="00756773">
        <w:rPr>
          <w:sz w:val="22"/>
          <w:szCs w:val="22"/>
        </w:rPr>
        <w:t xml:space="preserve">dózisának </w:t>
      </w:r>
      <w:r w:rsidRPr="00756773">
        <w:rPr>
          <w:sz w:val="22"/>
          <w:szCs w:val="22"/>
        </w:rPr>
        <w:t>beadása előtt meg kell mérni a szérum</w:t>
      </w:r>
      <w:r w:rsidR="00192F00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kreatininszintet, és a veseműködés romlása esetén a kezelést fel kell függeszteni. A klinikai vizsgálatokban a vesefunkció romlását az alábbiak jelentették:</w:t>
      </w:r>
    </w:p>
    <w:p w14:paraId="219CB4D2" w14:textId="77777777" w:rsidR="001F0677" w:rsidRPr="00756773" w:rsidRDefault="001F0677" w:rsidP="009A3F18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756773">
        <w:rPr>
          <w:sz w:val="22"/>
          <w:szCs w:val="22"/>
        </w:rPr>
        <w:t>normál kiindulási kreatininszint</w:t>
      </w:r>
      <w:r w:rsidR="005D73D6" w:rsidRPr="00756773">
        <w:rPr>
          <w:sz w:val="22"/>
          <w:szCs w:val="22"/>
        </w:rPr>
        <w:t>tel</w:t>
      </w:r>
      <w:r w:rsidRPr="00756773">
        <w:rPr>
          <w:sz w:val="22"/>
          <w:szCs w:val="22"/>
        </w:rPr>
        <w:t xml:space="preserve"> (&lt; 1,4</w:t>
      </w:r>
      <w:r w:rsidR="005662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mg/dl vagy &lt; 124</w:t>
      </w:r>
      <w:r w:rsidR="005662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μmol/l) </w:t>
      </w:r>
      <w:r w:rsidR="00A57EBA" w:rsidRPr="00756773">
        <w:rPr>
          <w:sz w:val="22"/>
          <w:szCs w:val="22"/>
        </w:rPr>
        <w:t xml:space="preserve">rendelkező </w:t>
      </w:r>
      <w:r w:rsidRPr="00756773">
        <w:rPr>
          <w:sz w:val="22"/>
          <w:szCs w:val="22"/>
        </w:rPr>
        <w:t>betegek esetében, ha a növekedés 0,5</w:t>
      </w:r>
      <w:r w:rsidR="005662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mg/dl vagy 44</w:t>
      </w:r>
      <w:r w:rsidR="005662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μmol/l;</w:t>
      </w:r>
    </w:p>
    <w:p w14:paraId="13D19876" w14:textId="77777777" w:rsidR="001F0677" w:rsidRPr="00756773" w:rsidRDefault="001F0677" w:rsidP="009A3F18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756773">
        <w:rPr>
          <w:sz w:val="22"/>
          <w:szCs w:val="22"/>
        </w:rPr>
        <w:t>kóros kiindulási kreatininszint</w:t>
      </w:r>
      <w:r w:rsidR="005D73D6" w:rsidRPr="00756773">
        <w:rPr>
          <w:sz w:val="22"/>
          <w:szCs w:val="22"/>
        </w:rPr>
        <w:t>tel</w:t>
      </w:r>
      <w:r w:rsidRPr="00756773">
        <w:rPr>
          <w:sz w:val="22"/>
          <w:szCs w:val="22"/>
        </w:rPr>
        <w:t xml:space="preserve"> (&gt;</w:t>
      </w:r>
      <w:r w:rsidR="00ED05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1,4 mg/dl vagy &gt; 124</w:t>
      </w:r>
      <w:r w:rsidR="00ED05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μmol/l)</w:t>
      </w:r>
      <w:r w:rsidR="00A57EBA" w:rsidRPr="00756773">
        <w:rPr>
          <w:sz w:val="22"/>
          <w:szCs w:val="22"/>
        </w:rPr>
        <w:t xml:space="preserve"> rendelkező</w:t>
      </w:r>
      <w:r w:rsidRPr="00756773">
        <w:rPr>
          <w:sz w:val="22"/>
          <w:szCs w:val="22"/>
        </w:rPr>
        <w:t xml:space="preserve"> betegek esetében, ha a növekedés 1</w:t>
      </w:r>
      <w:r w:rsidR="00ED05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mg/dl vagy 88</w:t>
      </w:r>
      <w:r w:rsidR="00ED05E2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μmol/l.</w:t>
      </w:r>
    </w:p>
    <w:p w14:paraId="6AD294DF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2BA61D15" w14:textId="386220E5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Klinikai vizsgálatokban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-kezelést csak akkor kezdték újra, amikor a kreatininszint már nem haladta meg 10%-kal a kiindulási értéket (lásd 4.4 pont).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-kezelést a terápia megszakítása előtt adott </w:t>
      </w:r>
      <w:r w:rsidR="00FE2EC3" w:rsidRPr="00756773">
        <w:rPr>
          <w:sz w:val="22"/>
          <w:szCs w:val="22"/>
        </w:rPr>
        <w:t>dózisokkal</w:t>
      </w:r>
      <w:r w:rsidR="00F3484E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kell újrakezdeni.</w:t>
      </w:r>
    </w:p>
    <w:p w14:paraId="1EB68207" w14:textId="77777777" w:rsidR="001F0677" w:rsidRPr="00756773" w:rsidRDefault="001F0677" w:rsidP="009A3F18">
      <w:pPr>
        <w:pStyle w:val="Default"/>
        <w:rPr>
          <w:i/>
          <w:iCs/>
          <w:sz w:val="22"/>
          <w:szCs w:val="22"/>
        </w:rPr>
      </w:pPr>
    </w:p>
    <w:p w14:paraId="5AA70063" w14:textId="389CAFB8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i/>
          <w:iCs/>
          <w:sz w:val="22"/>
          <w:szCs w:val="22"/>
        </w:rPr>
        <w:t>Gyermek</w:t>
      </w:r>
      <w:r w:rsidR="00F952F6" w:rsidRPr="00756773">
        <w:rPr>
          <w:i/>
          <w:iCs/>
          <w:sz w:val="22"/>
          <w:szCs w:val="22"/>
        </w:rPr>
        <w:t>ek</w:t>
      </w:r>
      <w:r w:rsidR="00933E67" w:rsidRPr="00756773">
        <w:rPr>
          <w:i/>
          <w:iCs/>
          <w:sz w:val="22"/>
          <w:szCs w:val="22"/>
        </w:rPr>
        <w:t xml:space="preserve"> és serdülők</w:t>
      </w:r>
    </w:p>
    <w:p w14:paraId="53C6B87F" w14:textId="30CD8C75" w:rsidR="001F0677" w:rsidRPr="00361327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zoledronsav biztonságosságát és hatásosságát 1–17 éves gyermekek</w:t>
      </w:r>
      <w:r w:rsidR="007E50CE" w:rsidRPr="00756773">
        <w:rPr>
          <w:szCs w:val="22"/>
          <w:lang w:val="hu-HU"/>
        </w:rPr>
        <w:t xml:space="preserve"> és serdülők</w:t>
      </w:r>
      <w:r w:rsidRPr="00756773">
        <w:rPr>
          <w:szCs w:val="22"/>
          <w:lang w:val="hu-HU"/>
        </w:rPr>
        <w:t xml:space="preserve"> esetében nem igazolták. A jelenleg rendelkezésre álló adatok leirata a</w:t>
      </w:r>
      <w:r w:rsidR="002D4349" w:rsidRPr="00756773">
        <w:rPr>
          <w:szCs w:val="22"/>
          <w:lang w:val="hu-HU"/>
        </w:rPr>
        <w:t>z</w:t>
      </w:r>
      <w:r w:rsidRPr="00756773">
        <w:rPr>
          <w:szCs w:val="22"/>
          <w:lang w:val="hu-HU"/>
        </w:rPr>
        <w:t xml:space="preserve"> 5.1</w:t>
      </w:r>
      <w:r w:rsidR="00F952F6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pontban található, de nincs az adagolásra vonatkozó javallat.</w:t>
      </w:r>
    </w:p>
    <w:p w14:paraId="09A0B482" w14:textId="777777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7539A6EE" w14:textId="777777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1327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3FC5F225" w14:textId="77D788B9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Intravénás alkalmazás</w:t>
      </w:r>
      <w:r w:rsidR="002B20A0">
        <w:rPr>
          <w:sz w:val="22"/>
          <w:szCs w:val="22"/>
        </w:rPr>
        <w:t>ra</w:t>
      </w:r>
      <w:r w:rsidRPr="00756773">
        <w:rPr>
          <w:sz w:val="22"/>
          <w:szCs w:val="22"/>
        </w:rPr>
        <w:t>.</w:t>
      </w:r>
    </w:p>
    <w:p w14:paraId="27E74EAF" w14:textId="77777777" w:rsidR="00BC0EBD" w:rsidRPr="00756773" w:rsidRDefault="00BC0EBD" w:rsidP="009A3F18">
      <w:pPr>
        <w:pStyle w:val="Default"/>
        <w:rPr>
          <w:sz w:val="22"/>
          <w:szCs w:val="22"/>
        </w:rPr>
      </w:pPr>
    </w:p>
    <w:p w14:paraId="6FC24FDC" w14:textId="72A40E60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100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ml-</w:t>
      </w:r>
      <w:r w:rsidR="008C2C77" w:rsidRPr="00756773">
        <w:rPr>
          <w:sz w:val="22"/>
          <w:szCs w:val="22"/>
        </w:rPr>
        <w:t>r</w:t>
      </w:r>
      <w:r w:rsidRPr="00756773">
        <w:rPr>
          <w:sz w:val="22"/>
          <w:szCs w:val="22"/>
        </w:rPr>
        <w:t>e tovább hígított (lásd 6.6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pont)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4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mg/5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 koncentrátum oldatos infúzióhoz készítményt egyszeri intravénás infúzióban, legalább </w:t>
      </w:r>
      <w:r w:rsidR="00152DDA" w:rsidRPr="00756773">
        <w:rPr>
          <w:sz w:val="22"/>
          <w:szCs w:val="22"/>
        </w:rPr>
        <w:t>15</w:t>
      </w:r>
      <w:r w:rsidR="00F62DA4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perc alatt kell beadni.</w:t>
      </w:r>
    </w:p>
    <w:p w14:paraId="0C7EA549" w14:textId="77777777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</w:p>
    <w:p w14:paraId="02BD8D4E" w14:textId="1AC871BD" w:rsidR="00F952F6" w:rsidRPr="00361327" w:rsidRDefault="001F0677" w:rsidP="009A3F18">
      <w:pPr>
        <w:suppressLineNumbers/>
        <w:spacing w:line="240" w:lineRule="auto"/>
        <w:rPr>
          <w:color w:val="008000"/>
          <w:szCs w:val="22"/>
          <w:lang w:val="hu-HU"/>
        </w:rPr>
      </w:pPr>
      <w:r w:rsidRPr="00756773">
        <w:rPr>
          <w:szCs w:val="22"/>
          <w:lang w:val="hu-HU"/>
        </w:rPr>
        <w:t>Az enyh</w:t>
      </w:r>
      <w:r w:rsidR="00232348" w:rsidRPr="00756773">
        <w:rPr>
          <w:szCs w:val="22"/>
          <w:lang w:val="hu-HU"/>
        </w:rPr>
        <w:t>e vagy</w:t>
      </w:r>
      <w:r w:rsidRPr="00756773">
        <w:rPr>
          <w:szCs w:val="22"/>
          <w:lang w:val="hu-HU"/>
        </w:rPr>
        <w:t xml:space="preserve"> közepesen súlyosan </w:t>
      </w:r>
      <w:r w:rsidR="00192F00" w:rsidRPr="00756773">
        <w:rPr>
          <w:szCs w:val="22"/>
          <w:lang w:val="hu-HU"/>
        </w:rPr>
        <w:t xml:space="preserve">károsodott </w:t>
      </w:r>
      <w:r w:rsidRPr="00756773">
        <w:rPr>
          <w:szCs w:val="22"/>
          <w:lang w:val="hu-HU"/>
        </w:rPr>
        <w:t xml:space="preserve">veseműködésű betegeknél csökkentett Zoledronsav </w:t>
      </w:r>
      <w:r w:rsidR="0043693C" w:rsidRPr="00756773">
        <w:rPr>
          <w:szCs w:val="22"/>
          <w:lang w:val="hu-HU"/>
        </w:rPr>
        <w:t>Onkogen</w:t>
      </w:r>
      <w:r w:rsidRPr="00756773">
        <w:rPr>
          <w:szCs w:val="22"/>
          <w:lang w:val="hu-HU"/>
        </w:rPr>
        <w:t xml:space="preserve"> adagok alkalmazása javasolt (lásd fent „Adagolás” és 4.4</w:t>
      </w:r>
      <w:r w:rsidR="00F952F6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pont).</w:t>
      </w:r>
    </w:p>
    <w:p w14:paraId="3CE2953F" w14:textId="77777777" w:rsidR="00F952F6" w:rsidRPr="00361327" w:rsidRDefault="00F952F6" w:rsidP="009A3F18">
      <w:pPr>
        <w:suppressLineNumbers/>
        <w:spacing w:line="240" w:lineRule="auto"/>
        <w:rPr>
          <w:color w:val="008000"/>
          <w:szCs w:val="22"/>
          <w:lang w:val="hu-HU"/>
        </w:rPr>
      </w:pPr>
    </w:p>
    <w:p w14:paraId="5B84564C" w14:textId="19CABC6C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 xml:space="preserve">Útmutatás a Zoledronsav </w:t>
      </w:r>
      <w:r w:rsidR="0043693C" w:rsidRPr="00756773">
        <w:rPr>
          <w:sz w:val="22"/>
          <w:szCs w:val="22"/>
          <w:u w:val="single"/>
        </w:rPr>
        <w:t>Onkogen</w:t>
      </w:r>
      <w:r w:rsidRPr="00756773">
        <w:rPr>
          <w:sz w:val="22"/>
          <w:szCs w:val="22"/>
          <w:u w:val="single"/>
        </w:rPr>
        <w:t xml:space="preserve"> csökkentett </w:t>
      </w:r>
      <w:r w:rsidR="00401111" w:rsidRPr="00756773">
        <w:rPr>
          <w:sz w:val="22"/>
          <w:szCs w:val="22"/>
          <w:u w:val="single"/>
        </w:rPr>
        <w:t>dózisa</w:t>
      </w:r>
      <w:r w:rsidR="00A57EBA" w:rsidRPr="00756773">
        <w:rPr>
          <w:sz w:val="22"/>
          <w:szCs w:val="22"/>
          <w:u w:val="single"/>
        </w:rPr>
        <w:t>ina</w:t>
      </w:r>
      <w:r w:rsidR="00401111" w:rsidRPr="00756773">
        <w:rPr>
          <w:sz w:val="22"/>
          <w:szCs w:val="22"/>
          <w:u w:val="single"/>
        </w:rPr>
        <w:t xml:space="preserve">k </w:t>
      </w:r>
      <w:r w:rsidRPr="00756773">
        <w:rPr>
          <w:sz w:val="22"/>
          <w:szCs w:val="22"/>
          <w:u w:val="single"/>
        </w:rPr>
        <w:t>az elkészítéséhez</w:t>
      </w:r>
    </w:p>
    <w:p w14:paraId="7EEF8C3B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Szívja fel a porból készült oldat (4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mg/5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ml) megfelelő mennyiségét, szükség szerint:</w:t>
      </w:r>
    </w:p>
    <w:p w14:paraId="46E39F7B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- 3,5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dózishoz 4,4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ml-t, </w:t>
      </w:r>
    </w:p>
    <w:p w14:paraId="256A08D4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- 3,3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dózishoz 4,1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ml-t, </w:t>
      </w:r>
    </w:p>
    <w:p w14:paraId="6FE16A01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- 3,0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dózishoz 3,8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ml-t. </w:t>
      </w:r>
    </w:p>
    <w:p w14:paraId="35ACA306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3AF6DDFE" w14:textId="77777777" w:rsidR="00FD5F53" w:rsidRPr="00756773" w:rsidRDefault="00FD5F53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gyógyszer alkalmazás előtti feloldására és hígítására vonatkozó utasításokat lásd a 6.6 pontban.</w:t>
      </w:r>
    </w:p>
    <w:p w14:paraId="2BAF37AF" w14:textId="6199B829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koncentrátum felszívott mennyiségét 100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 steril 0,9%-os (m/</w:t>
      </w:r>
      <w:r w:rsidR="00192F00" w:rsidRPr="00756773">
        <w:rPr>
          <w:sz w:val="22"/>
          <w:szCs w:val="22"/>
        </w:rPr>
        <w:t>V</w:t>
      </w:r>
      <w:r w:rsidRPr="00756773">
        <w:rPr>
          <w:sz w:val="22"/>
          <w:szCs w:val="22"/>
        </w:rPr>
        <w:t>) nátrium-klorid</w:t>
      </w:r>
      <w:r w:rsidR="00192F00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 xml:space="preserve"> vagy 5%-os (m/</w:t>
      </w:r>
      <w:r w:rsidR="00192F00" w:rsidRPr="00756773">
        <w:rPr>
          <w:sz w:val="22"/>
          <w:szCs w:val="22"/>
        </w:rPr>
        <w:t>V</w:t>
      </w:r>
      <w:r w:rsidRPr="00756773">
        <w:rPr>
          <w:sz w:val="22"/>
          <w:szCs w:val="22"/>
        </w:rPr>
        <w:t>) glükóz</w:t>
      </w:r>
      <w:r w:rsidR="00065E4B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 xml:space="preserve">oldattal kell felhígítani. Az adagot egyszeri intravénás infúzióban kell beadni, amely nem tarthat </w:t>
      </w:r>
      <w:r w:rsidR="00D05DAB" w:rsidRPr="00756773">
        <w:rPr>
          <w:sz w:val="22"/>
          <w:szCs w:val="22"/>
        </w:rPr>
        <w:t>15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percnél rövidebb ideig.</w:t>
      </w:r>
    </w:p>
    <w:p w14:paraId="7BF80951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758A52F9" w14:textId="11AB3ADA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koncentrátumot nem szabad kalciumot vagy más, két vegyértékű kationt tartalmazó infúziós oldattal, mint például Ringer</w:t>
      </w:r>
      <w:r w:rsidR="003663EF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laktát oldattal keverni, és külön infúziós szereléken át kell beadni.</w:t>
      </w:r>
    </w:p>
    <w:p w14:paraId="569DFFAF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0666C5B4" w14:textId="613AEF02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betegeket a Zoledronsav </w:t>
      </w:r>
      <w:r w:rsidR="0043693C" w:rsidRPr="00756773">
        <w:rPr>
          <w:szCs w:val="22"/>
          <w:lang w:val="hu-HU"/>
        </w:rPr>
        <w:t>Onkogen</w:t>
      </w:r>
      <w:r w:rsidRPr="00756773">
        <w:rPr>
          <w:szCs w:val="22"/>
          <w:lang w:val="hu-HU"/>
        </w:rPr>
        <w:t xml:space="preserve"> alkalmazása előtt és azt követően </w:t>
      </w:r>
      <w:r w:rsidR="00C323FE" w:rsidRPr="00361327">
        <w:rPr>
          <w:szCs w:val="22"/>
          <w:lang w:val="hu-HU"/>
        </w:rPr>
        <w:t xml:space="preserve">megfelelően </w:t>
      </w:r>
      <w:r w:rsidRPr="00756773">
        <w:rPr>
          <w:szCs w:val="22"/>
          <w:lang w:val="hu-HU"/>
        </w:rPr>
        <w:t>hidrált állapotban kell tartani.</w:t>
      </w:r>
    </w:p>
    <w:p w14:paraId="2FBB37CC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3C5869CC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4.3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26DF8509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67FF8083" w14:textId="76F36251" w:rsidR="001F0677" w:rsidRPr="00756773" w:rsidRDefault="001F0677" w:rsidP="009A3F18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756773">
        <w:rPr>
          <w:sz w:val="22"/>
          <w:szCs w:val="22"/>
        </w:rPr>
        <w:t xml:space="preserve">A készítmény hatóanyagával, más biszfoszfonáttal </w:t>
      </w:r>
      <w:r w:rsidR="00993E04" w:rsidRPr="00756773">
        <w:rPr>
          <w:sz w:val="22"/>
          <w:szCs w:val="22"/>
        </w:rPr>
        <w:t xml:space="preserve">vagy a 6.1 pontban felsorolt bármely segédanyagával </w:t>
      </w:r>
      <w:r w:rsidRPr="00756773">
        <w:rPr>
          <w:sz w:val="22"/>
          <w:szCs w:val="22"/>
        </w:rPr>
        <w:t>szembeni túlérzékenység.</w:t>
      </w:r>
    </w:p>
    <w:p w14:paraId="4FF1FE0D" w14:textId="77777777" w:rsidR="001F0677" w:rsidRPr="00756773" w:rsidRDefault="001F0677" w:rsidP="009A3F18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756773">
        <w:rPr>
          <w:sz w:val="22"/>
          <w:szCs w:val="22"/>
        </w:rPr>
        <w:t>Szoptatás (lásd 4.6</w:t>
      </w:r>
      <w:r w:rsidR="00F952F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pont).</w:t>
      </w:r>
    </w:p>
    <w:p w14:paraId="11AC181C" w14:textId="777777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25A66B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4.4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496E0BD8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1DC9476B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 xml:space="preserve">Általános megfontolások </w:t>
      </w:r>
    </w:p>
    <w:p w14:paraId="4DC5A791" w14:textId="76E6C1CE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</w:t>
      </w:r>
      <w:r w:rsidR="00C323FE">
        <w:rPr>
          <w:sz w:val="22"/>
          <w:szCs w:val="22"/>
        </w:rPr>
        <w:t>be</w:t>
      </w:r>
      <w:r w:rsidRPr="00756773">
        <w:rPr>
          <w:sz w:val="22"/>
          <w:szCs w:val="22"/>
        </w:rPr>
        <w:t xml:space="preserve">adása előtt meg kell állapítani, hogy a betegek megfelelően hidráltak-e. </w:t>
      </w:r>
    </w:p>
    <w:p w14:paraId="32BA3B65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2D8563BD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szívelégtelenség kockázatának kitett betegek túlzott hidrálását kerülni kell.</w:t>
      </w:r>
    </w:p>
    <w:p w14:paraId="71501F86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29D65E07" w14:textId="2CF01212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hypercalcaemiával kapcsolatos standard metabolikus paraméterek, mint a szérum kalcium-, foszfát- és magnéziumszint</w:t>
      </w:r>
      <w:r w:rsidR="000124EC" w:rsidRPr="00756773">
        <w:rPr>
          <w:sz w:val="22"/>
          <w:szCs w:val="22"/>
        </w:rPr>
        <w:t>je</w:t>
      </w:r>
      <w:r w:rsidRPr="00756773">
        <w:rPr>
          <w:sz w:val="22"/>
          <w:szCs w:val="22"/>
        </w:rPr>
        <w:t xml:space="preserve">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-kezelés megkezdése után gondosan ellenőrizendők. Ha hypocalcaemia, hypophosphataemia vagy hypomagnesaemia lép fel, rövid távú kiegészítő kezelésre lehet szükség. A kezeletlen hypercalcaemiás betegek vesefunkciója általában bizonyos mértékben </w:t>
      </w:r>
      <w:r w:rsidR="000124EC" w:rsidRPr="00756773">
        <w:rPr>
          <w:sz w:val="22"/>
          <w:szCs w:val="22"/>
        </w:rPr>
        <w:t>károsodott</w:t>
      </w:r>
      <w:r w:rsidRPr="00756773">
        <w:rPr>
          <w:sz w:val="22"/>
          <w:szCs w:val="22"/>
        </w:rPr>
        <w:t>, ezért megfontolandó a vesefunkció gondos monitorozása.</w:t>
      </w:r>
    </w:p>
    <w:p w14:paraId="1FE2003F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3C30323A" w14:textId="667B984F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Zoledronsav hatóanyagot tartalmazó egyéb készítmények is rendelkezésre állnak osteoporosis és Paget-kór kezelésére.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</w:t>
      </w:r>
      <w:r w:rsidR="007524AE" w:rsidRPr="00756773">
        <w:rPr>
          <w:sz w:val="22"/>
          <w:szCs w:val="22"/>
        </w:rPr>
        <w:t>ne</w:t>
      </w:r>
      <w:r w:rsidRPr="00756773">
        <w:rPr>
          <w:sz w:val="22"/>
          <w:szCs w:val="22"/>
        </w:rPr>
        <w:t xml:space="preserve">l kezelt betegeket nem szabad egyidejűleg zoledronsav-tartalmú egyéb gyógyszerrel vagy bármilyen más biszfoszfonáttal kezelni, mivel ezen </w:t>
      </w:r>
      <w:r w:rsidR="00D947E1" w:rsidRPr="00756773">
        <w:rPr>
          <w:sz w:val="22"/>
          <w:szCs w:val="22"/>
        </w:rPr>
        <w:t xml:space="preserve">készítmények </w:t>
      </w:r>
      <w:r w:rsidRPr="00756773">
        <w:rPr>
          <w:sz w:val="22"/>
          <w:szCs w:val="22"/>
        </w:rPr>
        <w:t>kombinált hatásai nem ismertek.</w:t>
      </w:r>
    </w:p>
    <w:p w14:paraId="20039D89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45BF48AB" w14:textId="2D9FCEF8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Vese</w:t>
      </w:r>
      <w:r w:rsidR="002B20A0">
        <w:rPr>
          <w:sz w:val="22"/>
          <w:szCs w:val="22"/>
          <w:u w:val="single"/>
        </w:rPr>
        <w:t>károsodás</w:t>
      </w:r>
      <w:r w:rsidRPr="00756773">
        <w:rPr>
          <w:sz w:val="22"/>
          <w:szCs w:val="22"/>
          <w:u w:val="single"/>
        </w:rPr>
        <w:t xml:space="preserve"> </w:t>
      </w:r>
    </w:p>
    <w:p w14:paraId="56538EED" w14:textId="23D49C3C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Vesekárosodásban szenvedő és TIH-es betegek esetében gondosan mérlegelni kell, hogy vajon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-kezelés potenciális terápiás előnye felülmúlja-e a lehetséges kockázatot.</w:t>
      </w:r>
    </w:p>
    <w:p w14:paraId="5E9F0CE3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16BE44CC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Csontmetasztázisban szenvedő betegek csontrendszert érintő eseményeinek preventív kezelésének eldöntésekor figyelembe kell venni, hogy a kezelés hatása 2-3 hónappal a kezelés megkezdése után érvényesül.</w:t>
      </w:r>
    </w:p>
    <w:p w14:paraId="1C6201E8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76EFD2CE" w14:textId="66D3D5BC" w:rsidR="001F0677" w:rsidRPr="00756773" w:rsidRDefault="009F5AD9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</w:t>
      </w:r>
      <w:r w:rsidR="001F0677" w:rsidRPr="00756773">
        <w:rPr>
          <w:szCs w:val="22"/>
          <w:lang w:val="hu-HU"/>
        </w:rPr>
        <w:t xml:space="preserve"> zoledronsav-kezeléssel kapcsolatban beszámoltak vesekárosodásról. A dehidráció, ill. a kezelés előtt fennálló vesekárosodás, a Zoledronsav </w:t>
      </w:r>
      <w:r w:rsidR="0043693C" w:rsidRPr="00756773">
        <w:rPr>
          <w:szCs w:val="22"/>
          <w:lang w:val="hu-HU"/>
        </w:rPr>
        <w:t>Onkogen</w:t>
      </w:r>
      <w:r w:rsidR="001F0677" w:rsidRPr="00756773">
        <w:rPr>
          <w:szCs w:val="22"/>
          <w:lang w:val="hu-HU"/>
        </w:rPr>
        <w:t xml:space="preserve"> és más biszfoszfonátok többszörös kezelési ciklusa, valamint más nefrotoxikus gyógyszerek alkalmazása olyan tényezők, melyek hozzájárulhatnak a vesefunkció romlásához. Habár a 4</w:t>
      </w:r>
      <w:r w:rsidR="00CA7A44" w:rsidRPr="00756773">
        <w:rPr>
          <w:szCs w:val="22"/>
          <w:lang w:val="hu-HU"/>
        </w:rPr>
        <w:t> </w:t>
      </w:r>
      <w:r w:rsidR="001F0677" w:rsidRPr="00756773">
        <w:rPr>
          <w:szCs w:val="22"/>
          <w:lang w:val="hu-HU"/>
        </w:rPr>
        <w:t xml:space="preserve">mg-os zoledronsav </w:t>
      </w:r>
      <w:r w:rsidR="00D947E1" w:rsidRPr="00756773">
        <w:rPr>
          <w:szCs w:val="22"/>
          <w:lang w:val="hu-HU"/>
        </w:rPr>
        <w:t xml:space="preserve">dózis </w:t>
      </w:r>
      <w:r w:rsidR="00FE2161" w:rsidRPr="00756773">
        <w:rPr>
          <w:szCs w:val="22"/>
          <w:lang w:val="hu-HU"/>
        </w:rPr>
        <w:t>15</w:t>
      </w:r>
      <w:r w:rsidR="00F62DA4" w:rsidRPr="00756773">
        <w:rPr>
          <w:szCs w:val="22"/>
          <w:lang w:val="hu-HU"/>
        </w:rPr>
        <w:t xml:space="preserve"> </w:t>
      </w:r>
      <w:r w:rsidR="001F0677" w:rsidRPr="00756773">
        <w:rPr>
          <w:szCs w:val="22"/>
          <w:lang w:val="hu-HU"/>
        </w:rPr>
        <w:t>percnél hosszabb ide</w:t>
      </w:r>
      <w:r w:rsidR="00D947E1" w:rsidRPr="00756773">
        <w:rPr>
          <w:szCs w:val="22"/>
          <w:lang w:val="hu-HU"/>
        </w:rPr>
        <w:t>ig t</w:t>
      </w:r>
      <w:r w:rsidR="00BA2768" w:rsidRPr="00756773">
        <w:rPr>
          <w:szCs w:val="22"/>
          <w:lang w:val="hu-HU"/>
        </w:rPr>
        <w:t>ö</w:t>
      </w:r>
      <w:r w:rsidR="00D947E1" w:rsidRPr="00756773">
        <w:rPr>
          <w:szCs w:val="22"/>
          <w:lang w:val="hu-HU"/>
        </w:rPr>
        <w:t>rténő</w:t>
      </w:r>
      <w:r w:rsidR="001F0677" w:rsidRPr="00756773">
        <w:rPr>
          <w:szCs w:val="22"/>
          <w:lang w:val="hu-HU"/>
        </w:rPr>
        <w:t xml:space="preserve"> beadásával a kockázat csökkentett, vesekárosodás így is bekövetkezhet. A 4</w:t>
      </w:r>
      <w:r w:rsidR="00CA7A44" w:rsidRPr="00756773">
        <w:rPr>
          <w:szCs w:val="22"/>
          <w:lang w:val="hu-HU"/>
        </w:rPr>
        <w:t> </w:t>
      </w:r>
      <w:r w:rsidR="001F0677" w:rsidRPr="00756773">
        <w:rPr>
          <w:szCs w:val="22"/>
          <w:lang w:val="hu-HU"/>
        </w:rPr>
        <w:t xml:space="preserve">mg zoledronsav kezdő </w:t>
      </w:r>
      <w:r w:rsidR="005D4297" w:rsidRPr="00756773">
        <w:rPr>
          <w:szCs w:val="22"/>
          <w:lang w:val="hu-HU"/>
        </w:rPr>
        <w:t xml:space="preserve">dózisának </w:t>
      </w:r>
      <w:r w:rsidR="001F0677" w:rsidRPr="00756773">
        <w:rPr>
          <w:szCs w:val="22"/>
          <w:lang w:val="hu-HU"/>
        </w:rPr>
        <w:t xml:space="preserve">vagy egyszeri </w:t>
      </w:r>
      <w:r w:rsidR="005D4297" w:rsidRPr="00756773">
        <w:rPr>
          <w:szCs w:val="22"/>
          <w:lang w:val="hu-HU"/>
        </w:rPr>
        <w:t xml:space="preserve">dózisának </w:t>
      </w:r>
      <w:r w:rsidR="001F0677" w:rsidRPr="00756773">
        <w:rPr>
          <w:szCs w:val="22"/>
          <w:lang w:val="hu-HU"/>
        </w:rPr>
        <w:t xml:space="preserve">alkalmazása után vesekárosodásról, veseelégtelenségig történő progresszióról, illetve dialízisről számoltak be. Néhány beteg esetében </w:t>
      </w:r>
      <w:r w:rsidR="00765165" w:rsidRPr="00756773">
        <w:rPr>
          <w:szCs w:val="22"/>
          <w:lang w:val="hu-HU"/>
        </w:rPr>
        <w:t xml:space="preserve">a </w:t>
      </w:r>
      <w:r w:rsidR="001F0677" w:rsidRPr="00756773">
        <w:rPr>
          <w:szCs w:val="22"/>
          <w:lang w:val="hu-HU"/>
        </w:rPr>
        <w:t>szérum</w:t>
      </w:r>
      <w:r w:rsidR="000124EC" w:rsidRPr="00756773">
        <w:rPr>
          <w:szCs w:val="22"/>
          <w:lang w:val="hu-HU"/>
        </w:rPr>
        <w:t>-</w:t>
      </w:r>
      <w:r w:rsidR="001F0677" w:rsidRPr="00756773">
        <w:rPr>
          <w:szCs w:val="22"/>
          <w:lang w:val="hu-HU"/>
        </w:rPr>
        <w:t>kreatininszint emelkedés</w:t>
      </w:r>
      <w:r w:rsidR="00765165" w:rsidRPr="00756773">
        <w:rPr>
          <w:szCs w:val="22"/>
          <w:lang w:val="hu-HU"/>
        </w:rPr>
        <w:t>e</w:t>
      </w:r>
      <w:r w:rsidR="001F0677" w:rsidRPr="00756773">
        <w:rPr>
          <w:szCs w:val="22"/>
          <w:lang w:val="hu-HU"/>
        </w:rPr>
        <w:t xml:space="preserve"> is előfordult a csontrendszert érintő események prevenciójára </w:t>
      </w:r>
      <w:r w:rsidR="00D947E1" w:rsidRPr="00756773">
        <w:rPr>
          <w:szCs w:val="22"/>
          <w:lang w:val="hu-HU"/>
        </w:rPr>
        <w:t>ajánlott</w:t>
      </w:r>
      <w:r w:rsidR="001F0677" w:rsidRPr="00756773">
        <w:rPr>
          <w:szCs w:val="22"/>
          <w:lang w:val="hu-HU"/>
        </w:rPr>
        <w:t xml:space="preserve"> zoledronsav dózisainak krónikus alkalmazásakor, habár sokkal ritkábban.</w:t>
      </w:r>
    </w:p>
    <w:p w14:paraId="69772B82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1BCD120A" w14:textId="75DEA9E9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minden egyes </w:t>
      </w:r>
      <w:r w:rsidR="00B55A9D" w:rsidRPr="00756773">
        <w:rPr>
          <w:sz w:val="22"/>
          <w:szCs w:val="22"/>
        </w:rPr>
        <w:t xml:space="preserve">dózisának </w:t>
      </w:r>
      <w:r w:rsidRPr="00756773">
        <w:rPr>
          <w:sz w:val="22"/>
          <w:szCs w:val="22"/>
        </w:rPr>
        <w:t>beadása előtt meg kell határozni a betegek szérum</w:t>
      </w:r>
      <w:r w:rsidR="00A461C7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kreatininszintjét. Azoknál a csontmetasztázisos betegeknél, akiknek enyhe</w:t>
      </w:r>
      <w:r w:rsidR="00A461C7" w:rsidRPr="00756773">
        <w:rPr>
          <w:sz w:val="22"/>
          <w:szCs w:val="22"/>
        </w:rPr>
        <w:t xml:space="preserve"> vagy</w:t>
      </w:r>
      <w:r w:rsidRPr="00756773">
        <w:rPr>
          <w:sz w:val="22"/>
          <w:szCs w:val="22"/>
        </w:rPr>
        <w:t xml:space="preserve"> közepes</w:t>
      </w:r>
      <w:r w:rsidR="00B55A9D" w:rsidRPr="00756773">
        <w:rPr>
          <w:sz w:val="22"/>
          <w:szCs w:val="22"/>
        </w:rPr>
        <w:t>en</w:t>
      </w:r>
      <w:r w:rsidRPr="00756773">
        <w:rPr>
          <w:sz w:val="22"/>
          <w:szCs w:val="22"/>
        </w:rPr>
        <w:t xml:space="preserve"> </w:t>
      </w:r>
      <w:r w:rsidR="00B55A9D" w:rsidRPr="00756773">
        <w:rPr>
          <w:sz w:val="22"/>
          <w:szCs w:val="22"/>
        </w:rPr>
        <w:t>súlyos</w:t>
      </w:r>
      <w:r w:rsidRPr="00756773">
        <w:rPr>
          <w:sz w:val="22"/>
          <w:szCs w:val="22"/>
        </w:rPr>
        <w:t xml:space="preserve"> vesekárosodásuk van, a kezelés megkezdése a zoledronsav kisebb </w:t>
      </w:r>
      <w:r w:rsidR="00B55A9D" w:rsidRPr="00756773">
        <w:rPr>
          <w:sz w:val="22"/>
          <w:szCs w:val="22"/>
        </w:rPr>
        <w:t xml:space="preserve">dózisaival </w:t>
      </w:r>
      <w:r w:rsidRPr="00756773">
        <w:rPr>
          <w:sz w:val="22"/>
          <w:szCs w:val="22"/>
        </w:rPr>
        <w:t xml:space="preserve">javasolt.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alkalmazása felfüggesztendő azon betegek esetében, akiknél a kezelés ideje alatt </w:t>
      </w:r>
      <w:r w:rsidR="00A461C7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veseműködés romlás</w:t>
      </w:r>
      <w:r w:rsidR="00A461C7" w:rsidRPr="00756773">
        <w:rPr>
          <w:sz w:val="22"/>
          <w:szCs w:val="22"/>
        </w:rPr>
        <w:t>a</w:t>
      </w:r>
      <w:r w:rsidRPr="00756773">
        <w:rPr>
          <w:sz w:val="22"/>
          <w:szCs w:val="22"/>
        </w:rPr>
        <w:t xml:space="preserve"> következik be. A kezelés csak akkor kezdhető el újra, amennyiben a szérum</w:t>
      </w:r>
      <w:r w:rsidR="002353F4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 xml:space="preserve">kreatininszint már nem haladja meg 10%-kal a kiindulási értéket.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-kezelést ugyanabban a dózisban kell újrakezdeni, mint amilyen dózisban a kezelés megszakítása előtt adták.</w:t>
      </w:r>
    </w:p>
    <w:p w14:paraId="2539CE1F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35A52F7D" w14:textId="48A907F5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zoledronsav vesefunkcióra gyakorolt lehetséges hatását figyelembe véve, mivel nem rendelkezünk kellő adattal a súlyos vesekárosodásban szenvedő betegekre vonatkozóan (klinikai vizsgálatokban szérum kreatinin ≥ 400</w:t>
      </w:r>
      <w:r w:rsidR="00CA7A44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μmol/l vagy ≥ 4,5</w:t>
      </w:r>
      <w:r w:rsidR="00CA7A44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mg/dl a TIH-es, ill. ≥ 265</w:t>
      </w:r>
      <w:r w:rsidR="00CA7A44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μmol/l vagy ≥ 3,0</w:t>
      </w:r>
      <w:r w:rsidR="00CA7A44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mg/dl a csontmetasztázisos daganatos), ill. a súlyos vesekárosodásban szenvedő betegekre (kreatinin-clearance &lt; 30</w:t>
      </w:r>
      <w:r w:rsidR="00CA7A44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ml/perc) vonatkozó farmakokinetikai adatok is korlátozottak,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-kezelés a súlyos vesekárosodásban szenvedő betegek esetében nem javasolt.</w:t>
      </w:r>
    </w:p>
    <w:p w14:paraId="1D1B990B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46CAEB2D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 xml:space="preserve">Májelégtelenség </w:t>
      </w:r>
    </w:p>
    <w:p w14:paraId="71ACEF51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Mivel a súlyos májelégtelenségben szenvedő betegekkel kapcsolatban csak kevés klinikai adat áll rendelkezésre, erre a betegcsoportra vonatkozóan különösebb ajánlások nem adhatók. </w:t>
      </w:r>
    </w:p>
    <w:p w14:paraId="1265EBB1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6B0FA31D" w14:textId="77777777" w:rsidR="000924AB" w:rsidRPr="00756773" w:rsidRDefault="000924AB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Osteonecrosis</w:t>
      </w:r>
    </w:p>
    <w:p w14:paraId="51F18A1E" w14:textId="77777777" w:rsidR="001F0677" w:rsidRPr="00756773" w:rsidRDefault="001F0677" w:rsidP="009A3F18">
      <w:pPr>
        <w:pStyle w:val="Default"/>
        <w:rPr>
          <w:i/>
          <w:sz w:val="22"/>
          <w:szCs w:val="22"/>
          <w:u w:val="single"/>
        </w:rPr>
      </w:pPr>
      <w:r w:rsidRPr="00756773">
        <w:rPr>
          <w:i/>
          <w:sz w:val="22"/>
          <w:szCs w:val="22"/>
          <w:u w:val="single"/>
        </w:rPr>
        <w:t xml:space="preserve">Állkapocs osteonecrosis </w:t>
      </w:r>
    </w:p>
    <w:p w14:paraId="4DB71F85" w14:textId="2B7FF126" w:rsidR="00AE1374" w:rsidRPr="00756773" w:rsidRDefault="00FD5F53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</w:t>
      </w:r>
      <w:r w:rsidR="00D545A8" w:rsidRPr="00756773">
        <w:rPr>
          <w:sz w:val="22"/>
          <w:szCs w:val="22"/>
        </w:rPr>
        <w:t>z</w:t>
      </w:r>
      <w:r w:rsidRPr="00756773">
        <w:rPr>
          <w:sz w:val="22"/>
          <w:szCs w:val="22"/>
        </w:rPr>
        <w:t>oledronsav</w:t>
      </w:r>
      <w:r w:rsidR="00D545A8" w:rsidRPr="00756773">
        <w:rPr>
          <w:sz w:val="22"/>
          <w:szCs w:val="22"/>
        </w:rPr>
        <w:t>val</w:t>
      </w:r>
      <w:r w:rsidRPr="00756773">
        <w:rPr>
          <w:sz w:val="22"/>
          <w:szCs w:val="22"/>
        </w:rPr>
        <w:t xml:space="preserve"> </w:t>
      </w:r>
      <w:r w:rsidR="004500B8" w:rsidRPr="00756773">
        <w:rPr>
          <w:sz w:val="22"/>
          <w:szCs w:val="22"/>
        </w:rPr>
        <w:t>kezelt</w:t>
      </w:r>
      <w:r w:rsidRPr="00756773">
        <w:rPr>
          <w:sz w:val="22"/>
          <w:szCs w:val="22"/>
        </w:rPr>
        <w:t xml:space="preserve"> betegeknél nem gyak</w:t>
      </w:r>
      <w:r w:rsidR="00CB3CC0" w:rsidRPr="00756773">
        <w:rPr>
          <w:sz w:val="22"/>
          <w:szCs w:val="22"/>
        </w:rPr>
        <w:t>ori esetben</w:t>
      </w:r>
      <w:r w:rsidRPr="00756773">
        <w:rPr>
          <w:sz w:val="22"/>
          <w:szCs w:val="22"/>
        </w:rPr>
        <w:t xml:space="preserve"> az állkapocs osteonecrosisáról (ONJ) számoltak be klinikai vizsgálatok során és a forgalomba hozatalt követő</w:t>
      </w:r>
      <w:r w:rsidR="00707AB7" w:rsidRPr="00756773">
        <w:rPr>
          <w:sz w:val="22"/>
          <w:szCs w:val="22"/>
        </w:rPr>
        <w:t>en.</w:t>
      </w:r>
      <w:r w:rsidR="00AE1374" w:rsidRPr="00756773">
        <w:rPr>
          <w:sz w:val="22"/>
          <w:szCs w:val="22"/>
        </w:rPr>
        <w:t xml:space="preserve"> </w:t>
      </w:r>
      <w:r w:rsidR="00670647" w:rsidRPr="00756773">
        <w:rPr>
          <w:sz w:val="22"/>
          <w:szCs w:val="22"/>
        </w:rPr>
        <w:t>A forgalomba hozatalt követően nyert tapasztalat és a szakirodalom azt mutatja, hogy gyakrabban számolnak be ONJ-ről a daganat típusától függően (előrehaladott emlőrák, myeloma multiplex). Egy vizsgálatban igazolták, hogy az ONJ gyakorabban jelent meg myelomában szenvedő betegeknél, mint más daganatos megbetegedések esetén (lásd 5.1 pont).</w:t>
      </w:r>
    </w:p>
    <w:p w14:paraId="2E35AE19" w14:textId="77777777" w:rsidR="00AE1374" w:rsidRPr="00756773" w:rsidRDefault="00AE1374" w:rsidP="009A3F18">
      <w:pPr>
        <w:pStyle w:val="Default"/>
        <w:rPr>
          <w:sz w:val="22"/>
          <w:szCs w:val="22"/>
        </w:rPr>
      </w:pPr>
    </w:p>
    <w:p w14:paraId="059C3317" w14:textId="35B1E53E" w:rsidR="00FD5F53" w:rsidRPr="00756773" w:rsidRDefault="00FD5F53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Egy új kezelés vagy egy új kezelési ciklus elkezdését</w:t>
      </w:r>
      <w:r w:rsidR="00C103A8" w:rsidRPr="00756773">
        <w:rPr>
          <w:sz w:val="22"/>
          <w:szCs w:val="22"/>
        </w:rPr>
        <w:t xml:space="preserve"> el kell </w:t>
      </w:r>
      <w:r w:rsidRPr="00756773">
        <w:rPr>
          <w:sz w:val="22"/>
          <w:szCs w:val="22"/>
        </w:rPr>
        <w:t>halasztani azoknál a betegeknél, akiknek nem begyógyult, nyílt lágyrészléziójuk van a szájüregükben, kivéve az orvosi szükséghelyzeteket.</w:t>
      </w:r>
      <w:r w:rsidR="00DA4F30" w:rsidRPr="00756773">
        <w:rPr>
          <w:sz w:val="22"/>
          <w:szCs w:val="22"/>
        </w:rPr>
        <w:t xml:space="preserve"> A kísérő kockázati tényezőkkel bíró betegeknél a biszfoszfonát-kezelés előtt fogászati vizsgálat és megfelelő preventív fogászati beavatkozások elvégzése, valamint egyéni előny-kockázat-felmérés javasolt.</w:t>
      </w:r>
    </w:p>
    <w:p w14:paraId="54609A53" w14:textId="77777777" w:rsidR="00FD5F53" w:rsidRPr="00756773" w:rsidRDefault="00FD5F53" w:rsidP="009A3F18">
      <w:pPr>
        <w:pStyle w:val="Default"/>
        <w:rPr>
          <w:sz w:val="22"/>
          <w:szCs w:val="22"/>
        </w:rPr>
      </w:pPr>
    </w:p>
    <w:p w14:paraId="2B50561F" w14:textId="77777777" w:rsidR="00B83951" w:rsidRPr="00756773" w:rsidRDefault="00B83951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Az alábbi kockázati tényezőket kell figyelembe venni az ONJ-kialakulás egyéni kockázatának meghatározásánál: </w:t>
      </w:r>
    </w:p>
    <w:p w14:paraId="4404A1AD" w14:textId="6295608F" w:rsidR="00B83951" w:rsidRPr="00756773" w:rsidRDefault="00B83951" w:rsidP="009A3F18">
      <w:pPr>
        <w:pStyle w:val="Default"/>
        <w:numPr>
          <w:ilvl w:val="0"/>
          <w:numId w:val="4"/>
        </w:numPr>
        <w:ind w:left="709" w:hanging="709"/>
        <w:rPr>
          <w:sz w:val="22"/>
          <w:szCs w:val="22"/>
        </w:rPr>
      </w:pPr>
      <w:r w:rsidRPr="00756773">
        <w:rPr>
          <w:sz w:val="22"/>
          <w:szCs w:val="22"/>
        </w:rPr>
        <w:t>A biszfoszfonátok hatékonysága (a hatékony</w:t>
      </w:r>
      <w:r w:rsidR="00FA3034" w:rsidRPr="00756773">
        <w:rPr>
          <w:sz w:val="22"/>
          <w:szCs w:val="22"/>
        </w:rPr>
        <w:t>abb</w:t>
      </w:r>
      <w:r w:rsidRPr="00756773">
        <w:rPr>
          <w:sz w:val="22"/>
          <w:szCs w:val="22"/>
        </w:rPr>
        <w:t xml:space="preserve"> vegyületek esetében nagyobb a kockázat), a beadás</w:t>
      </w:r>
      <w:r w:rsidR="00FA3034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mód</w:t>
      </w:r>
      <w:r w:rsidR="00FA3034" w:rsidRPr="00756773">
        <w:rPr>
          <w:sz w:val="22"/>
          <w:szCs w:val="22"/>
        </w:rPr>
        <w:t>ja</w:t>
      </w:r>
      <w:r w:rsidRPr="00756773">
        <w:rPr>
          <w:sz w:val="22"/>
          <w:szCs w:val="22"/>
        </w:rPr>
        <w:t xml:space="preserve"> (</w:t>
      </w:r>
      <w:r w:rsidR="00FA3034" w:rsidRPr="00756773">
        <w:rPr>
          <w:sz w:val="22"/>
          <w:szCs w:val="22"/>
        </w:rPr>
        <w:t>nagyobb a kockázat</w:t>
      </w:r>
      <w:r w:rsidR="00FA3034" w:rsidRPr="00756773" w:rsidDel="00FA3034">
        <w:rPr>
          <w:sz w:val="22"/>
          <w:szCs w:val="22"/>
        </w:rPr>
        <w:t xml:space="preserve"> </w:t>
      </w:r>
      <w:r w:rsidR="00FA3034" w:rsidRPr="00756773">
        <w:rPr>
          <w:sz w:val="22"/>
          <w:szCs w:val="22"/>
        </w:rPr>
        <w:t>a</w:t>
      </w:r>
      <w:r w:rsidRPr="00756773">
        <w:rPr>
          <w:sz w:val="22"/>
          <w:szCs w:val="22"/>
        </w:rPr>
        <w:t xml:space="preserve"> parenterális beadás esetében) és a kumulatív dózis</w:t>
      </w:r>
      <w:r w:rsidR="000E1139">
        <w:rPr>
          <w:sz w:val="22"/>
          <w:szCs w:val="22"/>
        </w:rPr>
        <w:t>.</w:t>
      </w:r>
    </w:p>
    <w:p w14:paraId="00BB4F74" w14:textId="0A2F5086" w:rsidR="00B83951" w:rsidRPr="00756773" w:rsidRDefault="009A2EDC" w:rsidP="009A3F18">
      <w:pPr>
        <w:pStyle w:val="Default"/>
        <w:numPr>
          <w:ilvl w:val="0"/>
          <w:numId w:val="4"/>
        </w:numPr>
        <w:ind w:left="709" w:hanging="709"/>
        <w:rPr>
          <w:sz w:val="22"/>
          <w:szCs w:val="22"/>
        </w:rPr>
      </w:pPr>
      <w:r w:rsidRPr="00756773">
        <w:rPr>
          <w:sz w:val="22"/>
          <w:szCs w:val="22"/>
        </w:rPr>
        <w:t>Rosszindulatú daganat, társbetegségek</w:t>
      </w:r>
      <w:r w:rsidRPr="00756773" w:rsidDel="009A2EDC">
        <w:rPr>
          <w:sz w:val="22"/>
          <w:szCs w:val="22"/>
        </w:rPr>
        <w:t xml:space="preserve"> </w:t>
      </w:r>
      <w:r w:rsidR="00FD5F53" w:rsidRPr="00756773">
        <w:rPr>
          <w:sz w:val="22"/>
          <w:szCs w:val="22"/>
        </w:rPr>
        <w:t xml:space="preserve">(pl. anaemia, coagulopathiák, fertőzés), </w:t>
      </w:r>
      <w:r w:rsidR="00B83951" w:rsidRPr="00756773">
        <w:rPr>
          <w:sz w:val="22"/>
          <w:szCs w:val="22"/>
        </w:rPr>
        <w:t>dohányzás</w:t>
      </w:r>
      <w:r w:rsidR="000E1139">
        <w:rPr>
          <w:sz w:val="22"/>
          <w:szCs w:val="22"/>
        </w:rPr>
        <w:t>.</w:t>
      </w:r>
    </w:p>
    <w:p w14:paraId="2CE3D44F" w14:textId="77777777" w:rsidR="004D34B8" w:rsidRPr="00756773" w:rsidRDefault="004D34B8" w:rsidP="009A3F18">
      <w:pPr>
        <w:pStyle w:val="Default"/>
        <w:numPr>
          <w:ilvl w:val="0"/>
          <w:numId w:val="4"/>
        </w:numPr>
        <w:ind w:left="709" w:hanging="709"/>
        <w:rPr>
          <w:sz w:val="22"/>
          <w:szCs w:val="22"/>
        </w:rPr>
      </w:pPr>
      <w:r w:rsidRPr="00756773">
        <w:rPr>
          <w:sz w:val="22"/>
          <w:szCs w:val="22"/>
        </w:rPr>
        <w:t>Egyidejű kezelések: kemoterápia, angiogenesis-inhibitorok (lásd 4.5 pont), a nyak és fej sug</w:t>
      </w:r>
      <w:r w:rsidR="00707AB7" w:rsidRPr="00756773">
        <w:rPr>
          <w:sz w:val="22"/>
          <w:szCs w:val="22"/>
        </w:rPr>
        <w:t>árterápiája, kortikoszteroidok.</w:t>
      </w:r>
    </w:p>
    <w:p w14:paraId="3B5492E6" w14:textId="66531366" w:rsidR="00B83951" w:rsidRPr="00756773" w:rsidRDefault="00B83951" w:rsidP="009A3F18">
      <w:pPr>
        <w:pStyle w:val="Default"/>
        <w:numPr>
          <w:ilvl w:val="0"/>
          <w:numId w:val="4"/>
        </w:numPr>
        <w:ind w:left="709" w:hanging="709"/>
        <w:rPr>
          <w:sz w:val="22"/>
          <w:szCs w:val="22"/>
        </w:rPr>
      </w:pPr>
      <w:r w:rsidRPr="00756773">
        <w:rPr>
          <w:sz w:val="22"/>
          <w:szCs w:val="22"/>
        </w:rPr>
        <w:t>Fogbetegség az anamnézisben, gyenge szájhigién</w:t>
      </w:r>
      <w:r w:rsidR="00955E1B" w:rsidRPr="00756773">
        <w:rPr>
          <w:sz w:val="22"/>
          <w:szCs w:val="22"/>
        </w:rPr>
        <w:t>ia</w:t>
      </w:r>
      <w:r w:rsidRPr="00756773">
        <w:rPr>
          <w:sz w:val="22"/>
          <w:szCs w:val="22"/>
        </w:rPr>
        <w:t xml:space="preserve">, periodontális betegség, invazív fogászati beavatkozások </w:t>
      </w:r>
      <w:r w:rsidR="004D34B8" w:rsidRPr="00756773">
        <w:rPr>
          <w:sz w:val="22"/>
          <w:szCs w:val="22"/>
        </w:rPr>
        <w:t xml:space="preserve">(pl. foghúzások) </w:t>
      </w:r>
      <w:r w:rsidRPr="00756773">
        <w:rPr>
          <w:sz w:val="22"/>
          <w:szCs w:val="22"/>
        </w:rPr>
        <w:t>és rosszul illeszkedő protézis</w:t>
      </w:r>
      <w:r w:rsidR="000E1139">
        <w:rPr>
          <w:sz w:val="22"/>
          <w:szCs w:val="22"/>
        </w:rPr>
        <w:t>.</w:t>
      </w:r>
    </w:p>
    <w:p w14:paraId="36944960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47FFD568" w14:textId="2C8FC954" w:rsidR="004D34B8" w:rsidRPr="00756773" w:rsidRDefault="004D34B8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Minden beteget megfelelő </w:t>
      </w:r>
      <w:r w:rsidR="009A2EDC" w:rsidRPr="00756773">
        <w:rPr>
          <w:sz w:val="22"/>
          <w:szCs w:val="22"/>
        </w:rPr>
        <w:t>szájhigiénia fenntartására</w:t>
      </w:r>
      <w:r w:rsidRPr="00756773">
        <w:rPr>
          <w:sz w:val="22"/>
          <w:szCs w:val="22"/>
        </w:rPr>
        <w:t xml:space="preserve">, a </w:t>
      </w:r>
      <w:r w:rsidR="009A2EDC" w:rsidRPr="00756773">
        <w:rPr>
          <w:sz w:val="22"/>
          <w:szCs w:val="22"/>
        </w:rPr>
        <w:t>rendszeres</w:t>
      </w:r>
      <w:r w:rsidR="009A2EDC" w:rsidRPr="00756773" w:rsidDel="009A2EDC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 xml:space="preserve">fogászati ellenőrzések elvégeztetésére, valamint arra kell ösztönözni, hogy azonnal jelezzenek minden, a </w:t>
      </w:r>
      <w:r w:rsidR="003871D6" w:rsidRPr="00756773">
        <w:rPr>
          <w:sz w:val="22"/>
          <w:szCs w:val="22"/>
        </w:rPr>
        <w:t>zoledronsav</w:t>
      </w:r>
      <w:r w:rsidR="00A26B21" w:rsidRPr="00756773">
        <w:rPr>
          <w:sz w:val="22"/>
          <w:szCs w:val="22"/>
        </w:rPr>
        <w:t>-</w:t>
      </w:r>
      <w:r w:rsidR="003871D6" w:rsidRPr="00756773">
        <w:rPr>
          <w:sz w:val="22"/>
          <w:szCs w:val="22"/>
        </w:rPr>
        <w:t>kezelés</w:t>
      </w:r>
      <w:r w:rsidRPr="00756773">
        <w:rPr>
          <w:sz w:val="22"/>
          <w:szCs w:val="22"/>
        </w:rPr>
        <w:t xml:space="preserve"> alatt fellépő </w:t>
      </w:r>
      <w:r w:rsidR="009A2EDC" w:rsidRPr="00756773">
        <w:rPr>
          <w:sz w:val="22"/>
          <w:szCs w:val="22"/>
        </w:rPr>
        <w:t>szájtünetet</w:t>
      </w:r>
      <w:r w:rsidRPr="00756773">
        <w:rPr>
          <w:sz w:val="22"/>
          <w:szCs w:val="22"/>
        </w:rPr>
        <w:t xml:space="preserve">, mint például a </w:t>
      </w:r>
      <w:r w:rsidR="009A2EDC" w:rsidRPr="00756773">
        <w:rPr>
          <w:sz w:val="22"/>
          <w:szCs w:val="22"/>
        </w:rPr>
        <w:t>fog mozgathatóságát</w:t>
      </w:r>
      <w:r w:rsidR="00062DF9" w:rsidRPr="00756773">
        <w:rPr>
          <w:sz w:val="22"/>
          <w:szCs w:val="22"/>
        </w:rPr>
        <w:t>,</w:t>
      </w:r>
      <w:r w:rsidRPr="00756773">
        <w:rPr>
          <w:sz w:val="22"/>
          <w:szCs w:val="22"/>
        </w:rPr>
        <w:t xml:space="preserve"> fájdalmat vagy duzzanatot, vagy nem gyógyuló fekélyeket vagy váladékozást. A kezelés alatt az invazív fogászati beavatkozásokat csak alapos megfontolás után szabad végezni, és kerülni kell a zoledronsav-kezeléshez egészen közeli időszakot.</w:t>
      </w:r>
      <w:r w:rsidR="00522EB3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Azon betegek esetében, akiknek a biszfoszfonát</w:t>
      </w:r>
      <w:r w:rsidR="00A26B21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kezelés alatt állkapocs</w:t>
      </w:r>
      <w:r w:rsidR="00A26B21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osteonecrosisa alakul ki, a szájsebészeti beavatkozás ronthatja az állapotot. Nincs adat arra vonatkozóan, hogy amennyiben fogászati be</w:t>
      </w:r>
      <w:r w:rsidR="003663EF" w:rsidRPr="00756773">
        <w:rPr>
          <w:sz w:val="22"/>
          <w:szCs w:val="22"/>
        </w:rPr>
        <w:t>a</w:t>
      </w:r>
      <w:r w:rsidRPr="00756773">
        <w:rPr>
          <w:sz w:val="22"/>
          <w:szCs w:val="22"/>
        </w:rPr>
        <w:t>vatkozásra van szükség, a biszfoszfonát</w:t>
      </w:r>
      <w:r w:rsidR="00A26B21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kezelés megszakítása csökkenti-e az állkapocs</w:t>
      </w:r>
      <w:r w:rsidR="00A26B21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osteonecrosis kockázatát.</w:t>
      </w:r>
    </w:p>
    <w:p w14:paraId="4C5AEC59" w14:textId="77777777" w:rsidR="00522EB3" w:rsidRPr="00756773" w:rsidRDefault="00522EB3" w:rsidP="009A3F18">
      <w:pPr>
        <w:pStyle w:val="Default"/>
        <w:rPr>
          <w:sz w:val="22"/>
          <w:szCs w:val="22"/>
        </w:rPr>
      </w:pPr>
    </w:p>
    <w:p w14:paraId="7EE742E1" w14:textId="232B75CE" w:rsidR="001F0677" w:rsidRPr="00756773" w:rsidRDefault="004D34B8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Azoknak a betegeknek a kezelési tervét, akiknél az állkapocs osteonecrosisa alakul ki, a kezelőorvosnak és az állkapocs</w:t>
      </w:r>
      <w:r w:rsidR="00A26B21" w:rsidRPr="00756773">
        <w:rPr>
          <w:sz w:val="22"/>
          <w:szCs w:val="22"/>
        </w:rPr>
        <w:t>-</w:t>
      </w:r>
      <w:r w:rsidRPr="00756773">
        <w:rPr>
          <w:sz w:val="22"/>
          <w:szCs w:val="22"/>
        </w:rPr>
        <w:t>osteonecrosis kezelésében jártas fogorvosnak vagy szájsebésznek szorosan együttműködve kell felállítania.</w:t>
      </w:r>
      <w:r w:rsidR="00522EB3" w:rsidRPr="00756773">
        <w:rPr>
          <w:sz w:val="22"/>
          <w:szCs w:val="22"/>
        </w:rPr>
        <w:t xml:space="preserve"> </w:t>
      </w:r>
      <w:r w:rsidR="009A2EDC" w:rsidRPr="00756773">
        <w:rPr>
          <w:sz w:val="22"/>
          <w:szCs w:val="22"/>
        </w:rPr>
        <w:t xml:space="preserve">Amennyiben </w:t>
      </w:r>
      <w:r w:rsidRPr="00756773">
        <w:rPr>
          <w:sz w:val="22"/>
          <w:szCs w:val="22"/>
        </w:rPr>
        <w:t xml:space="preserve">lehetséges, a zoledronsav-kezelés átmeneti </w:t>
      </w:r>
      <w:r w:rsidR="009A2EDC" w:rsidRPr="00756773">
        <w:rPr>
          <w:sz w:val="22"/>
          <w:szCs w:val="22"/>
        </w:rPr>
        <w:t>szüneteltetése</w:t>
      </w:r>
      <w:r w:rsidRPr="00756773">
        <w:rPr>
          <w:sz w:val="22"/>
          <w:szCs w:val="22"/>
        </w:rPr>
        <w:t xml:space="preserve"> mérlegelendő, amíg az állapot nem rendeződik, és a fokozott kockázati tényezők </w:t>
      </w:r>
      <w:r w:rsidR="009A2EDC" w:rsidRPr="00756773">
        <w:rPr>
          <w:sz w:val="22"/>
          <w:szCs w:val="22"/>
        </w:rPr>
        <w:t>enyhüléséig</w:t>
      </w:r>
      <w:r w:rsidRPr="00756773">
        <w:rPr>
          <w:sz w:val="22"/>
          <w:szCs w:val="22"/>
        </w:rPr>
        <w:t>.</w:t>
      </w:r>
    </w:p>
    <w:p w14:paraId="08FDB817" w14:textId="77777777" w:rsidR="00903A40" w:rsidRPr="00756773" w:rsidRDefault="00903A40" w:rsidP="009A3F18">
      <w:pPr>
        <w:spacing w:line="240" w:lineRule="auto"/>
        <w:rPr>
          <w:szCs w:val="22"/>
          <w:lang w:val="hu-HU"/>
        </w:rPr>
      </w:pPr>
    </w:p>
    <w:p w14:paraId="088BF1B2" w14:textId="77777777" w:rsidR="00903A40" w:rsidRPr="00756773" w:rsidRDefault="00903A40" w:rsidP="009A3F18">
      <w:pPr>
        <w:spacing w:line="240" w:lineRule="auto"/>
        <w:rPr>
          <w:i/>
          <w:szCs w:val="22"/>
          <w:lang w:val="hu-HU"/>
        </w:rPr>
      </w:pPr>
      <w:r w:rsidRPr="00756773">
        <w:rPr>
          <w:i/>
          <w:szCs w:val="22"/>
          <w:u w:val="single"/>
          <w:lang w:val="hu-HU"/>
        </w:rPr>
        <w:t>Más anatómiai lokalizációk osteonecrosisa</w:t>
      </w:r>
    </w:p>
    <w:p w14:paraId="7BC3FB00" w14:textId="77777777" w:rsidR="00903A40" w:rsidRPr="00756773" w:rsidRDefault="00903A40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Biszfoszfonátok alkalmazásakor a külső hallójárat osteonecrosisát jelentették, főként hosszan tartó kezeléssel összefüggésben. A külső hallójárat osteonecrosisának lehetséges kockázati t</w:t>
      </w:r>
      <w:r w:rsidR="00A94F99" w:rsidRPr="00756773">
        <w:rPr>
          <w:szCs w:val="22"/>
          <w:lang w:val="hu-HU"/>
        </w:rPr>
        <w:t>é</w:t>
      </w:r>
      <w:r w:rsidRPr="00756773">
        <w:rPr>
          <w:szCs w:val="22"/>
          <w:lang w:val="hu-HU"/>
        </w:rPr>
        <w:t>nyezői közé a szteroidhasználat és a kemoterápia, és/vagy olyan helyi kockázati tényezők tartoznak, mint például a fertőzés vagy a trauma. A külső hallójárat osteonecrosisának lehetőségét figyelembe kell venni azoknál a biszfoszfonátokat szedő betegeknél, akiknél fültünetek, például krónikus fülfertőzés jelentkezik.</w:t>
      </w:r>
    </w:p>
    <w:p w14:paraId="288117D4" w14:textId="77777777" w:rsidR="00A94F99" w:rsidRPr="00756773" w:rsidRDefault="00A94F99" w:rsidP="009A3F18">
      <w:pPr>
        <w:spacing w:line="240" w:lineRule="auto"/>
        <w:rPr>
          <w:szCs w:val="22"/>
          <w:lang w:val="hu-HU"/>
        </w:rPr>
      </w:pPr>
    </w:p>
    <w:p w14:paraId="7B7BD7FC" w14:textId="680BBF6E" w:rsidR="00A94F99" w:rsidRPr="00756773" w:rsidRDefault="00A94F99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Ezenkívül egyéb helyek, mint a csípő és a femur osteonecrosisának egyes eseteit is jelentették, főleg </w:t>
      </w:r>
      <w:r w:rsidR="005B4462" w:rsidRPr="00756773">
        <w:rPr>
          <w:szCs w:val="22"/>
          <w:lang w:val="hu-HU"/>
        </w:rPr>
        <w:t>z</w:t>
      </w:r>
      <w:r w:rsidRPr="00756773">
        <w:rPr>
          <w:szCs w:val="22"/>
          <w:lang w:val="hu-HU"/>
        </w:rPr>
        <w:t>oledronsav</w:t>
      </w:r>
      <w:r w:rsidR="005B4462" w:rsidRPr="00756773">
        <w:rPr>
          <w:szCs w:val="22"/>
          <w:lang w:val="hu-HU"/>
        </w:rPr>
        <w:t>val</w:t>
      </w:r>
      <w:r w:rsidRPr="00756773">
        <w:rPr>
          <w:szCs w:val="22"/>
          <w:lang w:val="hu-HU"/>
        </w:rPr>
        <w:t xml:space="preserve"> kezelt felnőtt daganatos betegeknél.</w:t>
      </w:r>
    </w:p>
    <w:p w14:paraId="5919D2AF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4EB47265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Csont- és izomrendszeri fájdalom</w:t>
      </w:r>
    </w:p>
    <w:p w14:paraId="7B9558F7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forgalomba hozatalt követően súlyos és esetenként a munkavégzést akadályozó csont-, ízületi- és/vagy izomfájdalomról számoltak be a 4.1 és 4.2</w:t>
      </w:r>
      <w:r w:rsidR="008D3696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pontokban felsorolt indikációkban zoledronsavval kezelt betegek esetében. Azonban ezek a bejelentések nem voltak gyakoriak. A tünetek megjelenéséig eltelt idő a kezelés megkezdésétől számított egy nap – több hónap között változott. A legtöbb beteg tünete enyhült, miután a kezelést abbahagyták. A betegek egy részé</w:t>
      </w:r>
      <w:r w:rsidR="0062371D" w:rsidRPr="00756773">
        <w:rPr>
          <w:sz w:val="22"/>
          <w:szCs w:val="22"/>
        </w:rPr>
        <w:t>nél</w:t>
      </w:r>
      <w:r w:rsidRPr="00756773">
        <w:rPr>
          <w:sz w:val="22"/>
          <w:szCs w:val="22"/>
        </w:rPr>
        <w:t xml:space="preserve"> a tünetek visszatértek a zoledronsav vagy más biszfoszfonát újbóli alkalmazásának hatására.</w:t>
      </w:r>
    </w:p>
    <w:p w14:paraId="2B82F87D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5A839785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A femur atípusos törései</w:t>
      </w:r>
    </w:p>
    <w:p w14:paraId="0558A76E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femur atípusos subtrochanter és diaphysis töréseiről számoltak be, elsősorban az olyan betegeknél, akik osteoporosis miatt hosszantartó biszfoszfonát-kezelést kaptak. Ezek a haránt vagy rövid ferde törések bárhol előfordulhatnak a femuron, közvetlenül a kistrochantertől lefelé, egészen a supracondylus kiöblösödés feletti részig. Ezek a törések minimális trauma után vagy anélkül következnek be, és néhány beteg hetekkel vagy hónapokkal a bekövetkezett combcsonttörés jelentkezése előtt comb- vagy lágyéktáji fájdalmat észlel, melyek gyakran párosulnak fáradásos törésre utaló képalkotó jellemzőkkel. A törések gyakran bilaterálisak, ezért azoknál a biszfoszfonáttal kezelt betegeknél, akiknek igazolt femur diaphysis-törésük van, az ellenoldali combcsontot is meg kell vizsgálni. </w:t>
      </w:r>
      <w:r w:rsidR="00697AC5" w:rsidRPr="00756773">
        <w:rPr>
          <w:rFonts w:eastAsia="Times New Roman"/>
          <w:szCs w:val="22"/>
          <w:lang w:val="hu-HU" w:eastAsia="hu-HU"/>
        </w:rPr>
        <w:t xml:space="preserve">Ezekben az esetekben </w:t>
      </w:r>
      <w:r w:rsidR="000D7EBF" w:rsidRPr="00756773">
        <w:rPr>
          <w:rFonts w:eastAsia="Times New Roman"/>
          <w:szCs w:val="22"/>
          <w:lang w:val="hu-HU" w:eastAsia="hu-HU"/>
        </w:rPr>
        <w:t>rossz</w:t>
      </w:r>
      <w:r w:rsidR="00697AC5" w:rsidRPr="00756773">
        <w:rPr>
          <w:rFonts w:eastAsia="Times New Roman"/>
          <w:szCs w:val="22"/>
          <w:lang w:val="hu-HU" w:eastAsia="hu-HU"/>
        </w:rPr>
        <w:t xml:space="preserve"> gyógyulás</w:t>
      </w:r>
      <w:r w:rsidR="000D7EBF" w:rsidRPr="00756773">
        <w:rPr>
          <w:rFonts w:eastAsia="Times New Roman"/>
          <w:szCs w:val="22"/>
          <w:lang w:val="hu-HU" w:eastAsia="hu-HU"/>
        </w:rPr>
        <w:t>i</w:t>
      </w:r>
      <w:r w:rsidR="00697AC5" w:rsidRPr="00756773">
        <w:rPr>
          <w:rFonts w:eastAsia="Times New Roman"/>
          <w:szCs w:val="22"/>
          <w:lang w:val="hu-HU" w:eastAsia="hu-HU"/>
        </w:rPr>
        <w:t xml:space="preserve"> </w:t>
      </w:r>
      <w:r w:rsidR="00E375A0" w:rsidRPr="00756773">
        <w:rPr>
          <w:rFonts w:eastAsia="Times New Roman"/>
          <w:szCs w:val="22"/>
          <w:lang w:val="hu-HU" w:eastAsia="hu-HU"/>
        </w:rPr>
        <w:t>hajlamról</w:t>
      </w:r>
      <w:r w:rsidR="00697AC5" w:rsidRPr="00756773">
        <w:rPr>
          <w:rFonts w:eastAsia="Times New Roman"/>
          <w:szCs w:val="22"/>
          <w:lang w:val="hu-HU" w:eastAsia="hu-HU"/>
        </w:rPr>
        <w:t xml:space="preserve"> beszámoltak</w:t>
      </w:r>
      <w:r w:rsidRPr="00756773">
        <w:rPr>
          <w:szCs w:val="22"/>
          <w:lang w:val="hu-HU"/>
        </w:rPr>
        <w:t>. Azoknál a betegeknél, akiknél felmerül az atípusos femurtörés gyanúja, az egyéni előny/kockázat arány értékelése alapján, a beteg folyamatban lévő vizsgálatainak idejére mérlegelni kell a biszfoszfonát-kezelés felfüggesztését.</w:t>
      </w:r>
    </w:p>
    <w:p w14:paraId="1AFB2558" w14:textId="77777777" w:rsidR="00177C36" w:rsidRPr="00756773" w:rsidRDefault="00177C36" w:rsidP="009A3F18">
      <w:pPr>
        <w:spacing w:line="240" w:lineRule="auto"/>
        <w:rPr>
          <w:szCs w:val="22"/>
          <w:lang w:val="hu-HU"/>
        </w:rPr>
      </w:pPr>
    </w:p>
    <w:p w14:paraId="351BDFD5" w14:textId="089A1A99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betegek figyelmét fel kell hívni arra, hogy a biszfoszfonát-kezelés ideje alatt számoljanak be bármilyen comb-, csípő- vagy lágyéktáji fájdalomról, és minden betegnél, aki ilyen tünetekkel jelentkezik, meg kell vizsgálni, hogy részleges femur-törés fennáll-e.</w:t>
      </w:r>
    </w:p>
    <w:p w14:paraId="0966C30D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143146B5" w14:textId="77777777" w:rsidR="00D02612" w:rsidRPr="00756773" w:rsidRDefault="00D02612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Hypocalcaemia</w:t>
      </w:r>
    </w:p>
    <w:p w14:paraId="41723FF5" w14:textId="25BBC2D8" w:rsidR="00D02612" w:rsidRPr="00756773" w:rsidRDefault="00D02612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Hypocalcaemiát jelentettek </w:t>
      </w:r>
      <w:r w:rsidR="008C4198" w:rsidRPr="00756773">
        <w:rPr>
          <w:szCs w:val="22"/>
          <w:lang w:val="hu-HU"/>
        </w:rPr>
        <w:t>zoledronsav</w:t>
      </w:r>
      <w:r w:rsidRPr="00756773">
        <w:rPr>
          <w:szCs w:val="22"/>
          <w:lang w:val="hu-HU"/>
        </w:rPr>
        <w:t xml:space="preserve">val kezelt betegeknél. A súlyos hypocalcaemia eseteihez kapcsolódóan szívritmuszavarokat és neurológiai mellékhatásokat </w:t>
      </w:r>
      <w:r w:rsidR="00FA3034" w:rsidRPr="00756773">
        <w:rPr>
          <w:szCs w:val="22"/>
          <w:lang w:val="hu-HU"/>
        </w:rPr>
        <w:t xml:space="preserve">jelentettek </w:t>
      </w:r>
      <w:r w:rsidRPr="00756773">
        <w:rPr>
          <w:szCs w:val="22"/>
          <w:lang w:val="hu-HU"/>
        </w:rPr>
        <w:t>(beleértve a</w:t>
      </w:r>
      <w:r w:rsidR="00900328" w:rsidRPr="00756773">
        <w:rPr>
          <w:szCs w:val="22"/>
          <w:lang w:val="hu-HU"/>
        </w:rPr>
        <w:t xml:space="preserve"> convulsiókat, hypaesthesiát </w:t>
      </w:r>
      <w:r w:rsidRPr="00756773">
        <w:rPr>
          <w:szCs w:val="22"/>
          <w:lang w:val="hu-HU"/>
        </w:rPr>
        <w:t>és tetaniát is)</w:t>
      </w:r>
      <w:r w:rsidR="00FA3034" w:rsidRPr="00756773">
        <w:rPr>
          <w:szCs w:val="22"/>
          <w:lang w:val="hu-HU"/>
        </w:rPr>
        <w:t>. Súlyos k</w:t>
      </w:r>
      <w:r w:rsidRPr="00756773">
        <w:rPr>
          <w:szCs w:val="22"/>
          <w:lang w:val="hu-HU"/>
        </w:rPr>
        <w:t>órházi ápolást igénylő hypocalcaemia esete</w:t>
      </w:r>
      <w:r w:rsidR="00FA3034" w:rsidRPr="00756773">
        <w:rPr>
          <w:szCs w:val="22"/>
          <w:lang w:val="hu-HU"/>
        </w:rPr>
        <w:t>ket</w:t>
      </w:r>
      <w:r w:rsidRPr="00756773">
        <w:rPr>
          <w:szCs w:val="22"/>
          <w:lang w:val="hu-HU"/>
        </w:rPr>
        <w:t xml:space="preserve"> jelentett</w:t>
      </w:r>
      <w:r w:rsidR="00FA3034" w:rsidRPr="00756773">
        <w:rPr>
          <w:szCs w:val="22"/>
          <w:lang w:val="hu-HU"/>
        </w:rPr>
        <w:t>e</w:t>
      </w:r>
      <w:r w:rsidRPr="00756773">
        <w:rPr>
          <w:szCs w:val="22"/>
          <w:lang w:val="hu-HU"/>
        </w:rPr>
        <w:t>k. Egyes esetekben a hypocalcaemia életveszélyes lehet (lásd 4.8</w:t>
      </w:r>
      <w:r w:rsidR="00670FFE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pont).</w:t>
      </w:r>
      <w:r w:rsidR="00BE668B" w:rsidRPr="00756773">
        <w:rPr>
          <w:szCs w:val="22"/>
          <w:lang w:val="hu-HU"/>
        </w:rPr>
        <w:t xml:space="preserve"> Óvatosság ajánlott, ha a Zoledronsav </w:t>
      </w:r>
      <w:r w:rsidR="0043693C" w:rsidRPr="00756773">
        <w:rPr>
          <w:szCs w:val="22"/>
          <w:lang w:val="hu-HU"/>
        </w:rPr>
        <w:t>Onkogen</w:t>
      </w:r>
      <w:r w:rsidR="00BE668B" w:rsidRPr="00756773">
        <w:rPr>
          <w:szCs w:val="22"/>
          <w:lang w:val="hu-HU"/>
        </w:rPr>
        <w:t>-t olyan gyógyszerekkel adják együtt, amelyek ismerten hypocalcaemiát okoznak, mivel szinergista hatás</w:t>
      </w:r>
      <w:r w:rsidR="003871D6" w:rsidRPr="00756773">
        <w:rPr>
          <w:szCs w:val="22"/>
          <w:lang w:val="hu-HU"/>
        </w:rPr>
        <w:t xml:space="preserve"> léphet fel</w:t>
      </w:r>
      <w:r w:rsidR="00BE668B" w:rsidRPr="00756773">
        <w:rPr>
          <w:szCs w:val="22"/>
          <w:lang w:val="hu-HU"/>
        </w:rPr>
        <w:t xml:space="preserve">, ami súlyos hypocalcaemiát eredményez (lásd 4.5 pont). A Zoledronsav </w:t>
      </w:r>
      <w:r w:rsidR="0043693C" w:rsidRPr="00756773">
        <w:rPr>
          <w:szCs w:val="22"/>
          <w:lang w:val="hu-HU"/>
        </w:rPr>
        <w:t>Onkogen</w:t>
      </w:r>
      <w:r w:rsidR="00BE668B" w:rsidRPr="00756773">
        <w:rPr>
          <w:szCs w:val="22"/>
          <w:lang w:val="hu-HU"/>
        </w:rPr>
        <w:t>-kezelés megkezdése előtt a szérumkalciumszintet meg kell mérni, és a hypocalcaemiát korrigálni kell. A betegeket megfelelő kalcium- és D-vitamin-pótlásban kell részesíteni.</w:t>
      </w:r>
    </w:p>
    <w:p w14:paraId="36F10119" w14:textId="4637DAE3" w:rsidR="00A26B21" w:rsidRPr="00756773" w:rsidRDefault="00A26B21" w:rsidP="009A3F18">
      <w:pPr>
        <w:spacing w:line="240" w:lineRule="auto"/>
        <w:rPr>
          <w:szCs w:val="22"/>
          <w:lang w:val="hu-HU"/>
        </w:rPr>
      </w:pPr>
    </w:p>
    <w:p w14:paraId="5D530F35" w14:textId="2CAC38F7" w:rsidR="00462930" w:rsidRPr="00756773" w:rsidRDefault="00462930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készítmény </w:t>
      </w:r>
      <w:r w:rsidR="00A26B21" w:rsidRPr="00756773">
        <w:rPr>
          <w:szCs w:val="22"/>
          <w:lang w:val="hu-HU"/>
        </w:rPr>
        <w:t xml:space="preserve">kevesebb mint </w:t>
      </w:r>
      <w:r w:rsidRPr="00756773">
        <w:rPr>
          <w:szCs w:val="22"/>
          <w:lang w:val="hu-HU"/>
        </w:rPr>
        <w:t xml:space="preserve">1 mmol </w:t>
      </w:r>
      <w:r w:rsidR="00A26B21" w:rsidRPr="00756773">
        <w:rPr>
          <w:szCs w:val="22"/>
          <w:lang w:val="hu-HU"/>
        </w:rPr>
        <w:t xml:space="preserve">(23 mg) </w:t>
      </w:r>
      <w:r w:rsidRPr="00756773">
        <w:rPr>
          <w:szCs w:val="22"/>
          <w:lang w:val="hu-HU"/>
        </w:rPr>
        <w:t>nátriumot tartalmaz</w:t>
      </w:r>
      <w:r w:rsidR="00A86BD9" w:rsidRPr="00756773">
        <w:rPr>
          <w:szCs w:val="22"/>
          <w:lang w:val="hu-HU"/>
        </w:rPr>
        <w:t xml:space="preserve"> dózisonként</w:t>
      </w:r>
      <w:r w:rsidRPr="00756773">
        <w:rPr>
          <w:szCs w:val="22"/>
          <w:lang w:val="hu-HU"/>
        </w:rPr>
        <w:t xml:space="preserve">, azaz </w:t>
      </w:r>
      <w:r w:rsidR="00615F7C" w:rsidRPr="00756773">
        <w:rPr>
          <w:szCs w:val="22"/>
          <w:lang w:val="hu-HU"/>
        </w:rPr>
        <w:t>gyakorlatilag „</w:t>
      </w:r>
      <w:r w:rsidRPr="00756773">
        <w:rPr>
          <w:szCs w:val="22"/>
          <w:lang w:val="hu-HU"/>
        </w:rPr>
        <w:t>nátriummentes</w:t>
      </w:r>
      <w:r w:rsidR="00615F7C" w:rsidRPr="00756773">
        <w:rPr>
          <w:szCs w:val="22"/>
          <w:lang w:val="hu-HU"/>
        </w:rPr>
        <w:t>”</w:t>
      </w:r>
      <w:r w:rsidRPr="00756773">
        <w:rPr>
          <w:szCs w:val="22"/>
          <w:lang w:val="hu-HU"/>
        </w:rPr>
        <w:t>.</w:t>
      </w:r>
      <w:r w:rsidR="00A86BD9" w:rsidRPr="00756773">
        <w:rPr>
          <w:szCs w:val="22"/>
          <w:lang w:val="hu-HU"/>
        </w:rPr>
        <w:t xml:space="preserve"> Ha azonban a beadás előtt</w:t>
      </w:r>
      <w:r w:rsidR="00B502AD" w:rsidRPr="00756773">
        <w:rPr>
          <w:szCs w:val="22"/>
          <w:lang w:val="hu-HU"/>
        </w:rPr>
        <w:t xml:space="preserve"> a gyógyszer</w:t>
      </w:r>
      <w:r w:rsidR="00A86BD9" w:rsidRPr="00756773">
        <w:rPr>
          <w:szCs w:val="22"/>
          <w:lang w:val="hu-HU"/>
        </w:rPr>
        <w:t xml:space="preserve"> hígítása konyhasóoldattal (0,9%-os (m/V) nátrium-klorid oldat) történik, akkor a nátrium dózisa nagyobb lehet.</w:t>
      </w:r>
    </w:p>
    <w:p w14:paraId="570C684E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120A4B0F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4.5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2FEE464F" w14:textId="777777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30BFF97" w14:textId="5FEC3E42" w:rsidR="001F0677" w:rsidRPr="00756773" w:rsidRDefault="00DB1D94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K</w:t>
      </w:r>
      <w:r w:rsidR="001F0677" w:rsidRPr="00756773">
        <w:rPr>
          <w:sz w:val="22"/>
          <w:szCs w:val="22"/>
        </w:rPr>
        <w:t>linikai vizsgálatokban a zoledronsavat az általánosan használt daganat</w:t>
      </w:r>
      <w:r w:rsidR="00A86BD9" w:rsidRPr="00756773">
        <w:rPr>
          <w:sz w:val="22"/>
          <w:szCs w:val="22"/>
        </w:rPr>
        <w:t>ellenes</w:t>
      </w:r>
      <w:r w:rsidR="001F0677" w:rsidRPr="00756773">
        <w:rPr>
          <w:sz w:val="22"/>
          <w:szCs w:val="22"/>
        </w:rPr>
        <w:t xml:space="preserve"> szerekkel, diuretikumokkal, antibiotikumokkal és fájdalomcsillapítókkal adták együtt anélkül, hogy klinikailag megállapítható interakciókat észleltek volna. A zoledronsav alig kötődik plazmafehérjékhez és </w:t>
      </w:r>
      <w:r w:rsidR="001F0677" w:rsidRPr="00756773">
        <w:rPr>
          <w:i/>
          <w:iCs/>
          <w:sz w:val="22"/>
          <w:szCs w:val="22"/>
        </w:rPr>
        <w:t xml:space="preserve">in vitro </w:t>
      </w:r>
      <w:r w:rsidR="001F0677" w:rsidRPr="00756773">
        <w:rPr>
          <w:sz w:val="22"/>
          <w:szCs w:val="22"/>
        </w:rPr>
        <w:t>nem gátolja a humán P450 enzimeket sem (lásd 5.2</w:t>
      </w:r>
      <w:r w:rsidR="004A515C" w:rsidRPr="00756773">
        <w:rPr>
          <w:sz w:val="22"/>
          <w:szCs w:val="22"/>
        </w:rPr>
        <w:t> </w:t>
      </w:r>
      <w:r w:rsidR="001F0677" w:rsidRPr="00756773">
        <w:rPr>
          <w:sz w:val="22"/>
          <w:szCs w:val="22"/>
        </w:rPr>
        <w:t xml:space="preserve">pont), de erre vonatkozó </w:t>
      </w:r>
      <w:r w:rsidR="00A86BD9" w:rsidRPr="00756773">
        <w:rPr>
          <w:sz w:val="22"/>
          <w:szCs w:val="22"/>
        </w:rPr>
        <w:t xml:space="preserve">hagyományos </w:t>
      </w:r>
      <w:r w:rsidR="001F0677" w:rsidRPr="00756773">
        <w:rPr>
          <w:sz w:val="22"/>
          <w:szCs w:val="22"/>
        </w:rPr>
        <w:t>klinikai interakciós vizsgálatokat nem végeztek.</w:t>
      </w:r>
    </w:p>
    <w:p w14:paraId="5E593B37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20419462" w14:textId="051D507B" w:rsidR="001F0677" w:rsidRPr="00756773" w:rsidRDefault="00CB33A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Óvatosság ajánlott a b</w:t>
      </w:r>
      <w:r w:rsidR="001F0677" w:rsidRPr="00756773">
        <w:rPr>
          <w:sz w:val="22"/>
          <w:szCs w:val="22"/>
        </w:rPr>
        <w:t>iszfoszfonátok aminoglikozidokkal</w:t>
      </w:r>
      <w:r w:rsidR="00BE668B" w:rsidRPr="00756773">
        <w:rPr>
          <w:sz w:val="22"/>
          <w:szCs w:val="22"/>
        </w:rPr>
        <w:t>, kalcitoninnal vagy kacsdiuretikumokkal</w:t>
      </w:r>
      <w:r w:rsidR="001F0677" w:rsidRPr="00756773">
        <w:rPr>
          <w:sz w:val="22"/>
          <w:szCs w:val="22"/>
        </w:rPr>
        <w:t xml:space="preserve"> történő együttadása esetén, mert </w:t>
      </w:r>
      <w:r w:rsidR="00BE668B" w:rsidRPr="00756773">
        <w:rPr>
          <w:sz w:val="22"/>
          <w:szCs w:val="22"/>
        </w:rPr>
        <w:t xml:space="preserve">ezen hatóanyagcsoportok </w:t>
      </w:r>
      <w:r w:rsidR="001F0677" w:rsidRPr="00756773">
        <w:rPr>
          <w:sz w:val="22"/>
          <w:szCs w:val="22"/>
        </w:rPr>
        <w:t>tagjai additív hatásúak lehetnek és a kelleténél tartósabb,</w:t>
      </w:r>
      <w:r w:rsidR="00BE668B" w:rsidRPr="00756773">
        <w:rPr>
          <w:sz w:val="22"/>
          <w:szCs w:val="22"/>
        </w:rPr>
        <w:t xml:space="preserve"> alacsonyabb</w:t>
      </w:r>
      <w:r w:rsidR="001F0677" w:rsidRPr="00756773">
        <w:rPr>
          <w:sz w:val="22"/>
          <w:szCs w:val="22"/>
        </w:rPr>
        <w:t xml:space="preserve"> szérum</w:t>
      </w:r>
      <w:r w:rsidRPr="00756773">
        <w:rPr>
          <w:sz w:val="22"/>
          <w:szCs w:val="22"/>
        </w:rPr>
        <w:t>k</w:t>
      </w:r>
      <w:r w:rsidR="003663EF" w:rsidRPr="00756773">
        <w:rPr>
          <w:sz w:val="22"/>
          <w:szCs w:val="22"/>
        </w:rPr>
        <w:t>a</w:t>
      </w:r>
      <w:r w:rsidRPr="00756773">
        <w:rPr>
          <w:sz w:val="22"/>
          <w:szCs w:val="22"/>
        </w:rPr>
        <w:t>lciumszint</w:t>
      </w:r>
      <w:r w:rsidR="0072647D" w:rsidRPr="00756773">
        <w:rPr>
          <w:sz w:val="22"/>
          <w:szCs w:val="22"/>
        </w:rPr>
        <w:t>e</w:t>
      </w:r>
      <w:r w:rsidRPr="00756773">
        <w:rPr>
          <w:sz w:val="22"/>
          <w:szCs w:val="22"/>
        </w:rPr>
        <w:t xml:space="preserve">t </w:t>
      </w:r>
      <w:r w:rsidR="001F0677" w:rsidRPr="00756773">
        <w:rPr>
          <w:sz w:val="22"/>
          <w:szCs w:val="22"/>
        </w:rPr>
        <w:t>eredményezhetnek</w:t>
      </w:r>
      <w:r w:rsidR="00BE668B" w:rsidRPr="00756773">
        <w:rPr>
          <w:sz w:val="22"/>
          <w:szCs w:val="22"/>
        </w:rPr>
        <w:t xml:space="preserve"> (lásd 4.4 pont)</w:t>
      </w:r>
      <w:r w:rsidR="001F0677" w:rsidRPr="00756773">
        <w:rPr>
          <w:sz w:val="22"/>
          <w:szCs w:val="22"/>
        </w:rPr>
        <w:t>.</w:t>
      </w:r>
    </w:p>
    <w:p w14:paraId="0EE6408E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32474FF8" w14:textId="4B67A9BF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Óvatosság szükséges, amikor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>-t más, potenciálisan nephrotoxicus gyógyszerrel alkalmazzák együtt. Külön figyelmet kell fordítani a kezelés alatt esetleg kialakuló hypomagnesaemiára is.</w:t>
      </w:r>
    </w:p>
    <w:p w14:paraId="74D3A266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760A23EE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Myeloma multiplexes betegekben a vesekáro</w:t>
      </w:r>
      <w:r w:rsidR="004E5740" w:rsidRPr="00756773">
        <w:rPr>
          <w:sz w:val="22"/>
          <w:szCs w:val="22"/>
        </w:rPr>
        <w:t>so</w:t>
      </w:r>
      <w:r w:rsidRPr="00756773">
        <w:rPr>
          <w:sz w:val="22"/>
          <w:szCs w:val="22"/>
        </w:rPr>
        <w:t xml:space="preserve">dás kockázata megnőhet, ha </w:t>
      </w:r>
      <w:r w:rsidR="00C343A4" w:rsidRPr="00756773">
        <w:rPr>
          <w:sz w:val="22"/>
          <w:szCs w:val="22"/>
        </w:rPr>
        <w:t xml:space="preserve">az intravénás biszfoszfonátokat </w:t>
      </w:r>
      <w:r w:rsidRPr="00756773">
        <w:rPr>
          <w:sz w:val="22"/>
          <w:szCs w:val="22"/>
        </w:rPr>
        <w:t xml:space="preserve">talidomiddal </w:t>
      </w:r>
      <w:r w:rsidR="00A8296A" w:rsidRPr="00756773">
        <w:rPr>
          <w:sz w:val="22"/>
          <w:szCs w:val="22"/>
        </w:rPr>
        <w:t xml:space="preserve">együtt </w:t>
      </w:r>
      <w:r w:rsidRPr="00756773">
        <w:rPr>
          <w:sz w:val="22"/>
          <w:szCs w:val="22"/>
        </w:rPr>
        <w:t>adják.</w:t>
      </w:r>
    </w:p>
    <w:p w14:paraId="7E114B7B" w14:textId="77777777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</w:p>
    <w:p w14:paraId="7889AEC8" w14:textId="50A544BE" w:rsidR="0056189F" w:rsidRPr="00756773" w:rsidRDefault="0056189F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Elővigyázatosság javasolt </w:t>
      </w:r>
      <w:r w:rsidR="00F84D1B" w:rsidRPr="00756773">
        <w:rPr>
          <w:szCs w:val="22"/>
          <w:lang w:val="hu-HU"/>
        </w:rPr>
        <w:t>a</w:t>
      </w:r>
      <w:r w:rsidRPr="00756773">
        <w:rPr>
          <w:szCs w:val="22"/>
          <w:lang w:val="hu-HU"/>
        </w:rPr>
        <w:t xml:space="preserve"> Z</w:t>
      </w:r>
      <w:r w:rsidR="008C4198" w:rsidRPr="00756773">
        <w:rPr>
          <w:szCs w:val="22"/>
          <w:lang w:val="hu-HU"/>
        </w:rPr>
        <w:t>oledronsav</w:t>
      </w:r>
      <w:r w:rsidRPr="00756773">
        <w:rPr>
          <w:szCs w:val="22"/>
          <w:lang w:val="hu-HU"/>
        </w:rPr>
        <w:t xml:space="preserve"> </w:t>
      </w:r>
      <w:r w:rsidR="0043693C" w:rsidRPr="00756773">
        <w:rPr>
          <w:szCs w:val="22"/>
          <w:lang w:val="hu-HU"/>
        </w:rPr>
        <w:t>Onkogen</w:t>
      </w:r>
      <w:r w:rsidR="00D02612" w:rsidRPr="00756773">
        <w:rPr>
          <w:szCs w:val="22"/>
          <w:lang w:val="hu-HU"/>
        </w:rPr>
        <w:t xml:space="preserve"> </w:t>
      </w:r>
      <w:r w:rsidR="002C511F" w:rsidRPr="00756773">
        <w:rPr>
          <w:szCs w:val="22"/>
          <w:lang w:val="hu-HU"/>
        </w:rPr>
        <w:t>és az</w:t>
      </w:r>
      <w:r w:rsidR="00D02612" w:rsidRPr="00756773">
        <w:rPr>
          <w:szCs w:val="22"/>
          <w:lang w:val="hu-HU"/>
        </w:rPr>
        <w:t xml:space="preserve"> angiogen</w:t>
      </w:r>
      <w:r w:rsidR="00501247" w:rsidRPr="00756773">
        <w:rPr>
          <w:szCs w:val="22"/>
          <w:lang w:val="hu-HU"/>
        </w:rPr>
        <w:t>ezis-gátló</w:t>
      </w:r>
      <w:r w:rsidR="00D02612" w:rsidRPr="00756773">
        <w:rPr>
          <w:szCs w:val="22"/>
          <w:lang w:val="hu-HU"/>
        </w:rPr>
        <w:t xml:space="preserve"> gyógyszerek egyidejű alkalmazása esetén, mivel ezen gyógyszerek együttes alkalmazásakor az állkapocs osteonecrosisának (ONJ) gyakoribb előfordulását tapasztalták.</w:t>
      </w:r>
    </w:p>
    <w:p w14:paraId="55032DA9" w14:textId="777777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5FB81BC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4.6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4CAD053A" w14:textId="77777777" w:rsidR="001F0677" w:rsidRPr="00756773" w:rsidRDefault="001F0677" w:rsidP="009A3F18">
      <w:pPr>
        <w:suppressLineNumbers/>
        <w:spacing w:line="240" w:lineRule="auto"/>
        <w:rPr>
          <w:i/>
          <w:color w:val="008000"/>
          <w:szCs w:val="22"/>
          <w:lang w:val="hu-HU"/>
        </w:rPr>
      </w:pPr>
    </w:p>
    <w:p w14:paraId="24AE6CB2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Terhesség</w:t>
      </w:r>
    </w:p>
    <w:p w14:paraId="528CAE59" w14:textId="721A61B3" w:rsidR="004B4100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Terhes nők</w:t>
      </w:r>
      <w:r w:rsidR="000248BC" w:rsidRPr="00756773">
        <w:rPr>
          <w:sz w:val="22"/>
          <w:szCs w:val="22"/>
        </w:rPr>
        <w:t>nél</w:t>
      </w:r>
      <w:r w:rsidRPr="00756773">
        <w:rPr>
          <w:sz w:val="22"/>
          <w:szCs w:val="22"/>
        </w:rPr>
        <w:t xml:space="preserve"> történő alkalmazásra nincs megfelelő adat a zoledronsav tekintetében. Az állatokon végzett kísérletekben </w:t>
      </w:r>
      <w:r w:rsidR="00C343A4" w:rsidRPr="00756773">
        <w:rPr>
          <w:sz w:val="22"/>
          <w:szCs w:val="22"/>
        </w:rPr>
        <w:t xml:space="preserve">zoledronsavval végzett reprodukciós vizsgálatok reprodukciós toxicitást mutattak </w:t>
      </w:r>
      <w:r w:rsidRPr="00756773">
        <w:rPr>
          <w:sz w:val="22"/>
          <w:szCs w:val="22"/>
        </w:rPr>
        <w:t>(lásd 5.3</w:t>
      </w:r>
      <w:r w:rsidR="00D347DC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pont). Ember</w:t>
      </w:r>
      <w:r w:rsidR="00673514" w:rsidRPr="00756773">
        <w:rPr>
          <w:sz w:val="22"/>
          <w:szCs w:val="22"/>
        </w:rPr>
        <w:t>eknél</w:t>
      </w:r>
      <w:r w:rsidRPr="00756773">
        <w:rPr>
          <w:sz w:val="22"/>
          <w:szCs w:val="22"/>
        </w:rPr>
        <w:t xml:space="preserve"> a potenciális veszély nem ismert.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-t a terhesség ideje alatt nem szabad alkalmazni. </w:t>
      </w:r>
      <w:r w:rsidR="0072647D" w:rsidRPr="00756773">
        <w:rPr>
          <w:sz w:val="22"/>
          <w:szCs w:val="22"/>
        </w:rPr>
        <w:t>A fogamzóképes korban lévő nőknek azt kell tanácsolni, hogy kerüljék a teherbeesést.</w:t>
      </w:r>
    </w:p>
    <w:p w14:paraId="7A096352" w14:textId="77777777" w:rsidR="000924AB" w:rsidRPr="00756773" w:rsidRDefault="000924AB" w:rsidP="009A3F18">
      <w:pPr>
        <w:pStyle w:val="Default"/>
        <w:rPr>
          <w:sz w:val="22"/>
          <w:szCs w:val="22"/>
          <w:u w:val="single"/>
        </w:rPr>
      </w:pPr>
    </w:p>
    <w:p w14:paraId="55343C92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Szoptatás</w:t>
      </w:r>
    </w:p>
    <w:p w14:paraId="50048993" w14:textId="2B5EC8F4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Nem ismeretes, </w:t>
      </w:r>
      <w:r w:rsidR="00CB1B8F" w:rsidRPr="00756773">
        <w:rPr>
          <w:sz w:val="22"/>
          <w:szCs w:val="22"/>
        </w:rPr>
        <w:t xml:space="preserve">hogy </w:t>
      </w:r>
      <w:r w:rsidRPr="00756773">
        <w:rPr>
          <w:sz w:val="22"/>
          <w:szCs w:val="22"/>
        </w:rPr>
        <w:t xml:space="preserve">a zoledronsav kiválasztódik-e a humán anyatejbe. 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</w:t>
      </w:r>
      <w:r w:rsidR="002B20A0">
        <w:rPr>
          <w:sz w:val="22"/>
          <w:szCs w:val="22"/>
        </w:rPr>
        <w:t xml:space="preserve">alkalmazása </w:t>
      </w:r>
      <w:r w:rsidR="007A50EB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szoptató anyákn</w:t>
      </w:r>
      <w:r w:rsidR="00CB1B8F" w:rsidRPr="00756773">
        <w:rPr>
          <w:sz w:val="22"/>
          <w:szCs w:val="22"/>
        </w:rPr>
        <w:t>ál</w:t>
      </w:r>
      <w:r w:rsidRPr="00756773">
        <w:rPr>
          <w:sz w:val="22"/>
          <w:szCs w:val="22"/>
        </w:rPr>
        <w:t xml:space="preserve"> </w:t>
      </w:r>
      <w:r w:rsidR="007A50EB" w:rsidRPr="00756773">
        <w:rPr>
          <w:sz w:val="22"/>
          <w:szCs w:val="22"/>
        </w:rPr>
        <w:t>ellenjavallt</w:t>
      </w:r>
      <w:r w:rsidR="00F84D1B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(lásd 4.3</w:t>
      </w:r>
      <w:r w:rsidR="004B4100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pont).</w:t>
      </w:r>
    </w:p>
    <w:p w14:paraId="591EB2C1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09BC749A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Termékenység</w:t>
      </w:r>
    </w:p>
    <w:p w14:paraId="1DD1ED4C" w14:textId="6956BBA6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zoledronsav szülő és F1 generáció fertilitására gyakorolt, potenciális mellékhatásait patkányoknál </w:t>
      </w:r>
      <w:r w:rsidR="00CB1B8F" w:rsidRPr="00756773">
        <w:rPr>
          <w:szCs w:val="22"/>
          <w:lang w:val="hu-HU"/>
        </w:rPr>
        <w:t>vizsgálták</w:t>
      </w:r>
      <w:r w:rsidRPr="00756773">
        <w:rPr>
          <w:szCs w:val="22"/>
          <w:lang w:val="hu-HU"/>
        </w:rPr>
        <w:t>. Az eredmény fokozott farmakológiai hatásokat mutatott, amelyek vélhetően a vegyületnek a csontrendszeri kalcium-metabolizációt gátló hatásával függnek össze, mely az ellés körüli időszakban hypocalcaemiát, ami biszfoszfonát</w:t>
      </w:r>
      <w:r w:rsidR="00CB1B8F" w:rsidRPr="00756773">
        <w:rPr>
          <w:szCs w:val="22"/>
          <w:lang w:val="hu-HU"/>
        </w:rPr>
        <w:t>ok csoportjára jellemző</w:t>
      </w:r>
      <w:r w:rsidRPr="00756773">
        <w:rPr>
          <w:szCs w:val="22"/>
          <w:lang w:val="hu-HU"/>
        </w:rPr>
        <w:t xml:space="preserve"> hatás, valamint dystociát és a vizsgálat korai befejezését eredményezte. Így ezek az eredmények eleve kizárták a zoledronsav humán fertilitásra gyakorolt pontos hatásának a meghatározását.</w:t>
      </w:r>
    </w:p>
    <w:p w14:paraId="19893CAD" w14:textId="77777777" w:rsidR="001F0677" w:rsidRPr="00756773" w:rsidRDefault="001F0677" w:rsidP="00361327">
      <w:pPr>
        <w:widowControl w:val="0"/>
        <w:spacing w:line="240" w:lineRule="auto"/>
        <w:rPr>
          <w:szCs w:val="22"/>
          <w:lang w:val="hu-HU"/>
        </w:rPr>
      </w:pPr>
    </w:p>
    <w:p w14:paraId="40E977F0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4.7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 xml:space="preserve">A készítmény hatásai a gépjárművezetéshez és </w:t>
      </w:r>
      <w:r w:rsidR="004B4100" w:rsidRPr="00361327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Pr="00361327">
        <w:rPr>
          <w:rFonts w:eastAsia="Times New Roman"/>
          <w:b/>
          <w:snapToGrid/>
          <w:szCs w:val="22"/>
          <w:lang w:val="hu-HU" w:eastAsia="en-US"/>
        </w:rPr>
        <w:t>gépek kezeléséhez szükséges képességekre</w:t>
      </w:r>
    </w:p>
    <w:p w14:paraId="57AB09C7" w14:textId="77777777" w:rsidR="001F0677" w:rsidRPr="00756773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7A2FE18" w14:textId="2B00A28A" w:rsidR="001F0677" w:rsidRPr="00756773" w:rsidRDefault="001F0677" w:rsidP="00361327">
      <w:pPr>
        <w:widowControl w:val="0"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Az olyan mellékhatások, mint a szédülés és a somnolen</w:t>
      </w:r>
      <w:r w:rsidR="00E74F68" w:rsidRPr="00756773">
        <w:rPr>
          <w:szCs w:val="22"/>
          <w:lang w:val="hu-HU"/>
        </w:rPr>
        <w:t>t</w:t>
      </w:r>
      <w:r w:rsidRPr="00756773">
        <w:rPr>
          <w:szCs w:val="22"/>
          <w:lang w:val="hu-HU"/>
        </w:rPr>
        <w:t xml:space="preserve">ia befolyásolhatják a gépjárművezetéshez vagy a gépek kezeléséhez szükséges képességeket, ezért a Zoledronsav </w:t>
      </w:r>
      <w:r w:rsidR="0043693C" w:rsidRPr="00756773">
        <w:rPr>
          <w:szCs w:val="22"/>
          <w:lang w:val="hu-HU"/>
        </w:rPr>
        <w:t>Onkogen</w:t>
      </w:r>
      <w:r w:rsidRPr="00756773">
        <w:rPr>
          <w:szCs w:val="22"/>
          <w:lang w:val="hu-HU"/>
        </w:rPr>
        <w:t xml:space="preserve"> alkalmazása mellett gépjárművet vezetni vagy gépeket kezelni csak </w:t>
      </w:r>
      <w:r w:rsidR="007A50EB" w:rsidRPr="00756773">
        <w:rPr>
          <w:rFonts w:eastAsia="Times New Roman"/>
          <w:szCs w:val="22"/>
          <w:lang w:val="hu-HU" w:eastAsia="hu-HU"/>
        </w:rPr>
        <w:t>kellő körültekintéssel</w:t>
      </w:r>
      <w:r w:rsidRPr="00756773">
        <w:rPr>
          <w:szCs w:val="22"/>
          <w:lang w:val="hu-HU"/>
        </w:rPr>
        <w:t xml:space="preserve"> lehet.</w:t>
      </w:r>
    </w:p>
    <w:p w14:paraId="22FAC0A7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8BD89A8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4.8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6A56B457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1B51644B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A biztonságossági profil összefoglalása</w:t>
      </w:r>
    </w:p>
    <w:p w14:paraId="1C81604C" w14:textId="55484E11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zoledronsav alkalmazását követő 3 napon belül gyakran számoltak be egy akutfázis</w:t>
      </w:r>
      <w:r w:rsidR="00C76830" w:rsidRPr="00756773">
        <w:rPr>
          <w:szCs w:val="22"/>
          <w:lang w:val="hu-HU"/>
        </w:rPr>
        <w:t>-</w:t>
      </w:r>
      <w:r w:rsidRPr="00756773">
        <w:rPr>
          <w:szCs w:val="22"/>
          <w:lang w:val="hu-HU"/>
        </w:rPr>
        <w:t>reakcióról, melynek tünetei közé tartozik a csontfájdalom, láz, fáradtság, arthralgia, myalgia</w:t>
      </w:r>
      <w:r w:rsidR="0072647D" w:rsidRPr="00756773">
        <w:rPr>
          <w:szCs w:val="22"/>
          <w:lang w:val="hu-HU"/>
        </w:rPr>
        <w:t>, hidegrázás és az arthritis, bekövetkező ízületi duzzanattal</w:t>
      </w:r>
      <w:r w:rsidRPr="00756773">
        <w:rPr>
          <w:szCs w:val="22"/>
          <w:lang w:val="hu-HU"/>
        </w:rPr>
        <w:t xml:space="preserve">. Ezek a tünetek rendszerint néhány napon belül elmúlnak (lásd </w:t>
      </w:r>
      <w:r w:rsidR="00A72339" w:rsidRPr="00756773">
        <w:rPr>
          <w:color w:val="000000"/>
          <w:szCs w:val="22"/>
          <w:lang w:val="hu-HU" w:eastAsia="hu-HU"/>
        </w:rPr>
        <w:t>„Kiválasztott mellékhatások leírása”</w:t>
      </w:r>
      <w:r w:rsidRPr="00756773">
        <w:rPr>
          <w:szCs w:val="22"/>
          <w:lang w:val="hu-HU"/>
        </w:rPr>
        <w:t>).</w:t>
      </w:r>
    </w:p>
    <w:p w14:paraId="2A580F4A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p w14:paraId="0F4F4EE5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Az alábbiak a </w:t>
      </w:r>
      <w:r w:rsidR="00102893" w:rsidRPr="00756773">
        <w:rPr>
          <w:sz w:val="22"/>
          <w:szCs w:val="22"/>
        </w:rPr>
        <w:t>zoledronsav</w:t>
      </w:r>
      <w:r w:rsidR="00102893" w:rsidRPr="00756773" w:rsidDel="0010289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 xml:space="preserve">alkalmazásával járó, fontos azonosított kockázatok az engedélyezett indikációkban: </w:t>
      </w:r>
    </w:p>
    <w:p w14:paraId="709265D4" w14:textId="1B27AF1A" w:rsidR="001F0677" w:rsidRPr="00756773" w:rsidRDefault="00AA3AD3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Veseműködés károsodás</w:t>
      </w:r>
      <w:r w:rsidR="00C76830" w:rsidRPr="00756773">
        <w:rPr>
          <w:sz w:val="22"/>
          <w:szCs w:val="22"/>
        </w:rPr>
        <w:t>a</w:t>
      </w:r>
      <w:r w:rsidR="001F0677" w:rsidRPr="00756773">
        <w:rPr>
          <w:sz w:val="22"/>
          <w:szCs w:val="22"/>
        </w:rPr>
        <w:t>, az állkapocs osteonecrosisa, akutfázis</w:t>
      </w:r>
      <w:r w:rsidR="00C76830" w:rsidRPr="00756773">
        <w:rPr>
          <w:sz w:val="22"/>
          <w:szCs w:val="22"/>
        </w:rPr>
        <w:t>-</w:t>
      </w:r>
      <w:r w:rsidR="001F0677" w:rsidRPr="00756773">
        <w:rPr>
          <w:sz w:val="22"/>
          <w:szCs w:val="22"/>
        </w:rPr>
        <w:t>reakció, hypocalcaemia, pitvarfibrilláció, anaphylaxia</w:t>
      </w:r>
      <w:r w:rsidR="0072647D" w:rsidRPr="00756773">
        <w:rPr>
          <w:sz w:val="22"/>
          <w:szCs w:val="22"/>
        </w:rPr>
        <w:t>, intersticiális tüdőbetegség</w:t>
      </w:r>
      <w:r w:rsidR="001F0677" w:rsidRPr="00756773">
        <w:rPr>
          <w:sz w:val="22"/>
          <w:szCs w:val="22"/>
        </w:rPr>
        <w:t>. Ezeknek az azonosított kockázatoknak a gyakoriságait a</w:t>
      </w:r>
      <w:r w:rsidR="00803A81">
        <w:rPr>
          <w:sz w:val="22"/>
          <w:szCs w:val="22"/>
        </w:rPr>
        <w:t>z</w:t>
      </w:r>
      <w:r w:rsidR="001F0677" w:rsidRPr="00756773">
        <w:rPr>
          <w:sz w:val="22"/>
          <w:szCs w:val="22"/>
        </w:rPr>
        <w:t xml:space="preserve"> 1.</w:t>
      </w:r>
      <w:r w:rsidR="00803A81" w:rsidRPr="00756773">
        <w:rPr>
          <w:sz w:val="22"/>
          <w:szCs w:val="22"/>
        </w:rPr>
        <w:t> </w:t>
      </w:r>
      <w:r w:rsidR="001F0677" w:rsidRPr="00756773">
        <w:rPr>
          <w:sz w:val="22"/>
          <w:szCs w:val="22"/>
        </w:rPr>
        <w:t>táblázat mutatja.</w:t>
      </w:r>
    </w:p>
    <w:p w14:paraId="3B597086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713E9DEB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A mellékhatások táblázatos felsorolása</w:t>
      </w:r>
    </w:p>
    <w:p w14:paraId="0A3D2707" w14:textId="435EA2F8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</w:t>
      </w:r>
      <w:r w:rsidR="00803A81">
        <w:rPr>
          <w:sz w:val="22"/>
          <w:szCs w:val="22"/>
        </w:rPr>
        <w:t>z</w:t>
      </w:r>
      <w:r w:rsidRPr="00756773">
        <w:rPr>
          <w:sz w:val="22"/>
          <w:szCs w:val="22"/>
        </w:rPr>
        <w:t xml:space="preserve"> 1.</w:t>
      </w:r>
      <w:r w:rsidR="009E6667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táblázatban feltüntetett mellékhatások adatai túlnyomórészt a 4</w:t>
      </w:r>
      <w:r w:rsidR="009E6667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zoledronsavval végzett krónikus kezelés klinikai vizsgálataiból és a forgalomba hozatalt követő jelentésekből származnak:</w:t>
      </w:r>
    </w:p>
    <w:p w14:paraId="670EE552" w14:textId="77777777" w:rsidR="001F0677" w:rsidRPr="00756773" w:rsidRDefault="001F0677" w:rsidP="009A3F18">
      <w:pPr>
        <w:pStyle w:val="Default"/>
        <w:rPr>
          <w:b/>
          <w:bCs/>
          <w:sz w:val="22"/>
          <w:szCs w:val="22"/>
        </w:rPr>
      </w:pPr>
    </w:p>
    <w:p w14:paraId="41807A51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b/>
          <w:bCs/>
          <w:sz w:val="22"/>
          <w:szCs w:val="22"/>
        </w:rPr>
        <w:t>1. táblázat</w:t>
      </w:r>
    </w:p>
    <w:p w14:paraId="78E1551B" w14:textId="37FF9F69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mellékhatások a gyakoriság csökkenő sorrendjében vannak felsorolva: nagyon gyakori (≥1/10), gyakori (≥1/100 – &lt;1/10), nem gyakori (≥1/1000 – &lt;1/100), ritka (≥1/10 000 – &lt;1/1000), nagyon ritka (&lt;1/10 000), nem ismert (a </w:t>
      </w:r>
      <w:r w:rsidR="00C76830" w:rsidRPr="00756773">
        <w:rPr>
          <w:szCs w:val="22"/>
          <w:lang w:val="hu-HU"/>
        </w:rPr>
        <w:t xml:space="preserve">gyakoriság a </w:t>
      </w:r>
      <w:r w:rsidRPr="00756773">
        <w:rPr>
          <w:szCs w:val="22"/>
          <w:lang w:val="hu-HU"/>
        </w:rPr>
        <w:t>rendelkezésre álló adatokból nem állapítható meg).</w:t>
      </w:r>
    </w:p>
    <w:p w14:paraId="778AEB49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4397"/>
        <w:gridCol w:w="28"/>
      </w:tblGrid>
      <w:tr w:rsidR="001F0677" w:rsidRPr="00651825" w14:paraId="3ECD57D2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40B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Vérképzőszervi és nyirokrendszeri betegségek és tünetek</w:t>
            </w:r>
          </w:p>
        </w:tc>
      </w:tr>
      <w:tr w:rsidR="001F0677" w:rsidRPr="00756773" w14:paraId="6C2DE222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DFD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Gyakori: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138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Anaemia</w:t>
            </w:r>
          </w:p>
        </w:tc>
      </w:tr>
      <w:tr w:rsidR="001F0677" w:rsidRPr="00756773" w14:paraId="622E55FC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315B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Nem gyakori: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456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Thrombocytopenia, leukopenia</w:t>
            </w:r>
          </w:p>
        </w:tc>
      </w:tr>
      <w:tr w:rsidR="001F0677" w:rsidRPr="00756773" w14:paraId="3800B355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8F0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Ritka: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90E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Pancytopenia </w:t>
            </w:r>
          </w:p>
        </w:tc>
      </w:tr>
      <w:tr w:rsidR="001F0677" w:rsidRPr="00756773" w14:paraId="48A51670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988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Immunrendszeri betegségek és tünetek</w:t>
            </w:r>
          </w:p>
        </w:tc>
      </w:tr>
      <w:tr w:rsidR="001F0677" w:rsidRPr="00756773" w14:paraId="3B9C0D75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AFE4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Nem gyakori: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7234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Túlérzékenységi reakció</w:t>
            </w:r>
          </w:p>
        </w:tc>
      </w:tr>
      <w:tr w:rsidR="001F0677" w:rsidRPr="00756773" w14:paraId="509AB4D0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1E3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Ritka: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0BB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Angioneuroticus oedema </w:t>
            </w:r>
          </w:p>
        </w:tc>
      </w:tr>
      <w:tr w:rsidR="001F0677" w:rsidRPr="00756773" w14:paraId="4F980190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6C0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 xml:space="preserve">Pszichiátriai kórképek </w:t>
            </w:r>
          </w:p>
        </w:tc>
      </w:tr>
      <w:tr w:rsidR="001F0677" w:rsidRPr="00756773" w14:paraId="09373EB5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D3EC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Nem gyakori: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B9B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Szorongás, alvászavar</w:t>
            </w:r>
          </w:p>
        </w:tc>
      </w:tr>
      <w:tr w:rsidR="001F0677" w:rsidRPr="00756773" w14:paraId="6D074029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531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Ritka: 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48B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Zavartság</w:t>
            </w:r>
          </w:p>
        </w:tc>
      </w:tr>
      <w:tr w:rsidR="001F0677" w:rsidRPr="00756773" w14:paraId="7CDBE8C1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6120" w14:textId="77777777" w:rsidR="001F0677" w:rsidRPr="00756773" w:rsidRDefault="001F0677" w:rsidP="009A3F18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Idegrendszeri betegségek és tünetek</w:t>
            </w:r>
          </w:p>
        </w:tc>
      </w:tr>
      <w:tr w:rsidR="001F0677" w:rsidRPr="00756773" w14:paraId="608AB0B2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360B" w14:textId="77777777" w:rsidR="001F0677" w:rsidRPr="00756773" w:rsidRDefault="001F0677" w:rsidP="009A3F18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F646" w14:textId="77777777" w:rsidR="001F0677" w:rsidRPr="00756773" w:rsidRDefault="001F0677" w:rsidP="009A3F18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Fejfájás</w:t>
            </w:r>
          </w:p>
        </w:tc>
      </w:tr>
      <w:tr w:rsidR="001F0677" w:rsidRPr="00651825" w14:paraId="71309194" w14:textId="77777777" w:rsidTr="00361327">
        <w:trPr>
          <w:trHeight w:val="352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91A1" w14:textId="77777777" w:rsidR="001F0677" w:rsidRPr="00756773" w:rsidRDefault="001F0677" w:rsidP="009A3F18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95B8" w14:textId="1CAE2FAB" w:rsidR="001F0677" w:rsidRPr="00756773" w:rsidRDefault="001F0677" w:rsidP="009A3F18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Szédülés, paraesthesia, </w:t>
            </w:r>
            <w:r w:rsidR="0072647D" w:rsidRPr="00361327">
              <w:rPr>
                <w:szCs w:val="22"/>
                <w:lang w:val="hu-HU"/>
              </w:rPr>
              <w:t>dysgeusia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, hyp</w:t>
            </w:r>
            <w:r w:rsidR="00B0774F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o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aesthesia, hyperaesthesia, tremor, somnolen</w:t>
            </w:r>
            <w:r w:rsidR="00E74F68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ia</w:t>
            </w:r>
          </w:p>
        </w:tc>
      </w:tr>
      <w:tr w:rsidR="00D02612" w:rsidRPr="00651825" w14:paraId="2193C261" w14:textId="77777777" w:rsidTr="00361327">
        <w:trPr>
          <w:trHeight w:val="352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BD85" w14:textId="77777777" w:rsidR="00D02612" w:rsidRPr="00756773" w:rsidRDefault="00D02612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Nagyon 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80BE" w14:textId="77777777" w:rsidR="00D02612" w:rsidRPr="00756773" w:rsidRDefault="009A194C" w:rsidP="009A3F18">
            <w:pPr>
              <w:pStyle w:val="Default"/>
              <w:rPr>
                <w:sz w:val="22"/>
                <w:szCs w:val="22"/>
              </w:rPr>
            </w:pPr>
            <w:r w:rsidRPr="00756773">
              <w:rPr>
                <w:sz w:val="22"/>
                <w:szCs w:val="22"/>
              </w:rPr>
              <w:t xml:space="preserve">Convulsiók, hypaesthesia </w:t>
            </w:r>
            <w:r w:rsidR="00D02612" w:rsidRPr="00756773">
              <w:rPr>
                <w:sz w:val="22"/>
                <w:szCs w:val="22"/>
              </w:rPr>
              <w:t>és tetania (hypocalcaemia következtében)</w:t>
            </w:r>
          </w:p>
        </w:tc>
      </w:tr>
      <w:tr w:rsidR="001F0677" w:rsidRPr="00756773" w14:paraId="34F24573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D669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Szembetegségek és szemészeti tünetek</w:t>
            </w:r>
          </w:p>
        </w:tc>
      </w:tr>
      <w:tr w:rsidR="001F0677" w:rsidRPr="00756773" w14:paraId="3964F830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154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4AF2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Conjunctivitis </w:t>
            </w:r>
          </w:p>
        </w:tc>
      </w:tr>
      <w:tr w:rsidR="001F0677" w:rsidRPr="00651825" w14:paraId="67EC5DE3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0DD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1175" w14:textId="77777777" w:rsidR="001F0677" w:rsidRPr="00756773" w:rsidRDefault="006868DC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szCs w:val="22"/>
                <w:lang w:val="hu-HU"/>
              </w:rPr>
              <w:t>Homályos látás</w:t>
            </w:r>
            <w:r w:rsidR="001F0677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, scleritis és szemüregi gyulladás</w:t>
            </w:r>
          </w:p>
        </w:tc>
      </w:tr>
      <w:tr w:rsidR="009A194C" w:rsidRPr="00756773" w14:paraId="72920291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C9FE" w14:textId="77777777" w:rsidR="009A194C" w:rsidRPr="00756773" w:rsidRDefault="009A194C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121" w14:textId="77777777" w:rsidR="009A194C" w:rsidRPr="00756773" w:rsidRDefault="009A194C" w:rsidP="009A3F18">
            <w:pPr>
              <w:pStyle w:val="Default"/>
              <w:rPr>
                <w:sz w:val="22"/>
                <w:szCs w:val="22"/>
              </w:rPr>
            </w:pPr>
            <w:r w:rsidRPr="00756773">
              <w:rPr>
                <w:sz w:val="22"/>
                <w:szCs w:val="22"/>
              </w:rPr>
              <w:t>Uveitis</w:t>
            </w:r>
          </w:p>
        </w:tc>
      </w:tr>
      <w:tr w:rsidR="001F0677" w:rsidRPr="00756773" w14:paraId="3F32BBDD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5DF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Nagyon 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150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Uveitis, episcleritis</w:t>
            </w:r>
          </w:p>
        </w:tc>
      </w:tr>
      <w:tr w:rsidR="001F0677" w:rsidRPr="00756773" w14:paraId="632E22AD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D7D7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 xml:space="preserve">Szívbetegségek és a szívvel kapcsolatos tünetek </w:t>
            </w:r>
          </w:p>
        </w:tc>
      </w:tr>
      <w:tr w:rsidR="001F0677" w:rsidRPr="00651825" w14:paraId="78D0408B" w14:textId="77777777" w:rsidTr="00361327">
        <w:trPr>
          <w:trHeight w:val="35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434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D5DD" w14:textId="1ACB2B86" w:rsidR="001F0677" w:rsidRPr="00756773" w:rsidRDefault="002B20A0" w:rsidP="002B20A0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Hypert</w:t>
            </w: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ensio</w:t>
            </w:r>
            <w:r w:rsidR="001F0677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, 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hypot</w:t>
            </w: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ensio</w:t>
            </w:r>
            <w:r w:rsidR="001F0677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, pitvarfibrilláció, ájuláshoz vagy a keringés összeomlásához vezető 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hypot</w:t>
            </w: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ensio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 </w:t>
            </w:r>
          </w:p>
        </w:tc>
      </w:tr>
      <w:tr w:rsidR="001F0677" w:rsidRPr="00651825" w14:paraId="337EF676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1CB7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7B0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Bradycardia</w:t>
            </w:r>
            <w:r w:rsidR="009A194C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,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 </w:t>
            </w:r>
            <w:r w:rsidR="009A194C" w:rsidRPr="00361327">
              <w:rPr>
                <w:szCs w:val="22"/>
                <w:lang w:val="hu-HU"/>
              </w:rPr>
              <w:t>cardiális arrhythmia (a hypocalcaemia következtében)</w:t>
            </w:r>
          </w:p>
        </w:tc>
      </w:tr>
      <w:tr w:rsidR="001F0677" w:rsidRPr="00651825" w14:paraId="4F88E42B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5411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Légzőrendszeri, mellkasi és mediastinalis betegségek és tünetek</w:t>
            </w:r>
          </w:p>
        </w:tc>
      </w:tr>
      <w:tr w:rsidR="001F0677" w:rsidRPr="00756773" w14:paraId="6AB87DDC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373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FA8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Dyspnoe, köhögés, bronchoconstrictio </w:t>
            </w:r>
          </w:p>
        </w:tc>
      </w:tr>
      <w:tr w:rsidR="00D02612" w:rsidRPr="00756773" w14:paraId="4EA36A5F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5955" w14:textId="77777777" w:rsidR="00D02612" w:rsidRPr="00756773" w:rsidRDefault="00D02612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E7C0" w14:textId="77777777" w:rsidR="00D02612" w:rsidRPr="00756773" w:rsidRDefault="00D02612" w:rsidP="009A3F18">
            <w:pPr>
              <w:pStyle w:val="Default"/>
              <w:rPr>
                <w:sz w:val="22"/>
                <w:szCs w:val="22"/>
              </w:rPr>
            </w:pPr>
            <w:r w:rsidRPr="00756773">
              <w:rPr>
                <w:sz w:val="22"/>
                <w:szCs w:val="22"/>
              </w:rPr>
              <w:t>Intersticiális tüdőbetegség</w:t>
            </w:r>
          </w:p>
        </w:tc>
      </w:tr>
      <w:tr w:rsidR="001F0677" w:rsidRPr="00756773" w14:paraId="70F0FB72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8C2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Emésztőrendszeri betegségek és tünetek</w:t>
            </w:r>
          </w:p>
        </w:tc>
      </w:tr>
      <w:tr w:rsidR="001F0677" w:rsidRPr="00756773" w14:paraId="20B10ECB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316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5441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Hányinger, hányás, </w:t>
            </w:r>
            <w:r w:rsidR="009A194C" w:rsidRPr="00361327">
              <w:rPr>
                <w:szCs w:val="22"/>
                <w:lang w:val="hu-HU"/>
              </w:rPr>
              <w:t>csökkent étvágy</w:t>
            </w:r>
          </w:p>
        </w:tc>
      </w:tr>
      <w:tr w:rsidR="001F0677" w:rsidRPr="00651825" w14:paraId="3A507299" w14:textId="77777777" w:rsidTr="00361327">
        <w:trPr>
          <w:trHeight w:val="22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38AB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D76E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Diarrhoea, obstipatio, hasi fájdalom, dyspepsia, stomatitis, szájszárazság</w:t>
            </w:r>
          </w:p>
        </w:tc>
      </w:tr>
      <w:tr w:rsidR="001F0677" w:rsidRPr="00651825" w14:paraId="02D16436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0B" w14:textId="77777777" w:rsidR="001F0677" w:rsidRPr="00756773" w:rsidRDefault="001F0677" w:rsidP="00361327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A bőr és a bőr alatti szövet betegségei és tünetei</w:t>
            </w:r>
          </w:p>
        </w:tc>
      </w:tr>
      <w:tr w:rsidR="001F0677" w:rsidRPr="00651825" w14:paraId="6E974B8B" w14:textId="77777777" w:rsidTr="00361327">
        <w:trPr>
          <w:trHeight w:val="22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1C79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11EB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Viszketés, bőrkiütés (beleértve az erythemás és maculosus exanthemát), izzadékonyság</w:t>
            </w:r>
          </w:p>
        </w:tc>
      </w:tr>
      <w:tr w:rsidR="001F0677" w:rsidRPr="00651825" w14:paraId="78C4C3C1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185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A csont- és izomrendszer, valamint a kötőszövet betegségei és tünetei</w:t>
            </w:r>
          </w:p>
        </w:tc>
      </w:tr>
      <w:tr w:rsidR="001F0677" w:rsidRPr="00756773" w14:paraId="30CBE1EB" w14:textId="77777777" w:rsidTr="00361327">
        <w:trPr>
          <w:trHeight w:val="22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B08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4C8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Csontfájdalom, myalgia, arthralgia, generalizált fájdalom</w:t>
            </w:r>
          </w:p>
        </w:tc>
      </w:tr>
      <w:tr w:rsidR="001F0677" w:rsidRPr="00756773" w14:paraId="7928A979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B14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3135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Izomgörcsök, az állkapocs osteonecrosisa</w:t>
            </w:r>
          </w:p>
        </w:tc>
      </w:tr>
      <w:tr w:rsidR="00860C71" w:rsidRPr="00651825" w14:paraId="63C162DA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8464" w14:textId="77777777" w:rsidR="00860C71" w:rsidRPr="00756773" w:rsidRDefault="00860C71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Nagyon 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A680" w14:textId="77777777" w:rsidR="00860C71" w:rsidRPr="00756773" w:rsidRDefault="00860C71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külső hallójárat és egyéb anatómiai lokalizációk, mint a femur és a csípő osteonecrosisa (biszfoszfonátok csoportjára jellemző mellékhatás)</w:t>
            </w:r>
          </w:p>
        </w:tc>
      </w:tr>
      <w:tr w:rsidR="001F0677" w:rsidRPr="00651825" w14:paraId="7337A5EC" w14:textId="77777777" w:rsidTr="00D61F10">
        <w:trPr>
          <w:trHeight w:val="98"/>
        </w:trPr>
        <w:tc>
          <w:tcPr>
            <w:tcW w:w="8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23A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 xml:space="preserve">Vese- és húgyúti betegségek és tünetek </w:t>
            </w:r>
          </w:p>
        </w:tc>
      </w:tr>
      <w:tr w:rsidR="001F0677" w:rsidRPr="00756773" w14:paraId="339B4CCC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352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4B6C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Vesekárosodás</w:t>
            </w:r>
          </w:p>
        </w:tc>
      </w:tr>
      <w:tr w:rsidR="001F0677" w:rsidRPr="00756773" w14:paraId="43F538BF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EA6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39E7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Akut veseelégtelenség, haematuria, proteinuria </w:t>
            </w:r>
          </w:p>
        </w:tc>
      </w:tr>
      <w:tr w:rsidR="00A377D6" w:rsidRPr="00756773" w14:paraId="4086CBD5" w14:textId="77777777" w:rsidTr="00361327">
        <w:trPr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CB75" w14:textId="77777777" w:rsidR="00A377D6" w:rsidRPr="00756773" w:rsidRDefault="00A377D6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4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19B3" w14:textId="77777777" w:rsidR="00A377D6" w:rsidRPr="00756773" w:rsidRDefault="00A377D6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Szerzett Fanconi-szindróma</w:t>
            </w:r>
          </w:p>
        </w:tc>
      </w:tr>
      <w:tr w:rsidR="001F0677" w:rsidRPr="00756773" w14:paraId="41FAADA3" w14:textId="77777777" w:rsidTr="00D61F10">
        <w:trPr>
          <w:gridAfter w:val="1"/>
          <w:wAfter w:w="28" w:type="dxa"/>
          <w:trHeight w:val="98"/>
        </w:trPr>
        <w:tc>
          <w:tcPr>
            <w:tcW w:w="8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822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 xml:space="preserve">Általános tünetek, az alkalmazás helyén fellépő reakciók </w:t>
            </w:r>
          </w:p>
        </w:tc>
      </w:tr>
      <w:tr w:rsidR="001F0677" w:rsidRPr="00651825" w14:paraId="50813A16" w14:textId="77777777" w:rsidTr="00361327">
        <w:trPr>
          <w:gridAfter w:val="1"/>
          <w:wAfter w:w="28" w:type="dxa"/>
          <w:trHeight w:val="35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1FE7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CB0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Láz, influenzaszerű tünetek (beleértve: fáradtság, hidegrázás, gyengélkedés és kipirulás) </w:t>
            </w:r>
          </w:p>
        </w:tc>
      </w:tr>
      <w:tr w:rsidR="001F0677" w:rsidRPr="00651825" w14:paraId="1515CE0C" w14:textId="77777777" w:rsidTr="00361327">
        <w:trPr>
          <w:gridAfter w:val="1"/>
          <w:wAfter w:w="28" w:type="dxa"/>
          <w:trHeight w:val="60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2B8C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4D4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Asthenia, peripheriás oedema, a beadás helyének reakciói (beleértve: fájdalom, irritatio, duzzanat, induratio), mellkasi fájdalom, súlygyarapodás, anaphylaxiás reakció/sokk, urticaria</w:t>
            </w:r>
          </w:p>
        </w:tc>
      </w:tr>
      <w:tr w:rsidR="009A194C" w:rsidRPr="00651825" w14:paraId="2F19348B" w14:textId="77777777" w:rsidTr="00361327">
        <w:trPr>
          <w:gridAfter w:val="1"/>
          <w:wAfter w:w="28" w:type="dxa"/>
          <w:trHeight w:val="459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5983" w14:textId="77777777" w:rsidR="009A194C" w:rsidRPr="00756773" w:rsidRDefault="009A194C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9E13" w14:textId="748FB16E" w:rsidR="009A194C" w:rsidRPr="00756773" w:rsidRDefault="009A194C" w:rsidP="009A3F18">
            <w:pPr>
              <w:pStyle w:val="Default"/>
              <w:rPr>
                <w:sz w:val="22"/>
                <w:szCs w:val="22"/>
              </w:rPr>
            </w:pPr>
            <w:r w:rsidRPr="00756773">
              <w:rPr>
                <w:sz w:val="22"/>
                <w:szCs w:val="22"/>
              </w:rPr>
              <w:t>Arthritis és ízületi duzzanat, mint az akutfázis</w:t>
            </w:r>
            <w:r w:rsidR="00C76830" w:rsidRPr="00756773">
              <w:rPr>
                <w:sz w:val="22"/>
                <w:szCs w:val="22"/>
              </w:rPr>
              <w:t>-</w:t>
            </w:r>
            <w:r w:rsidRPr="00756773">
              <w:rPr>
                <w:sz w:val="22"/>
                <w:szCs w:val="22"/>
              </w:rPr>
              <w:t>reakció tünete</w:t>
            </w:r>
          </w:p>
        </w:tc>
      </w:tr>
      <w:tr w:rsidR="001F0677" w:rsidRPr="00651825" w14:paraId="55556193" w14:textId="77777777" w:rsidTr="00D61F10">
        <w:trPr>
          <w:gridAfter w:val="1"/>
          <w:wAfter w:w="28" w:type="dxa"/>
          <w:trHeight w:val="98"/>
        </w:trPr>
        <w:tc>
          <w:tcPr>
            <w:tcW w:w="8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7E4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Laboratóriumi és egyéb vizsgálatok eredményei</w:t>
            </w:r>
          </w:p>
        </w:tc>
      </w:tr>
      <w:tr w:rsidR="001F0677" w:rsidRPr="00756773" w14:paraId="3A68BDCD" w14:textId="77777777" w:rsidTr="00361327">
        <w:trPr>
          <w:gridAfter w:val="1"/>
          <w:wAfter w:w="28" w:type="dxa"/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15D9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Nagyon gyakori: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10A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Hypophosphataemia </w:t>
            </w:r>
          </w:p>
        </w:tc>
      </w:tr>
      <w:tr w:rsidR="001F0677" w:rsidRPr="00651825" w14:paraId="5C9D36E1" w14:textId="77777777" w:rsidTr="00361327">
        <w:trPr>
          <w:gridAfter w:val="1"/>
          <w:wAfter w:w="28" w:type="dxa"/>
          <w:trHeight w:val="22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2C1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B7FD" w14:textId="41C97C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vér kreatinin- és ureaszint</w:t>
            </w:r>
            <w:r w:rsidR="00C76830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jének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 emelkedése, hypocalcaemia</w:t>
            </w:r>
          </w:p>
        </w:tc>
      </w:tr>
      <w:tr w:rsidR="001F0677" w:rsidRPr="00756773" w14:paraId="5C38900F" w14:textId="77777777" w:rsidTr="00361327">
        <w:trPr>
          <w:gridAfter w:val="1"/>
          <w:wAfter w:w="28" w:type="dxa"/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4B01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231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Hypomagnesaemia, hypokalaemia</w:t>
            </w:r>
          </w:p>
        </w:tc>
      </w:tr>
      <w:tr w:rsidR="001F0677" w:rsidRPr="00756773" w14:paraId="06ADC2AC" w14:textId="77777777" w:rsidTr="00361327">
        <w:trPr>
          <w:gridAfter w:val="1"/>
          <w:wAfter w:w="28" w:type="dxa"/>
          <w:trHeight w:val="1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73C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7B7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Hyperkalaemia, hypernatraemia </w:t>
            </w:r>
          </w:p>
        </w:tc>
      </w:tr>
    </w:tbl>
    <w:p w14:paraId="41BCA6B0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7D537531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Kiválasztott mellékhatások leírása:</w:t>
      </w:r>
    </w:p>
    <w:p w14:paraId="05C3CF0B" w14:textId="4796AE0A" w:rsidR="001F0677" w:rsidRPr="00756773" w:rsidRDefault="00C76830" w:rsidP="009A3F18">
      <w:pPr>
        <w:pStyle w:val="Default"/>
        <w:rPr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 xml:space="preserve">Károsodott </w:t>
      </w:r>
      <w:r w:rsidR="001F0677" w:rsidRPr="00756773">
        <w:rPr>
          <w:i/>
          <w:iCs/>
          <w:sz w:val="22"/>
          <w:szCs w:val="22"/>
          <w:u w:val="single"/>
        </w:rPr>
        <w:t>veseműködés</w:t>
      </w:r>
    </w:p>
    <w:p w14:paraId="43EA7E63" w14:textId="5683A44D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zoledronsavval összefüggésben veseműködési zavarról számoltak be. Egy előrehaladott, csontot is </w:t>
      </w:r>
      <w:r w:rsidR="00C76830" w:rsidRPr="00756773">
        <w:rPr>
          <w:sz w:val="22"/>
          <w:szCs w:val="22"/>
        </w:rPr>
        <w:t xml:space="preserve">érintő </w:t>
      </w:r>
      <w:r w:rsidRPr="00756773">
        <w:rPr>
          <w:sz w:val="22"/>
          <w:szCs w:val="22"/>
        </w:rPr>
        <w:t xml:space="preserve">rosszindulatú daganatos betegségekben szenvedő betegek csontrendszert érintő eseményeinek megelőzését célzó zoledronsav regisztrációs vizsgálatból gyűjtött biztonsági adatok összesített elemzésében a zoledronsav-kezeléssel várhatóan kapcsolatba hozható vesekárosodás nemkívánatos események (mellékhatások) gyakorisága a következőképpen alakult: myeloma multiplex (3,2%), prosztatarák (3,1%), mellrák (4,3%), tüdő és más szolid tumorok (3,2%). A veseműködés romlásának lehetőségét esetlegesen növelő tényezők közé tartozik a dehydratio, a már meglévő </w:t>
      </w:r>
      <w:r w:rsidR="00C76830" w:rsidRPr="00756773">
        <w:rPr>
          <w:sz w:val="22"/>
          <w:szCs w:val="22"/>
        </w:rPr>
        <w:t xml:space="preserve">károsodott </w:t>
      </w:r>
      <w:r w:rsidRPr="00756773">
        <w:rPr>
          <w:sz w:val="22"/>
          <w:szCs w:val="22"/>
        </w:rPr>
        <w:t>veseműködés, a zoledronsav vagy egyéb biszfoszfonátok több cikluson keresztül történő alkalmazása, valamint a nephrotoxicus gyógyszerek egyidejű alkalmazása vagy az aktuálisan ajánlottnál rövidebb infúziós időtartam. A 4</w:t>
      </w:r>
      <w:r w:rsidR="00DC146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kezdő dózisa vagy egy egyszeri dózis után a betegeknél a veseműködés romlásáról, veseelégtelenségig történő progresszióról és dialízisről számoltak be (lásd 4.4 pont).</w:t>
      </w:r>
    </w:p>
    <w:p w14:paraId="15FF67F2" w14:textId="77777777" w:rsidR="001F0677" w:rsidRPr="00756773" w:rsidRDefault="001F0677" w:rsidP="009A3F18">
      <w:pPr>
        <w:pStyle w:val="Default"/>
        <w:rPr>
          <w:i/>
          <w:iCs/>
          <w:sz w:val="22"/>
          <w:szCs w:val="22"/>
        </w:rPr>
      </w:pPr>
    </w:p>
    <w:p w14:paraId="02436970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>Az állkapocs osteonecrosisa</w:t>
      </w:r>
    </w:p>
    <w:p w14:paraId="6F309BD7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Túlnyomórészt a csont reszorpcióját gátló g</w:t>
      </w:r>
      <w:r w:rsidR="009E63AB" w:rsidRPr="00756773">
        <w:rPr>
          <w:sz w:val="22"/>
          <w:szCs w:val="22"/>
        </w:rPr>
        <w:t>y</w:t>
      </w:r>
      <w:r w:rsidRPr="00756773">
        <w:rPr>
          <w:sz w:val="22"/>
          <w:szCs w:val="22"/>
        </w:rPr>
        <w:t>ógyszerekkel, például zoledronsavval kezelt daganatos betegeknél az állkapocs osteonecrosisáról számoltak be</w:t>
      </w:r>
      <w:r w:rsidR="00CD484E" w:rsidRPr="00756773">
        <w:rPr>
          <w:sz w:val="22"/>
          <w:szCs w:val="22"/>
        </w:rPr>
        <w:t xml:space="preserve"> (lásd 4.4 pont)</w:t>
      </w:r>
      <w:r w:rsidRPr="00756773">
        <w:rPr>
          <w:sz w:val="22"/>
          <w:szCs w:val="22"/>
        </w:rPr>
        <w:t xml:space="preserve">. Közülük sok beteg </w:t>
      </w:r>
      <w:r w:rsidR="001E1DCD" w:rsidRPr="00756773">
        <w:rPr>
          <w:sz w:val="22"/>
          <w:szCs w:val="22"/>
        </w:rPr>
        <w:t>kemoterápiával</w:t>
      </w:r>
      <w:r w:rsidR="00390968" w:rsidRPr="00756773">
        <w:rPr>
          <w:sz w:val="22"/>
          <w:szCs w:val="22"/>
        </w:rPr>
        <w:t xml:space="preserve"> és kort</w:t>
      </w:r>
      <w:r w:rsidR="00A11C2D" w:rsidRPr="00756773">
        <w:rPr>
          <w:sz w:val="22"/>
          <w:szCs w:val="22"/>
        </w:rPr>
        <w:t>i</w:t>
      </w:r>
      <w:r w:rsidR="00390968" w:rsidRPr="00756773">
        <w:rPr>
          <w:sz w:val="22"/>
          <w:szCs w:val="22"/>
        </w:rPr>
        <w:t>koszteroidok</w:t>
      </w:r>
      <w:r w:rsidR="007D6854" w:rsidRPr="00756773">
        <w:rPr>
          <w:sz w:val="22"/>
          <w:szCs w:val="22"/>
        </w:rPr>
        <w:t>kal is egy</w:t>
      </w:r>
      <w:r w:rsidR="001E1DCD" w:rsidRPr="00756773">
        <w:rPr>
          <w:sz w:val="22"/>
          <w:szCs w:val="22"/>
        </w:rPr>
        <w:t>ü</w:t>
      </w:r>
      <w:r w:rsidR="007D6854" w:rsidRPr="00756773">
        <w:rPr>
          <w:sz w:val="22"/>
          <w:szCs w:val="22"/>
        </w:rPr>
        <w:t>tt kezelt</w:t>
      </w:r>
      <w:r w:rsidR="00390968" w:rsidRPr="00756773">
        <w:rPr>
          <w:sz w:val="22"/>
          <w:szCs w:val="22"/>
        </w:rPr>
        <w:t>, és esetükben</w:t>
      </w:r>
      <w:r w:rsidRPr="00756773">
        <w:rPr>
          <w:sz w:val="22"/>
          <w:szCs w:val="22"/>
        </w:rPr>
        <w:t xml:space="preserve"> helyi fertőzés tünetei álltak fenn, beleértve az osteomyelitist</w:t>
      </w:r>
      <w:r w:rsidR="00390968" w:rsidRPr="00756773">
        <w:rPr>
          <w:sz w:val="22"/>
          <w:szCs w:val="22"/>
        </w:rPr>
        <w:t>.</w:t>
      </w:r>
      <w:r w:rsidRPr="00756773">
        <w:rPr>
          <w:sz w:val="22"/>
          <w:szCs w:val="22"/>
        </w:rPr>
        <w:t xml:space="preserve"> </w:t>
      </w:r>
      <w:r w:rsidR="00390968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jelentett esetek legtöbbje foghúzáson, vagy más szájsebészeti beavatkozáson átesett daganatos betegekre vonatkozott.</w:t>
      </w:r>
    </w:p>
    <w:p w14:paraId="36D7831D" w14:textId="77777777" w:rsidR="001F0677" w:rsidRPr="00756773" w:rsidRDefault="001F0677" w:rsidP="009A3F18">
      <w:pPr>
        <w:pStyle w:val="Default"/>
        <w:rPr>
          <w:i/>
          <w:iCs/>
          <w:sz w:val="22"/>
          <w:szCs w:val="22"/>
        </w:rPr>
      </w:pPr>
    </w:p>
    <w:p w14:paraId="04CDD19F" w14:textId="77777777" w:rsidR="001F0677" w:rsidRPr="00756773" w:rsidRDefault="001F0677" w:rsidP="00361327">
      <w:pPr>
        <w:pStyle w:val="Default"/>
        <w:keepNext/>
        <w:rPr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>Pitvarfibrilláció</w:t>
      </w:r>
    </w:p>
    <w:p w14:paraId="66EF6B52" w14:textId="1342F9EA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Egy 3 évig tartó randomizált, kettős</w:t>
      </w:r>
      <w:r w:rsidR="00C76830" w:rsidRPr="00756773">
        <w:rPr>
          <w:szCs w:val="22"/>
          <w:lang w:val="hu-HU"/>
        </w:rPr>
        <w:t xml:space="preserve"> </w:t>
      </w:r>
      <w:r w:rsidRPr="00756773">
        <w:rPr>
          <w:szCs w:val="22"/>
          <w:lang w:val="hu-HU"/>
        </w:rPr>
        <w:t>vak, kontrollos vizsgálatban, amely az évenként egyszeri 5</w:t>
      </w:r>
      <w:r w:rsidR="00F71D14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 placebóhoz viszonyított hatásosságát és biztonságosságát értékelte a postmenopausális osteoporosis (PMO) kezelése során, a pitvarfibrilláció teljes előfordulási gyakorisága 2,5% volt az 5</w:t>
      </w:r>
      <w:r w:rsidR="00F71D14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zoledronsavat kapó betegeknél (3862-ből 96), és 1,9% volt a placebót kapó betegeknél (3852-ből 75). A súlyos nemkívánatos pitvarfibrilláció események aránya 1,3% volt az 5</w:t>
      </w:r>
      <w:r w:rsidR="00F71D14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zoledronsavat kapó betegeknél (3862-ből 51), és 0,6% volt a placebót kapó betegeknél (3852-ből 22). Az ebben a vizsgálatban észlelt aránytalanságot más, zoledronsavval végzett vizsgálatokban nem észlelték, beleértve azt is, amelyben a 4</w:t>
      </w:r>
      <w:r w:rsidR="00F71D14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zoledronsavat 3</w:t>
      </w:r>
      <w:r w:rsidR="00F71D14" w:rsidRPr="00756773">
        <w:rPr>
          <w:szCs w:val="22"/>
          <w:lang w:val="hu-HU"/>
        </w:rPr>
        <w:t>-</w:t>
      </w:r>
      <w:r w:rsidRPr="00756773">
        <w:rPr>
          <w:szCs w:val="22"/>
          <w:lang w:val="hu-HU"/>
        </w:rPr>
        <w:t>4</w:t>
      </w:r>
      <w:r w:rsidR="00F71D14" w:rsidRPr="00756773">
        <w:rPr>
          <w:szCs w:val="22"/>
          <w:lang w:val="hu-HU"/>
        </w:rPr>
        <w:t xml:space="preserve"> </w:t>
      </w:r>
      <w:r w:rsidRPr="00756773">
        <w:rPr>
          <w:szCs w:val="22"/>
          <w:lang w:val="hu-HU"/>
        </w:rPr>
        <w:t>hetente adták onkológiai betegeknek. A pitvarfibrillációnak az ebben az egyetlen klinikai vizsgálatban észlelt emelkedett előfordulási gyakorisága mögött álló mechanizmus nem ismert.</w:t>
      </w:r>
    </w:p>
    <w:p w14:paraId="09F5093A" w14:textId="77777777" w:rsidR="001F0677" w:rsidRPr="00756773" w:rsidRDefault="001F0677" w:rsidP="009A3F18">
      <w:pPr>
        <w:pStyle w:val="Default"/>
        <w:rPr>
          <w:i/>
          <w:iCs/>
          <w:sz w:val="22"/>
          <w:szCs w:val="22"/>
        </w:rPr>
      </w:pPr>
    </w:p>
    <w:p w14:paraId="186FA0C8" w14:textId="6A41441F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>Akutfázis</w:t>
      </w:r>
      <w:r w:rsidR="00C76830" w:rsidRPr="00756773">
        <w:rPr>
          <w:i/>
          <w:iCs/>
          <w:sz w:val="22"/>
          <w:szCs w:val="22"/>
          <w:u w:val="single"/>
        </w:rPr>
        <w:t>-</w:t>
      </w:r>
      <w:r w:rsidRPr="00756773">
        <w:rPr>
          <w:i/>
          <w:iCs/>
          <w:sz w:val="22"/>
          <w:szCs w:val="22"/>
          <w:u w:val="single"/>
        </w:rPr>
        <w:t>reakció</w:t>
      </w:r>
    </w:p>
    <w:p w14:paraId="0D77E0AA" w14:textId="7E99CD72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Ez a gyógyszer okozta mellékhatás olyan tünetek összességéből áll, mint a láz, a myalgia, a fejfájás, a végtagfájdalom, a hányinger, a hányás, a hasmenés</w:t>
      </w:r>
      <w:r w:rsidR="00390968" w:rsidRPr="00756773">
        <w:rPr>
          <w:sz w:val="22"/>
          <w:szCs w:val="22"/>
        </w:rPr>
        <w:t>,</w:t>
      </w:r>
      <w:r w:rsidRPr="00756773">
        <w:rPr>
          <w:sz w:val="22"/>
          <w:szCs w:val="22"/>
        </w:rPr>
        <w:t xml:space="preserve"> az arthralgia</w:t>
      </w:r>
      <w:r w:rsidR="00390968" w:rsidRPr="00756773">
        <w:rPr>
          <w:sz w:val="22"/>
          <w:szCs w:val="22"/>
        </w:rPr>
        <w:t xml:space="preserve"> és az arthritis, bekövetkező ízületi duzzanattal</w:t>
      </w:r>
      <w:r w:rsidRPr="00756773">
        <w:rPr>
          <w:sz w:val="22"/>
          <w:szCs w:val="22"/>
        </w:rPr>
        <w:t>. Kialakulásának ideje a zoledronsav infúziót követő ≤ 3 nap, és a reakcióra szokták még az „influenzaszerű” vagy az „adagolás utáni” tünet</w:t>
      </w:r>
      <w:r w:rsidR="00C776A2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együttes kifejezést használni.</w:t>
      </w:r>
    </w:p>
    <w:p w14:paraId="4AF2A296" w14:textId="77777777" w:rsidR="001F0677" w:rsidRPr="00756773" w:rsidRDefault="001F0677" w:rsidP="009A3F18">
      <w:pPr>
        <w:pStyle w:val="Default"/>
        <w:rPr>
          <w:i/>
          <w:iCs/>
          <w:sz w:val="22"/>
          <w:szCs w:val="22"/>
        </w:rPr>
      </w:pPr>
    </w:p>
    <w:p w14:paraId="5954439C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>Atípusos femur-törések</w:t>
      </w:r>
    </w:p>
    <w:p w14:paraId="10B29FD3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forgalomba hozatalt követően az alábbi reakciókról számoltak be (gyakoriságuk ritka):</w:t>
      </w:r>
    </w:p>
    <w:p w14:paraId="2FAA2790" w14:textId="77777777" w:rsidR="001F0677" w:rsidRPr="00756773" w:rsidRDefault="001F0677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Atípusos subtrochanter és diaphysealis femur-törések (biszfoszfonát csoport-mellékhatás).</w:t>
      </w:r>
    </w:p>
    <w:p w14:paraId="2DBC84D9" w14:textId="77777777" w:rsidR="00D02612" w:rsidRPr="00756773" w:rsidRDefault="00D02612" w:rsidP="009A3F18">
      <w:pPr>
        <w:spacing w:line="240" w:lineRule="auto"/>
        <w:rPr>
          <w:szCs w:val="22"/>
          <w:lang w:val="hu-HU"/>
        </w:rPr>
      </w:pPr>
    </w:p>
    <w:p w14:paraId="344141E3" w14:textId="77777777" w:rsidR="00FC269A" w:rsidRPr="00756773" w:rsidRDefault="00691E37" w:rsidP="009A3F18">
      <w:pPr>
        <w:pStyle w:val="Default"/>
        <w:rPr>
          <w:sz w:val="22"/>
          <w:szCs w:val="22"/>
        </w:rPr>
      </w:pPr>
      <w:r w:rsidRPr="00756773">
        <w:rPr>
          <w:i/>
          <w:iCs/>
          <w:sz w:val="22"/>
          <w:szCs w:val="22"/>
        </w:rPr>
        <w:t>A h</w:t>
      </w:r>
      <w:r w:rsidR="00FC269A" w:rsidRPr="00756773">
        <w:rPr>
          <w:i/>
          <w:iCs/>
          <w:sz w:val="22"/>
          <w:szCs w:val="22"/>
        </w:rPr>
        <w:t>ypocalcaemiával összefüggő mellékhatások</w:t>
      </w:r>
    </w:p>
    <w:p w14:paraId="46897F20" w14:textId="0EF9D8EC" w:rsidR="00D02612" w:rsidRPr="00756773" w:rsidRDefault="00FC269A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hypocalcaemia egy fontos azonosított kockázat a </w:t>
      </w:r>
      <w:r w:rsidR="003B439C" w:rsidRPr="00756773">
        <w:rPr>
          <w:szCs w:val="22"/>
          <w:lang w:val="hu-HU"/>
        </w:rPr>
        <w:t>Z</w:t>
      </w:r>
      <w:r w:rsidR="008C4198" w:rsidRPr="00756773">
        <w:rPr>
          <w:szCs w:val="22"/>
          <w:lang w:val="hu-HU"/>
        </w:rPr>
        <w:t>oledronsav</w:t>
      </w:r>
      <w:r w:rsidR="003B439C" w:rsidRPr="00756773">
        <w:rPr>
          <w:szCs w:val="22"/>
          <w:lang w:val="hu-HU"/>
        </w:rPr>
        <w:t xml:space="preserve"> </w:t>
      </w:r>
      <w:r w:rsidR="0043693C" w:rsidRPr="00756773">
        <w:rPr>
          <w:szCs w:val="22"/>
          <w:lang w:val="hu-HU"/>
        </w:rPr>
        <w:t>Onkogen</w:t>
      </w:r>
      <w:r w:rsidR="003B439C" w:rsidRPr="00756773">
        <w:rPr>
          <w:szCs w:val="22"/>
          <w:lang w:val="hu-HU"/>
        </w:rPr>
        <w:t xml:space="preserve"> </w:t>
      </w:r>
      <w:r w:rsidRPr="00756773">
        <w:rPr>
          <w:szCs w:val="22"/>
          <w:lang w:val="hu-HU"/>
        </w:rPr>
        <w:t xml:space="preserve">elfogadott indikációiban. Mind a klinikai vizsgálati, mind a forgalomba hozatalt követő esetek áttekintése alapján elegendő bizonyíték van annak alátámasztására, hogy a </w:t>
      </w:r>
      <w:r w:rsidR="00824F98" w:rsidRPr="00756773">
        <w:rPr>
          <w:szCs w:val="22"/>
          <w:lang w:val="hu-HU"/>
        </w:rPr>
        <w:t>z</w:t>
      </w:r>
      <w:r w:rsidR="008C4198" w:rsidRPr="00756773">
        <w:rPr>
          <w:szCs w:val="22"/>
          <w:lang w:val="hu-HU"/>
        </w:rPr>
        <w:t xml:space="preserve">oledronsav </w:t>
      </w:r>
      <w:r w:rsidRPr="00756773">
        <w:rPr>
          <w:szCs w:val="22"/>
          <w:lang w:val="hu-HU"/>
        </w:rPr>
        <w:t xml:space="preserve">kezelés és a bejelentett hypocalcaemiás események, valamint a következményes szívritmuszavar kialakulása között összefüggés van. Továbbá </w:t>
      </w:r>
      <w:r w:rsidR="000655C8" w:rsidRPr="00756773">
        <w:rPr>
          <w:szCs w:val="22"/>
          <w:lang w:val="hu-HU"/>
        </w:rPr>
        <w:t xml:space="preserve">van </w:t>
      </w:r>
      <w:r w:rsidRPr="00756773">
        <w:rPr>
          <w:szCs w:val="22"/>
          <w:lang w:val="hu-HU"/>
        </w:rPr>
        <w:t>bizonyíték a hypocalcaemia és a következményes neurológiai esetek –</w:t>
      </w:r>
      <w:r w:rsidR="00390968" w:rsidRPr="00756773">
        <w:rPr>
          <w:szCs w:val="22"/>
          <w:lang w:val="hu-HU"/>
        </w:rPr>
        <w:t xml:space="preserve">görcsök, hypoaesthesia </w:t>
      </w:r>
      <w:r w:rsidRPr="00756773">
        <w:rPr>
          <w:szCs w:val="22"/>
          <w:lang w:val="hu-HU"/>
        </w:rPr>
        <w:t>és tet</w:t>
      </w:r>
      <w:r w:rsidR="00F84D1B" w:rsidRPr="00756773">
        <w:rPr>
          <w:szCs w:val="22"/>
          <w:lang w:val="hu-HU"/>
        </w:rPr>
        <w:t>á</w:t>
      </w:r>
      <w:r w:rsidRPr="00756773">
        <w:rPr>
          <w:szCs w:val="22"/>
          <w:lang w:val="hu-HU"/>
        </w:rPr>
        <w:t>nia – közötti összefüggésre is (lásd 4.4</w:t>
      </w:r>
      <w:r w:rsidR="00EA1309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pont)</w:t>
      </w:r>
      <w:r w:rsidR="00651825">
        <w:rPr>
          <w:szCs w:val="22"/>
          <w:lang w:val="hu-HU"/>
        </w:rPr>
        <w:t>.</w:t>
      </w:r>
    </w:p>
    <w:p w14:paraId="23DECA6A" w14:textId="77777777" w:rsidR="00FC269A" w:rsidRPr="00756773" w:rsidRDefault="00FC269A" w:rsidP="009A3F18">
      <w:pPr>
        <w:spacing w:line="240" w:lineRule="auto"/>
        <w:rPr>
          <w:szCs w:val="22"/>
          <w:lang w:val="hu-HU"/>
        </w:rPr>
      </w:pPr>
    </w:p>
    <w:p w14:paraId="35080B8A" w14:textId="77777777" w:rsidR="00FC269A" w:rsidRPr="00756773" w:rsidRDefault="00FC269A" w:rsidP="009A3F18">
      <w:pPr>
        <w:spacing w:line="240" w:lineRule="auto"/>
        <w:rPr>
          <w:szCs w:val="22"/>
          <w:u w:val="single"/>
          <w:lang w:val="hu-HU"/>
        </w:rPr>
      </w:pPr>
      <w:r w:rsidRPr="00756773">
        <w:rPr>
          <w:szCs w:val="22"/>
          <w:u w:val="single"/>
          <w:lang w:val="hu-HU"/>
        </w:rPr>
        <w:t>Feltételezett mellékhatások bejelentése</w:t>
      </w:r>
    </w:p>
    <w:p w14:paraId="39F94332" w14:textId="77777777" w:rsidR="00824F98" w:rsidRPr="00756773" w:rsidRDefault="00824F98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A93B872" w14:textId="77777777" w:rsidR="00824F98" w:rsidRPr="00756773" w:rsidRDefault="00824F98" w:rsidP="009A3F18">
      <w:pPr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756773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756773">
        <w:rPr>
          <w:szCs w:val="22"/>
          <w:highlight w:val="lightGray"/>
          <w:lang w:val="hu-HU"/>
        </w:rPr>
        <w:t xml:space="preserve"> található elérhetőségek valamelyikén keresztül</w:t>
      </w:r>
      <w:r w:rsidRPr="00756773">
        <w:rPr>
          <w:szCs w:val="22"/>
          <w:lang w:val="hu-HU"/>
        </w:rPr>
        <w:t>.</w:t>
      </w:r>
    </w:p>
    <w:p w14:paraId="0017BABF" w14:textId="77777777" w:rsidR="00EA1309" w:rsidRPr="00756773" w:rsidRDefault="00EA1309" w:rsidP="009A3F18">
      <w:pPr>
        <w:spacing w:line="240" w:lineRule="auto"/>
        <w:rPr>
          <w:szCs w:val="22"/>
          <w:lang w:val="hu-HU"/>
        </w:rPr>
      </w:pPr>
    </w:p>
    <w:p w14:paraId="2963CFE2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4.9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752AE82B" w14:textId="77777777" w:rsidR="001F0677" w:rsidRPr="00756773" w:rsidRDefault="001F0677" w:rsidP="009A3F18">
      <w:pPr>
        <w:suppressLineNumbers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A19A3A6" w14:textId="64DF5857" w:rsidR="001F0677" w:rsidRPr="00756773" w:rsidRDefault="001F0677" w:rsidP="009A3F18">
      <w:pPr>
        <w:suppressLineNumbers/>
        <w:spacing w:line="240" w:lineRule="auto"/>
        <w:outlineLvl w:val="0"/>
        <w:rPr>
          <w:b/>
          <w:szCs w:val="22"/>
          <w:lang w:val="hu-HU"/>
        </w:rPr>
      </w:pPr>
      <w:r w:rsidRPr="00756773">
        <w:rPr>
          <w:szCs w:val="22"/>
          <w:lang w:val="hu-HU"/>
        </w:rPr>
        <w:t>A zoledronsav akut túladagolásával kapcsolatos klinikai tapasztalat korlátozott. Legfeljebb 48</w:t>
      </w:r>
      <w:r w:rsidR="00EC2A19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 xml:space="preserve">mg-os zoledronsav dózisok tévedésből történő alkalmazásáról számoltak be. Gondosan ellenőrizni kell azokat a betegeket, akik az ajánlottnál nagyobb </w:t>
      </w:r>
      <w:r w:rsidR="00C776A2" w:rsidRPr="00756773">
        <w:rPr>
          <w:szCs w:val="22"/>
          <w:lang w:val="hu-HU"/>
        </w:rPr>
        <w:t xml:space="preserve">dózisokat </w:t>
      </w:r>
      <w:r w:rsidRPr="00756773">
        <w:rPr>
          <w:szCs w:val="22"/>
          <w:lang w:val="hu-HU"/>
        </w:rPr>
        <w:t>kaptak (lásd 4.2</w:t>
      </w:r>
      <w:r w:rsidR="00EC2A19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pont), mivel a veseműködés károsodását (beleértve a veseelégtelenséget is) és a szérum</w:t>
      </w:r>
      <w:r w:rsidR="00C76830" w:rsidRPr="00756773">
        <w:rPr>
          <w:szCs w:val="22"/>
          <w:lang w:val="hu-HU"/>
        </w:rPr>
        <w:t>-</w:t>
      </w:r>
      <w:r w:rsidRPr="00756773">
        <w:rPr>
          <w:szCs w:val="22"/>
          <w:lang w:val="hu-HU"/>
        </w:rPr>
        <w:t>elektrolitszintek (köztük a kalcium, foszfor és magnézium) eltéréseit észlelték. Hypocalcaemia esetén kalcium-glükonát infúziókat kell alkalmazni, ha az klinikailag indokolt.</w:t>
      </w:r>
    </w:p>
    <w:p w14:paraId="14A7CBAF" w14:textId="77777777" w:rsidR="001F0677" w:rsidRPr="00756773" w:rsidRDefault="001F0677" w:rsidP="009A3F18">
      <w:pPr>
        <w:suppressLineNumbers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43DAAC8" w14:textId="77777777" w:rsidR="001F0677" w:rsidRPr="00756773" w:rsidRDefault="001F0677" w:rsidP="009A3F18">
      <w:pPr>
        <w:suppressLineNumbers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CCD6298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5.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7E4C33F0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4C716C68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5.1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Farmakodinámiás tulajdonságok</w:t>
      </w:r>
    </w:p>
    <w:p w14:paraId="3658B31D" w14:textId="777777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94033D" w14:textId="674CDDD7" w:rsidR="00225956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Farmakoterápiás csoport: Csontbetegségek kezelésének gyógyszerei, biszfoszfonátok </w:t>
      </w:r>
    </w:p>
    <w:p w14:paraId="03DC3781" w14:textId="7F55470F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ATC kód: M05BA08</w:t>
      </w:r>
    </w:p>
    <w:p w14:paraId="324A0CC8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5DD921FB" w14:textId="6C0B3FE1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zoledronsav a biszfoszfonátok család</w:t>
      </w:r>
      <w:r w:rsidR="006B1E97" w:rsidRPr="00756773">
        <w:rPr>
          <w:sz w:val="22"/>
          <w:szCs w:val="22"/>
        </w:rPr>
        <w:t>já</w:t>
      </w:r>
      <w:r w:rsidRPr="00756773">
        <w:rPr>
          <w:sz w:val="22"/>
          <w:szCs w:val="22"/>
        </w:rPr>
        <w:t>ba tartozik, és elsősorban a csontra hat. Az osteoclastok csontreszorpciós tevékenységének gátlószere.</w:t>
      </w:r>
    </w:p>
    <w:p w14:paraId="6DF98567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187FBDDA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biszfoszfonátok csontra gyakorolt szelektív hatása a mineralizált csonthoz való erős affinitásukon alapszik, azonban a pontos molekuláris mechanizmus, mely az osteoclast tevékenység gátlásához vezet még nem ismert. Krónikus állatkísérletekben a zoledronsav gátolja a csontreszorpciót anélkül, hogy az újraképződést, a mineralizációt vagy a csont mechanikai tulajdonságait károsan befolyásolná.</w:t>
      </w:r>
    </w:p>
    <w:p w14:paraId="77A30A5E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44D19E80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csontreszorpciót erősen gátló hatása mellett a zoledronsav számos daganatellenes hatással is rendelkezik, amelyek hozzájárulnak a csontmetasztázisok kezelésében elért hatékonyságához. Preklinikai vizsgálatokban az alábbi tulajdonságait mutatták ki:</w:t>
      </w:r>
    </w:p>
    <w:p w14:paraId="38BA7323" w14:textId="16EF328D" w:rsidR="001F0677" w:rsidRPr="00756773" w:rsidRDefault="001F0677" w:rsidP="009A3F18">
      <w:pPr>
        <w:pStyle w:val="Default"/>
        <w:numPr>
          <w:ilvl w:val="0"/>
          <w:numId w:val="3"/>
        </w:numPr>
        <w:rPr>
          <w:sz w:val="22"/>
          <w:szCs w:val="22"/>
        </w:rPr>
      </w:pPr>
      <w:r w:rsidRPr="00756773">
        <w:rPr>
          <w:i/>
          <w:iCs/>
          <w:sz w:val="22"/>
          <w:szCs w:val="22"/>
        </w:rPr>
        <w:t xml:space="preserve">In vivo: </w:t>
      </w:r>
      <w:r w:rsidRPr="00756773">
        <w:rPr>
          <w:sz w:val="22"/>
          <w:szCs w:val="22"/>
        </w:rPr>
        <w:t>Az osteoclast okozta csontreszorpció</w:t>
      </w:r>
      <w:r w:rsidR="009E63AB" w:rsidRPr="00756773">
        <w:rPr>
          <w:sz w:val="22"/>
          <w:szCs w:val="22"/>
        </w:rPr>
        <w:t>t</w:t>
      </w:r>
      <w:r w:rsidRPr="00756773">
        <w:rPr>
          <w:sz w:val="22"/>
          <w:szCs w:val="22"/>
        </w:rPr>
        <w:t xml:space="preserve"> gát</w:t>
      </w:r>
      <w:r w:rsidR="00C776A2" w:rsidRPr="00756773">
        <w:rPr>
          <w:sz w:val="22"/>
          <w:szCs w:val="22"/>
        </w:rPr>
        <w:t>olja</w:t>
      </w:r>
      <w:r w:rsidRPr="00756773">
        <w:rPr>
          <w:sz w:val="22"/>
          <w:szCs w:val="22"/>
        </w:rPr>
        <w:t>, ami megváltoztatva a csontvelő mikrokörnyezetét kedvezőtlenebbé teszi a daganatsejtek növekedését, angiog</w:t>
      </w:r>
      <w:r w:rsidR="007E50CE" w:rsidRPr="00756773">
        <w:rPr>
          <w:sz w:val="22"/>
          <w:szCs w:val="22"/>
        </w:rPr>
        <w:t>enezis-gátló</w:t>
      </w:r>
      <w:r w:rsidR="00EC2A19" w:rsidRPr="00756773">
        <w:rPr>
          <w:sz w:val="22"/>
          <w:szCs w:val="22"/>
        </w:rPr>
        <w:t xml:space="preserve"> és </w:t>
      </w:r>
      <w:r w:rsidRPr="00756773">
        <w:rPr>
          <w:sz w:val="22"/>
          <w:szCs w:val="22"/>
        </w:rPr>
        <w:t>fájdalomcsökkentő hatás</w:t>
      </w:r>
      <w:r w:rsidR="00C776A2" w:rsidRPr="00756773">
        <w:rPr>
          <w:sz w:val="22"/>
          <w:szCs w:val="22"/>
        </w:rPr>
        <w:t>a van</w:t>
      </w:r>
      <w:r w:rsidRPr="00756773">
        <w:rPr>
          <w:sz w:val="22"/>
          <w:szCs w:val="22"/>
        </w:rPr>
        <w:t>.</w:t>
      </w:r>
    </w:p>
    <w:p w14:paraId="63DFC900" w14:textId="77777777" w:rsidR="001F0677" w:rsidRPr="00756773" w:rsidRDefault="001F0677" w:rsidP="009A3F18">
      <w:pPr>
        <w:pStyle w:val="Default"/>
        <w:numPr>
          <w:ilvl w:val="0"/>
          <w:numId w:val="3"/>
        </w:numPr>
        <w:rPr>
          <w:sz w:val="22"/>
          <w:szCs w:val="22"/>
        </w:rPr>
      </w:pPr>
      <w:r w:rsidRPr="00756773">
        <w:rPr>
          <w:i/>
          <w:iCs/>
          <w:sz w:val="22"/>
          <w:szCs w:val="22"/>
        </w:rPr>
        <w:t xml:space="preserve">In vitro: </w:t>
      </w:r>
      <w:r w:rsidRPr="00756773">
        <w:rPr>
          <w:sz w:val="22"/>
          <w:szCs w:val="22"/>
        </w:rPr>
        <w:t>Az osteoblast proliferáció</w:t>
      </w:r>
      <w:r w:rsidR="00C776A2" w:rsidRPr="00756773">
        <w:rPr>
          <w:sz w:val="22"/>
          <w:szCs w:val="22"/>
        </w:rPr>
        <w:t>t</w:t>
      </w:r>
      <w:r w:rsidRPr="00756773">
        <w:rPr>
          <w:sz w:val="22"/>
          <w:szCs w:val="22"/>
        </w:rPr>
        <w:t xml:space="preserve"> gát</w:t>
      </w:r>
      <w:r w:rsidR="00C776A2" w:rsidRPr="00756773">
        <w:rPr>
          <w:sz w:val="22"/>
          <w:szCs w:val="22"/>
        </w:rPr>
        <w:t>olja</w:t>
      </w:r>
      <w:r w:rsidRPr="00756773">
        <w:rPr>
          <w:sz w:val="22"/>
          <w:szCs w:val="22"/>
        </w:rPr>
        <w:t>, a tumorsejtekre gyakorolt direkt citosztatikus és pro-apoptotikus hatás</w:t>
      </w:r>
      <w:r w:rsidR="00C776A2" w:rsidRPr="00756773">
        <w:rPr>
          <w:sz w:val="22"/>
          <w:szCs w:val="22"/>
        </w:rPr>
        <w:t>sal van</w:t>
      </w:r>
      <w:r w:rsidRPr="00756773">
        <w:rPr>
          <w:sz w:val="22"/>
          <w:szCs w:val="22"/>
        </w:rPr>
        <w:t>, más daganatgátló szerekkel való szinergista citosztatikus hatás</w:t>
      </w:r>
      <w:r w:rsidR="00C776A2" w:rsidRPr="00756773">
        <w:rPr>
          <w:sz w:val="22"/>
          <w:szCs w:val="22"/>
        </w:rPr>
        <w:t>sal rendelkezik</w:t>
      </w:r>
      <w:r w:rsidRPr="00756773">
        <w:rPr>
          <w:sz w:val="22"/>
          <w:szCs w:val="22"/>
        </w:rPr>
        <w:t>, antiadhéziós/inváziós aktivitás</w:t>
      </w:r>
      <w:r w:rsidR="00C776A2" w:rsidRPr="00756773">
        <w:rPr>
          <w:sz w:val="22"/>
          <w:szCs w:val="22"/>
        </w:rPr>
        <w:t>a van</w:t>
      </w:r>
      <w:r w:rsidRPr="00756773">
        <w:rPr>
          <w:sz w:val="22"/>
          <w:szCs w:val="22"/>
        </w:rPr>
        <w:t>.</w:t>
      </w:r>
    </w:p>
    <w:p w14:paraId="1B2EE330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70CE6846" w14:textId="71731B51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 xml:space="preserve">Előrehaladott, csontot is </w:t>
      </w:r>
      <w:r w:rsidR="006B1E97" w:rsidRPr="00756773">
        <w:rPr>
          <w:sz w:val="22"/>
          <w:szCs w:val="22"/>
          <w:u w:val="single"/>
        </w:rPr>
        <w:t>érintő</w:t>
      </w:r>
      <w:r w:rsidRPr="00756773">
        <w:rPr>
          <w:sz w:val="22"/>
          <w:szCs w:val="22"/>
          <w:u w:val="single"/>
        </w:rPr>
        <w:t>, rosszindulatú daganatos betegségekben szenvedő betegek csontrendszert érintő eseményeinek megelőzésére végzett klinikai vizsgálati eredmények</w:t>
      </w:r>
    </w:p>
    <w:p w14:paraId="39833C57" w14:textId="62C7B0A6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Az első, randomizált, kettős</w:t>
      </w:r>
      <w:r w:rsidR="006B1E97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vak, placebokontrollos vizsgálatban prostatacarcinomás betegekben a 4</w:t>
      </w:r>
      <w:r w:rsidR="0064788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zoledronsavat placebóval haso</w:t>
      </w:r>
      <w:r w:rsidR="002926B1" w:rsidRPr="00756773">
        <w:rPr>
          <w:sz w:val="22"/>
          <w:szCs w:val="22"/>
        </w:rPr>
        <w:t>n</w:t>
      </w:r>
      <w:r w:rsidRPr="00756773">
        <w:rPr>
          <w:sz w:val="22"/>
          <w:szCs w:val="22"/>
        </w:rPr>
        <w:t>lították össze, a csontrendszert érintő események (Skeletal Related Events, SREs) prevencióját vizsgálva. A 4</w:t>
      </w:r>
      <w:r w:rsidR="0064788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a placebóval szemben szignifikánsan csökkentette a legalább egy, csontrendszert érintő eseményt (SRE) elszenvedő betegek arányát, &gt; 5 hónappal megnyújtotta az első SRE megjelenésének medián idejét, és csökkentette az egy betegre egy év alatt jutó események incidenciáját – a skeletalis morbiditási rátát. A multiplex eseményanalízis a 4</w:t>
      </w:r>
      <w:r w:rsidR="0064788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csoportban 36%-os rizikócsökkenést mutatott az SRE bekövetkeztének tekintetében a placebóhoz viszonyítva. A 4</w:t>
      </w:r>
      <w:r w:rsidR="0064788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zoledronsavval kezelt betegek fájdalom növekedése kisebb mértékű volt a placebocsoportban beszámoltakhoz képest, a különbség a 3., 9., 21., és 24. hónapban szignifikánssá vált. Kevesebb 4</w:t>
      </w:r>
      <w:r w:rsidR="0064788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zoledronsavval kezelt beteg szenvedett patológiás törést is. A kezelés hatása kevésbé volt kifejezett a blastos laesiokat mutató betegekben. A hatásosságra vonatkozó eredményeket a 2. táblázat mutatja.</w:t>
      </w:r>
    </w:p>
    <w:p w14:paraId="7AAEB9A2" w14:textId="3ECB45AC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Egy második, szolid daganatokat (emlő- és prostatacarcinomát nem) felölelő vizsgálatban a 4</w:t>
      </w:r>
      <w:r w:rsidR="0064788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 szignifikánsan csökkentette az SRE betegek arányát, &gt; 2 hónappal megnyújtotta az első SRE megjelenésének medián idejét, és csökkentette a skeletalis morbiditási rátát. A multiplex eseményanalízis a 4</w:t>
      </w:r>
      <w:r w:rsidR="0064788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 csoportban 30,7%-os rizikócsökkenést mutatott az SRE bekövetkeztének tekintetében a placebóhoz viszonyítva. A hatásosságra vonatkozó eredményeket a 3.</w:t>
      </w:r>
      <w:r w:rsidR="0064788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táblázat mutatja.</w:t>
      </w:r>
    </w:p>
    <w:p w14:paraId="173C9A66" w14:textId="77777777" w:rsidR="00E74F68" w:rsidRPr="00756773" w:rsidRDefault="00E74F68" w:rsidP="009A3F18">
      <w:pPr>
        <w:suppressLineNumbers/>
        <w:spacing w:line="240" w:lineRule="auto"/>
        <w:rPr>
          <w:szCs w:val="22"/>
          <w:lang w:val="hu-HU"/>
        </w:rPr>
      </w:pPr>
    </w:p>
    <w:p w14:paraId="1C146880" w14:textId="77777777" w:rsidR="001F0677" w:rsidRPr="00756773" w:rsidRDefault="001F0677" w:rsidP="009A3F18">
      <w:pPr>
        <w:suppressLineNumbers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b/>
          <w:bCs/>
          <w:snapToGrid/>
          <w:color w:val="000000"/>
          <w:szCs w:val="22"/>
          <w:lang w:val="hu-HU" w:eastAsia="hu-HU"/>
        </w:rPr>
        <w:t xml:space="preserve">2. táblázat: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A hatásosság eredményei (hormonkezelésben részesülő prostata</w:t>
      </w:r>
      <w:r w:rsidR="0022093F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carcinomás betegek)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1279"/>
        <w:gridCol w:w="1029"/>
        <w:gridCol w:w="1279"/>
        <w:gridCol w:w="929"/>
        <w:gridCol w:w="1279"/>
        <w:gridCol w:w="901"/>
      </w:tblGrid>
      <w:tr w:rsidR="001F0677" w:rsidRPr="00756773" w14:paraId="03F08E20" w14:textId="77777777" w:rsidTr="00591099">
        <w:tc>
          <w:tcPr>
            <w:tcW w:w="2365" w:type="dxa"/>
            <w:shd w:val="clear" w:color="auto" w:fill="auto"/>
          </w:tcPr>
          <w:p w14:paraId="55F9B8A9" w14:textId="77777777" w:rsidR="001F0677" w:rsidRPr="00756773" w:rsidRDefault="001F0677" w:rsidP="009A3F18">
            <w:pPr>
              <w:suppressLineNumbers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2308" w:type="dxa"/>
            <w:gridSpan w:val="2"/>
            <w:shd w:val="clear" w:color="auto" w:fill="auto"/>
          </w:tcPr>
          <w:p w14:paraId="682E142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SRE (+TIH)</w:t>
            </w:r>
          </w:p>
        </w:tc>
        <w:tc>
          <w:tcPr>
            <w:tcW w:w="2207" w:type="dxa"/>
            <w:gridSpan w:val="2"/>
            <w:shd w:val="clear" w:color="auto" w:fill="auto"/>
          </w:tcPr>
          <w:p w14:paraId="4AC7A6B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Törések*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6854453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csont irradiációs kezelése</w:t>
            </w:r>
          </w:p>
        </w:tc>
      </w:tr>
      <w:tr w:rsidR="00591099" w:rsidRPr="00756773" w14:paraId="57718F5C" w14:textId="77777777" w:rsidTr="00591099">
        <w:tc>
          <w:tcPr>
            <w:tcW w:w="2365" w:type="dxa"/>
            <w:shd w:val="clear" w:color="auto" w:fill="auto"/>
          </w:tcPr>
          <w:p w14:paraId="3E89231D" w14:textId="77777777" w:rsidR="001F0677" w:rsidRPr="00756773" w:rsidRDefault="001F0677" w:rsidP="009A3F18">
            <w:pPr>
              <w:suppressLineNumbers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1279" w:type="dxa"/>
            <w:shd w:val="clear" w:color="auto" w:fill="auto"/>
          </w:tcPr>
          <w:p w14:paraId="2E14DFE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64788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1029" w:type="dxa"/>
            <w:shd w:val="clear" w:color="auto" w:fill="auto"/>
          </w:tcPr>
          <w:p w14:paraId="71DFA9D7" w14:textId="77777777" w:rsidR="001F0677" w:rsidRPr="00756773" w:rsidRDefault="00A97F21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placebo</w:t>
            </w:r>
          </w:p>
        </w:tc>
        <w:tc>
          <w:tcPr>
            <w:tcW w:w="1278" w:type="dxa"/>
            <w:shd w:val="clear" w:color="auto" w:fill="auto"/>
          </w:tcPr>
          <w:p w14:paraId="2C838B0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64788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929" w:type="dxa"/>
            <w:shd w:val="clear" w:color="auto" w:fill="auto"/>
          </w:tcPr>
          <w:p w14:paraId="4D795100" w14:textId="77777777" w:rsidR="001F0677" w:rsidRPr="00756773" w:rsidRDefault="00A97F21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placebo</w:t>
            </w:r>
          </w:p>
        </w:tc>
        <w:tc>
          <w:tcPr>
            <w:tcW w:w="1279" w:type="dxa"/>
            <w:shd w:val="clear" w:color="auto" w:fill="auto"/>
          </w:tcPr>
          <w:p w14:paraId="4225557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64788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901" w:type="dxa"/>
            <w:shd w:val="clear" w:color="auto" w:fill="auto"/>
          </w:tcPr>
          <w:p w14:paraId="2D4BFE8F" w14:textId="77777777" w:rsidR="001F0677" w:rsidRPr="00756773" w:rsidRDefault="00A97F21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placebo</w:t>
            </w:r>
          </w:p>
        </w:tc>
      </w:tr>
      <w:tr w:rsidR="00591099" w:rsidRPr="00756773" w14:paraId="7CF03A37" w14:textId="77777777" w:rsidTr="00591099">
        <w:tc>
          <w:tcPr>
            <w:tcW w:w="2365" w:type="dxa"/>
            <w:shd w:val="clear" w:color="auto" w:fill="auto"/>
          </w:tcPr>
          <w:p w14:paraId="3A95AD5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</w:t>
            </w:r>
          </w:p>
        </w:tc>
        <w:tc>
          <w:tcPr>
            <w:tcW w:w="1279" w:type="dxa"/>
            <w:shd w:val="clear" w:color="auto" w:fill="auto"/>
          </w:tcPr>
          <w:p w14:paraId="1B27B22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214</w:t>
            </w:r>
          </w:p>
        </w:tc>
        <w:tc>
          <w:tcPr>
            <w:tcW w:w="1029" w:type="dxa"/>
            <w:shd w:val="clear" w:color="auto" w:fill="auto"/>
          </w:tcPr>
          <w:p w14:paraId="5CEB64C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208</w:t>
            </w:r>
          </w:p>
        </w:tc>
        <w:tc>
          <w:tcPr>
            <w:tcW w:w="1278" w:type="dxa"/>
            <w:shd w:val="clear" w:color="auto" w:fill="auto"/>
          </w:tcPr>
          <w:p w14:paraId="4D87015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214</w:t>
            </w:r>
          </w:p>
        </w:tc>
        <w:tc>
          <w:tcPr>
            <w:tcW w:w="929" w:type="dxa"/>
            <w:shd w:val="clear" w:color="auto" w:fill="auto"/>
          </w:tcPr>
          <w:p w14:paraId="4F4C0E0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208</w:t>
            </w:r>
          </w:p>
        </w:tc>
        <w:tc>
          <w:tcPr>
            <w:tcW w:w="1279" w:type="dxa"/>
            <w:shd w:val="clear" w:color="auto" w:fill="auto"/>
          </w:tcPr>
          <w:p w14:paraId="33C3C43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214</w:t>
            </w:r>
          </w:p>
        </w:tc>
        <w:tc>
          <w:tcPr>
            <w:tcW w:w="901" w:type="dxa"/>
            <w:shd w:val="clear" w:color="auto" w:fill="auto"/>
          </w:tcPr>
          <w:p w14:paraId="784B545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208</w:t>
            </w:r>
          </w:p>
        </w:tc>
      </w:tr>
      <w:tr w:rsidR="00591099" w:rsidRPr="00756773" w14:paraId="7462D8B7" w14:textId="77777777" w:rsidTr="00591099">
        <w:tc>
          <w:tcPr>
            <w:tcW w:w="2365" w:type="dxa"/>
            <w:shd w:val="clear" w:color="auto" w:fill="auto"/>
          </w:tcPr>
          <w:p w14:paraId="26F6464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Az SRE-s betegek aránya (%)</w:t>
            </w:r>
          </w:p>
        </w:tc>
        <w:tc>
          <w:tcPr>
            <w:tcW w:w="1279" w:type="dxa"/>
            <w:shd w:val="clear" w:color="auto" w:fill="auto"/>
          </w:tcPr>
          <w:p w14:paraId="50F37DE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38</w:t>
            </w:r>
          </w:p>
        </w:tc>
        <w:tc>
          <w:tcPr>
            <w:tcW w:w="1029" w:type="dxa"/>
            <w:shd w:val="clear" w:color="auto" w:fill="auto"/>
          </w:tcPr>
          <w:p w14:paraId="28317B1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49</w:t>
            </w:r>
          </w:p>
        </w:tc>
        <w:tc>
          <w:tcPr>
            <w:tcW w:w="1278" w:type="dxa"/>
            <w:shd w:val="clear" w:color="auto" w:fill="auto"/>
          </w:tcPr>
          <w:p w14:paraId="0D4B93A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17</w:t>
            </w:r>
          </w:p>
        </w:tc>
        <w:tc>
          <w:tcPr>
            <w:tcW w:w="929" w:type="dxa"/>
            <w:shd w:val="clear" w:color="auto" w:fill="auto"/>
          </w:tcPr>
          <w:p w14:paraId="276BF19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</w:t>
            </w:r>
          </w:p>
        </w:tc>
        <w:tc>
          <w:tcPr>
            <w:tcW w:w="1279" w:type="dxa"/>
            <w:shd w:val="clear" w:color="auto" w:fill="auto"/>
          </w:tcPr>
          <w:p w14:paraId="731F0C3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26</w:t>
            </w:r>
          </w:p>
        </w:tc>
        <w:tc>
          <w:tcPr>
            <w:tcW w:w="901" w:type="dxa"/>
            <w:shd w:val="clear" w:color="auto" w:fill="auto"/>
          </w:tcPr>
          <w:p w14:paraId="09253B5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33</w:t>
            </w:r>
          </w:p>
        </w:tc>
      </w:tr>
      <w:tr w:rsidR="001F0677" w:rsidRPr="00756773" w14:paraId="1EDCB909" w14:textId="77777777" w:rsidTr="00591099">
        <w:tc>
          <w:tcPr>
            <w:tcW w:w="2365" w:type="dxa"/>
            <w:shd w:val="clear" w:color="auto" w:fill="auto"/>
          </w:tcPr>
          <w:p w14:paraId="0F20C95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308" w:type="dxa"/>
            <w:gridSpan w:val="2"/>
            <w:shd w:val="clear" w:color="auto" w:fill="auto"/>
          </w:tcPr>
          <w:p w14:paraId="77D8AE9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0,028</w:t>
            </w:r>
          </w:p>
        </w:tc>
        <w:tc>
          <w:tcPr>
            <w:tcW w:w="2207" w:type="dxa"/>
            <w:gridSpan w:val="2"/>
            <w:shd w:val="clear" w:color="auto" w:fill="auto"/>
          </w:tcPr>
          <w:p w14:paraId="4EAF12E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0,052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2D75E4F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0,119</w:t>
            </w:r>
          </w:p>
        </w:tc>
      </w:tr>
      <w:tr w:rsidR="00591099" w:rsidRPr="00756773" w14:paraId="235F21D9" w14:textId="77777777" w:rsidTr="00591099">
        <w:tc>
          <w:tcPr>
            <w:tcW w:w="2365" w:type="dxa"/>
            <w:shd w:val="clear" w:color="auto" w:fill="auto"/>
          </w:tcPr>
          <w:p w14:paraId="14B34CB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Az SRE-ig eltelt medián idő (nap)</w:t>
            </w:r>
          </w:p>
        </w:tc>
        <w:tc>
          <w:tcPr>
            <w:tcW w:w="1279" w:type="dxa"/>
            <w:shd w:val="clear" w:color="auto" w:fill="auto"/>
          </w:tcPr>
          <w:p w14:paraId="3D91BB2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488</w:t>
            </w:r>
          </w:p>
        </w:tc>
        <w:tc>
          <w:tcPr>
            <w:tcW w:w="1029" w:type="dxa"/>
            <w:shd w:val="clear" w:color="auto" w:fill="auto"/>
          </w:tcPr>
          <w:p w14:paraId="1AC692E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321</w:t>
            </w:r>
          </w:p>
        </w:tc>
        <w:tc>
          <w:tcPr>
            <w:tcW w:w="1278" w:type="dxa"/>
            <w:shd w:val="clear" w:color="auto" w:fill="auto"/>
          </w:tcPr>
          <w:p w14:paraId="4EFD79E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929" w:type="dxa"/>
            <w:shd w:val="clear" w:color="auto" w:fill="auto"/>
          </w:tcPr>
          <w:p w14:paraId="6D3BA88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1279" w:type="dxa"/>
            <w:shd w:val="clear" w:color="auto" w:fill="auto"/>
          </w:tcPr>
          <w:p w14:paraId="24BC3F2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901" w:type="dxa"/>
            <w:shd w:val="clear" w:color="auto" w:fill="auto"/>
          </w:tcPr>
          <w:p w14:paraId="64D03A7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640</w:t>
            </w:r>
          </w:p>
        </w:tc>
      </w:tr>
      <w:tr w:rsidR="001F0677" w:rsidRPr="00756773" w14:paraId="422D8AA2" w14:textId="77777777" w:rsidTr="00591099">
        <w:tc>
          <w:tcPr>
            <w:tcW w:w="2365" w:type="dxa"/>
            <w:shd w:val="clear" w:color="auto" w:fill="auto"/>
          </w:tcPr>
          <w:p w14:paraId="13A2540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308" w:type="dxa"/>
            <w:gridSpan w:val="2"/>
            <w:shd w:val="clear" w:color="auto" w:fill="auto"/>
          </w:tcPr>
          <w:p w14:paraId="557E745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0,009</w:t>
            </w:r>
          </w:p>
        </w:tc>
        <w:tc>
          <w:tcPr>
            <w:tcW w:w="2207" w:type="dxa"/>
            <w:gridSpan w:val="2"/>
            <w:shd w:val="clear" w:color="auto" w:fill="auto"/>
          </w:tcPr>
          <w:p w14:paraId="6F42521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0,020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5E53714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0,055</w:t>
            </w:r>
          </w:p>
        </w:tc>
      </w:tr>
      <w:tr w:rsidR="00591099" w:rsidRPr="00756773" w14:paraId="49FC842D" w14:textId="77777777" w:rsidTr="00591099">
        <w:tc>
          <w:tcPr>
            <w:tcW w:w="2365" w:type="dxa"/>
            <w:shd w:val="clear" w:color="auto" w:fill="auto"/>
          </w:tcPr>
          <w:p w14:paraId="682C3A8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Skeletalis morbiditási ráta</w:t>
            </w:r>
          </w:p>
        </w:tc>
        <w:tc>
          <w:tcPr>
            <w:tcW w:w="1279" w:type="dxa"/>
            <w:shd w:val="clear" w:color="auto" w:fill="auto"/>
          </w:tcPr>
          <w:p w14:paraId="03CE001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0,77</w:t>
            </w:r>
          </w:p>
        </w:tc>
        <w:tc>
          <w:tcPr>
            <w:tcW w:w="1029" w:type="dxa"/>
            <w:shd w:val="clear" w:color="auto" w:fill="auto"/>
          </w:tcPr>
          <w:p w14:paraId="10E580C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1,47</w:t>
            </w:r>
          </w:p>
        </w:tc>
        <w:tc>
          <w:tcPr>
            <w:tcW w:w="1278" w:type="dxa"/>
            <w:shd w:val="clear" w:color="auto" w:fill="auto"/>
          </w:tcPr>
          <w:p w14:paraId="4F89AAF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0,20</w:t>
            </w:r>
          </w:p>
        </w:tc>
        <w:tc>
          <w:tcPr>
            <w:tcW w:w="929" w:type="dxa"/>
            <w:shd w:val="clear" w:color="auto" w:fill="auto"/>
          </w:tcPr>
          <w:p w14:paraId="6F7044F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0,45</w:t>
            </w:r>
          </w:p>
        </w:tc>
        <w:tc>
          <w:tcPr>
            <w:tcW w:w="1279" w:type="dxa"/>
            <w:shd w:val="clear" w:color="auto" w:fill="auto"/>
          </w:tcPr>
          <w:p w14:paraId="4113321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0,42</w:t>
            </w:r>
          </w:p>
        </w:tc>
        <w:tc>
          <w:tcPr>
            <w:tcW w:w="901" w:type="dxa"/>
            <w:shd w:val="clear" w:color="auto" w:fill="auto"/>
          </w:tcPr>
          <w:p w14:paraId="18748AC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0,89</w:t>
            </w:r>
          </w:p>
        </w:tc>
      </w:tr>
      <w:tr w:rsidR="001F0677" w:rsidRPr="00756773" w14:paraId="7B2CA19A" w14:textId="77777777" w:rsidTr="00591099">
        <w:tc>
          <w:tcPr>
            <w:tcW w:w="2365" w:type="dxa"/>
            <w:shd w:val="clear" w:color="auto" w:fill="auto"/>
          </w:tcPr>
          <w:p w14:paraId="77679FA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308" w:type="dxa"/>
            <w:gridSpan w:val="2"/>
            <w:shd w:val="clear" w:color="auto" w:fill="auto"/>
          </w:tcPr>
          <w:p w14:paraId="5D653D7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0,005</w:t>
            </w:r>
          </w:p>
        </w:tc>
        <w:tc>
          <w:tcPr>
            <w:tcW w:w="2207" w:type="dxa"/>
            <w:gridSpan w:val="2"/>
            <w:shd w:val="clear" w:color="auto" w:fill="auto"/>
          </w:tcPr>
          <w:p w14:paraId="0FF49A4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0,023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35CFAD0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0,060</w:t>
            </w:r>
          </w:p>
        </w:tc>
      </w:tr>
      <w:tr w:rsidR="00591099" w:rsidRPr="00756773" w14:paraId="36BB730C" w14:textId="77777777" w:rsidTr="00591099">
        <w:tc>
          <w:tcPr>
            <w:tcW w:w="2365" w:type="dxa"/>
            <w:shd w:val="clear" w:color="auto" w:fill="auto"/>
          </w:tcPr>
          <w:p w14:paraId="7A40918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többszörös események kockázatának csökkenése** (%)</w:t>
            </w:r>
          </w:p>
        </w:tc>
        <w:tc>
          <w:tcPr>
            <w:tcW w:w="1279" w:type="dxa"/>
            <w:shd w:val="clear" w:color="auto" w:fill="auto"/>
          </w:tcPr>
          <w:p w14:paraId="1A1B8FD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36</w:t>
            </w:r>
          </w:p>
        </w:tc>
        <w:tc>
          <w:tcPr>
            <w:tcW w:w="1029" w:type="dxa"/>
            <w:shd w:val="clear" w:color="auto" w:fill="auto"/>
          </w:tcPr>
          <w:p w14:paraId="2E69A33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-</w:t>
            </w:r>
          </w:p>
        </w:tc>
        <w:tc>
          <w:tcPr>
            <w:tcW w:w="1278" w:type="dxa"/>
            <w:shd w:val="clear" w:color="auto" w:fill="auto"/>
          </w:tcPr>
          <w:p w14:paraId="25A8323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929" w:type="dxa"/>
            <w:shd w:val="clear" w:color="auto" w:fill="auto"/>
          </w:tcPr>
          <w:p w14:paraId="409BB77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1279" w:type="dxa"/>
            <w:shd w:val="clear" w:color="auto" w:fill="auto"/>
          </w:tcPr>
          <w:p w14:paraId="30D9DBE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901" w:type="dxa"/>
            <w:shd w:val="clear" w:color="auto" w:fill="auto"/>
          </w:tcPr>
          <w:p w14:paraId="30D6AD1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</w:tr>
      <w:tr w:rsidR="001F0677" w:rsidRPr="00756773" w14:paraId="48F3A83C" w14:textId="77777777" w:rsidTr="00591099">
        <w:tc>
          <w:tcPr>
            <w:tcW w:w="2365" w:type="dxa"/>
            <w:shd w:val="clear" w:color="auto" w:fill="auto"/>
          </w:tcPr>
          <w:p w14:paraId="50395A7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308" w:type="dxa"/>
            <w:gridSpan w:val="2"/>
            <w:shd w:val="clear" w:color="auto" w:fill="auto"/>
          </w:tcPr>
          <w:p w14:paraId="43506F8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0,002</w:t>
            </w:r>
          </w:p>
        </w:tc>
        <w:tc>
          <w:tcPr>
            <w:tcW w:w="2207" w:type="dxa"/>
            <w:gridSpan w:val="2"/>
            <w:shd w:val="clear" w:color="auto" w:fill="auto"/>
          </w:tcPr>
          <w:p w14:paraId="7FD3883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711EE2E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</w:tr>
    </w:tbl>
    <w:p w14:paraId="4689EA6D" w14:textId="711F0AFA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* Beleértve a </w:t>
      </w:r>
      <w:r w:rsidR="00562D59" w:rsidRPr="00756773">
        <w:rPr>
          <w:sz w:val="22"/>
          <w:szCs w:val="22"/>
        </w:rPr>
        <w:t>vertebrális</w:t>
      </w:r>
      <w:r w:rsidRPr="00756773">
        <w:rPr>
          <w:sz w:val="22"/>
          <w:szCs w:val="22"/>
        </w:rPr>
        <w:t xml:space="preserve"> és </w:t>
      </w:r>
      <w:r w:rsidR="00F335CB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nem</w:t>
      </w:r>
      <w:r w:rsidR="00562D59" w:rsidRPr="00756773">
        <w:rPr>
          <w:sz w:val="22"/>
          <w:szCs w:val="22"/>
        </w:rPr>
        <w:t xml:space="preserve"> vertebrális töréseket</w:t>
      </w:r>
      <w:r w:rsidRPr="00756773">
        <w:rPr>
          <w:sz w:val="22"/>
          <w:szCs w:val="22"/>
        </w:rPr>
        <w:t>.</w:t>
      </w:r>
    </w:p>
    <w:p w14:paraId="33F32F44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** Az összes skeletalis esemény (összmennyiség és az egyes eseményekig eltelt idő a vizsgálat alatt).</w:t>
      </w:r>
    </w:p>
    <w:p w14:paraId="13690B1D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NÉ</w:t>
      </w:r>
      <w:r w:rsidRPr="00756773">
        <w:rPr>
          <w:sz w:val="22"/>
          <w:szCs w:val="22"/>
        </w:rPr>
        <w:tab/>
        <w:t>Nem érte el.</w:t>
      </w:r>
    </w:p>
    <w:p w14:paraId="3FDC0EFC" w14:textId="72B7C65E" w:rsidR="00647883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NA</w:t>
      </w:r>
      <w:r w:rsidRPr="00756773">
        <w:rPr>
          <w:sz w:val="22"/>
          <w:szCs w:val="22"/>
        </w:rPr>
        <w:tab/>
        <w:t>Nem alkalmazható.</w:t>
      </w:r>
    </w:p>
    <w:p w14:paraId="0F41FDFC" w14:textId="77777777" w:rsidR="00853C3B" w:rsidRPr="00756773" w:rsidRDefault="00853C3B" w:rsidP="009A3F18">
      <w:pPr>
        <w:pStyle w:val="Default"/>
        <w:rPr>
          <w:sz w:val="22"/>
          <w:szCs w:val="22"/>
        </w:rPr>
      </w:pPr>
    </w:p>
    <w:p w14:paraId="78379CE8" w14:textId="77777777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rFonts w:eastAsia="Times New Roman"/>
          <w:b/>
          <w:bCs/>
          <w:snapToGrid/>
          <w:color w:val="000000"/>
          <w:szCs w:val="22"/>
          <w:lang w:val="hu-HU" w:eastAsia="hu-HU"/>
        </w:rPr>
        <w:t xml:space="preserve">3. táblázat: </w:t>
      </w:r>
      <w:r w:rsidRPr="00756773">
        <w:rPr>
          <w:szCs w:val="22"/>
          <w:lang w:val="hu-HU"/>
        </w:rPr>
        <w:t xml:space="preserve">A hatásosság eredményei (szolid tumorok, </w:t>
      </w:r>
      <w:r w:rsidR="00A97F21" w:rsidRPr="00756773">
        <w:rPr>
          <w:szCs w:val="22"/>
          <w:lang w:val="hu-HU"/>
        </w:rPr>
        <w:t xml:space="preserve">kivéve az </w:t>
      </w:r>
      <w:r w:rsidRPr="00756773">
        <w:rPr>
          <w:szCs w:val="22"/>
          <w:lang w:val="hu-HU"/>
        </w:rPr>
        <w:t>emlő- és prostata</w:t>
      </w:r>
      <w:r w:rsidR="0022093F" w:rsidRPr="00756773">
        <w:rPr>
          <w:szCs w:val="22"/>
          <w:lang w:val="hu-HU"/>
        </w:rPr>
        <w:t xml:space="preserve"> </w:t>
      </w:r>
      <w:r w:rsidRPr="00756773">
        <w:rPr>
          <w:szCs w:val="22"/>
          <w:lang w:val="hu-HU"/>
        </w:rPr>
        <w:t>carcinomát)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1"/>
        <w:gridCol w:w="1280"/>
        <w:gridCol w:w="945"/>
        <w:gridCol w:w="1279"/>
        <w:gridCol w:w="901"/>
        <w:gridCol w:w="1353"/>
        <w:gridCol w:w="901"/>
      </w:tblGrid>
      <w:tr w:rsidR="001F0677" w:rsidRPr="00756773" w14:paraId="4FB5F421" w14:textId="77777777" w:rsidTr="00591099">
        <w:tc>
          <w:tcPr>
            <w:tcW w:w="2401" w:type="dxa"/>
            <w:shd w:val="clear" w:color="auto" w:fill="auto"/>
          </w:tcPr>
          <w:p w14:paraId="088B5570" w14:textId="77777777" w:rsidR="001F0677" w:rsidRPr="00756773" w:rsidRDefault="001F0677" w:rsidP="009A3F18">
            <w:pPr>
              <w:suppressLineNumbers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2225" w:type="dxa"/>
            <w:gridSpan w:val="2"/>
            <w:shd w:val="clear" w:color="auto" w:fill="auto"/>
          </w:tcPr>
          <w:p w14:paraId="6459658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SRE (+TIH)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5499D77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Törések*</w:t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2CEB089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csont irradiációs kezelése</w:t>
            </w:r>
          </w:p>
        </w:tc>
      </w:tr>
      <w:tr w:rsidR="001F0677" w:rsidRPr="00756773" w14:paraId="30A05BF5" w14:textId="77777777" w:rsidTr="00591099">
        <w:tc>
          <w:tcPr>
            <w:tcW w:w="2401" w:type="dxa"/>
            <w:shd w:val="clear" w:color="auto" w:fill="auto"/>
          </w:tcPr>
          <w:p w14:paraId="12637D51" w14:textId="77777777" w:rsidR="001F0677" w:rsidRPr="00756773" w:rsidRDefault="001F0677" w:rsidP="009A3F18">
            <w:pPr>
              <w:suppressLineNumbers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1280" w:type="dxa"/>
            <w:shd w:val="clear" w:color="auto" w:fill="auto"/>
          </w:tcPr>
          <w:p w14:paraId="0DCB526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64788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945" w:type="dxa"/>
            <w:shd w:val="clear" w:color="auto" w:fill="auto"/>
          </w:tcPr>
          <w:p w14:paraId="4C2552A5" w14:textId="77777777" w:rsidR="001F0677" w:rsidRPr="00756773" w:rsidRDefault="00FF7DFE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placebo</w:t>
            </w:r>
          </w:p>
        </w:tc>
        <w:tc>
          <w:tcPr>
            <w:tcW w:w="1279" w:type="dxa"/>
            <w:shd w:val="clear" w:color="auto" w:fill="auto"/>
          </w:tcPr>
          <w:p w14:paraId="4EE06F3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64788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901" w:type="dxa"/>
            <w:shd w:val="clear" w:color="auto" w:fill="auto"/>
          </w:tcPr>
          <w:p w14:paraId="13185533" w14:textId="77777777" w:rsidR="001F0677" w:rsidRPr="00756773" w:rsidRDefault="00FF7DFE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placebo</w:t>
            </w:r>
          </w:p>
        </w:tc>
        <w:tc>
          <w:tcPr>
            <w:tcW w:w="1353" w:type="dxa"/>
            <w:shd w:val="clear" w:color="auto" w:fill="auto"/>
          </w:tcPr>
          <w:p w14:paraId="2789376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64788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901" w:type="dxa"/>
            <w:shd w:val="clear" w:color="auto" w:fill="auto"/>
          </w:tcPr>
          <w:p w14:paraId="56204FC0" w14:textId="77777777" w:rsidR="001F0677" w:rsidRPr="00756773" w:rsidRDefault="00FF7DFE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placebo</w:t>
            </w:r>
          </w:p>
        </w:tc>
      </w:tr>
      <w:tr w:rsidR="001F0677" w:rsidRPr="00756773" w14:paraId="2D6F11DC" w14:textId="77777777" w:rsidTr="00591099">
        <w:tc>
          <w:tcPr>
            <w:tcW w:w="2401" w:type="dxa"/>
            <w:shd w:val="clear" w:color="auto" w:fill="auto"/>
          </w:tcPr>
          <w:p w14:paraId="12F48C5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</w:t>
            </w:r>
          </w:p>
        </w:tc>
        <w:tc>
          <w:tcPr>
            <w:tcW w:w="1280" w:type="dxa"/>
            <w:shd w:val="clear" w:color="auto" w:fill="auto"/>
          </w:tcPr>
          <w:p w14:paraId="4AB994C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257</w:t>
            </w:r>
          </w:p>
        </w:tc>
        <w:tc>
          <w:tcPr>
            <w:tcW w:w="945" w:type="dxa"/>
            <w:shd w:val="clear" w:color="auto" w:fill="auto"/>
          </w:tcPr>
          <w:p w14:paraId="4C8CF9E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250</w:t>
            </w:r>
          </w:p>
        </w:tc>
        <w:tc>
          <w:tcPr>
            <w:tcW w:w="1279" w:type="dxa"/>
            <w:shd w:val="clear" w:color="auto" w:fill="auto"/>
          </w:tcPr>
          <w:p w14:paraId="575BA61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257</w:t>
            </w:r>
          </w:p>
        </w:tc>
        <w:tc>
          <w:tcPr>
            <w:tcW w:w="901" w:type="dxa"/>
            <w:shd w:val="clear" w:color="auto" w:fill="auto"/>
          </w:tcPr>
          <w:p w14:paraId="71FFFA1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250</w:t>
            </w:r>
          </w:p>
        </w:tc>
        <w:tc>
          <w:tcPr>
            <w:tcW w:w="1353" w:type="dxa"/>
            <w:shd w:val="clear" w:color="auto" w:fill="auto"/>
          </w:tcPr>
          <w:p w14:paraId="042A9C4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257</w:t>
            </w:r>
          </w:p>
        </w:tc>
        <w:tc>
          <w:tcPr>
            <w:tcW w:w="901" w:type="dxa"/>
            <w:shd w:val="clear" w:color="auto" w:fill="auto"/>
          </w:tcPr>
          <w:p w14:paraId="71BAFC5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250</w:t>
            </w:r>
          </w:p>
        </w:tc>
      </w:tr>
      <w:tr w:rsidR="001F0677" w:rsidRPr="00756773" w14:paraId="4CAC3B8D" w14:textId="77777777" w:rsidTr="00591099">
        <w:tc>
          <w:tcPr>
            <w:tcW w:w="2401" w:type="dxa"/>
            <w:shd w:val="clear" w:color="auto" w:fill="auto"/>
          </w:tcPr>
          <w:p w14:paraId="190CFBC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Az SRE-s betegek aránya (%)</w:t>
            </w:r>
          </w:p>
        </w:tc>
        <w:tc>
          <w:tcPr>
            <w:tcW w:w="1280" w:type="dxa"/>
            <w:shd w:val="clear" w:color="auto" w:fill="auto"/>
          </w:tcPr>
          <w:p w14:paraId="222355B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39</w:t>
            </w:r>
          </w:p>
        </w:tc>
        <w:tc>
          <w:tcPr>
            <w:tcW w:w="945" w:type="dxa"/>
            <w:shd w:val="clear" w:color="auto" w:fill="auto"/>
          </w:tcPr>
          <w:p w14:paraId="409AFF5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48</w:t>
            </w:r>
          </w:p>
        </w:tc>
        <w:tc>
          <w:tcPr>
            <w:tcW w:w="1279" w:type="dxa"/>
            <w:shd w:val="clear" w:color="auto" w:fill="auto"/>
          </w:tcPr>
          <w:p w14:paraId="1543054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16</w:t>
            </w:r>
          </w:p>
        </w:tc>
        <w:tc>
          <w:tcPr>
            <w:tcW w:w="901" w:type="dxa"/>
            <w:shd w:val="clear" w:color="auto" w:fill="auto"/>
          </w:tcPr>
          <w:p w14:paraId="472F1A2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22</w:t>
            </w:r>
          </w:p>
        </w:tc>
        <w:tc>
          <w:tcPr>
            <w:tcW w:w="1353" w:type="dxa"/>
            <w:shd w:val="clear" w:color="auto" w:fill="auto"/>
          </w:tcPr>
          <w:p w14:paraId="750A8F4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29</w:t>
            </w:r>
          </w:p>
        </w:tc>
        <w:tc>
          <w:tcPr>
            <w:tcW w:w="901" w:type="dxa"/>
            <w:shd w:val="clear" w:color="auto" w:fill="auto"/>
          </w:tcPr>
          <w:p w14:paraId="3127531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34</w:t>
            </w:r>
          </w:p>
        </w:tc>
      </w:tr>
      <w:tr w:rsidR="001F0677" w:rsidRPr="00756773" w14:paraId="7AD12E1D" w14:textId="77777777" w:rsidTr="00591099">
        <w:tc>
          <w:tcPr>
            <w:tcW w:w="2401" w:type="dxa"/>
            <w:shd w:val="clear" w:color="auto" w:fill="auto"/>
          </w:tcPr>
          <w:p w14:paraId="06757D0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5" w:type="dxa"/>
            <w:gridSpan w:val="2"/>
            <w:shd w:val="clear" w:color="auto" w:fill="auto"/>
          </w:tcPr>
          <w:p w14:paraId="6449F8C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0,039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04D949C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0,064</w:t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1EF0113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0,173</w:t>
            </w:r>
          </w:p>
        </w:tc>
      </w:tr>
      <w:tr w:rsidR="001F0677" w:rsidRPr="00756773" w14:paraId="3DDAFFE8" w14:textId="77777777" w:rsidTr="00591099">
        <w:tc>
          <w:tcPr>
            <w:tcW w:w="2401" w:type="dxa"/>
            <w:shd w:val="clear" w:color="auto" w:fill="auto"/>
          </w:tcPr>
          <w:p w14:paraId="45E3052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Az SRE-ig eltelt medián idő (nap)</w:t>
            </w:r>
          </w:p>
        </w:tc>
        <w:tc>
          <w:tcPr>
            <w:tcW w:w="1280" w:type="dxa"/>
            <w:shd w:val="clear" w:color="auto" w:fill="auto"/>
          </w:tcPr>
          <w:p w14:paraId="31494AF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236</w:t>
            </w:r>
          </w:p>
        </w:tc>
        <w:tc>
          <w:tcPr>
            <w:tcW w:w="945" w:type="dxa"/>
            <w:shd w:val="clear" w:color="auto" w:fill="auto"/>
          </w:tcPr>
          <w:p w14:paraId="63CD962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155</w:t>
            </w:r>
          </w:p>
        </w:tc>
        <w:tc>
          <w:tcPr>
            <w:tcW w:w="1279" w:type="dxa"/>
            <w:shd w:val="clear" w:color="auto" w:fill="auto"/>
          </w:tcPr>
          <w:p w14:paraId="61057D3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901" w:type="dxa"/>
            <w:shd w:val="clear" w:color="auto" w:fill="auto"/>
          </w:tcPr>
          <w:p w14:paraId="2AA202F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1353" w:type="dxa"/>
            <w:shd w:val="clear" w:color="auto" w:fill="auto"/>
          </w:tcPr>
          <w:p w14:paraId="2458C95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424</w:t>
            </w:r>
          </w:p>
        </w:tc>
        <w:tc>
          <w:tcPr>
            <w:tcW w:w="901" w:type="dxa"/>
            <w:shd w:val="clear" w:color="auto" w:fill="auto"/>
          </w:tcPr>
          <w:p w14:paraId="7D3037D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307</w:t>
            </w:r>
          </w:p>
        </w:tc>
      </w:tr>
      <w:tr w:rsidR="001F0677" w:rsidRPr="00756773" w14:paraId="0E4406B2" w14:textId="77777777" w:rsidTr="00591099">
        <w:tc>
          <w:tcPr>
            <w:tcW w:w="2401" w:type="dxa"/>
            <w:shd w:val="clear" w:color="auto" w:fill="auto"/>
          </w:tcPr>
          <w:p w14:paraId="1598482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5" w:type="dxa"/>
            <w:gridSpan w:val="2"/>
            <w:shd w:val="clear" w:color="auto" w:fill="auto"/>
          </w:tcPr>
          <w:p w14:paraId="0E1547C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0,009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616F72E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0,020</w:t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0B992C4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</w:t>
            </w:r>
            <w:r w:rsidR="002C17F9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79</w:t>
            </w:r>
          </w:p>
        </w:tc>
      </w:tr>
      <w:tr w:rsidR="001F0677" w:rsidRPr="00756773" w14:paraId="1864F597" w14:textId="77777777" w:rsidTr="00591099">
        <w:tc>
          <w:tcPr>
            <w:tcW w:w="2401" w:type="dxa"/>
            <w:shd w:val="clear" w:color="auto" w:fill="auto"/>
          </w:tcPr>
          <w:p w14:paraId="62C193E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Skeletalis morbiditási ráta</w:t>
            </w:r>
          </w:p>
        </w:tc>
        <w:tc>
          <w:tcPr>
            <w:tcW w:w="1280" w:type="dxa"/>
            <w:shd w:val="clear" w:color="auto" w:fill="auto"/>
          </w:tcPr>
          <w:p w14:paraId="375422C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1,74</w:t>
            </w:r>
          </w:p>
        </w:tc>
        <w:tc>
          <w:tcPr>
            <w:tcW w:w="945" w:type="dxa"/>
            <w:shd w:val="clear" w:color="auto" w:fill="auto"/>
          </w:tcPr>
          <w:p w14:paraId="31C794B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2,71</w:t>
            </w:r>
          </w:p>
        </w:tc>
        <w:tc>
          <w:tcPr>
            <w:tcW w:w="1279" w:type="dxa"/>
            <w:shd w:val="clear" w:color="auto" w:fill="auto"/>
          </w:tcPr>
          <w:p w14:paraId="50A141E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0,39</w:t>
            </w:r>
          </w:p>
        </w:tc>
        <w:tc>
          <w:tcPr>
            <w:tcW w:w="901" w:type="dxa"/>
            <w:shd w:val="clear" w:color="auto" w:fill="auto"/>
          </w:tcPr>
          <w:p w14:paraId="556A9D8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0,63</w:t>
            </w:r>
          </w:p>
        </w:tc>
        <w:tc>
          <w:tcPr>
            <w:tcW w:w="1353" w:type="dxa"/>
            <w:shd w:val="clear" w:color="auto" w:fill="auto"/>
          </w:tcPr>
          <w:p w14:paraId="76291C2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1,24</w:t>
            </w:r>
          </w:p>
        </w:tc>
        <w:tc>
          <w:tcPr>
            <w:tcW w:w="901" w:type="dxa"/>
            <w:shd w:val="clear" w:color="auto" w:fill="auto"/>
          </w:tcPr>
          <w:p w14:paraId="2228F5A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1,89</w:t>
            </w:r>
          </w:p>
        </w:tc>
      </w:tr>
      <w:tr w:rsidR="001F0677" w:rsidRPr="00756773" w14:paraId="0A0CA72D" w14:textId="77777777" w:rsidTr="00591099">
        <w:tc>
          <w:tcPr>
            <w:tcW w:w="2401" w:type="dxa"/>
            <w:shd w:val="clear" w:color="auto" w:fill="auto"/>
          </w:tcPr>
          <w:p w14:paraId="742E673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5" w:type="dxa"/>
            <w:gridSpan w:val="2"/>
            <w:shd w:val="clear" w:color="auto" w:fill="auto"/>
          </w:tcPr>
          <w:p w14:paraId="333B70A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0,012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0A5D298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0,066</w:t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33100E9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0,099</w:t>
            </w:r>
          </w:p>
        </w:tc>
      </w:tr>
      <w:tr w:rsidR="001F0677" w:rsidRPr="00756773" w14:paraId="42C73FB8" w14:textId="77777777" w:rsidTr="00591099">
        <w:tc>
          <w:tcPr>
            <w:tcW w:w="2401" w:type="dxa"/>
            <w:shd w:val="clear" w:color="auto" w:fill="auto"/>
          </w:tcPr>
          <w:p w14:paraId="2276278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többszörös események kockázatának csökkenése** (%)</w:t>
            </w:r>
          </w:p>
        </w:tc>
        <w:tc>
          <w:tcPr>
            <w:tcW w:w="1280" w:type="dxa"/>
            <w:shd w:val="clear" w:color="auto" w:fill="auto"/>
          </w:tcPr>
          <w:p w14:paraId="29D7A9D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30,7</w:t>
            </w:r>
          </w:p>
        </w:tc>
        <w:tc>
          <w:tcPr>
            <w:tcW w:w="945" w:type="dxa"/>
            <w:shd w:val="clear" w:color="auto" w:fill="auto"/>
          </w:tcPr>
          <w:p w14:paraId="519B1BE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468A70B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901" w:type="dxa"/>
            <w:shd w:val="clear" w:color="auto" w:fill="auto"/>
          </w:tcPr>
          <w:p w14:paraId="481309B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1353" w:type="dxa"/>
            <w:shd w:val="clear" w:color="auto" w:fill="auto"/>
          </w:tcPr>
          <w:p w14:paraId="1D68F7F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901" w:type="dxa"/>
            <w:shd w:val="clear" w:color="auto" w:fill="auto"/>
          </w:tcPr>
          <w:p w14:paraId="5EFD9EF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</w:tr>
      <w:tr w:rsidR="001F0677" w:rsidRPr="00756773" w14:paraId="6691D10F" w14:textId="77777777" w:rsidTr="00591099">
        <w:tc>
          <w:tcPr>
            <w:tcW w:w="2401" w:type="dxa"/>
            <w:shd w:val="clear" w:color="auto" w:fill="auto"/>
          </w:tcPr>
          <w:p w14:paraId="70E44A3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5" w:type="dxa"/>
            <w:gridSpan w:val="2"/>
            <w:shd w:val="clear" w:color="auto" w:fill="auto"/>
          </w:tcPr>
          <w:p w14:paraId="00FFE7B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0,003</w:t>
            </w:r>
          </w:p>
        </w:tc>
        <w:tc>
          <w:tcPr>
            <w:tcW w:w="2180" w:type="dxa"/>
            <w:gridSpan w:val="2"/>
            <w:shd w:val="clear" w:color="auto" w:fill="auto"/>
          </w:tcPr>
          <w:p w14:paraId="74681E5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2254" w:type="dxa"/>
            <w:gridSpan w:val="2"/>
            <w:shd w:val="clear" w:color="auto" w:fill="auto"/>
          </w:tcPr>
          <w:p w14:paraId="5960831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</w:tr>
    </w:tbl>
    <w:p w14:paraId="030E2623" w14:textId="3DC4CBCE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* Beleértve a </w:t>
      </w:r>
      <w:r w:rsidR="00F335CB" w:rsidRPr="00756773">
        <w:rPr>
          <w:sz w:val="22"/>
          <w:szCs w:val="22"/>
        </w:rPr>
        <w:t>vertebrális</w:t>
      </w:r>
      <w:r w:rsidRPr="00756773">
        <w:rPr>
          <w:sz w:val="22"/>
          <w:szCs w:val="22"/>
        </w:rPr>
        <w:t xml:space="preserve"> és </w:t>
      </w:r>
      <w:r w:rsidR="00F335CB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nem</w:t>
      </w:r>
      <w:r w:rsidR="00991B67" w:rsidRPr="00756773">
        <w:rPr>
          <w:sz w:val="22"/>
          <w:szCs w:val="22"/>
        </w:rPr>
        <w:t xml:space="preserve"> </w:t>
      </w:r>
      <w:r w:rsidR="00F335CB" w:rsidRPr="00756773">
        <w:rPr>
          <w:sz w:val="22"/>
          <w:szCs w:val="22"/>
        </w:rPr>
        <w:t xml:space="preserve">vertebrális </w:t>
      </w:r>
      <w:r w:rsidR="00991B67" w:rsidRPr="00756773">
        <w:rPr>
          <w:sz w:val="22"/>
          <w:szCs w:val="22"/>
        </w:rPr>
        <w:t>töréseket</w:t>
      </w:r>
      <w:r w:rsidRPr="00756773">
        <w:rPr>
          <w:sz w:val="22"/>
          <w:szCs w:val="22"/>
        </w:rPr>
        <w:t>.</w:t>
      </w:r>
    </w:p>
    <w:p w14:paraId="50D9BF97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** Az összes skeletalis esemény (összmennyiség és az egyes eseményekig eltelt idő a vizsgálat alatt).</w:t>
      </w:r>
    </w:p>
    <w:p w14:paraId="4C97EA82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NÉ</w:t>
      </w:r>
      <w:r w:rsidRPr="00756773">
        <w:rPr>
          <w:sz w:val="22"/>
          <w:szCs w:val="22"/>
        </w:rPr>
        <w:tab/>
        <w:t>Nem érte el.</w:t>
      </w:r>
    </w:p>
    <w:p w14:paraId="7B0C6839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NA</w:t>
      </w:r>
      <w:r w:rsidRPr="00756773">
        <w:rPr>
          <w:sz w:val="22"/>
          <w:szCs w:val="22"/>
        </w:rPr>
        <w:tab/>
        <w:t>Nem alkalmazható.</w:t>
      </w:r>
    </w:p>
    <w:p w14:paraId="71AB0092" w14:textId="77777777" w:rsidR="00853C3B" w:rsidRPr="00756773" w:rsidRDefault="00853C3B" w:rsidP="009A3F18">
      <w:pPr>
        <w:suppressLineNumbers/>
        <w:spacing w:line="240" w:lineRule="auto"/>
        <w:rPr>
          <w:szCs w:val="22"/>
          <w:lang w:val="hu-HU"/>
        </w:rPr>
      </w:pPr>
    </w:p>
    <w:p w14:paraId="26073B3C" w14:textId="33CC8FC4" w:rsidR="00037343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Egy randomizált, kettős</w:t>
      </w:r>
      <w:r w:rsidR="00B60D5C" w:rsidRPr="00756773">
        <w:rPr>
          <w:szCs w:val="22"/>
          <w:lang w:val="hu-HU"/>
        </w:rPr>
        <w:t xml:space="preserve"> </w:t>
      </w:r>
      <w:r w:rsidRPr="00756773">
        <w:rPr>
          <w:szCs w:val="22"/>
          <w:lang w:val="hu-HU"/>
        </w:rPr>
        <w:t xml:space="preserve">vak </w:t>
      </w:r>
      <w:r w:rsidR="00971A66" w:rsidRPr="00756773">
        <w:rPr>
          <w:szCs w:val="22"/>
          <w:lang w:val="hu-HU"/>
        </w:rPr>
        <w:t xml:space="preserve">III. </w:t>
      </w:r>
      <w:r w:rsidRPr="00756773">
        <w:rPr>
          <w:szCs w:val="22"/>
          <w:lang w:val="hu-HU"/>
        </w:rPr>
        <w:t>fázis</w:t>
      </w:r>
      <w:r w:rsidR="00971A66" w:rsidRPr="00756773">
        <w:rPr>
          <w:szCs w:val="22"/>
          <w:lang w:val="hu-HU"/>
        </w:rPr>
        <w:t>ú</w:t>
      </w:r>
      <w:r w:rsidRPr="00756773">
        <w:rPr>
          <w:szCs w:val="22"/>
          <w:lang w:val="hu-HU"/>
        </w:rPr>
        <w:t xml:space="preserve"> vizsgálatban a 4</w:t>
      </w:r>
      <w:r w:rsidR="0003734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 hatását minden 3-4 hétben adott 90</w:t>
      </w:r>
      <w:r w:rsidR="0003734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pamidronáttal vetették össze a legalább egy csontlaesios myeloma multiplexben vagy emlőcarcinomában szenvedő betegek esetében. Az eredmények azt mutatták, hogy a 4</w:t>
      </w:r>
      <w:r w:rsidR="0003734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 ugyanolyan hatásos volt az SRE prevenciójában, mint a 90</w:t>
      </w:r>
      <w:r w:rsidR="0003734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pamidronát. A multiplex eseményanalízis a pamidronáttal kezeltekkel összevetve szignifikáns rizikócsökkenést (16%) mutatott a 4</w:t>
      </w:r>
      <w:r w:rsidR="0003734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mg zoledronsavval kezelt betegek esetében. A hatásosságra vonatkozó eredményeket a 4.</w:t>
      </w:r>
      <w:r w:rsidR="00037343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táblázat mutatja.</w:t>
      </w:r>
    </w:p>
    <w:p w14:paraId="6D173BE8" w14:textId="77777777" w:rsidR="00181F58" w:rsidRPr="00756773" w:rsidRDefault="00181F58" w:rsidP="009A3F18">
      <w:pPr>
        <w:suppressLineNumbers/>
        <w:spacing w:line="240" w:lineRule="auto"/>
        <w:rPr>
          <w:szCs w:val="22"/>
          <w:lang w:val="hu-HU"/>
        </w:rPr>
      </w:pPr>
    </w:p>
    <w:p w14:paraId="7E782F41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b/>
          <w:bCs/>
          <w:sz w:val="22"/>
          <w:szCs w:val="22"/>
        </w:rPr>
        <w:t xml:space="preserve">4. táblázat: </w:t>
      </w:r>
      <w:r w:rsidRPr="00756773">
        <w:rPr>
          <w:sz w:val="22"/>
          <w:szCs w:val="22"/>
        </w:rPr>
        <w:t>A hatásosság eredményei (emlő</w:t>
      </w:r>
      <w:r w:rsidR="0022093F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carcinomában és myeloma multiplexben szenvedő betegek)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9"/>
        <w:gridCol w:w="1279"/>
        <w:gridCol w:w="1218"/>
        <w:gridCol w:w="1279"/>
        <w:gridCol w:w="1218"/>
        <w:gridCol w:w="1279"/>
        <w:gridCol w:w="1218"/>
      </w:tblGrid>
      <w:tr w:rsidR="001F0677" w:rsidRPr="00756773" w14:paraId="765BE33E" w14:textId="77777777" w:rsidTr="00181F58">
        <w:tc>
          <w:tcPr>
            <w:tcW w:w="1838" w:type="dxa"/>
            <w:shd w:val="clear" w:color="auto" w:fill="auto"/>
          </w:tcPr>
          <w:p w14:paraId="63B9D53C" w14:textId="77777777" w:rsidR="001F0677" w:rsidRPr="00756773" w:rsidRDefault="001F0677" w:rsidP="009A3F18">
            <w:pPr>
              <w:suppressLineNumbers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2228" w:type="dxa"/>
            <w:gridSpan w:val="2"/>
            <w:shd w:val="clear" w:color="auto" w:fill="auto"/>
          </w:tcPr>
          <w:p w14:paraId="6B364C1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SRE (+TIH)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1D12F54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Törések*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7B57E79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csont irradiációs kezelése</w:t>
            </w:r>
          </w:p>
        </w:tc>
      </w:tr>
      <w:tr w:rsidR="001F0677" w:rsidRPr="00756773" w14:paraId="2190858E" w14:textId="77777777" w:rsidTr="00181F58">
        <w:tc>
          <w:tcPr>
            <w:tcW w:w="1838" w:type="dxa"/>
            <w:shd w:val="clear" w:color="auto" w:fill="auto"/>
          </w:tcPr>
          <w:p w14:paraId="3E29B0A4" w14:textId="77777777" w:rsidR="001F0677" w:rsidRPr="00756773" w:rsidRDefault="001F0677" w:rsidP="009A3F18">
            <w:pPr>
              <w:suppressLineNumbers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1010" w:type="dxa"/>
            <w:shd w:val="clear" w:color="auto" w:fill="auto"/>
          </w:tcPr>
          <w:p w14:paraId="606A6BC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03734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1218" w:type="dxa"/>
            <w:shd w:val="clear" w:color="auto" w:fill="auto"/>
          </w:tcPr>
          <w:p w14:paraId="6DB68AB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90</w:t>
            </w:r>
            <w:r w:rsidR="0003734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pamidronát</w:t>
            </w:r>
          </w:p>
        </w:tc>
        <w:tc>
          <w:tcPr>
            <w:tcW w:w="1279" w:type="dxa"/>
            <w:shd w:val="clear" w:color="auto" w:fill="auto"/>
          </w:tcPr>
          <w:p w14:paraId="0EF44FE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03734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1218" w:type="dxa"/>
            <w:shd w:val="clear" w:color="auto" w:fill="auto"/>
          </w:tcPr>
          <w:p w14:paraId="4DA9CDB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90</w:t>
            </w:r>
            <w:r w:rsidR="0003734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pamidronát</w:t>
            </w:r>
          </w:p>
        </w:tc>
        <w:tc>
          <w:tcPr>
            <w:tcW w:w="1279" w:type="dxa"/>
            <w:shd w:val="clear" w:color="auto" w:fill="auto"/>
          </w:tcPr>
          <w:p w14:paraId="064506C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03734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</w:t>
            </w:r>
          </w:p>
        </w:tc>
        <w:tc>
          <w:tcPr>
            <w:tcW w:w="1218" w:type="dxa"/>
            <w:shd w:val="clear" w:color="auto" w:fill="auto"/>
          </w:tcPr>
          <w:p w14:paraId="21219CF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90</w:t>
            </w:r>
            <w:r w:rsidR="00037343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pamidronát</w:t>
            </w:r>
          </w:p>
        </w:tc>
      </w:tr>
      <w:tr w:rsidR="001F0677" w:rsidRPr="00756773" w14:paraId="33845A59" w14:textId="77777777" w:rsidTr="00181F58">
        <w:tc>
          <w:tcPr>
            <w:tcW w:w="1838" w:type="dxa"/>
            <w:shd w:val="clear" w:color="auto" w:fill="auto"/>
          </w:tcPr>
          <w:p w14:paraId="406064C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</w:t>
            </w:r>
          </w:p>
        </w:tc>
        <w:tc>
          <w:tcPr>
            <w:tcW w:w="1010" w:type="dxa"/>
            <w:shd w:val="clear" w:color="auto" w:fill="auto"/>
          </w:tcPr>
          <w:p w14:paraId="4D0768C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561</w:t>
            </w:r>
          </w:p>
        </w:tc>
        <w:tc>
          <w:tcPr>
            <w:tcW w:w="1218" w:type="dxa"/>
            <w:shd w:val="clear" w:color="auto" w:fill="auto"/>
          </w:tcPr>
          <w:p w14:paraId="304C955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555</w:t>
            </w:r>
          </w:p>
        </w:tc>
        <w:tc>
          <w:tcPr>
            <w:tcW w:w="1279" w:type="dxa"/>
            <w:shd w:val="clear" w:color="auto" w:fill="auto"/>
          </w:tcPr>
          <w:p w14:paraId="050A9AD4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561</w:t>
            </w:r>
          </w:p>
        </w:tc>
        <w:tc>
          <w:tcPr>
            <w:tcW w:w="1218" w:type="dxa"/>
            <w:shd w:val="clear" w:color="auto" w:fill="auto"/>
          </w:tcPr>
          <w:p w14:paraId="02E2778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555</w:t>
            </w:r>
          </w:p>
        </w:tc>
        <w:tc>
          <w:tcPr>
            <w:tcW w:w="1279" w:type="dxa"/>
            <w:shd w:val="clear" w:color="auto" w:fill="auto"/>
          </w:tcPr>
          <w:p w14:paraId="45105EF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561</w:t>
            </w:r>
          </w:p>
        </w:tc>
        <w:tc>
          <w:tcPr>
            <w:tcW w:w="1218" w:type="dxa"/>
            <w:shd w:val="clear" w:color="auto" w:fill="auto"/>
          </w:tcPr>
          <w:p w14:paraId="201728C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555</w:t>
            </w:r>
          </w:p>
        </w:tc>
      </w:tr>
      <w:tr w:rsidR="001F0677" w:rsidRPr="00756773" w14:paraId="6F764D9B" w14:textId="77777777" w:rsidTr="00181F58">
        <w:tc>
          <w:tcPr>
            <w:tcW w:w="1838" w:type="dxa"/>
            <w:shd w:val="clear" w:color="auto" w:fill="auto"/>
          </w:tcPr>
          <w:p w14:paraId="778ACC1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Az SRE-s betegek aránya (%)</w:t>
            </w:r>
          </w:p>
        </w:tc>
        <w:tc>
          <w:tcPr>
            <w:tcW w:w="1010" w:type="dxa"/>
            <w:shd w:val="clear" w:color="auto" w:fill="auto"/>
          </w:tcPr>
          <w:p w14:paraId="22C389C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48</w:t>
            </w:r>
          </w:p>
        </w:tc>
        <w:tc>
          <w:tcPr>
            <w:tcW w:w="1218" w:type="dxa"/>
            <w:shd w:val="clear" w:color="auto" w:fill="auto"/>
          </w:tcPr>
          <w:p w14:paraId="428A97C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52</w:t>
            </w:r>
          </w:p>
        </w:tc>
        <w:tc>
          <w:tcPr>
            <w:tcW w:w="1279" w:type="dxa"/>
            <w:shd w:val="clear" w:color="auto" w:fill="auto"/>
          </w:tcPr>
          <w:p w14:paraId="59EC7A8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37</w:t>
            </w:r>
          </w:p>
        </w:tc>
        <w:tc>
          <w:tcPr>
            <w:tcW w:w="1218" w:type="dxa"/>
            <w:shd w:val="clear" w:color="auto" w:fill="auto"/>
          </w:tcPr>
          <w:p w14:paraId="6024E4A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39</w:t>
            </w:r>
          </w:p>
        </w:tc>
        <w:tc>
          <w:tcPr>
            <w:tcW w:w="1279" w:type="dxa"/>
            <w:shd w:val="clear" w:color="auto" w:fill="auto"/>
          </w:tcPr>
          <w:p w14:paraId="0264DE8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19</w:t>
            </w:r>
          </w:p>
        </w:tc>
        <w:tc>
          <w:tcPr>
            <w:tcW w:w="1218" w:type="dxa"/>
            <w:shd w:val="clear" w:color="auto" w:fill="auto"/>
          </w:tcPr>
          <w:p w14:paraId="72BA485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24</w:t>
            </w:r>
          </w:p>
        </w:tc>
      </w:tr>
      <w:tr w:rsidR="001F0677" w:rsidRPr="00756773" w14:paraId="2D1079C9" w14:textId="77777777" w:rsidTr="00181F58">
        <w:tc>
          <w:tcPr>
            <w:tcW w:w="1838" w:type="dxa"/>
            <w:shd w:val="clear" w:color="auto" w:fill="auto"/>
          </w:tcPr>
          <w:p w14:paraId="288C2AF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2459491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0,198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10556E1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0,653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386C47E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0,037</w:t>
            </w:r>
          </w:p>
        </w:tc>
      </w:tr>
      <w:tr w:rsidR="001F0677" w:rsidRPr="00756773" w14:paraId="5101FD1C" w14:textId="77777777" w:rsidTr="00181F58">
        <w:tc>
          <w:tcPr>
            <w:tcW w:w="1838" w:type="dxa"/>
            <w:shd w:val="clear" w:color="auto" w:fill="auto"/>
          </w:tcPr>
          <w:p w14:paraId="6C1CE55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Az SRE-ig eltelt medián idő (nap)</w:t>
            </w:r>
          </w:p>
        </w:tc>
        <w:tc>
          <w:tcPr>
            <w:tcW w:w="1010" w:type="dxa"/>
            <w:shd w:val="clear" w:color="auto" w:fill="auto"/>
          </w:tcPr>
          <w:p w14:paraId="2B96315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376</w:t>
            </w:r>
          </w:p>
        </w:tc>
        <w:tc>
          <w:tcPr>
            <w:tcW w:w="1218" w:type="dxa"/>
            <w:shd w:val="clear" w:color="auto" w:fill="auto"/>
          </w:tcPr>
          <w:p w14:paraId="3BEF931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356</w:t>
            </w:r>
          </w:p>
        </w:tc>
        <w:tc>
          <w:tcPr>
            <w:tcW w:w="1279" w:type="dxa"/>
            <w:shd w:val="clear" w:color="auto" w:fill="auto"/>
          </w:tcPr>
          <w:p w14:paraId="70EA09C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1218" w:type="dxa"/>
            <w:shd w:val="clear" w:color="auto" w:fill="auto"/>
          </w:tcPr>
          <w:p w14:paraId="5D861B3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714</w:t>
            </w:r>
          </w:p>
        </w:tc>
        <w:tc>
          <w:tcPr>
            <w:tcW w:w="1279" w:type="dxa"/>
            <w:shd w:val="clear" w:color="auto" w:fill="auto"/>
          </w:tcPr>
          <w:p w14:paraId="7CCFEE6A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  <w:tc>
          <w:tcPr>
            <w:tcW w:w="1218" w:type="dxa"/>
            <w:shd w:val="clear" w:color="auto" w:fill="auto"/>
          </w:tcPr>
          <w:p w14:paraId="4FFA50F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</w:t>
            </w:r>
          </w:p>
        </w:tc>
      </w:tr>
      <w:tr w:rsidR="001F0677" w:rsidRPr="00756773" w14:paraId="7C8E422E" w14:textId="77777777" w:rsidTr="00181F58">
        <w:tc>
          <w:tcPr>
            <w:tcW w:w="1838" w:type="dxa"/>
            <w:shd w:val="clear" w:color="auto" w:fill="auto"/>
          </w:tcPr>
          <w:p w14:paraId="5457F70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4DACE24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0,151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7C714E4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0,672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21D4D22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0,026</w:t>
            </w:r>
          </w:p>
        </w:tc>
      </w:tr>
      <w:tr w:rsidR="001F0677" w:rsidRPr="00756773" w14:paraId="048961A8" w14:textId="77777777" w:rsidTr="00181F58">
        <w:tc>
          <w:tcPr>
            <w:tcW w:w="1838" w:type="dxa"/>
            <w:shd w:val="clear" w:color="auto" w:fill="auto"/>
          </w:tcPr>
          <w:p w14:paraId="788DEB20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Skeletalis morbiditási ráta</w:t>
            </w:r>
          </w:p>
        </w:tc>
        <w:tc>
          <w:tcPr>
            <w:tcW w:w="1010" w:type="dxa"/>
            <w:shd w:val="clear" w:color="auto" w:fill="auto"/>
          </w:tcPr>
          <w:p w14:paraId="778213BF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1,04</w:t>
            </w:r>
          </w:p>
        </w:tc>
        <w:tc>
          <w:tcPr>
            <w:tcW w:w="1218" w:type="dxa"/>
            <w:shd w:val="clear" w:color="auto" w:fill="auto"/>
          </w:tcPr>
          <w:p w14:paraId="543C809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1,39</w:t>
            </w:r>
          </w:p>
        </w:tc>
        <w:tc>
          <w:tcPr>
            <w:tcW w:w="1279" w:type="dxa"/>
            <w:shd w:val="clear" w:color="auto" w:fill="auto"/>
          </w:tcPr>
          <w:p w14:paraId="301E2AF3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0,53</w:t>
            </w:r>
          </w:p>
        </w:tc>
        <w:tc>
          <w:tcPr>
            <w:tcW w:w="1218" w:type="dxa"/>
            <w:shd w:val="clear" w:color="auto" w:fill="auto"/>
          </w:tcPr>
          <w:p w14:paraId="10627D0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0,60</w:t>
            </w:r>
          </w:p>
        </w:tc>
        <w:tc>
          <w:tcPr>
            <w:tcW w:w="1279" w:type="dxa"/>
            <w:shd w:val="clear" w:color="auto" w:fill="auto"/>
          </w:tcPr>
          <w:p w14:paraId="2D642E3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0,47</w:t>
            </w:r>
          </w:p>
        </w:tc>
        <w:tc>
          <w:tcPr>
            <w:tcW w:w="1218" w:type="dxa"/>
            <w:shd w:val="clear" w:color="auto" w:fill="auto"/>
          </w:tcPr>
          <w:p w14:paraId="774DF3A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0,71</w:t>
            </w:r>
          </w:p>
        </w:tc>
      </w:tr>
      <w:tr w:rsidR="001F0677" w:rsidRPr="00756773" w14:paraId="225386FF" w14:textId="77777777" w:rsidTr="00181F58">
        <w:tc>
          <w:tcPr>
            <w:tcW w:w="1838" w:type="dxa"/>
            <w:shd w:val="clear" w:color="auto" w:fill="auto"/>
          </w:tcPr>
          <w:p w14:paraId="2574139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712166F7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0,084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29781861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0,614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7F4C047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0,015</w:t>
            </w:r>
          </w:p>
        </w:tc>
      </w:tr>
      <w:tr w:rsidR="001F0677" w:rsidRPr="00756773" w14:paraId="36B8BBC2" w14:textId="77777777" w:rsidTr="00181F58">
        <w:tc>
          <w:tcPr>
            <w:tcW w:w="1838" w:type="dxa"/>
            <w:shd w:val="clear" w:color="auto" w:fill="auto"/>
          </w:tcPr>
          <w:p w14:paraId="796EA898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 többszörös események kockázatának csökkenése** (%)</w:t>
            </w:r>
          </w:p>
        </w:tc>
        <w:tc>
          <w:tcPr>
            <w:tcW w:w="1010" w:type="dxa"/>
            <w:shd w:val="clear" w:color="auto" w:fill="auto"/>
          </w:tcPr>
          <w:p w14:paraId="2546C5C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16</w:t>
            </w:r>
          </w:p>
        </w:tc>
        <w:tc>
          <w:tcPr>
            <w:tcW w:w="1218" w:type="dxa"/>
            <w:shd w:val="clear" w:color="auto" w:fill="auto"/>
          </w:tcPr>
          <w:p w14:paraId="271D64BE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14:paraId="2DAE8885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1218" w:type="dxa"/>
            <w:shd w:val="clear" w:color="auto" w:fill="auto"/>
          </w:tcPr>
          <w:p w14:paraId="1BB81256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1279" w:type="dxa"/>
            <w:shd w:val="clear" w:color="auto" w:fill="auto"/>
          </w:tcPr>
          <w:p w14:paraId="7FA433A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1218" w:type="dxa"/>
            <w:shd w:val="clear" w:color="auto" w:fill="auto"/>
          </w:tcPr>
          <w:p w14:paraId="595F43CC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</w:tr>
      <w:tr w:rsidR="001F0677" w:rsidRPr="00756773" w14:paraId="4363CCF4" w14:textId="77777777" w:rsidTr="00181F58">
        <w:tc>
          <w:tcPr>
            <w:tcW w:w="1838" w:type="dxa"/>
            <w:shd w:val="clear" w:color="auto" w:fill="auto"/>
          </w:tcPr>
          <w:p w14:paraId="6807C25D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p-érték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0CB84F2B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0,030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15C1CEE2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472A78A9" w14:textId="77777777" w:rsidR="001F0677" w:rsidRPr="00756773" w:rsidRDefault="001F0677" w:rsidP="009A3F18">
            <w:pPr>
              <w:suppressLineNumbers/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</w:t>
            </w:r>
          </w:p>
        </w:tc>
      </w:tr>
    </w:tbl>
    <w:p w14:paraId="66BA7325" w14:textId="40DE2D93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* Beleértve a </w:t>
      </w:r>
      <w:r w:rsidR="00F335CB" w:rsidRPr="00756773">
        <w:rPr>
          <w:sz w:val="22"/>
          <w:szCs w:val="22"/>
        </w:rPr>
        <w:t>vertebrális</w:t>
      </w:r>
      <w:r w:rsidRPr="00756773">
        <w:rPr>
          <w:sz w:val="22"/>
          <w:szCs w:val="22"/>
        </w:rPr>
        <w:t xml:space="preserve"> és </w:t>
      </w:r>
      <w:r w:rsidR="00F335CB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nem</w:t>
      </w:r>
      <w:r w:rsidR="00F335CB" w:rsidRPr="00756773">
        <w:rPr>
          <w:sz w:val="22"/>
          <w:szCs w:val="22"/>
        </w:rPr>
        <w:t xml:space="preserve"> vertebrális töréseket</w:t>
      </w:r>
      <w:r w:rsidRPr="00756773">
        <w:rPr>
          <w:sz w:val="22"/>
          <w:szCs w:val="22"/>
        </w:rPr>
        <w:t>.</w:t>
      </w:r>
    </w:p>
    <w:p w14:paraId="19E04FB9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** Az összes skeletalis esemény (összmennyiség és az egyes eseményekig eltelt idő a vizsgálat alatt).</w:t>
      </w:r>
    </w:p>
    <w:p w14:paraId="4D5F3AA8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NÉ</w:t>
      </w:r>
      <w:r w:rsidRPr="00756773">
        <w:rPr>
          <w:sz w:val="22"/>
          <w:szCs w:val="22"/>
        </w:rPr>
        <w:tab/>
        <w:t>Nem érte el.</w:t>
      </w:r>
    </w:p>
    <w:p w14:paraId="595A1FB0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NA</w:t>
      </w:r>
      <w:r w:rsidRPr="00756773">
        <w:rPr>
          <w:sz w:val="22"/>
          <w:szCs w:val="22"/>
        </w:rPr>
        <w:tab/>
        <w:t>Nem alkalmazható.</w:t>
      </w:r>
    </w:p>
    <w:p w14:paraId="717E88EA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1E575B04" w14:textId="2BB59B00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4</w:t>
      </w:r>
      <w:r w:rsidR="00342228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zoledronsavat vizsgálták ezenkívül egy kettős</w:t>
      </w:r>
      <w:r w:rsidR="00B60D5C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vak, randomizált, placebokontrollos vizsgálatban is, amelybe 228 olyan beteget vontak be, akiknek emlőkarcinóma következtében kialakult, bizonyított csontmetasztázisuk volt. A vizsgálatban a 4</w:t>
      </w:r>
      <w:r w:rsidR="00342228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zoledronsavnak a csontrendszert érintő eseményekre (SRE) gyakorolt hatását vizsgálták. Az SRE arány: az SRE-k összes száma (kivéve a hypercalcaemiát, és a korábbi törésekre korrigálva) osztva a teljes kockázati időtartammal. A betegek egy éven keresztül négyhetente 4</w:t>
      </w:r>
      <w:r w:rsidR="00342228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</w:t>
      </w:r>
      <w:r w:rsidR="00423389" w:rsidRPr="00756773">
        <w:rPr>
          <w:sz w:val="22"/>
          <w:szCs w:val="22"/>
        </w:rPr>
        <w:t>val</w:t>
      </w:r>
      <w:r w:rsidRPr="00756773">
        <w:rPr>
          <w:sz w:val="22"/>
          <w:szCs w:val="22"/>
        </w:rPr>
        <w:t xml:space="preserve"> vagy placebó</w:t>
      </w:r>
      <w:r w:rsidR="00423389" w:rsidRPr="00756773">
        <w:rPr>
          <w:sz w:val="22"/>
          <w:szCs w:val="22"/>
        </w:rPr>
        <w:t>val</w:t>
      </w:r>
      <w:r w:rsidRPr="00756773">
        <w:rPr>
          <w:sz w:val="22"/>
          <w:szCs w:val="22"/>
        </w:rPr>
        <w:t xml:space="preserve"> k</w:t>
      </w:r>
      <w:r w:rsidR="00423389" w:rsidRPr="00756773">
        <w:rPr>
          <w:sz w:val="22"/>
          <w:szCs w:val="22"/>
        </w:rPr>
        <w:t>ezelték</w:t>
      </w:r>
      <w:r w:rsidRPr="00756773">
        <w:rPr>
          <w:sz w:val="22"/>
          <w:szCs w:val="22"/>
        </w:rPr>
        <w:t>. A betegeket egyenlő arányban sorolták a zoledronsav-kezelést, illetve a placebó</w:t>
      </w:r>
      <w:r w:rsidR="00423389" w:rsidRPr="00756773">
        <w:rPr>
          <w:sz w:val="22"/>
          <w:szCs w:val="22"/>
        </w:rPr>
        <w:t>val</w:t>
      </w:r>
      <w:r w:rsidRPr="00756773">
        <w:rPr>
          <w:sz w:val="22"/>
          <w:szCs w:val="22"/>
        </w:rPr>
        <w:t xml:space="preserve"> </w:t>
      </w:r>
      <w:r w:rsidR="00423389" w:rsidRPr="00756773">
        <w:rPr>
          <w:sz w:val="22"/>
          <w:szCs w:val="22"/>
        </w:rPr>
        <w:t>kezelt</w:t>
      </w:r>
      <w:r w:rsidRPr="00756773">
        <w:rPr>
          <w:sz w:val="22"/>
          <w:szCs w:val="22"/>
        </w:rPr>
        <w:t xml:space="preserve"> csoportokba.</w:t>
      </w:r>
    </w:p>
    <w:p w14:paraId="184B7269" w14:textId="77777777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361327">
        <w:rPr>
          <w:szCs w:val="22"/>
          <w:lang w:val="hu-HU"/>
        </w:rPr>
        <w:t xml:space="preserve">Az SRE arány (esemény/emberév) 0,628 volt a zoledronsav és </w:t>
      </w:r>
      <w:smartTag w:uri="urn:schemas-microsoft-com:office:smarttags" w:element="metricconverter">
        <w:smartTagPr>
          <w:attr w:name="ProductID" w:val="1,096 a"/>
        </w:smartTagPr>
        <w:r w:rsidRPr="00361327">
          <w:rPr>
            <w:szCs w:val="22"/>
            <w:lang w:val="hu-HU"/>
          </w:rPr>
          <w:t>1,096 a</w:t>
        </w:r>
      </w:smartTag>
      <w:r w:rsidRPr="00361327">
        <w:rPr>
          <w:szCs w:val="22"/>
          <w:lang w:val="hu-HU"/>
        </w:rPr>
        <w:t xml:space="preserve"> placebo mellett. Azon betegek aránya, akiknél legalább egy SRE fellépett (hypercalcaemia kivételével) 29,8% volt a zoledronsav-csoportban, szemben a placebó csoportban mért 49,6%-kal (p = 0,003). Az első SRE kialakulásáig eltelt idő mediánértékét a zoledronsav</w:t>
      </w:r>
      <w:r w:rsidR="00423389" w:rsidRPr="00361327">
        <w:rPr>
          <w:szCs w:val="22"/>
          <w:lang w:val="hu-HU"/>
        </w:rPr>
        <w:t xml:space="preserve">val </w:t>
      </w:r>
      <w:r w:rsidRPr="00361327">
        <w:rPr>
          <w:szCs w:val="22"/>
          <w:lang w:val="hu-HU"/>
        </w:rPr>
        <w:t>kezel</w:t>
      </w:r>
      <w:r w:rsidR="00423389" w:rsidRPr="00361327">
        <w:rPr>
          <w:szCs w:val="22"/>
          <w:lang w:val="hu-HU"/>
        </w:rPr>
        <w:t xml:space="preserve">t </w:t>
      </w:r>
      <w:r w:rsidRPr="00361327">
        <w:rPr>
          <w:szCs w:val="22"/>
          <w:lang w:val="hu-HU"/>
        </w:rPr>
        <w:t>csoportban a vizsgálat végéig nem érték el, és az jelentősen hosszabb volt, mint placebo mellett (p = 0,007). A 4</w:t>
      </w:r>
      <w:r w:rsidR="00342228" w:rsidRPr="00361327">
        <w:rPr>
          <w:szCs w:val="22"/>
          <w:lang w:val="hu-HU"/>
        </w:rPr>
        <w:t> </w:t>
      </w:r>
      <w:r w:rsidRPr="00361327">
        <w:rPr>
          <w:szCs w:val="22"/>
          <w:lang w:val="hu-HU"/>
        </w:rPr>
        <w:t>mg zoledronsav egy többszörös esemény elemzés alapján 41%-kal csökkentette az SRE-k kialakulásának kockázatát (kockázat arány</w:t>
      </w:r>
      <w:r w:rsidR="00342228" w:rsidRPr="00361327">
        <w:rPr>
          <w:szCs w:val="22"/>
          <w:lang w:val="hu-HU"/>
        </w:rPr>
        <w:t> </w:t>
      </w:r>
      <w:r w:rsidRPr="00361327">
        <w:rPr>
          <w:szCs w:val="22"/>
          <w:lang w:val="hu-HU"/>
        </w:rPr>
        <w:t>=</w:t>
      </w:r>
      <w:r w:rsidR="00990899" w:rsidRPr="00361327">
        <w:rPr>
          <w:szCs w:val="22"/>
          <w:lang w:val="hu-HU"/>
        </w:rPr>
        <w:t xml:space="preserve"> </w:t>
      </w:r>
      <w:r w:rsidRPr="00361327">
        <w:rPr>
          <w:szCs w:val="22"/>
          <w:lang w:val="hu-HU"/>
        </w:rPr>
        <w:t>0,59, p =</w:t>
      </w:r>
      <w:r w:rsidR="00990899" w:rsidRPr="00361327">
        <w:rPr>
          <w:szCs w:val="22"/>
          <w:lang w:val="hu-HU"/>
        </w:rPr>
        <w:t xml:space="preserve"> </w:t>
      </w:r>
      <w:r w:rsidRPr="00361327">
        <w:rPr>
          <w:szCs w:val="22"/>
          <w:lang w:val="hu-HU"/>
        </w:rPr>
        <w:t>0,019) a placebóhoz viszonyítva.</w:t>
      </w:r>
    </w:p>
    <w:p w14:paraId="2170E456" w14:textId="23B683DD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zoledronsav</w:t>
      </w:r>
      <w:r w:rsidR="00CB3D3F" w:rsidRPr="00756773">
        <w:rPr>
          <w:szCs w:val="22"/>
          <w:lang w:val="hu-HU"/>
        </w:rPr>
        <w:t>val</w:t>
      </w:r>
      <w:r w:rsidRPr="00756773">
        <w:rPr>
          <w:szCs w:val="22"/>
          <w:lang w:val="hu-HU"/>
        </w:rPr>
        <w:t xml:space="preserve"> kezel</w:t>
      </w:r>
      <w:r w:rsidR="00CB3D3F" w:rsidRPr="00756773">
        <w:rPr>
          <w:szCs w:val="22"/>
          <w:lang w:val="hu-HU"/>
        </w:rPr>
        <w:t>t</w:t>
      </w:r>
      <w:r w:rsidRPr="00756773">
        <w:rPr>
          <w:szCs w:val="22"/>
          <w:lang w:val="hu-HU"/>
        </w:rPr>
        <w:t xml:space="preserve"> csoportban a placebóhoz viszonyítva (1.</w:t>
      </w:r>
      <w:r w:rsidR="00B47CC5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ábra) a fájdalompontszámok statisztikailag szignifikáns javulását (rövid fájdalom teszttel [BPI] mérve) a negyedik héten és a vizsgálat során minden további időpontban tapasztalták. A fájdalompontszám a zoledronsav esetében következetesen a kiindulási érték alatt volt, és a fájdalomcsökkenést az analgetikus</w:t>
      </w:r>
      <w:r w:rsidR="00B60D5C" w:rsidRPr="00756773">
        <w:rPr>
          <w:szCs w:val="22"/>
          <w:lang w:val="hu-HU"/>
        </w:rPr>
        <w:t xml:space="preserve"> </w:t>
      </w:r>
      <w:r w:rsidRPr="00756773">
        <w:rPr>
          <w:szCs w:val="22"/>
          <w:lang w:val="hu-HU"/>
        </w:rPr>
        <w:t>pontszám csökkenése kísérte.</w:t>
      </w:r>
    </w:p>
    <w:p w14:paraId="5FC26A3D" w14:textId="77777777" w:rsidR="00B60D5C" w:rsidRPr="00756773" w:rsidRDefault="00B60D5C" w:rsidP="009A3F18">
      <w:pPr>
        <w:suppressLineNumbers/>
        <w:spacing w:line="240" w:lineRule="auto"/>
        <w:rPr>
          <w:bCs/>
          <w:szCs w:val="22"/>
          <w:lang w:val="hu-HU"/>
        </w:rPr>
      </w:pPr>
    </w:p>
    <w:p w14:paraId="02F487F2" w14:textId="6041B293" w:rsidR="001F0677" w:rsidRPr="00361327" w:rsidRDefault="00B53547" w:rsidP="009A3F18">
      <w:pPr>
        <w:suppressLineNumbers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54C71">
        <w:rPr>
          <w:rFonts w:eastAsia="Times New Roman"/>
          <w:noProof/>
          <w:snapToGrid/>
          <w:szCs w:val="22"/>
          <w:lang w:val="hu-HU"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34081B" wp14:editId="657AFDD1">
                <wp:simplePos x="0" y="0"/>
                <wp:positionH relativeFrom="column">
                  <wp:posOffset>-274320</wp:posOffset>
                </wp:positionH>
                <wp:positionV relativeFrom="paragraph">
                  <wp:posOffset>1630680</wp:posOffset>
                </wp:positionV>
                <wp:extent cx="2439035" cy="474980"/>
                <wp:effectExtent l="0" t="8572" r="0" b="0"/>
                <wp:wrapSquare wrapText="bothSides"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39035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D4FB16" w14:textId="789DF254" w:rsidR="002B20A0" w:rsidRDefault="002B20A0">
                            <w:r>
                              <w:rPr>
                                <w:szCs w:val="22"/>
                              </w:rPr>
                              <w:t>A BPI átlagos változása a kiindulási értékhez viszonyítva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4081B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-21.6pt;margin-top:128.4pt;width:192.05pt;height:37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" fillcolor="white [3201]" stroked="f" strokeweight=".5pt">
                <v:textbox>
                  <w:txbxContent>
                    <w:p w14:paraId="2BD4FB16" w14:textId="789DF254" w:rsidR="002B20A0" w:rsidRDefault="002B20A0">
                      <w:r>
                        <w:rPr>
                          <w:szCs w:val="22"/>
                        </w:rPr>
                        <w:t>A BPI átlagos változása a kiindulási értékhez viszonyítva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0677" w:rsidRPr="00756773">
        <w:rPr>
          <w:b/>
          <w:bCs/>
          <w:szCs w:val="22"/>
          <w:lang w:val="hu-HU"/>
        </w:rPr>
        <w:t>1. ábra: A BPI pontszám átlagos változása a kiindulási értékhez viszonyítva. A statisztikailag szignifikáns különbségek jelölve vannak (*p&lt; 0,05) a két kezelés (4</w:t>
      </w:r>
      <w:r w:rsidR="00B47CC5" w:rsidRPr="00756773">
        <w:rPr>
          <w:b/>
          <w:bCs/>
          <w:szCs w:val="22"/>
          <w:lang w:val="hu-HU"/>
        </w:rPr>
        <w:t> </w:t>
      </w:r>
      <w:r w:rsidR="001F0677" w:rsidRPr="00756773">
        <w:rPr>
          <w:b/>
          <w:bCs/>
          <w:szCs w:val="22"/>
          <w:lang w:val="hu-HU"/>
        </w:rPr>
        <w:t>mg zoledronsav vs. placebo) összehasonlításának céljából.</w:t>
      </w:r>
    </w:p>
    <w:p w14:paraId="634CCB4B" w14:textId="0B01C588" w:rsidR="001F0677" w:rsidRPr="00361327" w:rsidRDefault="00077704" w:rsidP="00450E3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54C71">
        <w:rPr>
          <w:rFonts w:eastAsia="Times New Roman"/>
          <w:noProof/>
          <w:snapToGrid/>
          <w:szCs w:val="22"/>
          <w:lang w:val="hu-HU" w:eastAsia="hu-HU"/>
        </w:rPr>
        <w:drawing>
          <wp:anchor distT="0" distB="0" distL="114300" distR="114300" simplePos="0" relativeHeight="251657728" behindDoc="0" locked="0" layoutInCell="1" allowOverlap="1" wp14:anchorId="58845947" wp14:editId="5414C996">
            <wp:simplePos x="0" y="0"/>
            <wp:positionH relativeFrom="margin">
              <wp:align>center</wp:align>
            </wp:positionH>
            <wp:positionV relativeFrom="paragraph">
              <wp:posOffset>150528</wp:posOffset>
            </wp:positionV>
            <wp:extent cx="3344545" cy="2609850"/>
            <wp:effectExtent l="0" t="0" r="8255" b="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4" b="15744"/>
                    <a:stretch/>
                  </pic:blipFill>
                  <pic:spPr bwMode="auto">
                    <a:xfrm>
                      <a:off x="0" y="0"/>
                      <a:ext cx="334454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68776" w14:textId="258BD242" w:rsidR="001F0677" w:rsidRPr="00756773" w:rsidRDefault="001164D8" w:rsidP="00450E3E">
      <w:pPr>
        <w:spacing w:line="240" w:lineRule="auto"/>
        <w:jc w:val="center"/>
        <w:rPr>
          <w:szCs w:val="22"/>
          <w:lang w:val="hu-HU"/>
        </w:rPr>
      </w:pPr>
      <w:r w:rsidRPr="00756773">
        <w:rPr>
          <w:szCs w:val="22"/>
          <w:lang w:val="hu-HU"/>
        </w:rPr>
        <w:t>Vizsgálati idő (hetek)</w:t>
      </w:r>
    </w:p>
    <w:p w14:paraId="000DF84F" w14:textId="77777777" w:rsidR="001148DC" w:rsidRPr="00361327" w:rsidRDefault="001148DC" w:rsidP="00450E3E">
      <w:pPr>
        <w:spacing w:line="240" w:lineRule="auto"/>
        <w:jc w:val="center"/>
        <w:rPr>
          <w:rFonts w:eastAsia="Times New Roman"/>
          <w:snapToGrid/>
          <w:szCs w:val="22"/>
          <w:lang w:val="hu-HU" w:eastAsia="en-US"/>
        </w:rPr>
      </w:pPr>
    </w:p>
    <w:p w14:paraId="5AEBD8BA" w14:textId="77777777" w:rsidR="001148DC" w:rsidRPr="00756773" w:rsidRDefault="001148DC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 xml:space="preserve">CZOL446EUS122/SWOG vizsgálat </w:t>
      </w:r>
    </w:p>
    <w:p w14:paraId="24E62B1E" w14:textId="77777777" w:rsidR="001148DC" w:rsidRPr="00756773" w:rsidRDefault="001148DC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Ebben a megfigyeléses vizsgálatban az volt az elsődleges cél, hogy megbecsüljék az állkapocs osteonecrosisának (ONJ) 3 év utáni összesített incidenciáját zoledronsavat kapó, csontáttétes rákbetegeknél. Az osteoclastgátló terápiát, egyéb daganatellenes terápiát és a fogászati ellátást a klinikai javallatnak megfelelően végezték, hogy a lehető legjobban szimulálják az intézeti és közegészségügyi ellátást. Kiinduláskor fogászati kivizsgálást javasoltak, ám az nem volt kötelező. </w:t>
      </w:r>
    </w:p>
    <w:p w14:paraId="3CB62E3E" w14:textId="77777777" w:rsidR="001148DC" w:rsidRPr="00756773" w:rsidRDefault="001148DC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7B5E251" w14:textId="4333FE79" w:rsidR="001F0677" w:rsidRPr="00756773" w:rsidRDefault="001148DC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3491 értékelhető beteg közül 87 esetben igazolták az ONJ diagnózisát. Összességében az igazolt ONJ becsült, kumulatív incidenciája 3 év után 2,8% volt (95%-os CI: 2,3–3,5%). Az arány 0,8% volt az 1. évben, és 2,0% volt a 2. évben. A 3 év utáni, igazolt ONJ a myelomában szenvedő betegeknél volt a leggyakoribb (4,3%) és az emlőrákban szenvedő betegeknél volt a legritkább (2,4%). Az igazolt ONJ esetei statisztikailag szignifikánsan gyakoribbak voltak myeloma multiplexben szenvedő betegeknél (p=0,03), mint az összes többi daganatbetegségben együttesen.</w:t>
      </w:r>
    </w:p>
    <w:p w14:paraId="0F90DB26" w14:textId="77777777" w:rsidR="001148DC" w:rsidRPr="00756773" w:rsidRDefault="001148DC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p w14:paraId="67B7E24A" w14:textId="0F4686E8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u w:val="single"/>
          <w:lang w:val="hu-HU" w:eastAsia="hu-HU"/>
        </w:rPr>
        <w:t xml:space="preserve">Klinikai vizsgálati eredmények a tumor indukálta hypercalcaemia </w:t>
      </w:r>
      <w:r w:rsidR="00A205BC" w:rsidRPr="00756773">
        <w:rPr>
          <w:rFonts w:eastAsia="Times New Roman"/>
          <w:snapToGrid/>
          <w:color w:val="000000"/>
          <w:szCs w:val="22"/>
          <w:u w:val="single"/>
          <w:lang w:val="hu-HU" w:eastAsia="hu-HU"/>
        </w:rPr>
        <w:t xml:space="preserve">(TIH) </w:t>
      </w:r>
      <w:r w:rsidRPr="00756773">
        <w:rPr>
          <w:rFonts w:eastAsia="Times New Roman"/>
          <w:snapToGrid/>
          <w:color w:val="000000"/>
          <w:szCs w:val="22"/>
          <w:u w:val="single"/>
          <w:lang w:val="hu-HU" w:eastAsia="hu-HU"/>
        </w:rPr>
        <w:t>kezelésében</w:t>
      </w:r>
    </w:p>
    <w:p w14:paraId="147118D0" w14:textId="473D874F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lang w:val="hu-HU" w:eastAsia="hu-HU"/>
        </w:rPr>
        <w:t>Tumor indukálta hypercalcaemiában (TIH-ben) végzett klinikai vizsgálatok igazolták, hogy a zoledronsav csökkenti a szérum kalciumszintet és a vizelettel történő kalciumürítést. A</w:t>
      </w:r>
      <w:r w:rsidR="00E37409" w:rsidRPr="00756773">
        <w:rPr>
          <w:rFonts w:eastAsia="Times New Roman"/>
          <w:snapToGrid/>
          <w:color w:val="000000"/>
          <w:szCs w:val="22"/>
          <w:lang w:val="hu-HU" w:eastAsia="hu-HU"/>
        </w:rPr>
        <w:t>z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="00971A66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I.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fázis</w:t>
      </w:r>
      <w:r w:rsidR="00971A66" w:rsidRPr="00756773">
        <w:rPr>
          <w:rFonts w:eastAsia="Times New Roman"/>
          <w:snapToGrid/>
          <w:color w:val="000000"/>
          <w:szCs w:val="22"/>
          <w:lang w:val="hu-HU" w:eastAsia="hu-HU"/>
        </w:rPr>
        <w:t>ú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dóziskereső vizsgálatban enyhe-köz</w:t>
      </w:r>
      <w:r w:rsidR="00CB5E9A">
        <w:rPr>
          <w:rFonts w:eastAsia="Times New Roman"/>
          <w:snapToGrid/>
          <w:color w:val="000000"/>
          <w:szCs w:val="22"/>
          <w:lang w:val="hu-HU" w:eastAsia="hu-HU"/>
        </w:rPr>
        <w:t>e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p</w:t>
      </w:r>
      <w:r w:rsidR="000A7A73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esen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súlyos TIH-ben szenvedő betegekben a hatásos </w:t>
      </w:r>
      <w:r w:rsidR="00A511E4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dózis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az 1,2-2,5</w:t>
      </w:r>
      <w:r w:rsidR="00B47CC5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mg-os dózistartományban volt.</w:t>
      </w:r>
    </w:p>
    <w:p w14:paraId="51D19491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p w14:paraId="703D5092" w14:textId="1E7CAECE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lang w:val="hu-HU" w:eastAsia="hu-HU"/>
        </w:rPr>
        <w:t>TIH-es betegekben, hatás</w:t>
      </w:r>
      <w:r w:rsidR="00A511E4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meghatározás érdekében a 4</w:t>
      </w:r>
      <w:r w:rsidR="00B47CC5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 zoledronsavat 90</w:t>
      </w:r>
      <w:r w:rsidR="00B47CC5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 pamidronáttal hasonlították össze, egy előre meghatározott analízist alkalmazva, két multicentrikus alapvizsgálat (pivotál</w:t>
      </w:r>
      <w:r w:rsidR="00971A66" w:rsidRPr="00756773">
        <w:rPr>
          <w:rFonts w:eastAsia="Times New Roman"/>
          <w:snapToGrid/>
          <w:color w:val="000000"/>
          <w:szCs w:val="22"/>
          <w:lang w:val="hu-HU" w:eastAsia="hu-HU"/>
        </w:rPr>
        <w:t>is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vizsgálat) eredményeinek összevetésével. A korrigált szérumkalciumszint gyorsabban normalizálódott a 4. napon 8</w:t>
      </w:r>
      <w:r w:rsidR="00D64679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 zoledronsav, ill. a 7. napon 4</w:t>
      </w:r>
      <w:r w:rsidR="00D64679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 és 8</w:t>
      </w:r>
      <w:r w:rsidR="00D64679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mg zoledronsav alkalmazása esetén. Az alábbi válaszarányokat figyelték meg:</w:t>
      </w:r>
    </w:p>
    <w:p w14:paraId="7B48DF55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p w14:paraId="35ACA81B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b/>
          <w:bCs/>
          <w:snapToGrid/>
          <w:color w:val="000000"/>
          <w:szCs w:val="22"/>
          <w:lang w:val="hu-HU" w:eastAsia="hu-HU"/>
        </w:rPr>
        <w:t xml:space="preserve">5. táblázat: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A komplett választ adók arányai a kombinált TIH vizsgálatokban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4"/>
        <w:gridCol w:w="2262"/>
        <w:gridCol w:w="2262"/>
        <w:gridCol w:w="2262"/>
      </w:tblGrid>
      <w:tr w:rsidR="001F0677" w:rsidRPr="00756773" w14:paraId="556C69C1" w14:textId="77777777" w:rsidTr="001F0677">
        <w:tc>
          <w:tcPr>
            <w:tcW w:w="2444" w:type="dxa"/>
            <w:shd w:val="clear" w:color="auto" w:fill="auto"/>
          </w:tcPr>
          <w:p w14:paraId="3BB9E0C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</w:p>
        </w:tc>
        <w:tc>
          <w:tcPr>
            <w:tcW w:w="2445" w:type="dxa"/>
            <w:shd w:val="clear" w:color="auto" w:fill="auto"/>
          </w:tcPr>
          <w:p w14:paraId="64F0613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4. nap</w:t>
            </w:r>
          </w:p>
        </w:tc>
        <w:tc>
          <w:tcPr>
            <w:tcW w:w="2445" w:type="dxa"/>
            <w:shd w:val="clear" w:color="auto" w:fill="auto"/>
          </w:tcPr>
          <w:p w14:paraId="74CE8D0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7. nap</w:t>
            </w:r>
          </w:p>
        </w:tc>
        <w:tc>
          <w:tcPr>
            <w:tcW w:w="2445" w:type="dxa"/>
            <w:shd w:val="clear" w:color="auto" w:fill="auto"/>
          </w:tcPr>
          <w:p w14:paraId="3304ACF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10. nap</w:t>
            </w:r>
          </w:p>
        </w:tc>
      </w:tr>
      <w:tr w:rsidR="001F0677" w:rsidRPr="00756773" w14:paraId="0DF68CF7" w14:textId="77777777" w:rsidTr="001F0677">
        <w:tc>
          <w:tcPr>
            <w:tcW w:w="2444" w:type="dxa"/>
            <w:shd w:val="clear" w:color="auto" w:fill="auto"/>
          </w:tcPr>
          <w:p w14:paraId="3B21EBC7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</w:t>
            </w:r>
            <w:r w:rsidR="00D64679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 (N=86)</w:t>
            </w:r>
          </w:p>
        </w:tc>
        <w:tc>
          <w:tcPr>
            <w:tcW w:w="2445" w:type="dxa"/>
            <w:shd w:val="clear" w:color="auto" w:fill="auto"/>
          </w:tcPr>
          <w:p w14:paraId="1F5F02E4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45,3% (p=0,104)</w:t>
            </w:r>
          </w:p>
        </w:tc>
        <w:tc>
          <w:tcPr>
            <w:tcW w:w="2445" w:type="dxa"/>
            <w:shd w:val="clear" w:color="auto" w:fill="auto"/>
          </w:tcPr>
          <w:p w14:paraId="1AFEB74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82,6% (p=0,005)*</w:t>
            </w:r>
          </w:p>
        </w:tc>
        <w:tc>
          <w:tcPr>
            <w:tcW w:w="2445" w:type="dxa"/>
            <w:shd w:val="clear" w:color="auto" w:fill="auto"/>
          </w:tcPr>
          <w:p w14:paraId="38C8E499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88,4% (p=0,002)*</w:t>
            </w:r>
          </w:p>
        </w:tc>
      </w:tr>
      <w:tr w:rsidR="001F0677" w:rsidRPr="00756773" w14:paraId="5F1CB732" w14:textId="77777777" w:rsidTr="001F0677">
        <w:tc>
          <w:tcPr>
            <w:tcW w:w="2444" w:type="dxa"/>
            <w:shd w:val="clear" w:color="auto" w:fill="auto"/>
          </w:tcPr>
          <w:p w14:paraId="468A88DE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8</w:t>
            </w:r>
            <w:r w:rsidR="00D64679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zoledronsav (N=90)</w:t>
            </w:r>
          </w:p>
        </w:tc>
        <w:tc>
          <w:tcPr>
            <w:tcW w:w="2445" w:type="dxa"/>
            <w:shd w:val="clear" w:color="auto" w:fill="auto"/>
          </w:tcPr>
          <w:p w14:paraId="4BB17BC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55,6% (p=0,021)*</w:t>
            </w:r>
          </w:p>
        </w:tc>
        <w:tc>
          <w:tcPr>
            <w:tcW w:w="2445" w:type="dxa"/>
            <w:shd w:val="clear" w:color="auto" w:fill="auto"/>
          </w:tcPr>
          <w:p w14:paraId="72E62D9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83,3% (p=0,010)*</w:t>
            </w:r>
          </w:p>
        </w:tc>
        <w:tc>
          <w:tcPr>
            <w:tcW w:w="2445" w:type="dxa"/>
            <w:shd w:val="clear" w:color="auto" w:fill="auto"/>
          </w:tcPr>
          <w:p w14:paraId="036F47A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86,7% (p=0,015)*</w:t>
            </w:r>
          </w:p>
        </w:tc>
      </w:tr>
      <w:tr w:rsidR="001F0677" w:rsidRPr="00756773" w14:paraId="19CD63A7" w14:textId="77777777" w:rsidTr="001F0677">
        <w:tc>
          <w:tcPr>
            <w:tcW w:w="2444" w:type="dxa"/>
            <w:shd w:val="clear" w:color="auto" w:fill="auto"/>
          </w:tcPr>
          <w:p w14:paraId="6BACD7B9" w14:textId="77777777" w:rsidR="001F0677" w:rsidRPr="00756773" w:rsidRDefault="00423389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pamidronát </w:t>
            </w:r>
            <w:r w:rsidR="001F0677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90</w:t>
            </w:r>
            <w:r w:rsidR="00D64679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 </w:t>
            </w:r>
            <w:r w:rsidR="001F0677"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mg (N=99)</w:t>
            </w:r>
          </w:p>
        </w:tc>
        <w:tc>
          <w:tcPr>
            <w:tcW w:w="2445" w:type="dxa"/>
            <w:shd w:val="clear" w:color="auto" w:fill="auto"/>
          </w:tcPr>
          <w:p w14:paraId="60DCB6E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33,3%</w:t>
            </w:r>
          </w:p>
        </w:tc>
        <w:tc>
          <w:tcPr>
            <w:tcW w:w="2445" w:type="dxa"/>
            <w:shd w:val="clear" w:color="auto" w:fill="auto"/>
          </w:tcPr>
          <w:p w14:paraId="0E6104D9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63,6%</w:t>
            </w:r>
          </w:p>
        </w:tc>
        <w:tc>
          <w:tcPr>
            <w:tcW w:w="2445" w:type="dxa"/>
            <w:shd w:val="clear" w:color="auto" w:fill="auto"/>
          </w:tcPr>
          <w:p w14:paraId="3B03BF44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69,7%</w:t>
            </w:r>
          </w:p>
        </w:tc>
      </w:tr>
      <w:tr w:rsidR="001F0677" w:rsidRPr="00756773" w14:paraId="57659471" w14:textId="77777777" w:rsidTr="001F0677">
        <w:tc>
          <w:tcPr>
            <w:tcW w:w="9779" w:type="dxa"/>
            <w:gridSpan w:val="4"/>
            <w:shd w:val="clear" w:color="auto" w:fill="auto"/>
          </w:tcPr>
          <w:p w14:paraId="7774D03C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*p-értékek a pamidronáttal összehasonlítva.</w:t>
            </w:r>
          </w:p>
        </w:tc>
      </w:tr>
    </w:tbl>
    <w:p w14:paraId="6EFC9C9F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6C117D57" w14:textId="304AC4CB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normocalcaemia kialakulásáig a medián idő 4 nap volt. A relapszus kialakulásáig a medián idő (ismételt emelkedése az albuminra korrigált szérum kalciumszintnek ≥ 2,9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mmol/l) 30–40 nap volt a zoledronsavval kezelt csoportban, szemben a 90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pamidronát</w:t>
      </w:r>
      <w:r w:rsidR="00527F9B">
        <w:rPr>
          <w:sz w:val="22"/>
          <w:szCs w:val="22"/>
        </w:rPr>
        <w:t>-</w:t>
      </w:r>
      <w:r w:rsidRPr="00756773">
        <w:rPr>
          <w:sz w:val="22"/>
          <w:szCs w:val="22"/>
        </w:rPr>
        <w:t xml:space="preserve">csoport 17 napjával (p-érték: </w:t>
      </w:r>
      <w:smartTag w:uri="urn:schemas-microsoft-com:office:smarttags" w:element="metricconverter">
        <w:smartTagPr>
          <w:attr w:name="ProductID" w:val="0,001 a"/>
        </w:smartTagPr>
        <w:r w:rsidRPr="00756773">
          <w:rPr>
            <w:sz w:val="22"/>
            <w:szCs w:val="22"/>
          </w:rPr>
          <w:t>0,001 a</w:t>
        </w:r>
      </w:smartTag>
      <w:r w:rsidRPr="00756773">
        <w:rPr>
          <w:sz w:val="22"/>
          <w:szCs w:val="22"/>
        </w:rPr>
        <w:t xml:space="preserve"> 4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mg és </w:t>
      </w:r>
      <w:smartTag w:uri="urn:schemas-microsoft-com:office:smarttags" w:element="metricconverter">
        <w:smartTagPr>
          <w:attr w:name="ProductID" w:val="0,007 a"/>
        </w:smartTagPr>
        <w:r w:rsidRPr="00756773">
          <w:rPr>
            <w:sz w:val="22"/>
            <w:szCs w:val="22"/>
          </w:rPr>
          <w:t>0,007 a</w:t>
        </w:r>
      </w:smartTag>
      <w:r w:rsidRPr="00756773">
        <w:rPr>
          <w:sz w:val="22"/>
          <w:szCs w:val="22"/>
        </w:rPr>
        <w:t xml:space="preserve"> 8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alkalmazása esetén). A két zoledronsav dózis hatása között nem volt statisztikailag szignifikáns különbség.</w:t>
      </w:r>
    </w:p>
    <w:p w14:paraId="76025CED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53B3E6B5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Klinikai vizsgálatokban 69, relapszusos vagy az előző kezelésre (4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mg, ill. 8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vagy 90</w:t>
      </w:r>
      <w:r w:rsidR="00D6467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pamidronát) refrakter beteg ismételt, 8</w:t>
      </w:r>
      <w:r w:rsidR="007F0D1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zoledronsav-kezelés</w:t>
      </w:r>
      <w:r w:rsidR="00423389" w:rsidRPr="00756773">
        <w:rPr>
          <w:sz w:val="22"/>
          <w:szCs w:val="22"/>
        </w:rPr>
        <w:t>nél</w:t>
      </w:r>
      <w:r w:rsidRPr="00756773">
        <w:rPr>
          <w:sz w:val="22"/>
          <w:szCs w:val="22"/>
        </w:rPr>
        <w:t>. Ezek</w:t>
      </w:r>
      <w:r w:rsidR="00423389" w:rsidRPr="00756773">
        <w:rPr>
          <w:sz w:val="22"/>
          <w:szCs w:val="22"/>
        </w:rPr>
        <w:t>nél</w:t>
      </w:r>
      <w:r w:rsidRPr="00756773">
        <w:rPr>
          <w:sz w:val="22"/>
          <w:szCs w:val="22"/>
        </w:rPr>
        <w:t xml:space="preserve"> a betegek</w:t>
      </w:r>
      <w:r w:rsidR="00423389" w:rsidRPr="00756773">
        <w:rPr>
          <w:sz w:val="22"/>
          <w:szCs w:val="22"/>
        </w:rPr>
        <w:t>nél</w:t>
      </w:r>
      <w:r w:rsidRPr="00756773">
        <w:rPr>
          <w:sz w:val="22"/>
          <w:szCs w:val="22"/>
        </w:rPr>
        <w:t xml:space="preserve"> a megfigyelt válaszarány 52% körül volt. Mivel ezen betegek ismételt kezelése eleve 8</w:t>
      </w:r>
      <w:r w:rsidR="007F0D1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mg-os </w:t>
      </w:r>
      <w:r w:rsidR="00423389" w:rsidRPr="00756773">
        <w:rPr>
          <w:sz w:val="22"/>
          <w:szCs w:val="22"/>
        </w:rPr>
        <w:t xml:space="preserve">dózissal </w:t>
      </w:r>
      <w:r w:rsidRPr="00756773">
        <w:rPr>
          <w:sz w:val="22"/>
          <w:szCs w:val="22"/>
        </w:rPr>
        <w:t>történt, nincs adat a 4</w:t>
      </w:r>
      <w:r w:rsidR="007F0D1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zoledronsavval történő összehasonlításra vonatkozóan.</w:t>
      </w:r>
    </w:p>
    <w:p w14:paraId="6F288D4D" w14:textId="77777777" w:rsidR="004B4C0B" w:rsidRPr="00756773" w:rsidRDefault="004B4C0B" w:rsidP="009A3F18">
      <w:pPr>
        <w:pStyle w:val="Default"/>
        <w:rPr>
          <w:sz w:val="22"/>
          <w:szCs w:val="22"/>
        </w:rPr>
      </w:pPr>
    </w:p>
    <w:p w14:paraId="37A69C46" w14:textId="18AAE539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tumor indukálta hypercalcaemiában (TIH-ben) szenvedő betegek klinikai vizsgálati eredményei szerint az átfogó biztonságossági profil mindhárom kezelési csoportban (zoledronsav 4</w:t>
      </w:r>
      <w:r w:rsidR="007F0D1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mg, ill. 8</w:t>
      </w:r>
      <w:r w:rsidR="007F0D1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és pamidronát 90</w:t>
      </w:r>
      <w:r w:rsidR="007F0D1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mg) hasonló volt a jelleg és a súlyosság tekintetében.</w:t>
      </w:r>
    </w:p>
    <w:p w14:paraId="0DC60033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0002650B" w14:textId="21627F7C" w:rsidR="001F0677" w:rsidRPr="00756773" w:rsidRDefault="007F0D15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Gyermekek</w:t>
      </w:r>
      <w:r w:rsidR="005900BA" w:rsidRPr="00756773">
        <w:rPr>
          <w:sz w:val="22"/>
          <w:szCs w:val="22"/>
          <w:u w:val="single"/>
        </w:rPr>
        <w:t xml:space="preserve"> és serdülők</w:t>
      </w:r>
    </w:p>
    <w:p w14:paraId="76EB1988" w14:textId="01B3137E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i/>
          <w:iCs/>
          <w:sz w:val="22"/>
          <w:szCs w:val="22"/>
          <w:u w:val="single"/>
        </w:rPr>
        <w:t xml:space="preserve">A súlyos osteogenesis imperfectában szenvedő 1-17 éves gyermekek </w:t>
      </w:r>
      <w:r w:rsidR="00527F9B">
        <w:rPr>
          <w:i/>
          <w:iCs/>
          <w:sz w:val="22"/>
          <w:szCs w:val="22"/>
          <w:u w:val="single"/>
        </w:rPr>
        <w:t xml:space="preserve">és serdülők </w:t>
      </w:r>
      <w:r w:rsidRPr="00756773">
        <w:rPr>
          <w:i/>
          <w:iCs/>
          <w:sz w:val="22"/>
          <w:szCs w:val="22"/>
          <w:u w:val="single"/>
        </w:rPr>
        <w:t>kezelése során kapott klinikai vizsgálati eredmények</w:t>
      </w:r>
    </w:p>
    <w:p w14:paraId="343F5BA3" w14:textId="1E727DAB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Az intravénás zoledronsav súlyos osteogenesis imperfectában (I-es, III-as és IV-es típus) gyermekgyógyászati betegek (1</w:t>
      </w:r>
      <w:r w:rsidR="00080B88" w:rsidRPr="00756773">
        <w:rPr>
          <w:sz w:val="22"/>
          <w:szCs w:val="22"/>
        </w:rPr>
        <w:t>–</w:t>
      </w:r>
      <w:r w:rsidRPr="00756773">
        <w:rPr>
          <w:sz w:val="22"/>
          <w:szCs w:val="22"/>
        </w:rPr>
        <w:t>17 éves) esetén mutatott hatását intravénás pamidronáthoz hasonlították egy nemzetközi, multicentrikus, randomizált, nyílt vizsgálatban, terápiás csoportonként sorrendben 74 és 76 betegnél. A vizsgálat kezelési periódusa 12 hónap volt, amit egy 4-9 hetes szűrési periódus előzött meg, melynek során legalább 2 hétig D-vitamin és elemi kalcium pótlást kaptak. A klinikai program során az 1 - &lt; 3 éves betegek háromhavonta 0,025</w:t>
      </w:r>
      <w:r w:rsidR="0079793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mg/kg zoledronsav</w:t>
      </w:r>
      <w:r w:rsidR="00A511E4" w:rsidRPr="00756773">
        <w:rPr>
          <w:sz w:val="22"/>
          <w:szCs w:val="22"/>
        </w:rPr>
        <w:t>val</w:t>
      </w:r>
      <w:r w:rsidRPr="00756773">
        <w:rPr>
          <w:sz w:val="22"/>
          <w:szCs w:val="22"/>
        </w:rPr>
        <w:t>(legfeljebb 0,35</w:t>
      </w:r>
      <w:r w:rsidR="0079793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egyszeri maximális dózisban) és a 3</w:t>
      </w:r>
      <w:r w:rsidR="00080B88" w:rsidRPr="00756773">
        <w:rPr>
          <w:sz w:val="22"/>
          <w:szCs w:val="22"/>
        </w:rPr>
        <w:t>–</w:t>
      </w:r>
      <w:r w:rsidRPr="00756773">
        <w:rPr>
          <w:sz w:val="22"/>
          <w:szCs w:val="22"/>
        </w:rPr>
        <w:t>17 éves betegek</w:t>
      </w:r>
      <w:r w:rsidR="00A511E4" w:rsidRPr="00756773">
        <w:rPr>
          <w:sz w:val="22"/>
          <w:szCs w:val="22"/>
        </w:rPr>
        <w:t>et</w:t>
      </w:r>
      <w:r w:rsidRPr="00756773">
        <w:rPr>
          <w:sz w:val="22"/>
          <w:szCs w:val="22"/>
        </w:rPr>
        <w:t xml:space="preserve"> háromhavonta 0,05</w:t>
      </w:r>
      <w:r w:rsidR="0079793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mg/kg zoledronsav</w:t>
      </w:r>
      <w:r w:rsidR="00A511E4" w:rsidRPr="00756773">
        <w:rPr>
          <w:sz w:val="22"/>
          <w:szCs w:val="22"/>
        </w:rPr>
        <w:t>val</w:t>
      </w:r>
      <w:r w:rsidRPr="00756773">
        <w:rPr>
          <w:sz w:val="22"/>
          <w:szCs w:val="22"/>
        </w:rPr>
        <w:t xml:space="preserve"> </w:t>
      </w:r>
      <w:r w:rsidR="00A511E4" w:rsidRPr="00756773">
        <w:rPr>
          <w:sz w:val="22"/>
          <w:szCs w:val="22"/>
        </w:rPr>
        <w:t>kezelték</w:t>
      </w:r>
      <w:r w:rsidR="003663EF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(legfeljebb 0,83</w:t>
      </w:r>
      <w:r w:rsidR="0079793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mg-os egyszeri maximális dózisban). Kiterjesztéses vizsgálatot végeztek annak érdekében, hogy megállapítsák az évente egyszer vagy kétszer adagolt zoledronsav hosszú távú felhasználásának biztonságosságát mind általános szempontból, mind a veseműködésre gyakorolt hatás szempontjából. A 12 hónapig tartó kiterjesztéses időszakban olyan gyermekeket kezeltek, akik az alapvizsgálatban már részesültek egy éven keresztül zoledronsav</w:t>
      </w:r>
      <w:r w:rsidR="00527F9B">
        <w:rPr>
          <w:sz w:val="22"/>
          <w:szCs w:val="22"/>
        </w:rPr>
        <w:t>-</w:t>
      </w:r>
      <w:r w:rsidRPr="00756773">
        <w:rPr>
          <w:sz w:val="22"/>
          <w:szCs w:val="22"/>
        </w:rPr>
        <w:t xml:space="preserve"> vagy pamidronát</w:t>
      </w:r>
      <w:r w:rsidR="00527F9B">
        <w:rPr>
          <w:sz w:val="22"/>
          <w:szCs w:val="22"/>
        </w:rPr>
        <w:t>-</w:t>
      </w:r>
      <w:r w:rsidRPr="00756773">
        <w:rPr>
          <w:sz w:val="22"/>
          <w:szCs w:val="22"/>
        </w:rPr>
        <w:t>kezelésben.</w:t>
      </w:r>
    </w:p>
    <w:p w14:paraId="7DAB4CC2" w14:textId="294BDE77" w:rsidR="001F0677" w:rsidRPr="00361327" w:rsidRDefault="001F0677" w:rsidP="009A3F18">
      <w:pPr>
        <w:suppressLineNumbers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56773">
        <w:rPr>
          <w:szCs w:val="22"/>
          <w:lang w:val="hu-HU"/>
        </w:rPr>
        <w:t>A vizsgálat elsődleges végpontjául a lumbális gerinc csontdenzitásának (bone mineral density, BMD) százalékos eltérése szolgált a kezelés előtti alapértékhez viszonyítva a 12 hónapig tartó kezelést követően. Bár a BMD-re gyakorolt becsült hatások hasonlóak voltak, a vizsgálat felépítése nem volt elég erőteljes annak megállapítására, hogy a zoledronsav hatásossága nem gyengébb. Főként a törés gyakoriságában és a fájdalomban mutatott hatásosságra vonatkozólag nem mutatkozott kellő bizonyíték. Súlyos osteogenesis imperfectában szenvedő, zoledronsavval kezelt betegekben az alsó végtag hosszú csontjainak törését az esetek 24- (combcsont), illetve 14%-ában (sípcsont) jelentették, a pamidronáttal kezelteknél jelentett 12 és 5%-kal szemben, függetlenül a betegség típusától és az ok-okozati viszonytól, azonban az átlagos csonttörés gyakoriság a zoledronsavval, illetve a pamidronáttal kezelt betegek esetében hasonló volt: 43% (32/74) vs 41% (31/76). A törési kockázat értékelését megnehezíti az a tény, hogy a súlyos osteogenesis imperfectában szenvedő betegekben már a kórfolyamat következtében is gyakori a törések előfordulása.</w:t>
      </w:r>
    </w:p>
    <w:p w14:paraId="2FACB8CC" w14:textId="77777777" w:rsidR="00FF7DFE" w:rsidRPr="00756773" w:rsidRDefault="00FF7DFE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p w14:paraId="103A2994" w14:textId="40A295C2" w:rsidR="00201CE9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756773">
        <w:rPr>
          <w:rFonts w:eastAsia="Times New Roman"/>
          <w:snapToGrid/>
          <w:color w:val="000000"/>
          <w:szCs w:val="22"/>
          <w:lang w:val="hu-HU" w:eastAsia="hu-HU"/>
        </w:rPr>
        <w:t>Az ebben a populációban tapasztalt mellékhatások típusai hasonlóak voltak azokhoz a reakciókhoz, melyeket korábban a csontrendszert érintő előrehaladott rosszindulatú daganatos megbetegedésben szenvedő felnőttek esetén már megfigyeltek (lásd 4.8.</w:t>
      </w:r>
      <w:r w:rsidR="00201CE9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pont). Az előfordulási gyakoriság szerint csoportosított mellékhatásokat a 6.</w:t>
      </w:r>
      <w:r w:rsidR="00201CE9" w:rsidRPr="00756773">
        <w:rPr>
          <w:rFonts w:eastAsia="Times New Roman"/>
          <w:snapToGrid/>
          <w:color w:val="000000"/>
          <w:szCs w:val="22"/>
          <w:lang w:val="hu-HU" w:eastAsia="hu-HU"/>
        </w:rPr>
        <w:t> 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táblázat szemlélteti. A következő egyezményes besorolás a használatos: nagyon gyakori (≥1/10), gyakori (≥1/100 – &lt;1/10), nem gyakori (≥1/1000 –&lt;1/100), ritka (≥1/10 000 –&lt;1/1000), nagyon ritka (&lt;1/10 000), nem ismert (a </w:t>
      </w:r>
      <w:r w:rsidR="00527F9B">
        <w:rPr>
          <w:rFonts w:eastAsia="Times New Roman"/>
          <w:snapToGrid/>
          <w:color w:val="000000"/>
          <w:szCs w:val="22"/>
          <w:lang w:val="hu-HU" w:eastAsia="hu-HU"/>
        </w:rPr>
        <w:t xml:space="preserve">gyakoriság a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rendelkezésre álló adatokból nem állapítható meg).</w:t>
      </w:r>
    </w:p>
    <w:p w14:paraId="2259C079" w14:textId="77777777" w:rsidR="00201CE9" w:rsidRPr="00756773" w:rsidRDefault="00201CE9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</w:p>
    <w:p w14:paraId="6839B427" w14:textId="77777777" w:rsidR="001F0677" w:rsidRPr="00756773" w:rsidRDefault="001F0677" w:rsidP="009A3F1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color w:val="000000"/>
          <w:szCs w:val="22"/>
          <w:vertAlign w:val="superscript"/>
          <w:lang w:val="hu-HU" w:eastAsia="hu-HU"/>
        </w:rPr>
      </w:pPr>
      <w:r w:rsidRPr="00756773">
        <w:rPr>
          <w:rFonts w:eastAsia="Times New Roman"/>
          <w:b/>
          <w:bCs/>
          <w:snapToGrid/>
          <w:color w:val="000000"/>
          <w:szCs w:val="22"/>
          <w:lang w:val="hu-HU" w:eastAsia="hu-HU"/>
        </w:rPr>
        <w:t xml:space="preserve">6. táblázat: </w:t>
      </w:r>
      <w:r w:rsidRPr="00756773">
        <w:rPr>
          <w:rFonts w:eastAsia="Times New Roman"/>
          <w:snapToGrid/>
          <w:color w:val="000000"/>
          <w:szCs w:val="22"/>
          <w:lang w:val="hu-HU" w:eastAsia="hu-HU"/>
        </w:rPr>
        <w:t>Súlyos osteogenesis imperfectában szenvedő gyermekgyógyászati betegekben megfigyelt mellékhatások</w:t>
      </w:r>
      <w:r w:rsidRPr="00756773">
        <w:rPr>
          <w:rFonts w:eastAsia="Times New Roman"/>
          <w:snapToGrid/>
          <w:color w:val="000000"/>
          <w:szCs w:val="22"/>
          <w:vertAlign w:val="superscript"/>
          <w:lang w:val="hu-HU" w:eastAsia="hu-HU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4281"/>
      </w:tblGrid>
      <w:tr w:rsidR="001F0677" w:rsidRPr="00756773" w14:paraId="02C151E8" w14:textId="77777777" w:rsidTr="000215E6">
        <w:trPr>
          <w:trHeight w:val="98"/>
        </w:trPr>
        <w:tc>
          <w:tcPr>
            <w:tcW w:w="8562" w:type="dxa"/>
            <w:gridSpan w:val="2"/>
          </w:tcPr>
          <w:p w14:paraId="73F46B32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Idegrendszeri betegségek és tünetek</w:t>
            </w:r>
          </w:p>
        </w:tc>
      </w:tr>
      <w:tr w:rsidR="001F0677" w:rsidRPr="00756773" w14:paraId="35507A33" w14:textId="77777777" w:rsidTr="000215E6">
        <w:trPr>
          <w:trHeight w:val="100"/>
        </w:trPr>
        <w:tc>
          <w:tcPr>
            <w:tcW w:w="4281" w:type="dxa"/>
          </w:tcPr>
          <w:p w14:paraId="4D6FE4C2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281" w:type="dxa"/>
          </w:tcPr>
          <w:p w14:paraId="58A7B82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Fejfájás</w:t>
            </w:r>
          </w:p>
        </w:tc>
      </w:tr>
      <w:tr w:rsidR="001F0677" w:rsidRPr="00756773" w14:paraId="45691B84" w14:textId="77777777" w:rsidTr="000215E6">
        <w:trPr>
          <w:trHeight w:val="98"/>
        </w:trPr>
        <w:tc>
          <w:tcPr>
            <w:tcW w:w="8562" w:type="dxa"/>
            <w:gridSpan w:val="2"/>
          </w:tcPr>
          <w:p w14:paraId="6B6CBBA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Szívbetegségek és a szívvel kapcsolatos tünetek</w:t>
            </w:r>
          </w:p>
        </w:tc>
      </w:tr>
      <w:tr w:rsidR="001F0677" w:rsidRPr="00756773" w14:paraId="5DE4DF87" w14:textId="77777777" w:rsidTr="000215E6">
        <w:trPr>
          <w:trHeight w:val="100"/>
        </w:trPr>
        <w:tc>
          <w:tcPr>
            <w:tcW w:w="4281" w:type="dxa"/>
          </w:tcPr>
          <w:p w14:paraId="6C516301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281" w:type="dxa"/>
          </w:tcPr>
          <w:p w14:paraId="0950053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Tachycardia</w:t>
            </w:r>
          </w:p>
        </w:tc>
      </w:tr>
      <w:tr w:rsidR="001F0677" w:rsidRPr="00756773" w14:paraId="73051950" w14:textId="77777777" w:rsidTr="000215E6">
        <w:trPr>
          <w:trHeight w:val="98"/>
        </w:trPr>
        <w:tc>
          <w:tcPr>
            <w:tcW w:w="8562" w:type="dxa"/>
            <w:gridSpan w:val="2"/>
          </w:tcPr>
          <w:p w14:paraId="3060220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Légzőrendszeri, mellkasi és mediastinalis betegségek és tünetek</w:t>
            </w:r>
          </w:p>
        </w:tc>
      </w:tr>
      <w:tr w:rsidR="001F0677" w:rsidRPr="00756773" w14:paraId="64754F05" w14:textId="77777777" w:rsidTr="000215E6">
        <w:trPr>
          <w:trHeight w:val="100"/>
        </w:trPr>
        <w:tc>
          <w:tcPr>
            <w:tcW w:w="4281" w:type="dxa"/>
          </w:tcPr>
          <w:p w14:paraId="25A8FE9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Gyakori: </w:t>
            </w:r>
          </w:p>
        </w:tc>
        <w:tc>
          <w:tcPr>
            <w:tcW w:w="4281" w:type="dxa"/>
          </w:tcPr>
          <w:p w14:paraId="5F3A8E6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Nasopharyngitis</w:t>
            </w:r>
          </w:p>
        </w:tc>
      </w:tr>
      <w:tr w:rsidR="001F0677" w:rsidRPr="00756773" w14:paraId="60F8522A" w14:textId="77777777" w:rsidTr="000215E6">
        <w:trPr>
          <w:trHeight w:val="98"/>
        </w:trPr>
        <w:tc>
          <w:tcPr>
            <w:tcW w:w="8562" w:type="dxa"/>
            <w:gridSpan w:val="2"/>
          </w:tcPr>
          <w:p w14:paraId="0365519B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Emésztőrendszeri betegségek és tünetek</w:t>
            </w:r>
          </w:p>
        </w:tc>
      </w:tr>
      <w:tr w:rsidR="001F0677" w:rsidRPr="00756773" w14:paraId="06570236" w14:textId="77777777" w:rsidTr="000215E6">
        <w:trPr>
          <w:trHeight w:val="100"/>
        </w:trPr>
        <w:tc>
          <w:tcPr>
            <w:tcW w:w="4281" w:type="dxa"/>
          </w:tcPr>
          <w:p w14:paraId="31751191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Nagyon gyakori:</w:t>
            </w:r>
          </w:p>
        </w:tc>
        <w:tc>
          <w:tcPr>
            <w:tcW w:w="4281" w:type="dxa"/>
          </w:tcPr>
          <w:p w14:paraId="732FA84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Hányás, hányinger </w:t>
            </w:r>
          </w:p>
        </w:tc>
      </w:tr>
      <w:tr w:rsidR="001F0677" w:rsidRPr="00756773" w14:paraId="68384E00" w14:textId="77777777" w:rsidTr="000215E6">
        <w:trPr>
          <w:trHeight w:val="100"/>
        </w:trPr>
        <w:tc>
          <w:tcPr>
            <w:tcW w:w="4281" w:type="dxa"/>
          </w:tcPr>
          <w:p w14:paraId="52FC8C6F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281" w:type="dxa"/>
          </w:tcPr>
          <w:p w14:paraId="3DA46EB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Hasi fájdalom </w:t>
            </w:r>
          </w:p>
        </w:tc>
      </w:tr>
      <w:tr w:rsidR="001F0677" w:rsidRPr="00756773" w14:paraId="729C1173" w14:textId="77777777" w:rsidTr="000215E6">
        <w:trPr>
          <w:trHeight w:val="98"/>
        </w:trPr>
        <w:tc>
          <w:tcPr>
            <w:tcW w:w="8562" w:type="dxa"/>
            <w:gridSpan w:val="2"/>
          </w:tcPr>
          <w:p w14:paraId="531548F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A csont- és izomrendszer, valamint a kötőszövet betegségei és tünetei</w:t>
            </w:r>
          </w:p>
        </w:tc>
      </w:tr>
      <w:tr w:rsidR="001F0677" w:rsidRPr="00651825" w14:paraId="35B9B2D7" w14:textId="77777777" w:rsidTr="000215E6">
        <w:trPr>
          <w:trHeight w:val="226"/>
        </w:trPr>
        <w:tc>
          <w:tcPr>
            <w:tcW w:w="4281" w:type="dxa"/>
          </w:tcPr>
          <w:p w14:paraId="6856690D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281" w:type="dxa"/>
          </w:tcPr>
          <w:p w14:paraId="560916B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Végtagfájdalom, ízületi fájdalom, csont- és izomfájdalom</w:t>
            </w:r>
          </w:p>
        </w:tc>
      </w:tr>
      <w:tr w:rsidR="001F0677" w:rsidRPr="00651825" w14:paraId="3E9DD7FC" w14:textId="77777777" w:rsidTr="000215E6">
        <w:trPr>
          <w:trHeight w:val="98"/>
        </w:trPr>
        <w:tc>
          <w:tcPr>
            <w:tcW w:w="8562" w:type="dxa"/>
            <w:gridSpan w:val="2"/>
          </w:tcPr>
          <w:p w14:paraId="300EB0B5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Általános tünetek, az alkalmazás helyén fellépő reakciók</w:t>
            </w:r>
          </w:p>
        </w:tc>
      </w:tr>
      <w:tr w:rsidR="001F0677" w:rsidRPr="00756773" w14:paraId="0EFBEBEC" w14:textId="77777777" w:rsidTr="000215E6">
        <w:trPr>
          <w:trHeight w:val="100"/>
        </w:trPr>
        <w:tc>
          <w:tcPr>
            <w:tcW w:w="4281" w:type="dxa"/>
          </w:tcPr>
          <w:p w14:paraId="4873BC48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Nagyon gyakori:</w:t>
            </w:r>
          </w:p>
        </w:tc>
        <w:tc>
          <w:tcPr>
            <w:tcW w:w="4281" w:type="dxa"/>
          </w:tcPr>
          <w:p w14:paraId="1B0AF8E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Láz, kimerültség </w:t>
            </w:r>
          </w:p>
        </w:tc>
      </w:tr>
      <w:tr w:rsidR="001F0677" w:rsidRPr="00756773" w14:paraId="16F5F3DF" w14:textId="77777777" w:rsidTr="000215E6">
        <w:trPr>
          <w:trHeight w:val="100"/>
        </w:trPr>
        <w:tc>
          <w:tcPr>
            <w:tcW w:w="4281" w:type="dxa"/>
          </w:tcPr>
          <w:p w14:paraId="7196781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281" w:type="dxa"/>
          </w:tcPr>
          <w:p w14:paraId="34896BB6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Akut fázis reakció, fájdalom</w:t>
            </w:r>
          </w:p>
        </w:tc>
      </w:tr>
      <w:tr w:rsidR="001F0677" w:rsidRPr="00756773" w14:paraId="3B4A646B" w14:textId="77777777" w:rsidTr="000215E6">
        <w:trPr>
          <w:trHeight w:val="98"/>
        </w:trPr>
        <w:tc>
          <w:tcPr>
            <w:tcW w:w="8562" w:type="dxa"/>
            <w:gridSpan w:val="2"/>
          </w:tcPr>
          <w:p w14:paraId="749961D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/>
              </w:rPr>
              <w:t>Laboratóriumi és egyéb vizsgálatok eredményei</w:t>
            </w:r>
          </w:p>
        </w:tc>
      </w:tr>
      <w:tr w:rsidR="001F0677" w:rsidRPr="00756773" w14:paraId="5902A58F" w14:textId="77777777" w:rsidTr="000215E6">
        <w:trPr>
          <w:trHeight w:val="100"/>
        </w:trPr>
        <w:tc>
          <w:tcPr>
            <w:tcW w:w="4281" w:type="dxa"/>
          </w:tcPr>
          <w:p w14:paraId="2FFB4074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Nagyon gyakori: </w:t>
            </w:r>
          </w:p>
        </w:tc>
        <w:tc>
          <w:tcPr>
            <w:tcW w:w="4281" w:type="dxa"/>
          </w:tcPr>
          <w:p w14:paraId="54E464FA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Hypocalcaemia</w:t>
            </w:r>
          </w:p>
        </w:tc>
      </w:tr>
      <w:tr w:rsidR="001F0677" w:rsidRPr="00756773" w14:paraId="6EBD3D55" w14:textId="77777777" w:rsidTr="000215E6">
        <w:trPr>
          <w:trHeight w:val="100"/>
        </w:trPr>
        <w:tc>
          <w:tcPr>
            <w:tcW w:w="4281" w:type="dxa"/>
          </w:tcPr>
          <w:p w14:paraId="55963783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4281" w:type="dxa"/>
          </w:tcPr>
          <w:p w14:paraId="7EDC9140" w14:textId="77777777" w:rsidR="001F0677" w:rsidRPr="00756773" w:rsidRDefault="001F0677" w:rsidP="009A3F1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 w:rsidRPr="00756773"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 xml:space="preserve">Hypophosphataemia </w:t>
            </w:r>
          </w:p>
        </w:tc>
      </w:tr>
    </w:tbl>
    <w:p w14:paraId="507D3B2F" w14:textId="4AE057EC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  <w:vertAlign w:val="superscript"/>
        </w:rPr>
        <w:t>1</w:t>
      </w:r>
      <w:r w:rsidRPr="00756773">
        <w:rPr>
          <w:sz w:val="22"/>
          <w:szCs w:val="22"/>
        </w:rPr>
        <w:t xml:space="preserve"> Az 5%-nál kisebb gyakorisággal előforduló nemkívánatos hatások orvosi értékelése azt mutatja, hogy ezek az esetek konzisztensek </w:t>
      </w:r>
      <w:r w:rsidR="00761907" w:rsidRPr="00756773">
        <w:rPr>
          <w:sz w:val="22"/>
          <w:szCs w:val="22"/>
        </w:rPr>
        <w:t>a</w:t>
      </w:r>
      <w:r w:rsidRPr="00756773">
        <w:rPr>
          <w:sz w:val="22"/>
          <w:szCs w:val="22"/>
        </w:rPr>
        <w:t xml:space="preserve"> zoledronsav általános biztonságossági profiljával (lásd 4.8</w:t>
      </w:r>
      <w:r w:rsidR="00CD5965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pont).</w:t>
      </w:r>
    </w:p>
    <w:p w14:paraId="6F544A52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0FB41A3D" w14:textId="14028C96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súlyos osteogenesis imperfectában szenvedő gyermekgyógyászati betegek esetén a zoledronsav</w:t>
      </w:r>
      <w:r w:rsidR="00527F9B">
        <w:rPr>
          <w:sz w:val="22"/>
          <w:szCs w:val="22"/>
        </w:rPr>
        <w:t>-</w:t>
      </w:r>
      <w:r w:rsidRPr="00756773">
        <w:rPr>
          <w:sz w:val="22"/>
          <w:szCs w:val="22"/>
        </w:rPr>
        <w:t>kezelés fokozottabb kockázatot jelent az akut fázis reakció, a hypocalcaemia és az ismeretlen eredetű tachycardia kialakulására, mint a pamidronát</w:t>
      </w:r>
      <w:r w:rsidR="00527F9B">
        <w:rPr>
          <w:sz w:val="22"/>
          <w:szCs w:val="22"/>
        </w:rPr>
        <w:t>-</w:t>
      </w:r>
      <w:r w:rsidRPr="00756773">
        <w:rPr>
          <w:sz w:val="22"/>
          <w:szCs w:val="22"/>
        </w:rPr>
        <w:t>kezelés, de ez a különbség ismételt infúziót követően csökkent.</w:t>
      </w:r>
    </w:p>
    <w:p w14:paraId="0B5F3FC0" w14:textId="40D80E3D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Az Európai Gyógyszerügynökség eltekint a zoledronsav vizsgálati eredményeinek benyújtási kötelezettségétől a </w:t>
      </w:r>
      <w:r w:rsidR="00CD7880" w:rsidRPr="00756773">
        <w:rPr>
          <w:szCs w:val="22"/>
          <w:lang w:val="hu-HU"/>
        </w:rPr>
        <w:t xml:space="preserve">gyermekek </w:t>
      </w:r>
      <w:r w:rsidRPr="00756773">
        <w:rPr>
          <w:szCs w:val="22"/>
          <w:lang w:val="hu-HU"/>
        </w:rPr>
        <w:t>minden alcsoportjánál tumor indukálta hypercalcaemia kezelésében és előrehaladott, csontot is involváló, rosszindulatú daganatos betegségekben szenvedő betegek csontrendszert érintő eseményeinek megelőzésében (lásd 4.2</w:t>
      </w:r>
      <w:r w:rsidR="00CD7880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 xml:space="preserve">pont, </w:t>
      </w:r>
      <w:r w:rsidR="006F6757" w:rsidRPr="00756773">
        <w:rPr>
          <w:i/>
          <w:szCs w:val="22"/>
          <w:lang w:val="hu-HU"/>
        </w:rPr>
        <w:t>Gyermekek és serdülők</w:t>
      </w:r>
      <w:r w:rsidRPr="00756773">
        <w:rPr>
          <w:szCs w:val="22"/>
          <w:lang w:val="hu-HU"/>
        </w:rPr>
        <w:t>).</w:t>
      </w:r>
    </w:p>
    <w:p w14:paraId="601D54F5" w14:textId="77777777" w:rsidR="001F0677" w:rsidRPr="00756773" w:rsidRDefault="001F0677" w:rsidP="009A3F18">
      <w:pPr>
        <w:suppressLineNumbers/>
        <w:spacing w:line="240" w:lineRule="auto"/>
        <w:outlineLvl w:val="0"/>
        <w:rPr>
          <w:szCs w:val="22"/>
          <w:lang w:val="hu-HU"/>
        </w:rPr>
      </w:pPr>
    </w:p>
    <w:p w14:paraId="60511B49" w14:textId="77777777" w:rsidR="001F0677" w:rsidRPr="00756773" w:rsidRDefault="001F0677" w:rsidP="009A3F18">
      <w:pPr>
        <w:suppressLineNumbers/>
        <w:spacing w:line="240" w:lineRule="auto"/>
        <w:outlineLvl w:val="0"/>
        <w:rPr>
          <w:b/>
          <w:szCs w:val="22"/>
          <w:lang w:val="hu-HU"/>
        </w:rPr>
      </w:pPr>
      <w:r w:rsidRPr="00756773">
        <w:rPr>
          <w:b/>
          <w:szCs w:val="22"/>
          <w:lang w:val="hu-HU"/>
        </w:rPr>
        <w:t>5.2</w:t>
      </w:r>
      <w:r w:rsidRPr="00756773">
        <w:rPr>
          <w:b/>
          <w:szCs w:val="22"/>
          <w:lang w:val="hu-HU"/>
        </w:rPr>
        <w:tab/>
        <w:t>Farmakokinetikai tulajdonságok</w:t>
      </w:r>
    </w:p>
    <w:p w14:paraId="2290A905" w14:textId="77777777" w:rsidR="001F0677" w:rsidRPr="00756773" w:rsidRDefault="001F0677" w:rsidP="009A3F18">
      <w:pPr>
        <w:suppressLineNumbers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2B0F511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Az alábbi farmakokinetikai adatokat (melyeket nem találtak dózisfüggőnek) 64 csontmetasztázisban szenvedő beteg 2, 4, 8 és 16</w:t>
      </w:r>
      <w:r w:rsidR="00E87F7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 zoledronsav egyszeri és többszöri, 5 és 15</w:t>
      </w:r>
      <w:r w:rsidR="00E87F7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perces infúziós kezelése szolgáltatta.</w:t>
      </w:r>
    </w:p>
    <w:p w14:paraId="79B65541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62F194C6" w14:textId="77777777" w:rsidR="001F0677" w:rsidRPr="00756773" w:rsidRDefault="001F0677" w:rsidP="009A3F18">
      <w:pPr>
        <w:numPr>
          <w:ilvl w:val="12"/>
          <w:numId w:val="0"/>
        </w:numPr>
        <w:suppressLineNumbers/>
        <w:spacing w:line="240" w:lineRule="auto"/>
        <w:ind w:right="-2"/>
        <w:rPr>
          <w:szCs w:val="22"/>
          <w:lang w:val="hu-HU"/>
        </w:rPr>
      </w:pPr>
      <w:r w:rsidRPr="00756773">
        <w:rPr>
          <w:szCs w:val="22"/>
          <w:lang w:val="hu-HU"/>
        </w:rPr>
        <w:t>A zoledronsav infúzió megkezdését követően a zoledronsav plazmakoncentrációja gyorsan emelkedett és elérte a csúcskoncentrációt az infúzió alkalmazásának befejeztével, ezt gyors csökkenés követte a csúcskoncentráció &lt; 10%-ára (4</w:t>
      </w:r>
      <w:r w:rsidR="00671C4A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óra múlva), majd &lt; 1%-ára (24</w:t>
      </w:r>
      <w:r w:rsidR="00671C4A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óra múlva), majd a zoledronsav második, 28.</w:t>
      </w:r>
      <w:r w:rsidR="00671C4A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napi infúzióját megelőzően a csúcskoncentráció 0,1%-át nem meghaladó igen kis koncentrációjú, hosszú időszak következett.</w:t>
      </w:r>
    </w:p>
    <w:p w14:paraId="68E55B00" w14:textId="77777777" w:rsidR="001F0677" w:rsidRPr="00756773" w:rsidRDefault="001F0677" w:rsidP="009A3F18">
      <w:pPr>
        <w:numPr>
          <w:ilvl w:val="12"/>
          <w:numId w:val="0"/>
        </w:numPr>
        <w:suppressLineNumbers/>
        <w:spacing w:line="240" w:lineRule="auto"/>
        <w:ind w:right="-2"/>
        <w:rPr>
          <w:szCs w:val="22"/>
          <w:lang w:val="hu-HU"/>
        </w:rPr>
      </w:pPr>
    </w:p>
    <w:p w14:paraId="015879F4" w14:textId="3BA71965" w:rsidR="00197422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Az intravenásan beadott zoledronsav három fázisban eliminálódik: a szisztémás keringésből gyors bifázisos jelleggel tűnik el, a féléletidő t</w:t>
      </w:r>
      <w:r w:rsidRPr="00756773">
        <w:rPr>
          <w:sz w:val="22"/>
          <w:szCs w:val="22"/>
          <w:vertAlign w:val="subscript"/>
        </w:rPr>
        <w:t>½α</w:t>
      </w:r>
      <w:r w:rsidRPr="00756773">
        <w:rPr>
          <w:sz w:val="22"/>
          <w:szCs w:val="22"/>
        </w:rPr>
        <w:t xml:space="preserve"> 0,24 és t</w:t>
      </w:r>
      <w:r w:rsidRPr="00756773">
        <w:rPr>
          <w:sz w:val="22"/>
          <w:szCs w:val="22"/>
          <w:vertAlign w:val="subscript"/>
        </w:rPr>
        <w:t>½β</w:t>
      </w:r>
      <w:r w:rsidRPr="00756773">
        <w:rPr>
          <w:sz w:val="22"/>
          <w:szCs w:val="22"/>
        </w:rPr>
        <w:t xml:space="preserve"> 1,87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óra, melyet hosszú eliminációs fázis követ, ahol a terminális féléletidő, t</w:t>
      </w:r>
      <w:r w:rsidRPr="00756773">
        <w:rPr>
          <w:sz w:val="22"/>
          <w:szCs w:val="22"/>
          <w:vertAlign w:val="subscript"/>
        </w:rPr>
        <w:t>½ γ</w:t>
      </w:r>
      <w:r w:rsidRPr="00756773">
        <w:rPr>
          <w:sz w:val="22"/>
          <w:szCs w:val="22"/>
        </w:rPr>
        <w:t xml:space="preserve"> pedig 146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óra. A zoledronsav a plazmában nem akkumulálódik a 28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naponta adott ismételt adagok után sem. A zoledronsav nem metabolizálódik, változatlanul ürül ki a vesén keresztül. Az első 24 órában a bevitt adag 39 ± 16%-a ürül ki a vizelettel, míg a többi elsősorban a csontszövethez kötődik. </w:t>
      </w:r>
    </w:p>
    <w:p w14:paraId="72178E5D" w14:textId="77777777" w:rsidR="00197422" w:rsidRPr="00756773" w:rsidRDefault="00197422" w:rsidP="009A3F18">
      <w:pPr>
        <w:pStyle w:val="Default"/>
        <w:rPr>
          <w:sz w:val="22"/>
          <w:szCs w:val="22"/>
        </w:rPr>
      </w:pPr>
    </w:p>
    <w:p w14:paraId="41E0FE7E" w14:textId="3A4B3406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csontszövetből nagyon lassan szabadul fel és kerül a szisztémás keringésbe, majd a vesén keresztül ürül ki. A teljes test clearance 5,04 ± 2,5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l/óra, függetlenül az alkalmazott </w:t>
      </w:r>
      <w:r w:rsidR="00A511E4" w:rsidRPr="00756773">
        <w:rPr>
          <w:sz w:val="22"/>
          <w:szCs w:val="22"/>
        </w:rPr>
        <w:t>dózistól</w:t>
      </w:r>
      <w:r w:rsidRPr="00756773">
        <w:rPr>
          <w:sz w:val="22"/>
          <w:szCs w:val="22"/>
        </w:rPr>
        <w:t>, nemtől, kortól, rassztól és testtömegtől. Az infúziós idő 5-ről 15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percre történő növelése a zoledronsav koncentráció 30%-os csökkenését okozta az infúzió végére, de a plazmakoncentráció-idő görbe alatti terület (AUC) értékre nem volt hatása. </w:t>
      </w:r>
      <w:r w:rsidR="008B4120" w:rsidRPr="00756773">
        <w:rPr>
          <w:sz w:val="22"/>
          <w:szCs w:val="22"/>
        </w:rPr>
        <w:t>Az infúzió 20</w:t>
      </w:r>
      <w:r w:rsidR="008019E1" w:rsidRPr="00756773">
        <w:rPr>
          <w:sz w:val="22"/>
          <w:szCs w:val="22"/>
        </w:rPr>
        <w:t> </w:t>
      </w:r>
      <w:r w:rsidR="008B4120" w:rsidRPr="00756773">
        <w:rPr>
          <w:sz w:val="22"/>
          <w:szCs w:val="22"/>
        </w:rPr>
        <w:t>percnél hosszabb ideig történő beadása a vesekárosodás kockázatának növelése nélkül biztosít megfelelő plazma-csúcskoncentrációkat.</w:t>
      </w:r>
    </w:p>
    <w:p w14:paraId="6F900C66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Miként más biszfoszfonát eseté</w:t>
      </w:r>
      <w:r w:rsidR="00A511E4" w:rsidRPr="00756773">
        <w:rPr>
          <w:sz w:val="22"/>
          <w:szCs w:val="22"/>
        </w:rPr>
        <w:t>ben is</w:t>
      </w:r>
      <w:r w:rsidRPr="00756773">
        <w:rPr>
          <w:sz w:val="22"/>
          <w:szCs w:val="22"/>
        </w:rPr>
        <w:t>, a zoledronsav farmakokinetikai paraméterei is erős egyéni variációt mutattak.</w:t>
      </w:r>
    </w:p>
    <w:p w14:paraId="0438A317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5B7147C2" w14:textId="77777777" w:rsidR="00197422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zoledronsavra vonatkozóan nincs farmakokinetikai adat a hypercalcaemiás, vagy májelégtelenségben szenvedő betegek esetében. </w:t>
      </w:r>
    </w:p>
    <w:p w14:paraId="1D54DAF2" w14:textId="77777777" w:rsidR="00197422" w:rsidRPr="00756773" w:rsidRDefault="00197422" w:rsidP="009A3F18">
      <w:pPr>
        <w:pStyle w:val="Default"/>
        <w:rPr>
          <w:sz w:val="22"/>
          <w:szCs w:val="22"/>
        </w:rPr>
      </w:pPr>
    </w:p>
    <w:p w14:paraId="0BD54A8D" w14:textId="23DAD61D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 </w:t>
      </w:r>
      <w:r w:rsidRPr="00756773">
        <w:rPr>
          <w:i/>
          <w:iCs/>
          <w:sz w:val="22"/>
          <w:szCs w:val="22"/>
        </w:rPr>
        <w:t xml:space="preserve">in vitro </w:t>
      </w:r>
      <w:r w:rsidRPr="00756773">
        <w:rPr>
          <w:sz w:val="22"/>
          <w:szCs w:val="22"/>
        </w:rPr>
        <w:t xml:space="preserve">nem gátolja a humán P450 enzimeket, nem mutat biotranszformációt, és állatkísérletekben az alkalmazott </w:t>
      </w:r>
      <w:r w:rsidR="000F38A9" w:rsidRPr="00756773">
        <w:rPr>
          <w:sz w:val="22"/>
          <w:szCs w:val="22"/>
        </w:rPr>
        <w:t xml:space="preserve">dózisok </w:t>
      </w:r>
      <w:r w:rsidRPr="00756773">
        <w:rPr>
          <w:sz w:val="22"/>
          <w:szCs w:val="22"/>
        </w:rPr>
        <w:t>kevesebb mint 3%-a volt kimutatható a székletben, arra utalva, hogy a májfunkciónak nincs lényeges szerepe a zoledronsav farmakokinetikájában.</w:t>
      </w:r>
    </w:p>
    <w:p w14:paraId="1099C89C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76B1C3CA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zoledronsav vese clearance-e korrelációt mutatott a kreatinin-clearance-szel, a vese clearance a kreatinin-clearance értékének 75 ± 33%-a; 64 daganatos betegben vizsgálva ez átlagosan 84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±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29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ml/percnek (szélső értékek: 22–143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ml/perc) felelt meg. Populációs vizsgálatok szerint a 20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ml/perc (súlyos vesekárosodás) vagy 50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ml/perc (mérsékelt fokú vesekárosodás) kreatinin-clearance-ű betegeket a 84</w:t>
      </w:r>
      <w:r w:rsidR="008019E1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ml/perc kreatinin-clearance értékűekkel összehasonlítva, a megfelelő zoledronsav clearance értékek 37%, ill. 72%-on várhatók. Súlyos vesekárosodásban szenvedő betegekre (&lt; 30 ml/perc kreatinin-clearance) vonatkozóan csak korlátozott számú farmakokinetikai adat áll rendelkezésünkre.</w:t>
      </w:r>
    </w:p>
    <w:p w14:paraId="1CB1024A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4DB1858F" w14:textId="77777777" w:rsidR="001F0677" w:rsidRPr="00756773" w:rsidRDefault="00390968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Egy </w:t>
      </w:r>
      <w:r w:rsidRPr="00756773">
        <w:rPr>
          <w:i/>
          <w:iCs/>
          <w:sz w:val="22"/>
          <w:szCs w:val="22"/>
        </w:rPr>
        <w:t xml:space="preserve">in vitro </w:t>
      </w:r>
      <w:r w:rsidRPr="00756773">
        <w:rPr>
          <w:sz w:val="22"/>
          <w:szCs w:val="22"/>
        </w:rPr>
        <w:t xml:space="preserve">vizsgálatban a zoledronsav alacsony affinitást mutatott a humán vér alakos elemeihez, a 30 ng/ml-től 5000 ng/ml-ig terjedő koncentrációkban 0,59-es átlagos vér/plazma koncentrációs aránnyal. A plazmafehérje-kötődés alacsony, a nem kötött frakció a 2 ng/ml zoledronsav mellett mért 60%-tól 2000 ng/ml zoledronsav mellett mért 77%-ig terjed. </w:t>
      </w:r>
    </w:p>
    <w:p w14:paraId="2E5D8D07" w14:textId="77777777" w:rsidR="00990899" w:rsidRPr="00756773" w:rsidRDefault="00990899" w:rsidP="009A3F18">
      <w:pPr>
        <w:pStyle w:val="Default"/>
        <w:rPr>
          <w:sz w:val="22"/>
          <w:szCs w:val="22"/>
          <w:u w:val="single"/>
        </w:rPr>
      </w:pPr>
    </w:p>
    <w:p w14:paraId="55F8035C" w14:textId="14860C5D" w:rsidR="001F0677" w:rsidRPr="00756773" w:rsidRDefault="00527F9B" w:rsidP="00361327">
      <w:pPr>
        <w:pStyle w:val="Default"/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Különleges</w:t>
      </w:r>
      <w:r w:rsidRPr="00756773">
        <w:rPr>
          <w:sz w:val="22"/>
          <w:szCs w:val="22"/>
          <w:u w:val="single"/>
        </w:rPr>
        <w:t xml:space="preserve"> </w:t>
      </w:r>
      <w:r w:rsidR="001F0677" w:rsidRPr="00756773">
        <w:rPr>
          <w:sz w:val="22"/>
          <w:szCs w:val="22"/>
          <w:u w:val="single"/>
        </w:rPr>
        <w:t>betegcsoportok</w:t>
      </w:r>
    </w:p>
    <w:p w14:paraId="26A5B4A5" w14:textId="75950900" w:rsidR="001F0677" w:rsidRPr="00756773" w:rsidRDefault="00527F9B" w:rsidP="00361327">
      <w:pPr>
        <w:pStyle w:val="Default"/>
        <w:keepNext/>
        <w:rPr>
          <w:sz w:val="22"/>
          <w:szCs w:val="22"/>
        </w:rPr>
      </w:pPr>
      <w:r>
        <w:rPr>
          <w:i/>
          <w:iCs/>
          <w:sz w:val="22"/>
          <w:szCs w:val="22"/>
        </w:rPr>
        <w:t>Gyermekek és serdülők</w:t>
      </w:r>
    </w:p>
    <w:p w14:paraId="3E0FD7B6" w14:textId="71872E32" w:rsidR="001F0677" w:rsidRPr="00756773" w:rsidRDefault="001F0677" w:rsidP="009A3F18">
      <w:pPr>
        <w:numPr>
          <w:ilvl w:val="12"/>
          <w:numId w:val="0"/>
        </w:numPr>
        <w:suppressLineNumbers/>
        <w:spacing w:line="240" w:lineRule="auto"/>
        <w:ind w:right="-2"/>
        <w:rPr>
          <w:szCs w:val="22"/>
          <w:lang w:val="hu-HU"/>
        </w:rPr>
      </w:pPr>
      <w:r w:rsidRPr="00756773">
        <w:rPr>
          <w:szCs w:val="22"/>
          <w:lang w:val="hu-HU"/>
        </w:rPr>
        <w:t>A súlyos osteogenesis imperfectában szenvedő gyermekek esetén szerzett korlátozott farmakokinetikai adat arra utal, hogy a zoledronsav farmakokinetikája a 3</w:t>
      </w:r>
      <w:r w:rsidR="008D63C8" w:rsidRPr="00756773">
        <w:rPr>
          <w:szCs w:val="22"/>
          <w:lang w:val="hu-HU"/>
        </w:rPr>
        <w:t>–</w:t>
      </w:r>
      <w:r w:rsidRPr="00756773">
        <w:rPr>
          <w:szCs w:val="22"/>
          <w:lang w:val="hu-HU"/>
        </w:rPr>
        <w:t>17 éves gyermekeknél</w:t>
      </w:r>
      <w:r w:rsidR="00527F9B">
        <w:rPr>
          <w:szCs w:val="22"/>
          <w:lang w:val="hu-HU"/>
        </w:rPr>
        <w:t xml:space="preserve"> és serdülőknél</w:t>
      </w:r>
      <w:r w:rsidRPr="00756773">
        <w:rPr>
          <w:szCs w:val="22"/>
          <w:lang w:val="hu-HU"/>
        </w:rPr>
        <w:t xml:space="preserve"> – hasonló mg/</w:t>
      </w:r>
      <w:r w:rsidR="00527F9B">
        <w:rPr>
          <w:szCs w:val="22"/>
          <w:lang w:val="hu-HU"/>
        </w:rPr>
        <w:t>tt</w:t>
      </w:r>
      <w:r w:rsidRPr="00756773">
        <w:rPr>
          <w:szCs w:val="22"/>
          <w:lang w:val="hu-HU"/>
        </w:rPr>
        <w:t>kg dózis mellett – a felnőttekéhez hasonló. Úgy tűnik, hogy az életkor, a testtömeg, a nem és a kreatinin-clearance nincs hatással a zoledronsav szisztémás expozíciójára.</w:t>
      </w:r>
    </w:p>
    <w:p w14:paraId="00D33CAF" w14:textId="77777777" w:rsidR="001F0677" w:rsidRPr="00361327" w:rsidRDefault="001F0677" w:rsidP="009A3F18">
      <w:pPr>
        <w:numPr>
          <w:ilvl w:val="12"/>
          <w:numId w:val="0"/>
        </w:numPr>
        <w:suppressLineNumbers/>
        <w:spacing w:line="240" w:lineRule="auto"/>
        <w:ind w:right="-2"/>
        <w:rPr>
          <w:i/>
          <w:szCs w:val="22"/>
          <w:lang w:val="hu-HU"/>
        </w:rPr>
      </w:pPr>
    </w:p>
    <w:p w14:paraId="42CBB7B4" w14:textId="77777777" w:rsidR="001F0677" w:rsidRPr="00361327" w:rsidRDefault="001F0677" w:rsidP="009A3F18">
      <w:pPr>
        <w:suppressLineNumbers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5.3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preklinikai biztonságossági vizsgálatok eredményei</w:t>
      </w:r>
    </w:p>
    <w:p w14:paraId="1C533BBA" w14:textId="77777777" w:rsidR="001F0677" w:rsidRPr="00756773" w:rsidRDefault="001F0677" w:rsidP="009A3F18">
      <w:pPr>
        <w:suppressLineNumbers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0270A83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Akut toxicitás</w:t>
      </w:r>
    </w:p>
    <w:p w14:paraId="34CB296B" w14:textId="6A043543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legmagasabb nem</w:t>
      </w:r>
      <w:r w:rsidR="008D63C8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 xml:space="preserve">letális egyszeri intravénás </w:t>
      </w:r>
      <w:r w:rsidR="00FF7DFE" w:rsidRPr="00756773">
        <w:rPr>
          <w:sz w:val="22"/>
          <w:szCs w:val="22"/>
        </w:rPr>
        <w:t xml:space="preserve">dózis </w:t>
      </w:r>
      <w:r w:rsidRPr="00756773">
        <w:rPr>
          <w:sz w:val="22"/>
          <w:szCs w:val="22"/>
        </w:rPr>
        <w:t>10</w:t>
      </w:r>
      <w:r w:rsidR="00F0434B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 volt egérben és 0,6</w:t>
      </w:r>
      <w:r w:rsidR="00F0434B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 patkányban.</w:t>
      </w:r>
    </w:p>
    <w:p w14:paraId="7100C1F0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451D0CBF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Szubkrónikus és krónikus toxicitás</w:t>
      </w:r>
    </w:p>
    <w:p w14:paraId="067EDF45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A patkányok a szubkután</w:t>
      </w:r>
      <w:r w:rsidR="00A511E4" w:rsidRPr="00756773">
        <w:rPr>
          <w:sz w:val="22"/>
          <w:szCs w:val="22"/>
        </w:rPr>
        <w:t>,</w:t>
      </w:r>
      <w:r w:rsidRPr="00756773">
        <w:rPr>
          <w:sz w:val="22"/>
          <w:szCs w:val="22"/>
        </w:rPr>
        <w:t xml:space="preserve"> a kutyák az intravénásan alkalmazott 4 hetes zoledronsav kezelést jól tolerálták 0,02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mg/ttkg napi </w:t>
      </w:r>
      <w:r w:rsidR="00CE1C20" w:rsidRPr="00756773">
        <w:rPr>
          <w:sz w:val="22"/>
          <w:szCs w:val="22"/>
        </w:rPr>
        <w:t>dózisig</w:t>
      </w:r>
      <w:r w:rsidRPr="00756773">
        <w:rPr>
          <w:sz w:val="22"/>
          <w:szCs w:val="22"/>
        </w:rPr>
        <w:t>. Patkányok a 0,001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mg/ttkg/nap szubkután, ill. a kutyák a 2–3 naponta egyszer adott 0,005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mg/ttkg intravénás </w:t>
      </w:r>
      <w:r w:rsidR="00CE1C20" w:rsidRPr="00756773">
        <w:rPr>
          <w:sz w:val="22"/>
          <w:szCs w:val="22"/>
        </w:rPr>
        <w:t>dózisokat</w:t>
      </w:r>
      <w:r w:rsidR="00A511E4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52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héten át alkalmazva szintén jól tolerálták.</w:t>
      </w:r>
    </w:p>
    <w:p w14:paraId="4C481269" w14:textId="77777777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</w:p>
    <w:p w14:paraId="03F736C4" w14:textId="77777777" w:rsidR="001F0677" w:rsidRPr="00756773" w:rsidRDefault="001F0677" w:rsidP="009A3F18">
      <w:pPr>
        <w:suppressLineNumbers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Ismételt adagolás vizsgálatokban, a leggyakoribb eltérés – csaknem valamennyi dózis alkalmazásakor – a primer spongiosa állomány megnövekedése volt a növekedésben lévő állatok hosszú csöves csontjainak metaphysisében, ami az anyag farmakológiai (antireszorptív) hatásával hozható kapcsolatba.</w:t>
      </w:r>
    </w:p>
    <w:p w14:paraId="3DFCB0E7" w14:textId="77777777" w:rsidR="001F0677" w:rsidRPr="00756773" w:rsidRDefault="001F0677" w:rsidP="00361327">
      <w:pPr>
        <w:widowControl w:val="0"/>
        <w:spacing w:line="240" w:lineRule="auto"/>
        <w:rPr>
          <w:szCs w:val="22"/>
          <w:lang w:val="hu-HU"/>
        </w:rPr>
      </w:pPr>
    </w:p>
    <w:p w14:paraId="221B747F" w14:textId="7A972CF5" w:rsidR="00F67113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 xml:space="preserve">Állatkísérletekben a krónikus, ismételt parenterális adagolás esetén a vesére vonatkozó biztonsági </w:t>
      </w:r>
      <w:r w:rsidR="00450FF4" w:rsidRPr="00756773">
        <w:rPr>
          <w:sz w:val="22"/>
          <w:szCs w:val="22"/>
        </w:rPr>
        <w:t>in</w:t>
      </w:r>
      <w:r w:rsidR="009E63AB" w:rsidRPr="00756773">
        <w:rPr>
          <w:sz w:val="22"/>
          <w:szCs w:val="22"/>
        </w:rPr>
        <w:t>t</w:t>
      </w:r>
      <w:r w:rsidR="00450FF4" w:rsidRPr="00756773">
        <w:rPr>
          <w:sz w:val="22"/>
          <w:szCs w:val="22"/>
        </w:rPr>
        <w:t>e</w:t>
      </w:r>
      <w:r w:rsidR="009E63AB" w:rsidRPr="00756773">
        <w:rPr>
          <w:sz w:val="22"/>
          <w:szCs w:val="22"/>
        </w:rPr>
        <w:t>r</w:t>
      </w:r>
      <w:r w:rsidR="00450FF4" w:rsidRPr="00756773">
        <w:rPr>
          <w:sz w:val="22"/>
          <w:szCs w:val="22"/>
        </w:rPr>
        <w:t xml:space="preserve">vallum </w:t>
      </w:r>
      <w:r w:rsidRPr="00756773">
        <w:rPr>
          <w:sz w:val="22"/>
          <w:szCs w:val="22"/>
        </w:rPr>
        <w:t>keskeny volt, de az egyszeri (1,6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mg/ttkg) dózis és az egy hónapon át tartó ismételt (0,06–0,6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mg/ttkg/nap) adagolású vizsgálatokban a kumulatív mellékhatásmentes szintek (</w:t>
      </w:r>
      <w:r w:rsidR="003663EF" w:rsidRPr="00756773">
        <w:rPr>
          <w:sz w:val="22"/>
          <w:szCs w:val="22"/>
        </w:rPr>
        <w:t>„</w:t>
      </w:r>
      <w:r w:rsidRPr="00756773">
        <w:rPr>
          <w:sz w:val="22"/>
          <w:szCs w:val="22"/>
        </w:rPr>
        <w:t>no adverse event level</w:t>
      </w:r>
      <w:r w:rsidR="003663EF" w:rsidRPr="00756773">
        <w:rPr>
          <w:sz w:val="22"/>
          <w:szCs w:val="22"/>
        </w:rPr>
        <w:t>”</w:t>
      </w:r>
      <w:r w:rsidRPr="00756773">
        <w:rPr>
          <w:sz w:val="22"/>
          <w:szCs w:val="22"/>
        </w:rPr>
        <w:t xml:space="preserve"> NOAEL) nem utaltak</w:t>
      </w:r>
      <w:r w:rsidR="00CE1C20" w:rsidRPr="00756773">
        <w:rPr>
          <w:sz w:val="22"/>
          <w:szCs w:val="22"/>
        </w:rPr>
        <w:t xml:space="preserve"> a</w:t>
      </w:r>
      <w:r w:rsidRPr="00756773">
        <w:rPr>
          <w:sz w:val="22"/>
          <w:szCs w:val="22"/>
        </w:rPr>
        <w:t xml:space="preserve"> vesére kifejtett hatásra </w:t>
      </w:r>
      <w:r w:rsidR="00CE1C20" w:rsidRPr="00756773">
        <w:rPr>
          <w:sz w:val="22"/>
          <w:szCs w:val="22"/>
        </w:rPr>
        <w:t xml:space="preserve">a </w:t>
      </w:r>
      <w:r w:rsidRPr="00756773">
        <w:rPr>
          <w:sz w:val="22"/>
          <w:szCs w:val="22"/>
        </w:rPr>
        <w:t>megfelel</w:t>
      </w:r>
      <w:r w:rsidR="00CE1C20" w:rsidRPr="00756773">
        <w:rPr>
          <w:sz w:val="22"/>
          <w:szCs w:val="22"/>
        </w:rPr>
        <w:t>ő</w:t>
      </w:r>
      <w:r w:rsidRPr="00756773">
        <w:rPr>
          <w:sz w:val="22"/>
          <w:szCs w:val="22"/>
        </w:rPr>
        <w:t xml:space="preserve"> vagy </w:t>
      </w:r>
      <w:r w:rsidR="00CE1C20" w:rsidRPr="00756773">
        <w:rPr>
          <w:sz w:val="22"/>
          <w:szCs w:val="22"/>
        </w:rPr>
        <w:t xml:space="preserve">az ezt </w:t>
      </w:r>
      <w:r w:rsidRPr="00756773">
        <w:rPr>
          <w:sz w:val="22"/>
          <w:szCs w:val="22"/>
        </w:rPr>
        <w:t>meghalad</w:t>
      </w:r>
      <w:r w:rsidR="00CE1C20" w:rsidRPr="00756773">
        <w:rPr>
          <w:sz w:val="22"/>
          <w:szCs w:val="22"/>
        </w:rPr>
        <w:t>ó</w:t>
      </w:r>
      <w:r w:rsidRPr="00756773">
        <w:rPr>
          <w:sz w:val="22"/>
          <w:szCs w:val="22"/>
        </w:rPr>
        <w:t xml:space="preserve"> maximálisan javasolt humán terápiás </w:t>
      </w:r>
      <w:r w:rsidR="00CE1C20" w:rsidRPr="00756773">
        <w:rPr>
          <w:sz w:val="22"/>
          <w:szCs w:val="22"/>
        </w:rPr>
        <w:t>dózis esetében</w:t>
      </w:r>
      <w:r w:rsidRPr="00756773">
        <w:rPr>
          <w:sz w:val="22"/>
          <w:szCs w:val="22"/>
        </w:rPr>
        <w:t xml:space="preserve">. A zoledronsav hosszabbtávú, ismételt alkalmazása a maximálisan javasolt humán terápiás </w:t>
      </w:r>
      <w:r w:rsidR="00A511E4" w:rsidRPr="00756773">
        <w:rPr>
          <w:sz w:val="22"/>
          <w:szCs w:val="22"/>
        </w:rPr>
        <w:t xml:space="preserve">dózisban </w:t>
      </w:r>
      <w:r w:rsidRPr="00756773">
        <w:rPr>
          <w:sz w:val="22"/>
          <w:szCs w:val="22"/>
        </w:rPr>
        <w:t>toxikus hatásokat eredményezett más szervekben, beleértve a gyomor-bél</w:t>
      </w:r>
      <w:r w:rsidR="008D63C8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rendszert, a májat, lépet és a tüdőt, valamint az intravénás injekció beadásának helyét.</w:t>
      </w:r>
    </w:p>
    <w:p w14:paraId="47738F9B" w14:textId="77777777" w:rsidR="00CE1C20" w:rsidRPr="00756773" w:rsidRDefault="00CE1C20" w:rsidP="009A3F18">
      <w:pPr>
        <w:pStyle w:val="Default"/>
        <w:rPr>
          <w:sz w:val="22"/>
          <w:szCs w:val="22"/>
        </w:rPr>
      </w:pPr>
    </w:p>
    <w:p w14:paraId="375914DC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Reprodukciós toxicitás</w:t>
      </w:r>
    </w:p>
    <w:p w14:paraId="6F8216CF" w14:textId="77777777" w:rsidR="001F0677" w:rsidRPr="00756773" w:rsidRDefault="001F0677" w:rsidP="009A3F18">
      <w:pPr>
        <w:pStyle w:val="Default"/>
        <w:rPr>
          <w:sz w:val="22"/>
          <w:szCs w:val="22"/>
        </w:rPr>
      </w:pPr>
      <w:r w:rsidRPr="00756773">
        <w:rPr>
          <w:sz w:val="22"/>
          <w:szCs w:val="22"/>
        </w:rPr>
        <w:t>Patkányok</w:t>
      </w:r>
      <w:r w:rsidR="00CE1C20" w:rsidRPr="00756773">
        <w:rPr>
          <w:sz w:val="22"/>
          <w:szCs w:val="22"/>
        </w:rPr>
        <w:t>nál</w:t>
      </w:r>
      <w:r w:rsidRPr="00756773">
        <w:rPr>
          <w:sz w:val="22"/>
          <w:szCs w:val="22"/>
        </w:rPr>
        <w:t xml:space="preserve"> a ≥ 0,2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 szubkután zoledronsav adag teratogén volt. Bár nyulak</w:t>
      </w:r>
      <w:r w:rsidR="00A511E4" w:rsidRPr="00756773">
        <w:rPr>
          <w:sz w:val="22"/>
          <w:szCs w:val="22"/>
        </w:rPr>
        <w:t>nál</w:t>
      </w:r>
      <w:r w:rsidRPr="00756773">
        <w:rPr>
          <w:sz w:val="22"/>
          <w:szCs w:val="22"/>
        </w:rPr>
        <w:t xml:space="preserve"> sem teratogenitást, sem foetotoxicitást nem észleltek, maternalis toxicitást igen. Patkányok</w:t>
      </w:r>
      <w:r w:rsidR="00A511E4" w:rsidRPr="00756773">
        <w:rPr>
          <w:sz w:val="22"/>
          <w:szCs w:val="22"/>
        </w:rPr>
        <w:t>nál</w:t>
      </w:r>
      <w:r w:rsidRPr="00756773">
        <w:rPr>
          <w:sz w:val="22"/>
          <w:szCs w:val="22"/>
        </w:rPr>
        <w:t xml:space="preserve"> a legkisebb vizsgált </w:t>
      </w:r>
      <w:r w:rsidR="00A511E4" w:rsidRPr="00756773">
        <w:rPr>
          <w:sz w:val="22"/>
          <w:szCs w:val="22"/>
        </w:rPr>
        <w:t xml:space="preserve">dózis </w:t>
      </w:r>
      <w:r w:rsidRPr="00756773">
        <w:rPr>
          <w:sz w:val="22"/>
          <w:szCs w:val="22"/>
        </w:rPr>
        <w:t>mellett (0,01</w:t>
      </w:r>
      <w:r w:rsidR="00F67113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mg/ttkg) dystociát észleltek. Emberben a potenciális veszély nem ismert.</w:t>
      </w:r>
    </w:p>
    <w:p w14:paraId="6CB1E9B3" w14:textId="77777777" w:rsidR="001F0677" w:rsidRPr="00756773" w:rsidRDefault="001F0677" w:rsidP="009A3F18">
      <w:pPr>
        <w:pStyle w:val="Default"/>
        <w:rPr>
          <w:sz w:val="22"/>
          <w:szCs w:val="22"/>
        </w:rPr>
      </w:pPr>
    </w:p>
    <w:p w14:paraId="005F6474" w14:textId="77777777" w:rsidR="001F0677" w:rsidRPr="00756773" w:rsidRDefault="001F0677" w:rsidP="009A3F18">
      <w:pPr>
        <w:pStyle w:val="Default"/>
        <w:rPr>
          <w:sz w:val="22"/>
          <w:szCs w:val="22"/>
          <w:u w:val="single"/>
        </w:rPr>
      </w:pPr>
      <w:r w:rsidRPr="00756773">
        <w:rPr>
          <w:sz w:val="22"/>
          <w:szCs w:val="22"/>
          <w:u w:val="single"/>
        </w:rPr>
        <w:t>Mutagenitás és karcinogenitás</w:t>
      </w:r>
    </w:p>
    <w:p w14:paraId="669D6352" w14:textId="77777777" w:rsidR="001F0677" w:rsidRPr="00756773" w:rsidRDefault="001F0677" w:rsidP="00361327">
      <w:pPr>
        <w:widowControl w:val="0"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 zoledronsav a mutagenitás tesztekben nem bizonyult mutagénnek, és a karcinogenitás tesztekben sem mutat</w:t>
      </w:r>
      <w:r w:rsidR="00FA100F" w:rsidRPr="00756773">
        <w:rPr>
          <w:szCs w:val="22"/>
          <w:lang w:val="hu-HU"/>
        </w:rPr>
        <w:t>ott</w:t>
      </w:r>
      <w:r w:rsidRPr="00756773">
        <w:rPr>
          <w:szCs w:val="22"/>
          <w:lang w:val="hu-HU"/>
        </w:rPr>
        <w:t xml:space="preserve"> karcinogén hat</w:t>
      </w:r>
      <w:r w:rsidR="00FA100F" w:rsidRPr="00756773">
        <w:rPr>
          <w:szCs w:val="22"/>
          <w:lang w:val="hu-HU"/>
        </w:rPr>
        <w:t>ást</w:t>
      </w:r>
      <w:r w:rsidRPr="00756773">
        <w:rPr>
          <w:szCs w:val="22"/>
          <w:lang w:val="hu-HU"/>
        </w:rPr>
        <w:t>.</w:t>
      </w:r>
    </w:p>
    <w:p w14:paraId="3EF82EEF" w14:textId="77777777" w:rsidR="001F0677" w:rsidRPr="00361327" w:rsidRDefault="001F0677" w:rsidP="00361327">
      <w:pPr>
        <w:widowControl w:val="0"/>
        <w:spacing w:line="240" w:lineRule="auto"/>
        <w:rPr>
          <w:szCs w:val="22"/>
          <w:lang w:val="hu-HU"/>
        </w:rPr>
      </w:pPr>
    </w:p>
    <w:p w14:paraId="522D6F80" w14:textId="77777777" w:rsidR="001F0677" w:rsidRPr="00361327" w:rsidRDefault="001F0677" w:rsidP="00361327">
      <w:pPr>
        <w:widowControl w:val="0"/>
        <w:spacing w:line="240" w:lineRule="auto"/>
        <w:rPr>
          <w:szCs w:val="22"/>
          <w:lang w:val="hu-HU"/>
        </w:rPr>
      </w:pPr>
    </w:p>
    <w:p w14:paraId="341B51D3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171EDAB4" w14:textId="77777777" w:rsidR="001F0677" w:rsidRPr="00756773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15B8F712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6.1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73EB328C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FF09DD" w14:textId="3E7C4A58" w:rsidR="0080087C" w:rsidRPr="00361327" w:rsidRDefault="00527F9B" w:rsidP="00361327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szCs w:val="22"/>
          <w:lang w:val="hu-HU" w:eastAsia="hu-HU"/>
        </w:rPr>
      </w:pPr>
      <w:r>
        <w:rPr>
          <w:szCs w:val="22"/>
          <w:lang w:val="hu-HU"/>
        </w:rPr>
        <w:t>m</w:t>
      </w:r>
      <w:r w:rsidR="001F0677" w:rsidRPr="00361327">
        <w:rPr>
          <w:szCs w:val="22"/>
          <w:lang w:val="hu-HU"/>
        </w:rPr>
        <w:t>annit</w:t>
      </w:r>
    </w:p>
    <w:p w14:paraId="732A376D" w14:textId="413CE73D" w:rsidR="001F0677" w:rsidRPr="00756773" w:rsidRDefault="00527F9B" w:rsidP="009A3F1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</w:t>
      </w:r>
      <w:r w:rsidR="001F0677" w:rsidRPr="00756773">
        <w:rPr>
          <w:sz w:val="22"/>
          <w:szCs w:val="22"/>
        </w:rPr>
        <w:t>átrium-citrát</w:t>
      </w:r>
    </w:p>
    <w:p w14:paraId="359D5020" w14:textId="587FDDC2" w:rsidR="001F0677" w:rsidRPr="00756773" w:rsidRDefault="00527F9B" w:rsidP="009A3F18">
      <w:pPr>
        <w:tabs>
          <w:tab w:val="left" w:pos="6315"/>
        </w:tabs>
        <w:spacing w:line="240" w:lineRule="auto"/>
        <w:rPr>
          <w:color w:val="FF0000"/>
          <w:szCs w:val="22"/>
          <w:lang w:val="hu-HU"/>
        </w:rPr>
      </w:pPr>
      <w:r>
        <w:rPr>
          <w:szCs w:val="22"/>
          <w:lang w:val="hu-HU"/>
        </w:rPr>
        <w:t>i</w:t>
      </w:r>
      <w:r w:rsidR="001F0677" w:rsidRPr="00756773">
        <w:rPr>
          <w:szCs w:val="22"/>
          <w:lang w:val="hu-HU"/>
        </w:rPr>
        <w:t>njekcióhoz való víz</w:t>
      </w:r>
    </w:p>
    <w:p w14:paraId="6F17BB75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C7F5D8E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6.2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3D34F9B6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45C8EF7" w14:textId="7B057245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 xml:space="preserve">Az esetleges inkompatibilitások elkerülése végett a feloldással kapott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koncentrátum 0,9%-os (m/</w:t>
      </w:r>
      <w:r w:rsidR="008D63C8" w:rsidRPr="00756773">
        <w:rPr>
          <w:sz w:val="22"/>
          <w:szCs w:val="22"/>
        </w:rPr>
        <w:t>V</w:t>
      </w:r>
      <w:r w:rsidRPr="00756773">
        <w:rPr>
          <w:sz w:val="22"/>
          <w:szCs w:val="22"/>
        </w:rPr>
        <w:t>) nátrium-klorid vagy 5%-os (m/</w:t>
      </w:r>
      <w:r w:rsidR="008D63C8" w:rsidRPr="00756773">
        <w:rPr>
          <w:sz w:val="22"/>
          <w:szCs w:val="22"/>
        </w:rPr>
        <w:t>V</w:t>
      </w:r>
      <w:r w:rsidRPr="00756773">
        <w:rPr>
          <w:sz w:val="22"/>
          <w:szCs w:val="22"/>
        </w:rPr>
        <w:t xml:space="preserve">) glükóz oldattal hígítandó. </w:t>
      </w:r>
    </w:p>
    <w:p w14:paraId="7606AF0C" w14:textId="77777777" w:rsidR="000B6D56" w:rsidRPr="00756773" w:rsidRDefault="000B6D56" w:rsidP="009A3F18">
      <w:pPr>
        <w:pStyle w:val="Default"/>
        <w:rPr>
          <w:sz w:val="22"/>
          <w:szCs w:val="22"/>
        </w:rPr>
      </w:pPr>
    </w:p>
    <w:p w14:paraId="5DE55705" w14:textId="77777777" w:rsidR="00BA2768" w:rsidRPr="00756773" w:rsidRDefault="001F0677" w:rsidP="009A3F18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Ezt a gyógyszert tilos kalciummal vagy más, két vegyértékű kationt tartalmazó infúziós oldattal, például Ringer-laktát oldattal keverni, és egyedüli intravénás oldatként, elkülönített infúziós szereléken át kell beadni.</w:t>
      </w:r>
    </w:p>
    <w:p w14:paraId="42484AFC" w14:textId="77777777" w:rsidR="001F0677" w:rsidRPr="00756773" w:rsidRDefault="001F0677" w:rsidP="009A3F18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6A717C29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6.3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1EB53033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06DF4F" w14:textId="77777777" w:rsidR="001F0677" w:rsidRPr="00756773" w:rsidRDefault="00BA2768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>3 év</w:t>
      </w:r>
      <w:r w:rsidR="001F0677" w:rsidRPr="00756773">
        <w:rPr>
          <w:sz w:val="22"/>
          <w:szCs w:val="22"/>
        </w:rPr>
        <w:t>.</w:t>
      </w:r>
    </w:p>
    <w:p w14:paraId="2AB197D1" w14:textId="6424AC39" w:rsidR="001F0677" w:rsidRPr="00756773" w:rsidRDefault="001F0677" w:rsidP="00361327">
      <w:pPr>
        <w:widowControl w:val="0"/>
        <w:spacing w:line="240" w:lineRule="auto"/>
        <w:rPr>
          <w:szCs w:val="22"/>
          <w:lang w:val="hu-HU"/>
        </w:rPr>
      </w:pPr>
      <w:r w:rsidRPr="00361327">
        <w:rPr>
          <w:szCs w:val="22"/>
          <w:u w:val="single"/>
          <w:lang w:val="hu-HU"/>
        </w:rPr>
        <w:t>Hígítás után</w:t>
      </w:r>
      <w:r w:rsidRPr="00756773">
        <w:rPr>
          <w:szCs w:val="22"/>
          <w:lang w:val="hu-HU"/>
        </w:rPr>
        <w:t>: A felhasználásra kész oldat kémiai és fizikai stabilitás</w:t>
      </w:r>
      <w:r w:rsidR="00527F9B">
        <w:rPr>
          <w:szCs w:val="22"/>
          <w:lang w:val="hu-HU"/>
        </w:rPr>
        <w:t>a</w:t>
      </w:r>
      <w:r w:rsidRPr="00756773">
        <w:rPr>
          <w:szCs w:val="22"/>
          <w:lang w:val="hu-HU"/>
        </w:rPr>
        <w:t xml:space="preserve"> 2</w:t>
      </w:r>
      <w:r w:rsidR="008D63C8" w:rsidRPr="00756773">
        <w:rPr>
          <w:szCs w:val="22"/>
          <w:lang w:val="hu-HU"/>
        </w:rPr>
        <w:t>–</w:t>
      </w:r>
      <w:r w:rsidRPr="00756773">
        <w:rPr>
          <w:szCs w:val="22"/>
          <w:lang w:val="hu-HU"/>
        </w:rPr>
        <w:t>8</w:t>
      </w:r>
      <w:r w:rsidR="00803377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°C-on</w:t>
      </w:r>
      <w:r w:rsidR="000826DC" w:rsidRPr="00756773">
        <w:rPr>
          <w:szCs w:val="22"/>
          <w:lang w:val="hu-HU"/>
        </w:rPr>
        <w:t xml:space="preserve"> és </w:t>
      </w:r>
      <w:r w:rsidR="00CA63FC" w:rsidRPr="00756773">
        <w:rPr>
          <w:szCs w:val="22"/>
          <w:lang w:val="hu-HU"/>
        </w:rPr>
        <w:t>25</w:t>
      </w:r>
      <w:r w:rsidR="00803377" w:rsidRPr="00756773">
        <w:rPr>
          <w:szCs w:val="22"/>
          <w:lang w:val="hu-HU"/>
        </w:rPr>
        <w:t> </w:t>
      </w:r>
      <w:r w:rsidR="00CA63FC" w:rsidRPr="00756773">
        <w:rPr>
          <w:szCs w:val="22"/>
          <w:lang w:val="hu-HU"/>
        </w:rPr>
        <w:t>°C-on</w:t>
      </w:r>
      <w:r w:rsidRPr="00756773">
        <w:rPr>
          <w:szCs w:val="22"/>
          <w:lang w:val="hu-HU"/>
        </w:rPr>
        <w:t xml:space="preserve"> </w:t>
      </w:r>
      <w:r w:rsidR="00CA63FC" w:rsidRPr="00756773">
        <w:rPr>
          <w:szCs w:val="22"/>
          <w:lang w:val="hu-HU"/>
        </w:rPr>
        <w:t>30</w:t>
      </w:r>
      <w:r w:rsidRPr="00756773">
        <w:rPr>
          <w:szCs w:val="22"/>
          <w:lang w:val="hu-HU"/>
        </w:rPr>
        <w:t xml:space="preserve"> órán át </w:t>
      </w:r>
      <w:r w:rsidR="00527F9B">
        <w:rPr>
          <w:szCs w:val="22"/>
          <w:lang w:val="hu-HU"/>
        </w:rPr>
        <w:t>igazolt</w:t>
      </w:r>
      <w:r w:rsidRPr="00756773">
        <w:rPr>
          <w:szCs w:val="22"/>
          <w:lang w:val="hu-HU"/>
        </w:rPr>
        <w:t xml:space="preserve">. Mikrobiológiai szempontból a hígított oldatot azonnal fel kell használni. </w:t>
      </w:r>
      <w:r w:rsidR="00527F9B" w:rsidRPr="00527F9B">
        <w:rPr>
          <w:szCs w:val="22"/>
          <w:lang w:val="hu-HU"/>
        </w:rPr>
        <w:t>Amennyiben nem használják fel azonnal, a felhasználásig az eltartási idő és a tárolási körülmények a felhasználó felelőssége, amely általános esetben 2 – 8</w:t>
      </w:r>
      <w:r w:rsidR="00386B13" w:rsidRPr="00756773">
        <w:rPr>
          <w:szCs w:val="22"/>
          <w:lang w:val="hu-HU"/>
        </w:rPr>
        <w:t> </w:t>
      </w:r>
      <w:r w:rsidR="00527F9B" w:rsidRPr="00527F9B">
        <w:rPr>
          <w:szCs w:val="22"/>
          <w:lang w:val="hu-HU"/>
        </w:rPr>
        <w:t xml:space="preserve">°C közötti hőmérsékleten </w:t>
      </w:r>
      <w:r w:rsidR="00527F9B">
        <w:rPr>
          <w:szCs w:val="22"/>
          <w:lang w:val="hu-HU"/>
        </w:rPr>
        <w:t>tárolva nem haladhatja meg a 24 </w:t>
      </w:r>
      <w:r w:rsidR="00527F9B" w:rsidRPr="00527F9B">
        <w:rPr>
          <w:szCs w:val="22"/>
          <w:lang w:val="hu-HU"/>
        </w:rPr>
        <w:t>órát, kivéve, ha a hígítás ellenőrzött és validált aszeptikus körülmények között történt.</w:t>
      </w:r>
      <w:r w:rsidRPr="00756773">
        <w:rPr>
          <w:szCs w:val="22"/>
          <w:lang w:val="hu-HU"/>
        </w:rPr>
        <w:t xml:space="preserve"> A hűtőszekrényben tárolt oldatot ezután az alkalmazás előtt hagyni kell szobahőmérsékletűre melegedni.</w:t>
      </w:r>
    </w:p>
    <w:p w14:paraId="7A19F6A7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1185AAE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6.4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2E5BA259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0C7001B5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>Ez a gyógyszer nem igényel különleges tárolást.</w:t>
      </w:r>
    </w:p>
    <w:p w14:paraId="3FFE3A45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56773">
        <w:rPr>
          <w:szCs w:val="22"/>
          <w:lang w:val="hu-HU"/>
        </w:rPr>
        <w:t>Az elkészített gyógyszerre vonatkozó tárolási előírásokat lásd a 6.3</w:t>
      </w:r>
      <w:r w:rsidR="00431F22" w:rsidRPr="00756773">
        <w:rPr>
          <w:szCs w:val="22"/>
          <w:lang w:val="hu-HU"/>
        </w:rPr>
        <w:t> </w:t>
      </w:r>
      <w:r w:rsidRPr="00756773">
        <w:rPr>
          <w:szCs w:val="22"/>
          <w:lang w:val="hu-HU"/>
        </w:rPr>
        <w:t>pontban.</w:t>
      </w:r>
    </w:p>
    <w:p w14:paraId="170E47C7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19E4678D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6.5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Csomagolás típusa és kiszerelése</w:t>
      </w:r>
    </w:p>
    <w:p w14:paraId="6A653FEC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522750" w14:textId="21885F13" w:rsidR="001F0677" w:rsidRPr="00756773" w:rsidRDefault="00C54535" w:rsidP="00361327">
      <w:pPr>
        <w:pStyle w:val="Default"/>
        <w:widowControl w:val="0"/>
        <w:rPr>
          <w:sz w:val="22"/>
          <w:szCs w:val="22"/>
        </w:rPr>
      </w:pPr>
      <w:r w:rsidRPr="00361327">
        <w:rPr>
          <w:sz w:val="22"/>
          <w:szCs w:val="22"/>
        </w:rPr>
        <w:t>5 ml-es m</w:t>
      </w:r>
      <w:r w:rsidR="001F0677" w:rsidRPr="00756773">
        <w:rPr>
          <w:sz w:val="22"/>
          <w:szCs w:val="22"/>
        </w:rPr>
        <w:t>űanyag, színtelen</w:t>
      </w:r>
      <w:r w:rsidR="00434F7A">
        <w:rPr>
          <w:sz w:val="22"/>
          <w:szCs w:val="22"/>
        </w:rPr>
        <w:t>,</w:t>
      </w:r>
      <w:r w:rsidR="001F0677" w:rsidRPr="00756773">
        <w:rPr>
          <w:sz w:val="22"/>
          <w:szCs w:val="22"/>
        </w:rPr>
        <w:t xml:space="preserve"> </w:t>
      </w:r>
      <w:r w:rsidR="00432339" w:rsidRPr="00756773">
        <w:rPr>
          <w:sz w:val="22"/>
          <w:szCs w:val="22"/>
        </w:rPr>
        <w:t>cikloolefin polimer</w:t>
      </w:r>
      <w:r w:rsidR="001F0677" w:rsidRPr="00756773">
        <w:rPr>
          <w:sz w:val="22"/>
          <w:szCs w:val="22"/>
        </w:rPr>
        <w:t xml:space="preserve"> injekciós </w:t>
      </w:r>
      <w:r w:rsidR="00BC51B9" w:rsidRPr="00756773">
        <w:rPr>
          <w:sz w:val="22"/>
          <w:szCs w:val="22"/>
        </w:rPr>
        <w:t>tartály</w:t>
      </w:r>
      <w:r w:rsidR="001F0677" w:rsidRPr="00756773">
        <w:rPr>
          <w:sz w:val="22"/>
          <w:szCs w:val="22"/>
        </w:rPr>
        <w:t xml:space="preserve">, </w:t>
      </w:r>
      <w:r w:rsidR="00804391" w:rsidRPr="00756773">
        <w:rPr>
          <w:sz w:val="22"/>
          <w:szCs w:val="22"/>
        </w:rPr>
        <w:t>teflonbevonatú</w:t>
      </w:r>
      <w:r w:rsidR="008A31C2" w:rsidRPr="00756773">
        <w:rPr>
          <w:sz w:val="22"/>
          <w:szCs w:val="22"/>
        </w:rPr>
        <w:t xml:space="preserve"> </w:t>
      </w:r>
      <w:r w:rsidR="00432339" w:rsidRPr="00756773">
        <w:rPr>
          <w:sz w:val="22"/>
          <w:szCs w:val="22"/>
        </w:rPr>
        <w:t>klór</w:t>
      </w:r>
      <w:r w:rsidR="001F0677" w:rsidRPr="00756773">
        <w:rPr>
          <w:sz w:val="22"/>
          <w:szCs w:val="22"/>
        </w:rPr>
        <w:t>butil gumidugóval és lepattintható</w:t>
      </w:r>
      <w:r w:rsidR="00141004">
        <w:rPr>
          <w:sz w:val="22"/>
          <w:szCs w:val="22"/>
        </w:rPr>
        <w:t>,</w:t>
      </w:r>
      <w:r w:rsidR="001F0677" w:rsidRPr="00756773">
        <w:rPr>
          <w:sz w:val="22"/>
          <w:szCs w:val="22"/>
        </w:rPr>
        <w:t xml:space="preserve"> </w:t>
      </w:r>
      <w:r w:rsidR="00B14D01" w:rsidRPr="00756773">
        <w:rPr>
          <w:sz w:val="22"/>
          <w:szCs w:val="22"/>
        </w:rPr>
        <w:t>zöld színű</w:t>
      </w:r>
      <w:r w:rsidR="00141004">
        <w:rPr>
          <w:sz w:val="22"/>
          <w:szCs w:val="22"/>
        </w:rPr>
        <w:t>,</w:t>
      </w:r>
      <w:r w:rsidR="00B14D01" w:rsidRPr="00756773">
        <w:rPr>
          <w:sz w:val="22"/>
          <w:szCs w:val="22"/>
        </w:rPr>
        <w:t xml:space="preserve"> </w:t>
      </w:r>
      <w:r w:rsidR="001F0677" w:rsidRPr="00756773">
        <w:rPr>
          <w:sz w:val="22"/>
          <w:szCs w:val="22"/>
        </w:rPr>
        <w:t xml:space="preserve">műanyag </w:t>
      </w:r>
      <w:r w:rsidR="00527F9B">
        <w:rPr>
          <w:sz w:val="22"/>
          <w:szCs w:val="22"/>
        </w:rPr>
        <w:t>védőlappal</w:t>
      </w:r>
      <w:r w:rsidR="00527F9B" w:rsidRPr="00756773">
        <w:rPr>
          <w:sz w:val="22"/>
          <w:szCs w:val="22"/>
        </w:rPr>
        <w:t xml:space="preserve"> </w:t>
      </w:r>
      <w:r w:rsidR="001F0677" w:rsidRPr="00756773">
        <w:rPr>
          <w:sz w:val="22"/>
          <w:szCs w:val="22"/>
        </w:rPr>
        <w:t xml:space="preserve">ellátott </w:t>
      </w:r>
      <w:r w:rsidR="00EB33C7" w:rsidRPr="00756773">
        <w:rPr>
          <w:sz w:val="22"/>
          <w:szCs w:val="22"/>
        </w:rPr>
        <w:t xml:space="preserve">alumínium </w:t>
      </w:r>
      <w:r w:rsidR="001F0677" w:rsidRPr="00756773">
        <w:rPr>
          <w:sz w:val="22"/>
          <w:szCs w:val="22"/>
        </w:rPr>
        <w:t>kupakkal lezárva.</w:t>
      </w:r>
    </w:p>
    <w:p w14:paraId="6FBAF516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0CCC3B56" w14:textId="07B41ED1" w:rsidR="00B14D01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 xml:space="preserve">1 </w:t>
      </w:r>
      <w:r w:rsidR="00FF4ACF">
        <w:rPr>
          <w:sz w:val="22"/>
          <w:szCs w:val="22"/>
        </w:rPr>
        <w:t xml:space="preserve">db </w:t>
      </w:r>
      <w:r w:rsidRPr="00756773">
        <w:rPr>
          <w:sz w:val="22"/>
          <w:szCs w:val="22"/>
        </w:rPr>
        <w:t xml:space="preserve">injekciós </w:t>
      </w:r>
      <w:r w:rsidR="00454C71" w:rsidRPr="00756773">
        <w:rPr>
          <w:sz w:val="22"/>
          <w:szCs w:val="22"/>
        </w:rPr>
        <w:t>tartály</w:t>
      </w:r>
      <w:r w:rsidR="00FF4ACF">
        <w:rPr>
          <w:sz w:val="22"/>
          <w:szCs w:val="22"/>
        </w:rPr>
        <w:t>,</w:t>
      </w:r>
      <w:r w:rsidR="00454C71" w:rsidRPr="00756773">
        <w:rPr>
          <w:sz w:val="22"/>
          <w:szCs w:val="22"/>
        </w:rPr>
        <w:t xml:space="preserve"> </w:t>
      </w:r>
      <w:r w:rsidR="000215E6" w:rsidRPr="00756773">
        <w:rPr>
          <w:sz w:val="22"/>
          <w:szCs w:val="22"/>
        </w:rPr>
        <w:t>dobozban</w:t>
      </w:r>
      <w:r w:rsidRPr="00756773">
        <w:rPr>
          <w:sz w:val="22"/>
          <w:szCs w:val="22"/>
        </w:rPr>
        <w:t xml:space="preserve">. </w:t>
      </w:r>
    </w:p>
    <w:p w14:paraId="6560DB04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BF0A62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6.6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</w:t>
      </w:r>
      <w:r w:rsidR="00FC269A" w:rsidRPr="00361327">
        <w:rPr>
          <w:rFonts w:eastAsia="Times New Roman"/>
          <w:b/>
          <w:snapToGrid/>
          <w:szCs w:val="22"/>
          <w:lang w:val="hu-HU" w:eastAsia="en-US"/>
        </w:rPr>
        <w:t xml:space="preserve"> és egyéb, a készítmény kezelésével kapcsolatos információk</w:t>
      </w:r>
    </w:p>
    <w:p w14:paraId="6EFE3AF3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2A2864F4" w14:textId="6C977282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>Felhasználás előtt az 5</w:t>
      </w:r>
      <w:r w:rsidR="00B14D01" w:rsidRPr="00756773">
        <w:rPr>
          <w:sz w:val="22"/>
          <w:szCs w:val="22"/>
        </w:rPr>
        <w:t>,0</w:t>
      </w:r>
      <w:r w:rsidR="00C00E9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ml-es injekciós </w:t>
      </w:r>
      <w:r w:rsidR="0080087C" w:rsidRPr="00756773">
        <w:rPr>
          <w:sz w:val="22"/>
          <w:szCs w:val="22"/>
        </w:rPr>
        <w:t>tartály</w:t>
      </w:r>
      <w:r w:rsidR="00C00E99" w:rsidRPr="00756773">
        <w:rPr>
          <w:sz w:val="22"/>
          <w:szCs w:val="22"/>
        </w:rPr>
        <w:t>ban</w:t>
      </w:r>
      <w:r w:rsidR="0080087C" w:rsidRPr="00756773">
        <w:rPr>
          <w:sz w:val="22"/>
          <w:szCs w:val="22"/>
        </w:rPr>
        <w:t xml:space="preserve"> </w:t>
      </w:r>
      <w:r w:rsidRPr="00756773">
        <w:rPr>
          <w:sz w:val="22"/>
          <w:szCs w:val="22"/>
        </w:rPr>
        <w:t>lévő koncentrátum vagy a belőle felszívott mennyiség tovább hígítandó 100</w:t>
      </w:r>
      <w:r w:rsidR="00C00E99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 xml:space="preserve">ml kalciummentes infúziós </w:t>
      </w:r>
      <w:r w:rsidR="00C00E99" w:rsidRPr="00756773">
        <w:rPr>
          <w:sz w:val="22"/>
          <w:szCs w:val="22"/>
        </w:rPr>
        <w:t>[</w:t>
      </w:r>
      <w:r w:rsidRPr="00756773">
        <w:rPr>
          <w:sz w:val="22"/>
          <w:szCs w:val="22"/>
        </w:rPr>
        <w:t>0,9%-os (m/</w:t>
      </w:r>
      <w:r w:rsidR="008D63C8" w:rsidRPr="00756773">
        <w:rPr>
          <w:sz w:val="22"/>
          <w:szCs w:val="22"/>
        </w:rPr>
        <w:t>V</w:t>
      </w:r>
      <w:r w:rsidRPr="00756773">
        <w:rPr>
          <w:sz w:val="22"/>
          <w:szCs w:val="22"/>
        </w:rPr>
        <w:t>) nátrium-klorid vagy 5%-os (m/</w:t>
      </w:r>
      <w:r w:rsidR="008D63C8" w:rsidRPr="00756773">
        <w:rPr>
          <w:sz w:val="22"/>
          <w:szCs w:val="22"/>
        </w:rPr>
        <w:t>V</w:t>
      </w:r>
      <w:r w:rsidRPr="00756773">
        <w:rPr>
          <w:sz w:val="22"/>
          <w:szCs w:val="22"/>
        </w:rPr>
        <w:t>) glükóz</w:t>
      </w:r>
      <w:r w:rsidR="00C00E99" w:rsidRPr="00756773">
        <w:rPr>
          <w:sz w:val="22"/>
          <w:szCs w:val="22"/>
        </w:rPr>
        <w:t>]</w:t>
      </w:r>
      <w:r w:rsidRPr="00756773">
        <w:rPr>
          <w:sz w:val="22"/>
          <w:szCs w:val="22"/>
        </w:rPr>
        <w:t xml:space="preserve"> oldattal.</w:t>
      </w:r>
    </w:p>
    <w:p w14:paraId="6AB5B509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0C5B9275" w14:textId="5809FFF3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 xml:space="preserve">A Zoledronsav </w:t>
      </w:r>
      <w:r w:rsidR="0043693C" w:rsidRPr="00756773">
        <w:rPr>
          <w:sz w:val="22"/>
          <w:szCs w:val="22"/>
        </w:rPr>
        <w:t>Onkogen</w:t>
      </w:r>
      <w:r w:rsidRPr="00756773">
        <w:rPr>
          <w:sz w:val="22"/>
          <w:szCs w:val="22"/>
        </w:rPr>
        <w:t xml:space="preserve"> kezelésével kapcsolatos további információk, köztük a csökkentett </w:t>
      </w:r>
      <w:r w:rsidR="0080087C" w:rsidRPr="00756773">
        <w:rPr>
          <w:sz w:val="22"/>
          <w:szCs w:val="22"/>
        </w:rPr>
        <w:t xml:space="preserve">dózisok </w:t>
      </w:r>
      <w:r w:rsidRPr="00756773">
        <w:rPr>
          <w:sz w:val="22"/>
          <w:szCs w:val="22"/>
        </w:rPr>
        <w:t>elkészítésére vonatkozó útmutatás a 4.2</w:t>
      </w:r>
      <w:r w:rsidR="00B21DFC" w:rsidRPr="00756773">
        <w:rPr>
          <w:sz w:val="22"/>
          <w:szCs w:val="22"/>
        </w:rPr>
        <w:t> </w:t>
      </w:r>
      <w:r w:rsidRPr="00756773">
        <w:rPr>
          <w:sz w:val="22"/>
          <w:szCs w:val="22"/>
        </w:rPr>
        <w:t>pontban található.</w:t>
      </w:r>
    </w:p>
    <w:p w14:paraId="300E4DA0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2FC4B2AA" w14:textId="77777777" w:rsidR="001F0677" w:rsidRPr="00756773" w:rsidRDefault="001F0677" w:rsidP="00361327">
      <w:pPr>
        <w:pStyle w:val="Idzet"/>
        <w:widowControl w:val="0"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>Az infúzió elkészítés</w:t>
      </w:r>
      <w:r w:rsidR="00FD631A" w:rsidRPr="00756773">
        <w:rPr>
          <w:szCs w:val="22"/>
          <w:lang w:val="hu-HU"/>
        </w:rPr>
        <w:t xml:space="preserve">ének </w:t>
      </w:r>
      <w:r w:rsidRPr="00756773">
        <w:rPr>
          <w:szCs w:val="22"/>
          <w:lang w:val="hu-HU"/>
        </w:rPr>
        <w:t>aszeptikus mód</w:t>
      </w:r>
      <w:r w:rsidR="00275B95" w:rsidRPr="00756773">
        <w:rPr>
          <w:szCs w:val="22"/>
          <w:lang w:val="hu-HU"/>
        </w:rPr>
        <w:t>on</w:t>
      </w:r>
      <w:r w:rsidRPr="00756773">
        <w:rPr>
          <w:szCs w:val="22"/>
          <w:lang w:val="hu-HU"/>
        </w:rPr>
        <w:t xml:space="preserve"> kell </w:t>
      </w:r>
      <w:r w:rsidR="00275B95" w:rsidRPr="00756773">
        <w:rPr>
          <w:szCs w:val="22"/>
          <w:lang w:val="hu-HU"/>
        </w:rPr>
        <w:t>történnie</w:t>
      </w:r>
      <w:r w:rsidR="00516DB3" w:rsidRPr="00756773">
        <w:rPr>
          <w:szCs w:val="22"/>
          <w:lang w:val="hu-HU"/>
        </w:rPr>
        <w:t>.</w:t>
      </w:r>
      <w:r w:rsidRPr="00756773">
        <w:rPr>
          <w:szCs w:val="22"/>
          <w:lang w:val="hu-HU"/>
        </w:rPr>
        <w:t xml:space="preserve"> Kizárólag egyszeri alkalmazásra. </w:t>
      </w:r>
    </w:p>
    <w:p w14:paraId="6CD904BC" w14:textId="77777777" w:rsidR="006A1DB1" w:rsidRPr="00756773" w:rsidRDefault="006A1DB1" w:rsidP="00361327">
      <w:pPr>
        <w:pStyle w:val="Default"/>
        <w:widowControl w:val="0"/>
        <w:rPr>
          <w:sz w:val="22"/>
          <w:szCs w:val="22"/>
        </w:rPr>
      </w:pPr>
    </w:p>
    <w:p w14:paraId="2806FECC" w14:textId="52785170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>Kizárólag tiszta, részecskéktől és elszíneződéstől mentes oldatot szabad alkalmazni.</w:t>
      </w:r>
    </w:p>
    <w:p w14:paraId="2F69A630" w14:textId="77777777" w:rsidR="001F0677" w:rsidRPr="00756773" w:rsidRDefault="001F0677" w:rsidP="00361327">
      <w:pPr>
        <w:pStyle w:val="Default"/>
        <w:widowControl w:val="0"/>
        <w:rPr>
          <w:sz w:val="22"/>
          <w:szCs w:val="22"/>
        </w:rPr>
      </w:pPr>
    </w:p>
    <w:p w14:paraId="03193D42" w14:textId="2D06F6B3" w:rsidR="00A03FA5" w:rsidRPr="00756773" w:rsidRDefault="00A03FA5" w:rsidP="00361327">
      <w:pPr>
        <w:widowControl w:val="0"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A Zoledronsav </w:t>
      </w:r>
      <w:r w:rsidR="0043693C" w:rsidRPr="00756773">
        <w:rPr>
          <w:szCs w:val="22"/>
          <w:lang w:val="hu-HU"/>
        </w:rPr>
        <w:t>Onkogen</w:t>
      </w:r>
      <w:r w:rsidRPr="00756773">
        <w:rPr>
          <w:szCs w:val="22"/>
          <w:lang w:val="hu-HU"/>
        </w:rPr>
        <w:t>-t a szennyvízelvezető rendszeren keresztül nem ajánlott megsemmisíteni.</w:t>
      </w:r>
    </w:p>
    <w:p w14:paraId="7F32F728" w14:textId="77777777" w:rsidR="00D02968" w:rsidRPr="00756773" w:rsidRDefault="00D02968" w:rsidP="00361327">
      <w:pPr>
        <w:widowControl w:val="0"/>
        <w:spacing w:line="240" w:lineRule="auto"/>
        <w:rPr>
          <w:szCs w:val="22"/>
          <w:lang w:val="hu-HU"/>
        </w:rPr>
      </w:pPr>
    </w:p>
    <w:p w14:paraId="7A4FBAD4" w14:textId="0910DA45" w:rsidR="001F0677" w:rsidRPr="00756773" w:rsidRDefault="001F0677" w:rsidP="00361327">
      <w:pPr>
        <w:widowControl w:val="0"/>
        <w:spacing w:line="240" w:lineRule="auto"/>
        <w:outlineLvl w:val="0"/>
        <w:rPr>
          <w:b/>
          <w:szCs w:val="22"/>
          <w:lang w:val="hu-HU"/>
        </w:rPr>
      </w:pPr>
      <w:r w:rsidRPr="00756773">
        <w:rPr>
          <w:szCs w:val="22"/>
          <w:lang w:val="hu-HU"/>
        </w:rPr>
        <w:t xml:space="preserve">Bármilyen fel nem használt készítmény, illetve hulladékanyag megsemmisítését a </w:t>
      </w:r>
      <w:r w:rsidR="008D63C8" w:rsidRPr="00756773">
        <w:rPr>
          <w:szCs w:val="22"/>
          <w:lang w:val="hu-HU"/>
        </w:rPr>
        <w:t xml:space="preserve">gyógyszerekre vonatkozó </w:t>
      </w:r>
      <w:r w:rsidRPr="00756773">
        <w:rPr>
          <w:szCs w:val="22"/>
          <w:lang w:val="hu-HU"/>
        </w:rPr>
        <w:t>előírások szerint kell végrehajtani.</w:t>
      </w:r>
    </w:p>
    <w:p w14:paraId="5FBF5D83" w14:textId="77777777" w:rsidR="001F0677" w:rsidRPr="00756773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B735D28" w14:textId="77777777" w:rsidR="00E7097F" w:rsidRPr="00756773" w:rsidRDefault="00E7097F" w:rsidP="00361327">
      <w:pPr>
        <w:widowControl w:val="0"/>
        <w:spacing w:line="240" w:lineRule="auto"/>
        <w:rPr>
          <w:szCs w:val="22"/>
          <w:lang w:val="hu-HU"/>
        </w:rPr>
      </w:pPr>
      <w:r w:rsidRPr="00756773">
        <w:rPr>
          <w:b/>
          <w:bCs/>
          <w:szCs w:val="22"/>
          <w:lang w:val="hu-HU"/>
        </w:rPr>
        <w:t>Megjegyzés</w:t>
      </w:r>
      <w:r w:rsidRPr="00756773">
        <w:rPr>
          <w:szCs w:val="22"/>
          <w:lang w:val="hu-HU"/>
        </w:rPr>
        <w:t xml:space="preserve">: </w:t>
      </w:r>
      <w:r w:rsidRPr="00361327">
        <w:rPr>
          <w:szCs w:val="22"/>
          <w:lang w:val="hu-HU"/>
        </w:rPr>
        <w:sym w:font="Wingdings" w:char="F058"/>
      </w:r>
      <w:r w:rsidRPr="00756773">
        <w:rPr>
          <w:bCs/>
          <w:szCs w:val="22"/>
          <w:lang w:val="hu-HU"/>
        </w:rPr>
        <w:t xml:space="preserve"> (egy kereszt)</w:t>
      </w:r>
    </w:p>
    <w:p w14:paraId="23C996F5" w14:textId="77777777" w:rsidR="00E7097F" w:rsidRPr="00756773" w:rsidRDefault="00E7097F" w:rsidP="00361327">
      <w:pPr>
        <w:widowControl w:val="0"/>
        <w:spacing w:line="240" w:lineRule="auto"/>
        <w:rPr>
          <w:szCs w:val="22"/>
          <w:lang w:val="hu-HU"/>
        </w:rPr>
      </w:pPr>
      <w:r w:rsidRPr="00756773">
        <w:rPr>
          <w:szCs w:val="22"/>
          <w:lang w:val="hu-HU"/>
        </w:rPr>
        <w:t xml:space="preserve">Osztályozás: </w:t>
      </w:r>
      <w:r w:rsidRPr="00756773">
        <w:rPr>
          <w:b/>
          <w:bCs/>
          <w:szCs w:val="22"/>
          <w:lang w:val="hu-HU"/>
        </w:rPr>
        <w:t>II./2 csoport</w:t>
      </w:r>
    </w:p>
    <w:p w14:paraId="07B0FD2A" w14:textId="77777777" w:rsidR="00E7097F" w:rsidRPr="00756773" w:rsidRDefault="00E7097F" w:rsidP="00361327">
      <w:pPr>
        <w:widowControl w:val="0"/>
        <w:spacing w:line="240" w:lineRule="auto"/>
        <w:rPr>
          <w:bCs/>
          <w:szCs w:val="22"/>
          <w:lang w:val="hu-HU"/>
        </w:rPr>
      </w:pPr>
      <w:r w:rsidRPr="00756773">
        <w:rPr>
          <w:szCs w:val="22"/>
          <w:lang w:val="hu-HU"/>
        </w:rPr>
        <w:t>Korlátozott érvényű orvosi rendelvényhez kötött, szakorvosi, kórházi diagnózist követően folyamatos szakorvosi ellenőrzés mellett alkalmazható gyógyszer (Sz).</w:t>
      </w:r>
    </w:p>
    <w:p w14:paraId="2BECE4AA" w14:textId="77777777" w:rsidR="00E7097F" w:rsidRPr="00756773" w:rsidRDefault="00E7097F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A0D0E46" w14:textId="77777777" w:rsidR="001F0677" w:rsidRPr="00756773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1E955F8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7.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0F93C9F6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3B7A50E" w14:textId="4B459D0C" w:rsidR="001F0677" w:rsidRPr="00361327" w:rsidRDefault="0043693C" w:rsidP="00361327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361327">
        <w:rPr>
          <w:szCs w:val="22"/>
          <w:lang w:val="hu-HU"/>
        </w:rPr>
        <w:t>Onkogen</w:t>
      </w:r>
      <w:r w:rsidR="001F0677" w:rsidRPr="00361327">
        <w:rPr>
          <w:szCs w:val="22"/>
          <w:lang w:val="hu-HU"/>
        </w:rPr>
        <w:t xml:space="preserve"> Kft.</w:t>
      </w:r>
    </w:p>
    <w:p w14:paraId="0B393203" w14:textId="77777777" w:rsidR="00D02968" w:rsidRPr="00361327" w:rsidRDefault="0089451B" w:rsidP="00361327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361327">
        <w:rPr>
          <w:szCs w:val="22"/>
          <w:lang w:val="hu-HU"/>
        </w:rPr>
        <w:t>1037</w:t>
      </w:r>
      <w:r w:rsidR="00FC269A" w:rsidRPr="00361327">
        <w:rPr>
          <w:szCs w:val="22"/>
          <w:lang w:val="hu-HU"/>
        </w:rPr>
        <w:t xml:space="preserve"> </w:t>
      </w:r>
      <w:r w:rsidR="001F0677" w:rsidRPr="00361327">
        <w:rPr>
          <w:szCs w:val="22"/>
          <w:lang w:val="hu-HU"/>
        </w:rPr>
        <w:t xml:space="preserve">Budapest, </w:t>
      </w:r>
    </w:p>
    <w:p w14:paraId="2743D6E4" w14:textId="6140BA55" w:rsidR="001F0677" w:rsidRPr="00361327" w:rsidRDefault="0089451B" w:rsidP="00361327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361327">
        <w:rPr>
          <w:szCs w:val="22"/>
          <w:lang w:val="hu-HU"/>
        </w:rPr>
        <w:t>Bécsi út 77-79.</w:t>
      </w:r>
    </w:p>
    <w:p w14:paraId="2E927451" w14:textId="698BCC51" w:rsidR="00AE17D4" w:rsidRPr="00361327" w:rsidRDefault="00AE17D4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F0A5405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A463BDA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8.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6372F395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7381CFB" w14:textId="760AC188" w:rsidR="001F0677" w:rsidRDefault="009240E5" w:rsidP="009240E5">
      <w:pPr>
        <w:widowControl w:val="0"/>
        <w:tabs>
          <w:tab w:val="left" w:pos="2410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9240E5">
        <w:rPr>
          <w:szCs w:val="22"/>
          <w:lang w:val="hu-HU"/>
        </w:rPr>
        <w:t>OGYI-T-24168/01</w:t>
      </w:r>
      <w:r>
        <w:rPr>
          <w:szCs w:val="22"/>
          <w:lang w:val="hu-HU"/>
        </w:rPr>
        <w:tab/>
        <w:t>1×5ml</w:t>
      </w:r>
      <w:r>
        <w:rPr>
          <w:szCs w:val="22"/>
          <w:lang w:val="hu-HU"/>
        </w:rPr>
        <w:tab/>
      </w:r>
      <w:r w:rsidRPr="009240E5">
        <w:rPr>
          <w:szCs w:val="22"/>
          <w:lang w:val="hu-HU"/>
        </w:rPr>
        <w:t>injekciós tartály</w:t>
      </w:r>
    </w:p>
    <w:p w14:paraId="68D15726" w14:textId="77777777" w:rsidR="009240E5" w:rsidRPr="00361327" w:rsidRDefault="009240E5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EBCABA4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7117FFB" w14:textId="77777777" w:rsidR="001F0677" w:rsidRPr="0036132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9.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361327">
        <w:rPr>
          <w:b/>
          <w:szCs w:val="22"/>
          <w:lang w:val="hu-HU"/>
        </w:rPr>
        <w:t xml:space="preserve"> DÁTUMA</w:t>
      </w:r>
    </w:p>
    <w:p w14:paraId="35678C03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0732209" w14:textId="2227135A" w:rsidR="00686840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1327">
        <w:rPr>
          <w:rFonts w:eastAsia="Times New Roman"/>
          <w:snapToGrid/>
          <w:szCs w:val="22"/>
          <w:lang w:val="hu-HU" w:eastAsia="en-US"/>
        </w:rPr>
        <w:t>A forgalomba hozatali engedély első kiadásának dátuma:</w:t>
      </w:r>
      <w:r w:rsidR="000E6A98" w:rsidRPr="00756773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="009240E5">
        <w:rPr>
          <w:rFonts w:eastAsia="Times New Roman"/>
          <w:snapToGrid/>
          <w:color w:val="000000"/>
          <w:szCs w:val="22"/>
          <w:lang w:val="hu-HU" w:eastAsia="hu-HU"/>
        </w:rPr>
        <w:t>2022. december 13.</w:t>
      </w:r>
    </w:p>
    <w:p w14:paraId="3BED9008" w14:textId="77777777" w:rsidR="001F0677" w:rsidRPr="00361327" w:rsidRDefault="001F0677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BB57CD" w14:textId="77777777" w:rsidR="008B72D4" w:rsidRPr="00361327" w:rsidRDefault="008B72D4" w:rsidP="0036132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242598" w14:textId="77777777" w:rsidR="001F0677" w:rsidRPr="00756773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1327">
        <w:rPr>
          <w:rFonts w:eastAsia="Times New Roman"/>
          <w:b/>
          <w:snapToGrid/>
          <w:szCs w:val="22"/>
          <w:lang w:val="hu-HU" w:eastAsia="en-US"/>
        </w:rPr>
        <w:t>10.</w:t>
      </w:r>
      <w:r w:rsidRPr="00361327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36C3150E" w14:textId="3EF0EE52" w:rsidR="001F0677" w:rsidRDefault="001F0677" w:rsidP="00361327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BF389D2" w14:textId="258AE073" w:rsidR="009240E5" w:rsidRPr="009240E5" w:rsidRDefault="009240E5" w:rsidP="00361327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9240E5">
        <w:rPr>
          <w:szCs w:val="22"/>
          <w:lang w:val="hu-HU"/>
        </w:rPr>
        <w:t>2022. december 13.</w:t>
      </w:r>
      <w:bookmarkStart w:id="0" w:name="_GoBack"/>
      <w:bookmarkEnd w:id="0"/>
    </w:p>
    <w:sectPr w:rsidR="009240E5" w:rsidRPr="009240E5" w:rsidSect="002C511F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8422E" w16cex:dateUtc="2022-12-05T09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1687A9" w16cid:durableId="2738422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5B68A" w14:textId="77777777" w:rsidR="00610B14" w:rsidRDefault="00610B14">
      <w:r>
        <w:separator/>
      </w:r>
    </w:p>
  </w:endnote>
  <w:endnote w:type="continuationSeparator" w:id="0">
    <w:p w14:paraId="3580E88B" w14:textId="77777777" w:rsidR="00610B14" w:rsidRDefault="00610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A466C" w14:textId="1F00BC5E" w:rsidR="002B20A0" w:rsidRPr="009C1533" w:rsidRDefault="002B20A0">
    <w:pPr>
      <w:pStyle w:val="llb"/>
      <w:rPr>
        <w:sz w:val="18"/>
      </w:rPr>
    </w:pPr>
    <w:r w:rsidRPr="009C1533">
      <w:rPr>
        <w:sz w:val="18"/>
      </w:rPr>
      <w:t>OGYÉI/40020/2021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16CFF" w14:textId="77777777" w:rsidR="00610B14" w:rsidRDefault="00610B14">
      <w:r>
        <w:separator/>
      </w:r>
    </w:p>
  </w:footnote>
  <w:footnote w:type="continuationSeparator" w:id="0">
    <w:p w14:paraId="6E74D830" w14:textId="77777777" w:rsidR="00610B14" w:rsidRDefault="00610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C3728" w14:textId="77777777" w:rsidR="002B20A0" w:rsidRDefault="002B20A0" w:rsidP="001F0677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ECDB63" w14:textId="77777777" w:rsidR="002B20A0" w:rsidRDefault="002B20A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826673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0221A27" w14:textId="029DC91A" w:rsidR="002B20A0" w:rsidRPr="00361327" w:rsidRDefault="002B20A0" w:rsidP="00361327">
        <w:pPr>
          <w:pStyle w:val="lfej"/>
          <w:jc w:val="center"/>
          <w:rPr>
            <w:sz w:val="18"/>
            <w:szCs w:val="18"/>
          </w:rPr>
        </w:pPr>
        <w:r w:rsidRPr="00361327">
          <w:rPr>
            <w:sz w:val="18"/>
            <w:szCs w:val="18"/>
          </w:rPr>
          <w:fldChar w:fldCharType="begin"/>
        </w:r>
        <w:r w:rsidRPr="00361327">
          <w:rPr>
            <w:sz w:val="18"/>
            <w:szCs w:val="18"/>
          </w:rPr>
          <w:instrText>PAGE   \* MERGEFORMAT</w:instrText>
        </w:r>
        <w:r w:rsidRPr="00361327">
          <w:rPr>
            <w:sz w:val="18"/>
            <w:szCs w:val="18"/>
          </w:rPr>
          <w:fldChar w:fldCharType="separate"/>
        </w:r>
        <w:r w:rsidR="009240E5" w:rsidRPr="009240E5">
          <w:rPr>
            <w:noProof/>
            <w:sz w:val="18"/>
            <w:szCs w:val="18"/>
            <w:lang w:val="hu-HU"/>
          </w:rPr>
          <w:t>18</w:t>
        </w:r>
        <w:r w:rsidRPr="0036132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21DE4"/>
    <w:multiLevelType w:val="hybridMultilevel"/>
    <w:tmpl w:val="B33A5E8A"/>
    <w:lvl w:ilvl="0" w:tplc="0064638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4C1ACA"/>
    <w:multiLevelType w:val="hybridMultilevel"/>
    <w:tmpl w:val="BE9CF89A"/>
    <w:lvl w:ilvl="0" w:tplc="0064638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DB5E83"/>
    <w:multiLevelType w:val="hybridMultilevel"/>
    <w:tmpl w:val="1ED67A36"/>
    <w:lvl w:ilvl="0" w:tplc="52A888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D7DDD"/>
    <w:multiLevelType w:val="hybridMultilevel"/>
    <w:tmpl w:val="A7AE5988"/>
    <w:lvl w:ilvl="0" w:tplc="52A888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65318"/>
    <w:multiLevelType w:val="hybridMultilevel"/>
    <w:tmpl w:val="08F0390E"/>
    <w:lvl w:ilvl="0" w:tplc="0064638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677"/>
    <w:rsid w:val="00002C5C"/>
    <w:rsid w:val="00003AFB"/>
    <w:rsid w:val="000124EC"/>
    <w:rsid w:val="000215E6"/>
    <w:rsid w:val="000217C4"/>
    <w:rsid w:val="000248BC"/>
    <w:rsid w:val="00031406"/>
    <w:rsid w:val="00037343"/>
    <w:rsid w:val="0004660A"/>
    <w:rsid w:val="0005478B"/>
    <w:rsid w:val="00062DF9"/>
    <w:rsid w:val="000655C8"/>
    <w:rsid w:val="00065E4B"/>
    <w:rsid w:val="00072F3F"/>
    <w:rsid w:val="00077704"/>
    <w:rsid w:val="00080B88"/>
    <w:rsid w:val="000826DC"/>
    <w:rsid w:val="000924AB"/>
    <w:rsid w:val="000A7A73"/>
    <w:rsid w:val="000B4C9F"/>
    <w:rsid w:val="000B585B"/>
    <w:rsid w:val="000B6D56"/>
    <w:rsid w:val="000C5C75"/>
    <w:rsid w:val="000D7EBF"/>
    <w:rsid w:val="000E1139"/>
    <w:rsid w:val="000E6A98"/>
    <w:rsid w:val="000E79A6"/>
    <w:rsid w:val="000F38A9"/>
    <w:rsid w:val="00102893"/>
    <w:rsid w:val="001148DC"/>
    <w:rsid w:val="001164D8"/>
    <w:rsid w:val="0011668C"/>
    <w:rsid w:val="001220F2"/>
    <w:rsid w:val="00141004"/>
    <w:rsid w:val="00147695"/>
    <w:rsid w:val="00152DDA"/>
    <w:rsid w:val="00177C36"/>
    <w:rsid w:val="00181F58"/>
    <w:rsid w:val="00190B5E"/>
    <w:rsid w:val="001921C2"/>
    <w:rsid w:val="00192F00"/>
    <w:rsid w:val="00197422"/>
    <w:rsid w:val="00197D9D"/>
    <w:rsid w:val="001B1D8E"/>
    <w:rsid w:val="001C675C"/>
    <w:rsid w:val="001D6681"/>
    <w:rsid w:val="001E1DCD"/>
    <w:rsid w:val="001E3AAE"/>
    <w:rsid w:val="001F0677"/>
    <w:rsid w:val="001F3483"/>
    <w:rsid w:val="00201CE9"/>
    <w:rsid w:val="00205C49"/>
    <w:rsid w:val="00213A0E"/>
    <w:rsid w:val="0022093F"/>
    <w:rsid w:val="00221263"/>
    <w:rsid w:val="00225956"/>
    <w:rsid w:val="00232348"/>
    <w:rsid w:val="002353F4"/>
    <w:rsid w:val="00270AAD"/>
    <w:rsid w:val="002723B9"/>
    <w:rsid w:val="00275B95"/>
    <w:rsid w:val="00290906"/>
    <w:rsid w:val="002926B1"/>
    <w:rsid w:val="002A1E84"/>
    <w:rsid w:val="002A4FEE"/>
    <w:rsid w:val="002B20A0"/>
    <w:rsid w:val="002B2E35"/>
    <w:rsid w:val="002B7994"/>
    <w:rsid w:val="002C17F9"/>
    <w:rsid w:val="002C511F"/>
    <w:rsid w:val="002C6707"/>
    <w:rsid w:val="002D2055"/>
    <w:rsid w:val="002D4349"/>
    <w:rsid w:val="002D4B92"/>
    <w:rsid w:val="002E1F0B"/>
    <w:rsid w:val="00304054"/>
    <w:rsid w:val="00304318"/>
    <w:rsid w:val="0033085F"/>
    <w:rsid w:val="00335726"/>
    <w:rsid w:val="00342228"/>
    <w:rsid w:val="0035170E"/>
    <w:rsid w:val="00361327"/>
    <w:rsid w:val="003663EF"/>
    <w:rsid w:val="00367273"/>
    <w:rsid w:val="0036792C"/>
    <w:rsid w:val="003820F2"/>
    <w:rsid w:val="00386B13"/>
    <w:rsid w:val="003871D6"/>
    <w:rsid w:val="003878EE"/>
    <w:rsid w:val="00390968"/>
    <w:rsid w:val="00393BB3"/>
    <w:rsid w:val="003A7D5D"/>
    <w:rsid w:val="003B439C"/>
    <w:rsid w:val="003B65BD"/>
    <w:rsid w:val="003C1D84"/>
    <w:rsid w:val="003D012D"/>
    <w:rsid w:val="003D2056"/>
    <w:rsid w:val="003D6DAC"/>
    <w:rsid w:val="003F564E"/>
    <w:rsid w:val="003F60E3"/>
    <w:rsid w:val="00401111"/>
    <w:rsid w:val="004208BF"/>
    <w:rsid w:val="00423389"/>
    <w:rsid w:val="004262F6"/>
    <w:rsid w:val="00431F22"/>
    <w:rsid w:val="00432339"/>
    <w:rsid w:val="0043476B"/>
    <w:rsid w:val="00434F7A"/>
    <w:rsid w:val="0043693C"/>
    <w:rsid w:val="004500B8"/>
    <w:rsid w:val="00450E3E"/>
    <w:rsid w:val="00450FF4"/>
    <w:rsid w:val="00454519"/>
    <w:rsid w:val="00454823"/>
    <w:rsid w:val="00454C71"/>
    <w:rsid w:val="00460908"/>
    <w:rsid w:val="00462930"/>
    <w:rsid w:val="0046704E"/>
    <w:rsid w:val="00473695"/>
    <w:rsid w:val="00484F72"/>
    <w:rsid w:val="004A515C"/>
    <w:rsid w:val="004B4100"/>
    <w:rsid w:val="004B4C0B"/>
    <w:rsid w:val="004B70C5"/>
    <w:rsid w:val="004D34B8"/>
    <w:rsid w:val="004E5740"/>
    <w:rsid w:val="00501247"/>
    <w:rsid w:val="00504AD6"/>
    <w:rsid w:val="0051277A"/>
    <w:rsid w:val="00516DB3"/>
    <w:rsid w:val="00520DBA"/>
    <w:rsid w:val="00522EB3"/>
    <w:rsid w:val="0052370B"/>
    <w:rsid w:val="00527F9B"/>
    <w:rsid w:val="00535C88"/>
    <w:rsid w:val="00542F4B"/>
    <w:rsid w:val="00554BC7"/>
    <w:rsid w:val="0056189F"/>
    <w:rsid w:val="00562D59"/>
    <w:rsid w:val="005662E2"/>
    <w:rsid w:val="00576342"/>
    <w:rsid w:val="005900BA"/>
    <w:rsid w:val="00591099"/>
    <w:rsid w:val="00591F83"/>
    <w:rsid w:val="005B02E9"/>
    <w:rsid w:val="005B4462"/>
    <w:rsid w:val="005C1CC7"/>
    <w:rsid w:val="005D4297"/>
    <w:rsid w:val="005D73D6"/>
    <w:rsid w:val="005F5CB9"/>
    <w:rsid w:val="00610B14"/>
    <w:rsid w:val="00612785"/>
    <w:rsid w:val="00615F7C"/>
    <w:rsid w:val="0062371D"/>
    <w:rsid w:val="00647883"/>
    <w:rsid w:val="00651825"/>
    <w:rsid w:val="00670647"/>
    <w:rsid w:val="00670FFE"/>
    <w:rsid w:val="00671692"/>
    <w:rsid w:val="00671C4A"/>
    <w:rsid w:val="0067271D"/>
    <w:rsid w:val="00673514"/>
    <w:rsid w:val="0067449C"/>
    <w:rsid w:val="00686840"/>
    <w:rsid w:val="006868DC"/>
    <w:rsid w:val="00691E37"/>
    <w:rsid w:val="00697AC5"/>
    <w:rsid w:val="006A1DB1"/>
    <w:rsid w:val="006A6AED"/>
    <w:rsid w:val="006B1E97"/>
    <w:rsid w:val="006B48E9"/>
    <w:rsid w:val="006D3E28"/>
    <w:rsid w:val="006D4170"/>
    <w:rsid w:val="006F0F75"/>
    <w:rsid w:val="006F6757"/>
    <w:rsid w:val="00707AB7"/>
    <w:rsid w:val="007142D4"/>
    <w:rsid w:val="007154E0"/>
    <w:rsid w:val="00715E2E"/>
    <w:rsid w:val="007230F7"/>
    <w:rsid w:val="0072647D"/>
    <w:rsid w:val="007269F3"/>
    <w:rsid w:val="00741074"/>
    <w:rsid w:val="007524AE"/>
    <w:rsid w:val="00752F9C"/>
    <w:rsid w:val="00756773"/>
    <w:rsid w:val="00761907"/>
    <w:rsid w:val="00765165"/>
    <w:rsid w:val="00767F97"/>
    <w:rsid w:val="00797939"/>
    <w:rsid w:val="007A50EB"/>
    <w:rsid w:val="007A5D97"/>
    <w:rsid w:val="007D5952"/>
    <w:rsid w:val="007D6854"/>
    <w:rsid w:val="007E4A4C"/>
    <w:rsid w:val="007E50CE"/>
    <w:rsid w:val="007F0D15"/>
    <w:rsid w:val="007F1BE4"/>
    <w:rsid w:val="007F7AA8"/>
    <w:rsid w:val="007F7FD8"/>
    <w:rsid w:val="0080087C"/>
    <w:rsid w:val="008019E1"/>
    <w:rsid w:val="00803377"/>
    <w:rsid w:val="00803A81"/>
    <w:rsid w:val="00804391"/>
    <w:rsid w:val="00811D65"/>
    <w:rsid w:val="00814DA4"/>
    <w:rsid w:val="00824F98"/>
    <w:rsid w:val="00825AB5"/>
    <w:rsid w:val="00831C56"/>
    <w:rsid w:val="00834000"/>
    <w:rsid w:val="00853C3B"/>
    <w:rsid w:val="00853FF2"/>
    <w:rsid w:val="00860C71"/>
    <w:rsid w:val="008625B6"/>
    <w:rsid w:val="00875CB8"/>
    <w:rsid w:val="0088270C"/>
    <w:rsid w:val="0089451B"/>
    <w:rsid w:val="0089688E"/>
    <w:rsid w:val="008A0D7A"/>
    <w:rsid w:val="008A1084"/>
    <w:rsid w:val="008A31C2"/>
    <w:rsid w:val="008B4120"/>
    <w:rsid w:val="008B72D4"/>
    <w:rsid w:val="008C2C77"/>
    <w:rsid w:val="008C3F3C"/>
    <w:rsid w:val="008C4198"/>
    <w:rsid w:val="008C5401"/>
    <w:rsid w:val="008C62BA"/>
    <w:rsid w:val="008D057C"/>
    <w:rsid w:val="008D1D7B"/>
    <w:rsid w:val="008D3696"/>
    <w:rsid w:val="008D63C8"/>
    <w:rsid w:val="008D7225"/>
    <w:rsid w:val="008F5E9C"/>
    <w:rsid w:val="008F7320"/>
    <w:rsid w:val="00900328"/>
    <w:rsid w:val="00902AA2"/>
    <w:rsid w:val="00903A40"/>
    <w:rsid w:val="009240E5"/>
    <w:rsid w:val="00927FD6"/>
    <w:rsid w:val="0093133D"/>
    <w:rsid w:val="00933E67"/>
    <w:rsid w:val="00942EEC"/>
    <w:rsid w:val="00955E1B"/>
    <w:rsid w:val="00971A66"/>
    <w:rsid w:val="00981906"/>
    <w:rsid w:val="00990899"/>
    <w:rsid w:val="00991B67"/>
    <w:rsid w:val="00993E04"/>
    <w:rsid w:val="009A194C"/>
    <w:rsid w:val="009A2EDC"/>
    <w:rsid w:val="009A3F18"/>
    <w:rsid w:val="009C1533"/>
    <w:rsid w:val="009E4A33"/>
    <w:rsid w:val="009E63AB"/>
    <w:rsid w:val="009E6667"/>
    <w:rsid w:val="009F0C91"/>
    <w:rsid w:val="009F43A1"/>
    <w:rsid w:val="009F5AD9"/>
    <w:rsid w:val="00A03FA5"/>
    <w:rsid w:val="00A11C2D"/>
    <w:rsid w:val="00A205BC"/>
    <w:rsid w:val="00A22753"/>
    <w:rsid w:val="00A26B21"/>
    <w:rsid w:val="00A377D6"/>
    <w:rsid w:val="00A461C7"/>
    <w:rsid w:val="00A511E4"/>
    <w:rsid w:val="00A52C06"/>
    <w:rsid w:val="00A544F1"/>
    <w:rsid w:val="00A57EBA"/>
    <w:rsid w:val="00A702C8"/>
    <w:rsid w:val="00A72339"/>
    <w:rsid w:val="00A73708"/>
    <w:rsid w:val="00A8296A"/>
    <w:rsid w:val="00A86BD9"/>
    <w:rsid w:val="00A932B2"/>
    <w:rsid w:val="00A94F38"/>
    <w:rsid w:val="00A94F99"/>
    <w:rsid w:val="00A97F21"/>
    <w:rsid w:val="00AA3AD3"/>
    <w:rsid w:val="00AC074E"/>
    <w:rsid w:val="00AC162B"/>
    <w:rsid w:val="00AD24AE"/>
    <w:rsid w:val="00AD7FB2"/>
    <w:rsid w:val="00AE1374"/>
    <w:rsid w:val="00AE17D4"/>
    <w:rsid w:val="00AE5CFE"/>
    <w:rsid w:val="00B01914"/>
    <w:rsid w:val="00B02F9D"/>
    <w:rsid w:val="00B03B75"/>
    <w:rsid w:val="00B0774F"/>
    <w:rsid w:val="00B14D01"/>
    <w:rsid w:val="00B21DFC"/>
    <w:rsid w:val="00B437C0"/>
    <w:rsid w:val="00B47CC5"/>
    <w:rsid w:val="00B502AD"/>
    <w:rsid w:val="00B53547"/>
    <w:rsid w:val="00B55A9D"/>
    <w:rsid w:val="00B60D5C"/>
    <w:rsid w:val="00B737CC"/>
    <w:rsid w:val="00B820BC"/>
    <w:rsid w:val="00B83951"/>
    <w:rsid w:val="00B96F28"/>
    <w:rsid w:val="00BA2768"/>
    <w:rsid w:val="00BA4664"/>
    <w:rsid w:val="00BB4740"/>
    <w:rsid w:val="00BC0EBD"/>
    <w:rsid w:val="00BC2F1A"/>
    <w:rsid w:val="00BC367F"/>
    <w:rsid w:val="00BC51B9"/>
    <w:rsid w:val="00BD04D3"/>
    <w:rsid w:val="00BD4102"/>
    <w:rsid w:val="00BD698A"/>
    <w:rsid w:val="00BE668B"/>
    <w:rsid w:val="00C00292"/>
    <w:rsid w:val="00C004BC"/>
    <w:rsid w:val="00C00E99"/>
    <w:rsid w:val="00C076EB"/>
    <w:rsid w:val="00C079AC"/>
    <w:rsid w:val="00C103A8"/>
    <w:rsid w:val="00C32262"/>
    <w:rsid w:val="00C323FE"/>
    <w:rsid w:val="00C343A4"/>
    <w:rsid w:val="00C45F6A"/>
    <w:rsid w:val="00C54535"/>
    <w:rsid w:val="00C76830"/>
    <w:rsid w:val="00C776A2"/>
    <w:rsid w:val="00C80563"/>
    <w:rsid w:val="00C9045E"/>
    <w:rsid w:val="00CA1BA2"/>
    <w:rsid w:val="00CA63FC"/>
    <w:rsid w:val="00CA6427"/>
    <w:rsid w:val="00CA7A44"/>
    <w:rsid w:val="00CA7DF6"/>
    <w:rsid w:val="00CB1696"/>
    <w:rsid w:val="00CB1B8F"/>
    <w:rsid w:val="00CB33A7"/>
    <w:rsid w:val="00CB3CC0"/>
    <w:rsid w:val="00CB3D3F"/>
    <w:rsid w:val="00CB5E9A"/>
    <w:rsid w:val="00CD484E"/>
    <w:rsid w:val="00CD5965"/>
    <w:rsid w:val="00CD7880"/>
    <w:rsid w:val="00CE0101"/>
    <w:rsid w:val="00CE0AAF"/>
    <w:rsid w:val="00CE1C20"/>
    <w:rsid w:val="00CF593D"/>
    <w:rsid w:val="00D02612"/>
    <w:rsid w:val="00D02968"/>
    <w:rsid w:val="00D05DAB"/>
    <w:rsid w:val="00D308D7"/>
    <w:rsid w:val="00D347DC"/>
    <w:rsid w:val="00D34AA1"/>
    <w:rsid w:val="00D44CA8"/>
    <w:rsid w:val="00D525AE"/>
    <w:rsid w:val="00D545A8"/>
    <w:rsid w:val="00D61F10"/>
    <w:rsid w:val="00D64679"/>
    <w:rsid w:val="00D93EDE"/>
    <w:rsid w:val="00D947E1"/>
    <w:rsid w:val="00D97E21"/>
    <w:rsid w:val="00DA2F32"/>
    <w:rsid w:val="00DA4F30"/>
    <w:rsid w:val="00DA71EC"/>
    <w:rsid w:val="00DB1D94"/>
    <w:rsid w:val="00DB33F1"/>
    <w:rsid w:val="00DC1469"/>
    <w:rsid w:val="00DC4C76"/>
    <w:rsid w:val="00DC604A"/>
    <w:rsid w:val="00DC74F9"/>
    <w:rsid w:val="00DD4BD1"/>
    <w:rsid w:val="00DE16FE"/>
    <w:rsid w:val="00DE55D6"/>
    <w:rsid w:val="00E011B2"/>
    <w:rsid w:val="00E02807"/>
    <w:rsid w:val="00E149AC"/>
    <w:rsid w:val="00E22A72"/>
    <w:rsid w:val="00E2607E"/>
    <w:rsid w:val="00E3612D"/>
    <w:rsid w:val="00E37409"/>
    <w:rsid w:val="00E375A0"/>
    <w:rsid w:val="00E40080"/>
    <w:rsid w:val="00E53C44"/>
    <w:rsid w:val="00E67743"/>
    <w:rsid w:val="00E7097F"/>
    <w:rsid w:val="00E724C0"/>
    <w:rsid w:val="00E74F68"/>
    <w:rsid w:val="00E87F71"/>
    <w:rsid w:val="00E91068"/>
    <w:rsid w:val="00E939D6"/>
    <w:rsid w:val="00EA1309"/>
    <w:rsid w:val="00EA174C"/>
    <w:rsid w:val="00EA3CB8"/>
    <w:rsid w:val="00EB33C7"/>
    <w:rsid w:val="00EC2A19"/>
    <w:rsid w:val="00ED05E2"/>
    <w:rsid w:val="00EF3424"/>
    <w:rsid w:val="00EF4D07"/>
    <w:rsid w:val="00F0434B"/>
    <w:rsid w:val="00F12691"/>
    <w:rsid w:val="00F335CB"/>
    <w:rsid w:val="00F3484E"/>
    <w:rsid w:val="00F52064"/>
    <w:rsid w:val="00F62DA4"/>
    <w:rsid w:val="00F62FB4"/>
    <w:rsid w:val="00F67113"/>
    <w:rsid w:val="00F71D14"/>
    <w:rsid w:val="00F72243"/>
    <w:rsid w:val="00F8113D"/>
    <w:rsid w:val="00F84D1B"/>
    <w:rsid w:val="00F84DD2"/>
    <w:rsid w:val="00F952F6"/>
    <w:rsid w:val="00FA100F"/>
    <w:rsid w:val="00FA3034"/>
    <w:rsid w:val="00FA3B07"/>
    <w:rsid w:val="00FB322F"/>
    <w:rsid w:val="00FB3373"/>
    <w:rsid w:val="00FB4E31"/>
    <w:rsid w:val="00FC269A"/>
    <w:rsid w:val="00FD5F53"/>
    <w:rsid w:val="00FD631A"/>
    <w:rsid w:val="00FE2161"/>
    <w:rsid w:val="00FE2B88"/>
    <w:rsid w:val="00FE2EC3"/>
    <w:rsid w:val="00FF1A4B"/>
    <w:rsid w:val="00FF4ACF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2744C3F"/>
  <w15:chartTrackingRefBased/>
  <w15:docId w15:val="{63B9FCA9-70B6-4497-8829-EA1C3A63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F0677"/>
    <w:pPr>
      <w:tabs>
        <w:tab w:val="left" w:pos="567"/>
      </w:tabs>
      <w:spacing w:line="260" w:lineRule="exact"/>
    </w:pPr>
    <w:rPr>
      <w:rFonts w:eastAsia="SimSun"/>
      <w:snapToGrid w:val="0"/>
      <w:sz w:val="22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EMEAEnBodyText">
    <w:name w:val="EMEA En Body Text"/>
    <w:basedOn w:val="Norml"/>
    <w:rsid w:val="001F0677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paragraph" w:customStyle="1" w:styleId="Default">
    <w:name w:val="Default"/>
    <w:rsid w:val="001F0677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styleId="lfej">
    <w:name w:val="header"/>
    <w:basedOn w:val="Norml"/>
    <w:link w:val="lfejChar"/>
    <w:uiPriority w:val="99"/>
    <w:rsid w:val="001F0677"/>
    <w:pPr>
      <w:tabs>
        <w:tab w:val="clear" w:pos="567"/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F0677"/>
  </w:style>
  <w:style w:type="paragraph" w:styleId="Buborkszveg">
    <w:name w:val="Balloon Text"/>
    <w:basedOn w:val="Norml"/>
    <w:semiHidden/>
    <w:rsid w:val="00BA4664"/>
    <w:rPr>
      <w:rFonts w:ascii="Tahoma" w:hAnsi="Tahoma" w:cs="Tahoma"/>
      <w:sz w:val="16"/>
      <w:szCs w:val="16"/>
    </w:r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rsid w:val="00C004BC"/>
    <w:pPr>
      <w:tabs>
        <w:tab w:val="clear" w:pos="567"/>
        <w:tab w:val="center" w:pos="4536"/>
        <w:tab w:val="right" w:pos="9072"/>
      </w:tabs>
    </w:pPr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sid w:val="00824F98"/>
    <w:rPr>
      <w:rFonts w:eastAsia="SimSun"/>
      <w:snapToGrid w:val="0"/>
      <w:sz w:val="22"/>
      <w:lang w:val="en-GB" w:eastAsia="zh-CN" w:bidi="ar-SA"/>
    </w:rPr>
  </w:style>
  <w:style w:type="paragraph" w:styleId="Idzet">
    <w:name w:val="Quote"/>
    <w:basedOn w:val="Norml"/>
    <w:next w:val="Norml"/>
    <w:link w:val="IdzetChar"/>
    <w:uiPriority w:val="29"/>
    <w:qFormat/>
    <w:rsid w:val="00516DB3"/>
    <w:rPr>
      <w:i/>
      <w:iCs/>
      <w:color w:val="000000"/>
    </w:rPr>
  </w:style>
  <w:style w:type="character" w:customStyle="1" w:styleId="IdzetChar">
    <w:name w:val="Idézet Char"/>
    <w:link w:val="Idzet"/>
    <w:uiPriority w:val="29"/>
    <w:rsid w:val="00516DB3"/>
    <w:rPr>
      <w:rFonts w:eastAsia="SimSun"/>
      <w:i/>
      <w:iCs/>
      <w:snapToGrid w:val="0"/>
      <w:color w:val="000000"/>
      <w:sz w:val="22"/>
      <w:lang w:val="en-GB" w:eastAsia="zh-CN"/>
    </w:rPr>
  </w:style>
  <w:style w:type="paragraph" w:styleId="Vltozat">
    <w:name w:val="Revision"/>
    <w:hidden/>
    <w:uiPriority w:val="99"/>
    <w:semiHidden/>
    <w:rsid w:val="00190B5E"/>
    <w:rPr>
      <w:rFonts w:eastAsia="SimSun"/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2B20A0"/>
    <w:rPr>
      <w:rFonts w:eastAsia="SimSun"/>
      <w:snapToGrid w:val="0"/>
      <w:sz w:val="22"/>
      <w:lang w:eastAsia="zh-CN"/>
    </w:rPr>
  </w:style>
  <w:style w:type="character" w:styleId="Jegyzethivatkozs">
    <w:name w:val="annotation reference"/>
    <w:basedOn w:val="Bekezdsalapbettpusa"/>
    <w:rsid w:val="00591F8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91F83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591F83"/>
    <w:rPr>
      <w:rFonts w:eastAsia="SimSun"/>
      <w:snapToGrid w:val="0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591F8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91F83"/>
    <w:rPr>
      <w:rFonts w:eastAsia="SimSun"/>
      <w:b/>
      <w:bCs/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6586</Words>
  <Characters>46865</Characters>
  <Application>Microsoft Office Word</Application>
  <DocSecurity>0</DocSecurity>
  <Lines>390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Országos Gyógyszerészeti Intézet</Company>
  <LinksUpToDate>false</LinksUpToDate>
  <CharactersWithSpaces>53345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28.1</dc:creator>
  <cp:keywords/>
  <cp:lastModifiedBy>HU_OGYI_50.1</cp:lastModifiedBy>
  <cp:revision>3</cp:revision>
  <cp:lastPrinted>2012-09-13T12:40:00Z</cp:lastPrinted>
  <dcterms:created xsi:type="dcterms:W3CDTF">2022-12-09T07:08:00Z</dcterms:created>
  <dcterms:modified xsi:type="dcterms:W3CDTF">2022-12-14T06:36:00Z</dcterms:modified>
</cp:coreProperties>
</file>