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AFC41" w14:textId="77777777" w:rsidR="00536CD0" w:rsidRPr="00617FC7" w:rsidRDefault="00536CD0" w:rsidP="0016776B">
      <w:pPr>
        <w:numPr>
          <w:ilvl w:val="0"/>
          <w:numId w:val="1"/>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A GYÓGYSZER NEVE</w:t>
      </w:r>
    </w:p>
    <w:p w14:paraId="13BC445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896D23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Telexer 110 mg kemény kapszula</w:t>
      </w:r>
    </w:p>
    <w:p w14:paraId="0D0A5CB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192E9A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C1ADFCB" w14:textId="77777777" w:rsidR="00536CD0" w:rsidRPr="00617FC7" w:rsidRDefault="00536CD0" w:rsidP="0016776B">
      <w:pPr>
        <w:numPr>
          <w:ilvl w:val="0"/>
          <w:numId w:val="1"/>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MINŐSÉGI ÉS MENNYISÉGI ÖSSZETÉTEL</w:t>
      </w:r>
    </w:p>
    <w:p w14:paraId="0E08621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2A6C83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110 mg dabigatrán-etexilát kemény kapszulánként (mezilát formájában).</w:t>
      </w:r>
    </w:p>
    <w:p w14:paraId="035AEB7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segédanyagok teljes listáját lásd a 6.1 pontban.</w:t>
      </w:r>
    </w:p>
    <w:p w14:paraId="52085B8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5ACD47D" w14:textId="77777777" w:rsidR="00536CD0" w:rsidRPr="00617FC7" w:rsidRDefault="00536CD0" w:rsidP="00536CD0">
      <w:pPr>
        <w:tabs>
          <w:tab w:val="left" w:pos="5250"/>
        </w:tabs>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b/>
      </w:r>
    </w:p>
    <w:p w14:paraId="726095F3" w14:textId="77777777" w:rsidR="00536CD0" w:rsidRPr="00617FC7" w:rsidRDefault="00536CD0" w:rsidP="0016776B">
      <w:pPr>
        <w:numPr>
          <w:ilvl w:val="0"/>
          <w:numId w:val="2"/>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GYÓGYSZERFORMA</w:t>
      </w:r>
    </w:p>
    <w:p w14:paraId="7E65839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776ED1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Kemény kapszula.</w:t>
      </w:r>
    </w:p>
    <w:p w14:paraId="487230BF" w14:textId="77777777" w:rsidR="00536CD0" w:rsidRPr="00617FC7" w:rsidRDefault="00536CD0" w:rsidP="00536CD0">
      <w:pPr>
        <w:spacing w:after="0" w:line="240" w:lineRule="auto"/>
        <w:ind w:left="22"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Sárgás színű pelletekkel töltött, „1”-es méretű (kb. 19,4 mm hosszú) kapszula, melynek felső és alsó része kék. A felső rész a Richter Gedeon cég jelzésével van ellátva, az alsó rész „110” felirattal jelölt.</w:t>
      </w:r>
    </w:p>
    <w:p w14:paraId="5FC4DB5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E205FA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02F7A4" w14:textId="77777777" w:rsidR="00536CD0" w:rsidRPr="00617FC7" w:rsidRDefault="00536CD0" w:rsidP="0016776B">
      <w:pPr>
        <w:numPr>
          <w:ilvl w:val="0"/>
          <w:numId w:val="2"/>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KLINIKAI JELLEMZŐK</w:t>
      </w:r>
    </w:p>
    <w:p w14:paraId="1BE32439" w14:textId="77777777" w:rsidR="00536CD0" w:rsidRPr="00617FC7" w:rsidRDefault="00536CD0" w:rsidP="00536CD0">
      <w:pPr>
        <w:tabs>
          <w:tab w:val="center" w:pos="1493"/>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73F169C8" w14:textId="77777777" w:rsidR="00536CD0" w:rsidRPr="00617FC7" w:rsidRDefault="00536CD0" w:rsidP="00CF66F9">
      <w:pPr>
        <w:tabs>
          <w:tab w:val="left" w:pos="567"/>
          <w:tab w:val="center" w:pos="1493"/>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4.1</w:t>
      </w:r>
      <w:r w:rsidRPr="00617FC7">
        <w:rPr>
          <w:rFonts w:ascii="Times New Roman" w:eastAsia="Times New Roman" w:hAnsi="Times New Roman" w:cs="Times New Roman"/>
          <w:b/>
          <w:noProof w:val="0"/>
          <w:color w:val="000000"/>
          <w:kern w:val="0"/>
          <w:lang w:val="hu-HU" w:eastAsia="hu-HU"/>
          <w14:ligatures w14:val="none"/>
        </w:rPr>
        <w:tab/>
        <w:t>Terápiás javallatok</w:t>
      </w:r>
    </w:p>
    <w:p w14:paraId="0F741E0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4B0126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Vénás thromboemboliás események (VTE) primer prevenciója elektív, teljes csípőízületi endoprotézis vagy teljes térdízületi endoprotézis műtéten átesett, felnőtt betegeknél.</w:t>
      </w:r>
    </w:p>
    <w:p w14:paraId="21BF1E4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BF8BB32" w14:textId="77777777" w:rsidR="00536CD0" w:rsidRPr="00617FC7" w:rsidRDefault="00536CD0" w:rsidP="00536CD0">
      <w:pPr>
        <w:spacing w:after="0" w:line="240" w:lineRule="auto"/>
        <w:ind w:left="7" w:right="191"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stroke és a szisztémás embolisatio prevenciója nem billentyű eredetű pitvarfibrillációban (NVAF) szenvedő felnőtt betegeknél, akiknél egy vagy több kockázati tényező áll fenn, mint például korábbi stroke vagy tranziens ischaemiás attack (TIA), életkor ≥ 75 év, szívelégtelenség (≥ NYHA II. stádium), diabetes mellitus, hypertonia.</w:t>
      </w:r>
    </w:p>
    <w:p w14:paraId="5032323F" w14:textId="77777777" w:rsidR="00536CD0" w:rsidRPr="00617FC7" w:rsidRDefault="00536CD0" w:rsidP="00536CD0">
      <w:pPr>
        <w:spacing w:after="0" w:line="240" w:lineRule="auto"/>
        <w:ind w:left="7" w:right="191" w:hanging="10"/>
        <w:rPr>
          <w:rFonts w:ascii="Times New Roman" w:eastAsia="Times New Roman" w:hAnsi="Times New Roman" w:cs="Times New Roman"/>
          <w:noProof w:val="0"/>
          <w:color w:val="000000"/>
          <w:kern w:val="0"/>
          <w:lang w:val="hu-HU" w:eastAsia="hu-HU"/>
          <w14:ligatures w14:val="none"/>
        </w:rPr>
      </w:pPr>
    </w:p>
    <w:p w14:paraId="30BE86D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Mélyvénás thrombosis (MVT) és pulmonalis embolia (PE) kezelése, és az MVT és PE kiújulásának megelőzése felnőtt betegeknél.</w:t>
      </w:r>
    </w:p>
    <w:p w14:paraId="184875F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088A44E" w14:textId="3662DA0A" w:rsidR="00536CD0" w:rsidRPr="00617FC7" w:rsidRDefault="00536CD0" w:rsidP="00536CD0">
      <w:pPr>
        <w:spacing w:after="0" w:line="240" w:lineRule="auto"/>
        <w:ind w:left="7" w:right="63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VTE kezelése és VTE kiújulásának megelőzése gyermekeknél és serdülőknél</w:t>
      </w:r>
      <w:r w:rsidR="00D33B20" w:rsidRPr="00617FC7">
        <w:rPr>
          <w:rFonts w:ascii="Times New Roman" w:eastAsia="Times New Roman" w:hAnsi="Times New Roman" w:cs="Times New Roman"/>
          <w:noProof w:val="0"/>
          <w:color w:val="000000"/>
          <w:kern w:val="0"/>
          <w:lang w:val="hu-HU" w:eastAsia="hu-HU"/>
          <w14:ligatures w14:val="none"/>
        </w:rPr>
        <w:t>, attól kezdve, hogy a gyermek képes pépes ételt lenyelni, a 18. életév betöltéséig.</w:t>
      </w:r>
    </w:p>
    <w:p w14:paraId="0D7E81A9" w14:textId="77777777" w:rsidR="00D33B20" w:rsidRPr="00617FC7" w:rsidRDefault="00D33B20" w:rsidP="00536CD0">
      <w:pPr>
        <w:spacing w:after="0" w:line="240" w:lineRule="auto"/>
        <w:ind w:left="7" w:right="633" w:hanging="10"/>
        <w:rPr>
          <w:rFonts w:ascii="Times New Roman" w:eastAsia="Times New Roman" w:hAnsi="Times New Roman" w:cs="Times New Roman"/>
          <w:noProof w:val="0"/>
          <w:color w:val="000000"/>
          <w:kern w:val="0"/>
          <w:lang w:val="hu-HU" w:eastAsia="hu-HU"/>
          <w14:ligatures w14:val="none"/>
        </w:rPr>
      </w:pPr>
    </w:p>
    <w:p w14:paraId="351407D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életkornak megfelelő adagolási formákért lásd a 4.2 pontot.</w:t>
      </w:r>
    </w:p>
    <w:p w14:paraId="5C7DDC8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38333C9" w14:textId="77777777" w:rsidR="00536CD0" w:rsidRPr="00617FC7" w:rsidRDefault="00536CD0" w:rsidP="00CF66F9">
      <w:pPr>
        <w:tabs>
          <w:tab w:val="left" w:pos="567"/>
          <w:tab w:val="center" w:pos="1686"/>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4.2</w:t>
      </w:r>
      <w:r w:rsidRPr="00617FC7">
        <w:rPr>
          <w:rFonts w:ascii="Times New Roman" w:eastAsia="Times New Roman" w:hAnsi="Times New Roman" w:cs="Times New Roman"/>
          <w:b/>
          <w:noProof w:val="0"/>
          <w:color w:val="000000"/>
          <w:kern w:val="0"/>
          <w:lang w:val="hu-HU" w:eastAsia="hu-HU"/>
          <w14:ligatures w14:val="none"/>
        </w:rPr>
        <w:tab/>
        <w:t>Adagolás és alkalmazás</w:t>
      </w:r>
    </w:p>
    <w:p w14:paraId="3B669E0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6ACA5879"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Adagolás</w:t>
      </w:r>
    </w:p>
    <w:p w14:paraId="6FB10E8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92BBDF6" w14:textId="449F06EC" w:rsidR="00EE3391" w:rsidRPr="00CF66F9" w:rsidRDefault="00536CD0" w:rsidP="00815E89">
      <w:pPr>
        <w:pStyle w:val="xmsonormal"/>
        <w:rPr>
          <w:rFonts w:ascii="Times New Roman" w:eastAsia="Times New Roman" w:hAnsi="Times New Roman" w:cs="Times New Roman"/>
          <w:color w:val="000000" w:themeColor="text1"/>
          <w:lang w:bidi="en-US"/>
        </w:rPr>
      </w:pPr>
      <w:r w:rsidRPr="00617FC7">
        <w:rPr>
          <w:rFonts w:ascii="Times New Roman" w:eastAsia="Times New Roman" w:hAnsi="Times New Roman" w:cs="Times New Roman"/>
          <w:color w:val="000000"/>
        </w:rPr>
        <w:t xml:space="preserve">A Telexer kapszula felnőtteknek és 8. életévüket betöltött, valamint az ennél idősebb gyermekeknek és serdülőknek adható, akik képesek egészben lenyelni a kapszulákat. </w:t>
      </w:r>
      <w:r w:rsidR="00EE3391" w:rsidRPr="00A54A65">
        <w:rPr>
          <w:rFonts w:ascii="Times New Roman" w:eastAsia="Times New Roman" w:hAnsi="Times New Roman" w:cs="Times New Roman"/>
          <w:color w:val="000000" w:themeColor="text1"/>
          <w:lang w:bidi="en-US"/>
        </w:rPr>
        <w:t xml:space="preserve">A dabigatrán-etexilát egyéb, a piacon elérhető gyógyszerformái (pl. bevont granulátum) alkalmazhatók 12 év alatti gyermekeknél, amint képesek puha ételt lenyelni. </w:t>
      </w:r>
      <w:r w:rsidR="00815E89" w:rsidRPr="00815E89">
        <w:rPr>
          <w:rFonts w:ascii="Times New Roman" w:eastAsia="Times New Roman" w:hAnsi="Times New Roman" w:cs="Times New Roman"/>
          <w:color w:val="000000" w:themeColor="text1"/>
          <w:lang w:bidi="en-US"/>
        </w:rPr>
        <w:t>A T</w:t>
      </w:r>
      <w:r w:rsidR="00815E89">
        <w:rPr>
          <w:rFonts w:ascii="Times New Roman" w:eastAsia="Times New Roman" w:hAnsi="Times New Roman" w:cs="Times New Roman"/>
          <w:color w:val="000000" w:themeColor="text1"/>
          <w:lang w:bidi="en-US"/>
        </w:rPr>
        <w:t>elexer</w:t>
      </w:r>
      <w:r w:rsidR="00815E89" w:rsidRPr="00815E89">
        <w:rPr>
          <w:rFonts w:ascii="Times New Roman" w:eastAsia="Times New Roman" w:hAnsi="Times New Roman" w:cs="Times New Roman"/>
          <w:color w:val="000000" w:themeColor="text1"/>
          <w:lang w:bidi="en-US"/>
        </w:rPr>
        <w:t xml:space="preserve"> 75 mg-os hatáserősségben nem </w:t>
      </w:r>
      <w:r w:rsidR="00512F85">
        <w:rPr>
          <w:rFonts w:ascii="Times New Roman" w:eastAsia="Times New Roman" w:hAnsi="Times New Roman" w:cs="Times New Roman"/>
          <w:color w:val="000000" w:themeColor="text1"/>
          <w:lang w:bidi="en-US"/>
        </w:rPr>
        <w:t>érhető el</w:t>
      </w:r>
      <w:r w:rsidR="00815E89" w:rsidRPr="00815E89">
        <w:rPr>
          <w:rFonts w:ascii="Times New Roman" w:eastAsia="Times New Roman" w:hAnsi="Times New Roman" w:cs="Times New Roman"/>
          <w:color w:val="000000" w:themeColor="text1"/>
          <w:lang w:bidi="en-US"/>
        </w:rPr>
        <w:t>. Ezért azoknál a felnőtt betegeknél, akiknél dóziscsökkentés javasolt, a piacon elérhető, 75 mg dabigatrán-etexilátot tartalmazó egyéb gyógyszerkészítményeket kell alkalmazni.</w:t>
      </w:r>
    </w:p>
    <w:p w14:paraId="7687DC9C" w14:textId="24366BB9" w:rsidR="00536CD0" w:rsidRPr="00617FC7" w:rsidRDefault="008A5D4D" w:rsidP="00CF66F9">
      <w:pPr>
        <w:widowControl w:val="0"/>
        <w:spacing w:after="0" w:line="240" w:lineRule="auto"/>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color w:val="000000" w:themeColor="text1"/>
          <w:lang w:val="hu-HU" w:bidi="en-US"/>
        </w:rPr>
        <w:t>Gyógyszerformák közti váltás esetén szükséges lehet a felírt dózis módosítása. A felírt dózist az adott gyógyszerforma adagolási táblázata alapján, a gyermek testtömegének és életkorának megfelelően kell megállapítani</w:t>
      </w:r>
      <w:r w:rsidR="00433994" w:rsidRPr="00CF66F9">
        <w:rPr>
          <w:rFonts w:ascii="Times New Roman" w:eastAsia="Times New Roman" w:hAnsi="Times New Roman" w:cs="Times New Roman"/>
          <w:color w:val="000000" w:themeColor="text1"/>
          <w:lang w:val="hu-HU" w:bidi="en-US"/>
        </w:rPr>
        <w:t>.</w:t>
      </w:r>
    </w:p>
    <w:p w14:paraId="55273F1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DAC16E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i/>
          <w:noProof w:val="0"/>
          <w:color w:val="000000"/>
          <w:kern w:val="0"/>
          <w:u w:val="single" w:color="000000"/>
          <w:lang w:val="hu-HU" w:eastAsia="hu-HU"/>
          <w14:ligatures w14:val="none"/>
        </w:rPr>
        <w:t>VTE primer prevenciója ortopédiai műtéteknél</w:t>
      </w:r>
    </w:p>
    <w:p w14:paraId="21884AAE" w14:textId="77777777" w:rsidR="00206093" w:rsidRDefault="00206093"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DF80CBD" w14:textId="44418B42"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javasolt dózisai és a terápia időtartama a VTE primer prevenciója esetén ortopédiai műtéteknél az 1. táblázatban található.</w:t>
      </w:r>
    </w:p>
    <w:p w14:paraId="200D808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109B5E1" w14:textId="77777777" w:rsidR="00536CD0" w:rsidRPr="00617FC7" w:rsidRDefault="00536CD0" w:rsidP="00536CD0">
      <w:pPr>
        <w:keepNext/>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lastRenderedPageBreak/>
        <w:t>1. táblázat. Adagolási javaslat és a terápia időtartama a VTE primer prevenciója esetén ortopédiai műtéteknél</w:t>
      </w:r>
    </w:p>
    <w:p w14:paraId="2C9360F7" w14:textId="77777777" w:rsidR="00536CD0" w:rsidRPr="00617FC7" w:rsidRDefault="00536CD0" w:rsidP="00536CD0">
      <w:pPr>
        <w:keepNext/>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415" w:type="dxa"/>
        <w:tblInd w:w="17" w:type="dxa"/>
        <w:tblCellMar>
          <w:top w:w="51" w:type="dxa"/>
          <w:left w:w="106" w:type="dxa"/>
          <w:right w:w="55" w:type="dxa"/>
        </w:tblCellMar>
        <w:tblLook w:val="04A0" w:firstRow="1" w:lastRow="0" w:firstColumn="1" w:lastColumn="0" w:noHBand="0" w:noVBand="1"/>
      </w:tblPr>
      <w:tblGrid>
        <w:gridCol w:w="2552"/>
        <w:gridCol w:w="2232"/>
        <w:gridCol w:w="2232"/>
        <w:gridCol w:w="2399"/>
      </w:tblGrid>
      <w:tr w:rsidR="00536CD0" w:rsidRPr="00617FC7" w14:paraId="5FC2765A"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2CFBB09C" w14:textId="77777777" w:rsidR="00536CD0" w:rsidRPr="00617FC7" w:rsidRDefault="00536CD0" w:rsidP="00536CD0">
            <w:pPr>
              <w:keepNext/>
              <w:rPr>
                <w:rFonts w:ascii="Times New Roman" w:eastAsia="Times New Roman" w:hAnsi="Times New Roman" w:cs="Times New Roman"/>
                <w:noProof w:val="0"/>
                <w:color w:val="000000"/>
                <w:lang w:val="hu-HU"/>
              </w:rPr>
            </w:pPr>
          </w:p>
        </w:tc>
        <w:tc>
          <w:tcPr>
            <w:tcW w:w="3510" w:type="dxa"/>
            <w:tcBorders>
              <w:top w:val="single" w:sz="4" w:space="0" w:color="000000"/>
              <w:left w:val="single" w:sz="4" w:space="0" w:color="000000"/>
              <w:bottom w:val="single" w:sz="4" w:space="0" w:color="000000"/>
              <w:right w:val="single" w:sz="4" w:space="0" w:color="000000"/>
            </w:tcBorders>
          </w:tcPr>
          <w:p w14:paraId="4EB31215" w14:textId="77777777" w:rsidR="00536CD0" w:rsidRPr="00617FC7" w:rsidRDefault="00536CD0" w:rsidP="00536CD0">
            <w:pPr>
              <w:ind w:right="1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 xml:space="preserve">A kezelés elkezdése a műtét napján, a műtét befejezése után </w:t>
            </w:r>
          </w:p>
          <w:p w14:paraId="46C99F6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1-4 órával</w:t>
            </w:r>
          </w:p>
        </w:tc>
        <w:tc>
          <w:tcPr>
            <w:tcW w:w="3510" w:type="dxa"/>
            <w:tcBorders>
              <w:top w:val="single" w:sz="4" w:space="0" w:color="000000"/>
              <w:left w:val="single" w:sz="4" w:space="0" w:color="000000"/>
              <w:bottom w:val="single" w:sz="4" w:space="0" w:color="000000"/>
              <w:right w:val="single" w:sz="4" w:space="0" w:color="000000"/>
            </w:tcBorders>
          </w:tcPr>
          <w:p w14:paraId="3FF5CC6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Fenntartó dózis a műtét utáni első napon indítva</w:t>
            </w:r>
          </w:p>
        </w:tc>
        <w:tc>
          <w:tcPr>
            <w:tcW w:w="3510" w:type="dxa"/>
            <w:tcBorders>
              <w:top w:val="single" w:sz="4" w:space="0" w:color="000000"/>
              <w:left w:val="single" w:sz="4" w:space="0" w:color="000000"/>
              <w:bottom w:val="single" w:sz="4" w:space="0" w:color="000000"/>
              <w:right w:val="single" w:sz="4" w:space="0" w:color="000000"/>
            </w:tcBorders>
          </w:tcPr>
          <w:p w14:paraId="53AE460E"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A fenntartó dózis időtartama</w:t>
            </w:r>
          </w:p>
        </w:tc>
      </w:tr>
      <w:tr w:rsidR="00536CD0" w:rsidRPr="00617FC7" w14:paraId="2CDEBB91"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424350C8" w14:textId="77777777" w:rsidR="00536CD0" w:rsidRPr="00617FC7" w:rsidRDefault="00536CD0" w:rsidP="00536CD0">
            <w:pPr>
              <w:ind w:left="2" w:right="2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Elektív térdízületi endoprotézis műtét utáni betegek</w:t>
            </w:r>
          </w:p>
        </w:tc>
        <w:tc>
          <w:tcPr>
            <w:tcW w:w="3510" w:type="dxa"/>
            <w:vMerge w:val="restart"/>
            <w:tcBorders>
              <w:top w:val="single" w:sz="4" w:space="0" w:color="000000"/>
              <w:left w:val="single" w:sz="4" w:space="0" w:color="000000"/>
              <w:bottom w:val="single" w:sz="4" w:space="0" w:color="000000"/>
              <w:right w:val="single" w:sz="4" w:space="0" w:color="000000"/>
            </w:tcBorders>
            <w:vAlign w:val="center"/>
          </w:tcPr>
          <w:p w14:paraId="2B7EECB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darab 110 mg-os dabigatrán-etexilát kapszula</w:t>
            </w:r>
          </w:p>
        </w:tc>
        <w:tc>
          <w:tcPr>
            <w:tcW w:w="3510" w:type="dxa"/>
            <w:vMerge w:val="restart"/>
            <w:tcBorders>
              <w:top w:val="single" w:sz="4" w:space="0" w:color="000000"/>
              <w:left w:val="single" w:sz="4" w:space="0" w:color="000000"/>
              <w:bottom w:val="single" w:sz="4" w:space="0" w:color="000000"/>
              <w:right w:val="single" w:sz="4" w:space="0" w:color="000000"/>
            </w:tcBorders>
          </w:tcPr>
          <w:p w14:paraId="3F4AE23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naponta egyszer 220 mg </w:t>
            </w:r>
          </w:p>
          <w:p w14:paraId="36D566B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2 darab 110 mg-os kapszula formájában</w:t>
            </w:r>
          </w:p>
        </w:tc>
        <w:tc>
          <w:tcPr>
            <w:tcW w:w="3510" w:type="dxa"/>
            <w:tcBorders>
              <w:top w:val="single" w:sz="4" w:space="0" w:color="000000"/>
              <w:left w:val="single" w:sz="4" w:space="0" w:color="000000"/>
              <w:bottom w:val="single" w:sz="4" w:space="0" w:color="000000"/>
              <w:right w:val="single" w:sz="4" w:space="0" w:color="000000"/>
            </w:tcBorders>
            <w:vAlign w:val="center"/>
          </w:tcPr>
          <w:p w14:paraId="33D27BA8"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 nap</w:t>
            </w:r>
          </w:p>
        </w:tc>
      </w:tr>
      <w:tr w:rsidR="00536CD0" w:rsidRPr="00617FC7" w14:paraId="1E4E5F3D"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77CE73DA"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Elektív csípőízületi endoprotézis műtét utáni betegek</w:t>
            </w:r>
          </w:p>
        </w:tc>
        <w:tc>
          <w:tcPr>
            <w:tcW w:w="3510" w:type="dxa"/>
            <w:vMerge/>
            <w:tcBorders>
              <w:top w:val="nil"/>
              <w:left w:val="single" w:sz="4" w:space="0" w:color="000000"/>
              <w:bottom w:val="single" w:sz="4" w:space="0" w:color="000000"/>
              <w:right w:val="single" w:sz="4" w:space="0" w:color="000000"/>
            </w:tcBorders>
          </w:tcPr>
          <w:p w14:paraId="463F6BA7"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vMerge/>
            <w:tcBorders>
              <w:top w:val="nil"/>
              <w:left w:val="single" w:sz="4" w:space="0" w:color="000000"/>
              <w:bottom w:val="single" w:sz="4" w:space="0" w:color="000000"/>
              <w:right w:val="single" w:sz="4" w:space="0" w:color="000000"/>
            </w:tcBorders>
          </w:tcPr>
          <w:p w14:paraId="0A11D072"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tcBorders>
              <w:top w:val="single" w:sz="4" w:space="0" w:color="000000"/>
              <w:left w:val="single" w:sz="4" w:space="0" w:color="000000"/>
              <w:bottom w:val="single" w:sz="4" w:space="0" w:color="000000"/>
              <w:right w:val="single" w:sz="4" w:space="0" w:color="000000"/>
            </w:tcBorders>
            <w:vAlign w:val="center"/>
          </w:tcPr>
          <w:p w14:paraId="687652AB" w14:textId="23D96DAB"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28</w:t>
            </w:r>
            <w:r w:rsidR="00E77F1B" w:rsidRPr="00617FC7">
              <w:rPr>
                <w:rFonts w:ascii="Times New Roman" w:eastAsia="Times New Roman" w:hAnsi="Times New Roman" w:cs="Times New Roman"/>
                <w:noProof w:val="0"/>
                <w:color w:val="000000"/>
                <w:lang w:val="hu-HU"/>
              </w:rPr>
              <w:noBreakHyphen/>
            </w:r>
            <w:r w:rsidRPr="00617FC7">
              <w:rPr>
                <w:rFonts w:ascii="Times New Roman" w:eastAsia="Times New Roman" w:hAnsi="Times New Roman" w:cs="Times New Roman"/>
                <w:noProof w:val="0"/>
                <w:color w:val="000000"/>
                <w:lang w:val="hu-HU"/>
              </w:rPr>
              <w:t>35 nap</w:t>
            </w:r>
          </w:p>
        </w:tc>
      </w:tr>
      <w:tr w:rsidR="00536CD0" w:rsidRPr="00617FC7" w14:paraId="7E54A9B0" w14:textId="77777777" w:rsidTr="00CF66F9">
        <w:trPr>
          <w:trHeight w:val="567"/>
        </w:trPr>
        <w:tc>
          <w:tcPr>
            <w:tcW w:w="3510" w:type="dxa"/>
            <w:tcBorders>
              <w:top w:val="single" w:sz="4" w:space="0" w:color="000000"/>
              <w:left w:val="single" w:sz="4" w:space="0" w:color="000000"/>
              <w:bottom w:val="single" w:sz="4" w:space="0" w:color="000000"/>
              <w:right w:val="single" w:sz="4" w:space="0" w:color="000000"/>
            </w:tcBorders>
            <w:vAlign w:val="center"/>
          </w:tcPr>
          <w:p w14:paraId="3FA856F7"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i/>
                <w:noProof w:val="0"/>
                <w:color w:val="000000"/>
                <w:u w:val="single" w:color="000000"/>
                <w:lang w:val="hu-HU"/>
              </w:rPr>
              <w:t>Dóziscsökkentés javasolt</w:t>
            </w:r>
          </w:p>
        </w:tc>
        <w:tc>
          <w:tcPr>
            <w:tcW w:w="3510" w:type="dxa"/>
            <w:tcBorders>
              <w:top w:val="single" w:sz="4" w:space="0" w:color="000000"/>
              <w:left w:val="single" w:sz="4" w:space="0" w:color="000000"/>
              <w:bottom w:val="single" w:sz="4" w:space="0" w:color="000000"/>
              <w:right w:val="single" w:sz="4" w:space="0" w:color="000000"/>
            </w:tcBorders>
          </w:tcPr>
          <w:p w14:paraId="381D1739"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tcBorders>
              <w:top w:val="single" w:sz="4" w:space="0" w:color="000000"/>
              <w:left w:val="single" w:sz="4" w:space="0" w:color="000000"/>
              <w:bottom w:val="single" w:sz="4" w:space="0" w:color="000000"/>
              <w:right w:val="single" w:sz="4" w:space="0" w:color="000000"/>
            </w:tcBorders>
          </w:tcPr>
          <w:p w14:paraId="4F10C936"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tcBorders>
              <w:top w:val="single" w:sz="4" w:space="0" w:color="000000"/>
              <w:left w:val="single" w:sz="4" w:space="0" w:color="000000"/>
              <w:bottom w:val="single" w:sz="4" w:space="0" w:color="000000"/>
              <w:right w:val="single" w:sz="4" w:space="0" w:color="000000"/>
            </w:tcBorders>
          </w:tcPr>
          <w:p w14:paraId="5203FED9"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5334846"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10FEC37F" w14:textId="6750FC1B"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Közepesen súlyos vesekárosodásban szenvedő betegek (kreatinin-clearance (CrCl) 30</w:t>
            </w:r>
            <w:r w:rsidR="00E77F1B" w:rsidRPr="00617FC7">
              <w:rPr>
                <w:rFonts w:ascii="Times New Roman" w:eastAsia="Times New Roman" w:hAnsi="Times New Roman" w:cs="Times New Roman"/>
                <w:noProof w:val="0"/>
                <w:color w:val="000000"/>
                <w:lang w:val="hu-HU"/>
              </w:rPr>
              <w:noBreakHyphen/>
            </w:r>
            <w:r w:rsidRPr="00617FC7">
              <w:rPr>
                <w:rFonts w:ascii="Times New Roman" w:eastAsia="Times New Roman" w:hAnsi="Times New Roman" w:cs="Times New Roman"/>
                <w:noProof w:val="0"/>
                <w:color w:val="000000"/>
                <w:lang w:val="hu-HU"/>
              </w:rPr>
              <w:t xml:space="preserve">50 ml/perc) </w:t>
            </w:r>
          </w:p>
        </w:tc>
        <w:tc>
          <w:tcPr>
            <w:tcW w:w="3510" w:type="dxa"/>
            <w:vMerge w:val="restart"/>
            <w:tcBorders>
              <w:top w:val="single" w:sz="4" w:space="0" w:color="000000"/>
              <w:left w:val="single" w:sz="4" w:space="0" w:color="000000"/>
              <w:bottom w:val="single" w:sz="4" w:space="0" w:color="000000"/>
              <w:right w:val="single" w:sz="4" w:space="0" w:color="000000"/>
            </w:tcBorders>
            <w:vAlign w:val="center"/>
          </w:tcPr>
          <w:p w14:paraId="189E8AAC" w14:textId="32DABC3F"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darab 75 mg-os** dabigatrán-etexilát kapszula</w:t>
            </w:r>
          </w:p>
        </w:tc>
        <w:tc>
          <w:tcPr>
            <w:tcW w:w="3510" w:type="dxa"/>
            <w:vMerge w:val="restart"/>
            <w:tcBorders>
              <w:top w:val="single" w:sz="4" w:space="0" w:color="000000"/>
              <w:left w:val="single" w:sz="4" w:space="0" w:color="000000"/>
              <w:bottom w:val="single" w:sz="4" w:space="0" w:color="000000"/>
              <w:right w:val="single" w:sz="4" w:space="0" w:color="000000"/>
            </w:tcBorders>
            <w:vAlign w:val="center"/>
          </w:tcPr>
          <w:p w14:paraId="153AB06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naponta egyszer 150 mg </w:t>
            </w:r>
          </w:p>
          <w:p w14:paraId="078EBAB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2 darab 75 mg-os kapszula formájában</w:t>
            </w:r>
          </w:p>
        </w:tc>
        <w:tc>
          <w:tcPr>
            <w:tcW w:w="3510" w:type="dxa"/>
            <w:vMerge w:val="restart"/>
            <w:tcBorders>
              <w:top w:val="single" w:sz="4" w:space="0" w:color="000000"/>
              <w:left w:val="single" w:sz="4" w:space="0" w:color="000000"/>
              <w:bottom w:val="single" w:sz="4" w:space="0" w:color="000000"/>
              <w:right w:val="single" w:sz="4" w:space="0" w:color="000000"/>
            </w:tcBorders>
            <w:vAlign w:val="center"/>
          </w:tcPr>
          <w:p w14:paraId="2DE6187F" w14:textId="77777777" w:rsidR="00F03C48" w:rsidRDefault="00536CD0" w:rsidP="00F03C48">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 nap (térdprotézis-beültetés)</w:t>
            </w:r>
          </w:p>
          <w:p w14:paraId="0ABEA91E" w14:textId="28E4807C" w:rsidR="00F03C48" w:rsidRDefault="00536CD0" w:rsidP="00F03C48">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vagy</w:t>
            </w:r>
          </w:p>
          <w:p w14:paraId="224DFEC3" w14:textId="6121E55E" w:rsidR="00536CD0" w:rsidRPr="00617FC7" w:rsidRDefault="00536CD0" w:rsidP="00F03C48">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28</w:t>
            </w:r>
            <w:r w:rsidRPr="00617FC7">
              <w:rPr>
                <w:rFonts w:ascii="Times New Roman" w:eastAsia="Times New Roman" w:hAnsi="Times New Roman" w:cs="Times New Roman"/>
                <w:noProof w:val="0"/>
                <w:color w:val="000000"/>
                <w:lang w:val="hu-HU"/>
              </w:rPr>
              <w:noBreakHyphen/>
              <w:t>35 nap (csípőprotézis-beültetés)</w:t>
            </w:r>
          </w:p>
        </w:tc>
      </w:tr>
      <w:tr w:rsidR="00536CD0" w:rsidRPr="00617FC7" w14:paraId="07CD9995"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3B685935"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Egyidejűleg verapamilt*, amiodaront vagy kinidint szedő betegek </w:t>
            </w:r>
          </w:p>
        </w:tc>
        <w:tc>
          <w:tcPr>
            <w:tcW w:w="3510" w:type="dxa"/>
            <w:vMerge/>
            <w:tcBorders>
              <w:top w:val="nil"/>
              <w:left w:val="single" w:sz="4" w:space="0" w:color="000000"/>
              <w:bottom w:val="nil"/>
              <w:right w:val="single" w:sz="4" w:space="0" w:color="000000"/>
            </w:tcBorders>
          </w:tcPr>
          <w:p w14:paraId="2D330D70"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vMerge/>
            <w:tcBorders>
              <w:top w:val="nil"/>
              <w:left w:val="single" w:sz="4" w:space="0" w:color="000000"/>
              <w:bottom w:val="nil"/>
              <w:right w:val="single" w:sz="4" w:space="0" w:color="000000"/>
            </w:tcBorders>
          </w:tcPr>
          <w:p w14:paraId="1A974A98"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vMerge/>
            <w:tcBorders>
              <w:top w:val="nil"/>
              <w:left w:val="single" w:sz="4" w:space="0" w:color="000000"/>
              <w:bottom w:val="nil"/>
              <w:right w:val="single" w:sz="4" w:space="0" w:color="000000"/>
            </w:tcBorders>
          </w:tcPr>
          <w:p w14:paraId="391578F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4A8919C0" w14:textId="77777777" w:rsidTr="00CF66F9">
        <w:trPr>
          <w:trHeight w:val="57"/>
        </w:trPr>
        <w:tc>
          <w:tcPr>
            <w:tcW w:w="3510" w:type="dxa"/>
            <w:tcBorders>
              <w:top w:val="single" w:sz="4" w:space="0" w:color="000000"/>
              <w:left w:val="single" w:sz="4" w:space="0" w:color="000000"/>
              <w:bottom w:val="single" w:sz="4" w:space="0" w:color="000000"/>
              <w:right w:val="single" w:sz="4" w:space="0" w:color="000000"/>
            </w:tcBorders>
          </w:tcPr>
          <w:p w14:paraId="7589AF69"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75 éves vagy annál idősebb betegek </w:t>
            </w:r>
          </w:p>
        </w:tc>
        <w:tc>
          <w:tcPr>
            <w:tcW w:w="3510" w:type="dxa"/>
            <w:vMerge/>
            <w:tcBorders>
              <w:top w:val="nil"/>
              <w:left w:val="single" w:sz="4" w:space="0" w:color="000000"/>
              <w:bottom w:val="single" w:sz="4" w:space="0" w:color="000000"/>
              <w:right w:val="single" w:sz="4" w:space="0" w:color="000000"/>
            </w:tcBorders>
          </w:tcPr>
          <w:p w14:paraId="3E1B3785"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vMerge/>
            <w:tcBorders>
              <w:top w:val="nil"/>
              <w:left w:val="single" w:sz="4" w:space="0" w:color="000000"/>
              <w:bottom w:val="single" w:sz="4" w:space="0" w:color="000000"/>
              <w:right w:val="single" w:sz="4" w:space="0" w:color="000000"/>
            </w:tcBorders>
          </w:tcPr>
          <w:p w14:paraId="352DC435" w14:textId="77777777" w:rsidR="00536CD0" w:rsidRPr="00617FC7" w:rsidRDefault="00536CD0" w:rsidP="00536CD0">
            <w:pPr>
              <w:rPr>
                <w:rFonts w:ascii="Times New Roman" w:eastAsia="Times New Roman" w:hAnsi="Times New Roman" w:cs="Times New Roman"/>
                <w:noProof w:val="0"/>
                <w:color w:val="000000"/>
                <w:lang w:val="hu-HU"/>
              </w:rPr>
            </w:pPr>
          </w:p>
        </w:tc>
        <w:tc>
          <w:tcPr>
            <w:tcW w:w="3510" w:type="dxa"/>
            <w:vMerge/>
            <w:tcBorders>
              <w:top w:val="nil"/>
              <w:left w:val="single" w:sz="4" w:space="0" w:color="000000"/>
              <w:bottom w:val="single" w:sz="4" w:space="0" w:color="000000"/>
              <w:right w:val="single" w:sz="4" w:space="0" w:color="000000"/>
            </w:tcBorders>
          </w:tcPr>
          <w:p w14:paraId="37CCE565"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08ADAE3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*Közepesen súlyos vesekárosodásban szenvedő, egyidejűleg verapamil-kezelésben részesülő betegek esetében lásd Különleges betegcsoportok pontot.</w:t>
      </w:r>
    </w:p>
    <w:p w14:paraId="0A01818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A Telexer 75 mg-os dózisa nem elérhető, ezért ez a gyógyszer nem alkalmas a fentebb említett betegcsoport számára. Ezen betegek esetében más, 75 mg-os dabigatrán–etexilát tartalmú gyógyszerkészítményt kell alkalmazni.</w:t>
      </w:r>
    </w:p>
    <w:p w14:paraId="76D2A9B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AC6195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kezelés elkezdését mindkét műtét esetében el kell halasztani, ha a haemostasis nem biztosított. Ha a kezelést nem kezdik el a műtét napján, a kezelést napi egyszer 2 darab kapszulával kell kezdeni.</w:t>
      </w:r>
    </w:p>
    <w:p w14:paraId="6CC5FCA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27BB1A0"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vesefunkció ellenőrzése a dabigatrán-etexilát-kezelés megkezdése előtt és a kezelés során</w:t>
      </w:r>
    </w:p>
    <w:p w14:paraId="5E59F7E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C883C4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Minden betegnél, különösen a 75 év feletti idős betegeknél, mivel a vesekárosodás gyakorisága ebben a korosztályban nagyobb lehet:</w:t>
      </w:r>
    </w:p>
    <w:p w14:paraId="517D34BA" w14:textId="77777777" w:rsidR="00536CD0" w:rsidRPr="00617FC7" w:rsidRDefault="00536CD0" w:rsidP="0016776B">
      <w:pPr>
        <w:numPr>
          <w:ilvl w:val="0"/>
          <w:numId w:val="3"/>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elkezdése előtt a kreatinin-clearance (CrCl) meghatározásával a vesefunkciót ellenőrizni kell, annak érdekében, hogy kizárhatóak legyenek azok a betegek, akik súlyos vesekárosodásban szenvednek (azaz: CrCl &lt; 30 ml/perc) (lásd 4.3, 4.4 és 5.2 pont).</w:t>
      </w:r>
    </w:p>
    <w:p w14:paraId="4B5CA19B" w14:textId="6C693C8F" w:rsidR="00536CD0" w:rsidRPr="00617FC7" w:rsidRDefault="00536CD0" w:rsidP="0016776B">
      <w:pPr>
        <w:numPr>
          <w:ilvl w:val="0"/>
          <w:numId w:val="3"/>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veseműködést ellenőrizni kell, ha a kezelés alatt a veseműködés rosszabbodására lehet számítani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hypovolaemia, dehidráció és bizonyos gyógyszerek egyidejű alkalmazása esetén).</w:t>
      </w:r>
    </w:p>
    <w:p w14:paraId="3BB08F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F80D33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vesefunkció (ml/percben mért CrCl) becslésére a Cockcroft-Gault módszert használják.</w:t>
      </w:r>
    </w:p>
    <w:p w14:paraId="0C32E20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7152D1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Kihagyott dózis</w:t>
      </w:r>
    </w:p>
    <w:p w14:paraId="226F6DF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7DAC02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adagolást a dabigatrán-etexilát változatlan napi adagjával javasolt folytatni a következő napon ugyanabban az időben.</w:t>
      </w:r>
    </w:p>
    <w:p w14:paraId="0E0A51B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CEDA02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szabad kétszeres adagot bevenni az egyes kihagyott adagok pótlására.</w:t>
      </w:r>
    </w:p>
    <w:p w14:paraId="032543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79DFE3F"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dabigatrán-etexilát-kezelés leállítása</w:t>
      </w:r>
    </w:p>
    <w:p w14:paraId="132F984D" w14:textId="1C452BFE"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 xml:space="preserve">A dabigatrán-etexilát-kezelés csak orvosi javaslatra állítható le. A betegeknek gastrointestinalis tünetek,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dyspepsia megjelenése esetén tájékoztatniuk kell kezelőorvosukat (lásd 4.8 pont).</w:t>
      </w:r>
    </w:p>
    <w:p w14:paraId="23F26B2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606C02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Átállítás</w:t>
      </w:r>
    </w:p>
    <w:p w14:paraId="6C07002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39D731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Dabigatrán-etexilát-kezelésről parenterális antikoaguláns-kezelésre:</w:t>
      </w:r>
    </w:p>
    <w:p w14:paraId="2A54351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dabigatrán-etexilátról parenterális antikoaguláns-kezelésre történő átállításkor javasolt 24 órát várni az utolsó adag dabigatrán-etexilát után (lásd 4.5 pont).</w:t>
      </w:r>
    </w:p>
    <w:p w14:paraId="7B86362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6D8853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Parenterális antikoagulánsokról dabigatrán-etexilátra:</w:t>
      </w:r>
    </w:p>
    <w:p w14:paraId="1B7B12A8" w14:textId="604092E6"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antikoaguláns-kezelés következő adagjának esedékessége előtt 0</w:t>
      </w:r>
      <w:r w:rsidR="006B2AD9" w:rsidRPr="00617FC7">
        <w:rPr>
          <w:rFonts w:ascii="Times New Roman" w:eastAsia="Times New Roman" w:hAnsi="Times New Roman" w:cs="Times New Roman"/>
          <w:noProof w:val="0"/>
          <w:color w:val="000000"/>
          <w:lang w:val="hu-HU"/>
        </w:rPr>
        <w:noBreakHyphen/>
      </w:r>
      <w:r w:rsidRPr="00617FC7">
        <w:rPr>
          <w:rFonts w:ascii="Times New Roman" w:eastAsia="Times New Roman" w:hAnsi="Times New Roman" w:cs="Times New Roman"/>
          <w:noProof w:val="0"/>
          <w:color w:val="000000"/>
          <w:kern w:val="0"/>
          <w:lang w:val="hu-HU" w:eastAsia="hu-HU"/>
          <w14:ligatures w14:val="none"/>
        </w:rPr>
        <w:t>2 órával a parenterális antikoaguláns-kezelést le kell állítani, és a dabigatrán-etexilát-kezelést meg kell kezdeni, illetve a folyamatos kezelés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intravénás nem frakcionált heparin [UFH]) esetén az antikoaguláns-terápia leállításakor kell megkezdeni a dabigatrán-etexilát alkalmazását (lásd 4.5 pont).</w:t>
      </w:r>
    </w:p>
    <w:p w14:paraId="5B8766A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47B357E"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Különleges betegcsoportok</w:t>
      </w:r>
    </w:p>
    <w:p w14:paraId="35C00E85"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23F9E5F3"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Vesekárosodás</w:t>
      </w:r>
    </w:p>
    <w:p w14:paraId="44F768C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27A86E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a súlyos vesekárosodásban szenvedő betegeknél (30 ml/perc alatti kreatinin-clearance [CrCl]) ellenjavallt (lásd 4.3 pont).</w:t>
      </w:r>
    </w:p>
    <w:p w14:paraId="1196677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20C43B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közepesen súlyos vesekárosodásban (CrCl: 30</w:t>
      </w:r>
      <w:r w:rsidRPr="00617FC7">
        <w:rPr>
          <w:rFonts w:ascii="Times New Roman" w:eastAsia="Times New Roman" w:hAnsi="Times New Roman" w:cs="Times New Roman"/>
          <w:noProof w:val="0"/>
          <w:color w:val="000000"/>
          <w:kern w:val="0"/>
          <w:lang w:val="hu-HU" w:eastAsia="hu-HU"/>
          <w14:ligatures w14:val="none"/>
        </w:rPr>
        <w:noBreakHyphen/>
        <w:t>50 ml/perc) szenvedő betegek esetében dóziscsökkentés javasolt (lásd 1. táblázat fent, valamint 4.4 és 5.1 pont).</w:t>
      </w:r>
    </w:p>
    <w:p w14:paraId="3B8F2E4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EF04A36" w14:textId="285073D2"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 xml:space="preserve">A dabigatrán-etexilát egyidejű alkalmazása gyenge és közepesen erős P-glikoprotein-(P-gp-) inhibitorokkal, </w:t>
      </w:r>
      <w:r w:rsidR="00A2754E">
        <w:rPr>
          <w:rFonts w:ascii="Times New Roman" w:eastAsia="Times New Roman" w:hAnsi="Times New Roman" w:cs="Times New Roman"/>
          <w:i/>
          <w:noProof w:val="0"/>
          <w:color w:val="000000"/>
          <w:kern w:val="0"/>
          <w:lang w:val="hu-HU" w:eastAsia="hu-HU"/>
          <w14:ligatures w14:val="none"/>
        </w:rPr>
        <w:t>példáu</w:t>
      </w:r>
      <w:r w:rsidR="008176A0">
        <w:rPr>
          <w:rFonts w:ascii="Times New Roman" w:eastAsia="Times New Roman" w:hAnsi="Times New Roman" w:cs="Times New Roman"/>
          <w:i/>
          <w:noProof w:val="0"/>
          <w:color w:val="000000"/>
          <w:kern w:val="0"/>
          <w:lang w:val="hu-HU" w:eastAsia="hu-HU"/>
          <w14:ligatures w14:val="none"/>
        </w:rPr>
        <w:t>l</w:t>
      </w:r>
      <w:r w:rsidRPr="00617FC7">
        <w:rPr>
          <w:rFonts w:ascii="Times New Roman" w:eastAsia="Times New Roman" w:hAnsi="Times New Roman" w:cs="Times New Roman"/>
          <w:i/>
          <w:noProof w:val="0"/>
          <w:color w:val="000000"/>
          <w:kern w:val="0"/>
          <w:lang w:val="hu-HU" w:eastAsia="hu-HU"/>
          <w14:ligatures w14:val="none"/>
        </w:rPr>
        <w:t xml:space="preserve"> amiodaronnal, kinidinnel vagy verapamillal</w:t>
      </w:r>
    </w:p>
    <w:p w14:paraId="635BFEB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4696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dózist csökkenteni kell az 1. táblázatban foglaltak szerint (illetve lásd 4.4 és 4.5 pont). Ilyen esetben a dabigatrán-etexilátot és ezeket a gyógyszereket egyidejűleg kell bevenni.</w:t>
      </w:r>
    </w:p>
    <w:p w14:paraId="3E0A9FA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89B89E2" w14:textId="77777777" w:rsidR="00536CD0" w:rsidRPr="00617FC7" w:rsidRDefault="00536CD0" w:rsidP="00536CD0">
      <w:pPr>
        <w:spacing w:after="0" w:line="240" w:lineRule="auto"/>
        <w:ind w:left="7" w:right="155"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Közepesen súlyos vesekárosodásban szenvedő betegeknél a verapamillal végzett egyidejű kezeléskor meg kell fontolni a dabigatrán-etexilát napi dózisának 75 mg-ra történő csökkentését (lásd 4.4 és 4.5 pont).</w:t>
      </w:r>
    </w:p>
    <w:p w14:paraId="42057021" w14:textId="77777777" w:rsidR="00536CD0" w:rsidRPr="00617FC7" w:rsidRDefault="00536CD0" w:rsidP="00536CD0">
      <w:pPr>
        <w:spacing w:after="0" w:line="240" w:lineRule="auto"/>
        <w:ind w:left="7" w:right="155" w:hanging="10"/>
        <w:rPr>
          <w:rFonts w:ascii="Times New Roman" w:eastAsia="Times New Roman" w:hAnsi="Times New Roman" w:cs="Times New Roman"/>
          <w:noProof w:val="0"/>
          <w:color w:val="000000"/>
          <w:kern w:val="0"/>
          <w:lang w:val="hu-HU" w:eastAsia="hu-HU"/>
          <w14:ligatures w14:val="none"/>
        </w:rPr>
      </w:pPr>
    </w:p>
    <w:p w14:paraId="65AB7156" w14:textId="77777777" w:rsidR="00536CD0" w:rsidRPr="00617FC7" w:rsidRDefault="00536CD0" w:rsidP="00536CD0">
      <w:pPr>
        <w:spacing w:after="0" w:line="240" w:lineRule="auto"/>
        <w:ind w:left="7" w:right="155"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Idősek</w:t>
      </w:r>
    </w:p>
    <w:p w14:paraId="7D27D7C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C8E61A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Idős betegeknél (75 év felett) dóziscsökkentés javasolt (lásd 1. táblázat fent, valamint 4.4 és 5.1 pont).</w:t>
      </w:r>
    </w:p>
    <w:p w14:paraId="7D446A6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4B3CB10"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Testtömeg</w:t>
      </w:r>
    </w:p>
    <w:p w14:paraId="4081FB35" w14:textId="77777777" w:rsidR="00536CD0" w:rsidRPr="00617FC7" w:rsidRDefault="00536CD0" w:rsidP="00536CD0">
      <w:pPr>
        <w:spacing w:after="0" w:line="240" w:lineRule="auto"/>
        <w:ind w:left="7" w:right="162" w:hanging="10"/>
        <w:rPr>
          <w:rFonts w:ascii="Times New Roman" w:eastAsia="Times New Roman" w:hAnsi="Times New Roman" w:cs="Times New Roman"/>
          <w:noProof w:val="0"/>
          <w:color w:val="000000"/>
          <w:kern w:val="0"/>
          <w:lang w:val="hu-HU" w:eastAsia="hu-HU"/>
          <w14:ligatures w14:val="none"/>
        </w:rPr>
      </w:pPr>
    </w:p>
    <w:p w14:paraId="558EE44A" w14:textId="77777777" w:rsidR="00536CD0" w:rsidRPr="00617FC7" w:rsidRDefault="00536CD0" w:rsidP="00536CD0">
      <w:pPr>
        <w:spacing w:after="0" w:line="240" w:lineRule="auto"/>
        <w:ind w:left="7" w:right="16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Nagyon kevés klinikai tapasztalat áll rendelkezésre a javasolt adagolást alkalmazó 50 kg alatti és 110 kg feletti testtömegű betegekre vonatkozóan. A rendelkezésre álló klinikai és kinetikai adatok alapján a dózis módosítása nem szükséges (lásd 5.2 pont), de szoros klinikai megfigyelés javasolt (lásd 4.4 pont).</w:t>
      </w:r>
    </w:p>
    <w:p w14:paraId="65D8C206" w14:textId="77777777" w:rsidR="00536CD0" w:rsidRPr="00617FC7" w:rsidRDefault="00536CD0" w:rsidP="00536CD0">
      <w:pPr>
        <w:spacing w:after="0" w:line="240" w:lineRule="auto"/>
        <w:ind w:left="7" w:right="162" w:hanging="10"/>
        <w:rPr>
          <w:rFonts w:ascii="Times New Roman" w:eastAsia="Times New Roman" w:hAnsi="Times New Roman" w:cs="Times New Roman"/>
          <w:noProof w:val="0"/>
          <w:color w:val="000000"/>
          <w:kern w:val="0"/>
          <w:lang w:val="hu-HU" w:eastAsia="hu-HU"/>
          <w14:ligatures w14:val="none"/>
        </w:rPr>
      </w:pPr>
    </w:p>
    <w:p w14:paraId="47984389"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Nem</w:t>
      </w:r>
    </w:p>
    <w:p w14:paraId="3763B31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6D953E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 módosítása nem szükséges (lásd 5.2 pont).</w:t>
      </w:r>
    </w:p>
    <w:p w14:paraId="5A750F7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7DE87A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Gyermekek és serdülők</w:t>
      </w:r>
    </w:p>
    <w:p w14:paraId="0F0688C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8B9165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dabigatrán-etexilátnak gyermekeknél és serdülőknél - a VTE primer prevenciója elektív, teljes csípőízületi endoprotézis vagy teljes térdízületi endoprotézis műtéten átesett betegeknél - javallata esetén nincs releváns alkalmazása.</w:t>
      </w:r>
    </w:p>
    <w:p w14:paraId="3F9B44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28E79E5"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i/>
          <w:noProof w:val="0"/>
          <w:color w:val="000000"/>
          <w:kern w:val="0"/>
          <w:u w:val="single" w:color="000000"/>
          <w:lang w:val="hu-HU" w:eastAsia="hu-HU"/>
          <w14:ligatures w14:val="none"/>
        </w:rPr>
        <w:lastRenderedPageBreak/>
        <w:t>A stroke és a szisztémás embolisatio prevenciója nem billentyű eredetű pitvarfibrillációban</w:t>
      </w:r>
      <w:r w:rsidRPr="00617FC7">
        <w:rPr>
          <w:rFonts w:ascii="Times New Roman" w:eastAsia="Times New Roman" w:hAnsi="Times New Roman" w:cs="Times New Roman"/>
          <w:b/>
          <w:i/>
          <w:noProof w:val="0"/>
          <w:color w:val="000000"/>
          <w:kern w:val="0"/>
          <w:lang w:val="hu-HU" w:eastAsia="hu-HU"/>
          <w14:ligatures w14:val="none"/>
        </w:rPr>
        <w:t xml:space="preserve"> </w:t>
      </w:r>
      <w:r w:rsidRPr="00617FC7">
        <w:rPr>
          <w:rFonts w:ascii="Times New Roman" w:eastAsia="Times New Roman" w:hAnsi="Times New Roman" w:cs="Times New Roman"/>
          <w:b/>
          <w:i/>
          <w:noProof w:val="0"/>
          <w:color w:val="000000"/>
          <w:kern w:val="0"/>
          <w:u w:val="single" w:color="000000"/>
          <w:lang w:val="hu-HU" w:eastAsia="hu-HU"/>
          <w14:ligatures w14:val="none"/>
        </w:rPr>
        <w:t>szenvedő, egy vagy több rizikótényezővel rendelkező felnőtt betegeknél (SPAF)</w:t>
      </w:r>
    </w:p>
    <w:p w14:paraId="6EE7117E" w14:textId="77777777" w:rsidR="00536CD0" w:rsidRPr="00617FC7" w:rsidRDefault="00536CD0" w:rsidP="00536CD0">
      <w:pPr>
        <w:spacing w:after="0" w:line="240" w:lineRule="auto"/>
        <w:ind w:left="7" w:right="354" w:hanging="10"/>
        <w:rPr>
          <w:rFonts w:ascii="Times New Roman" w:eastAsia="Times New Roman" w:hAnsi="Times New Roman" w:cs="Times New Roman"/>
          <w:b/>
          <w:i/>
          <w:noProof w:val="0"/>
          <w:color w:val="000000"/>
          <w:kern w:val="0"/>
          <w:u w:val="single" w:color="000000"/>
          <w:lang w:val="hu-HU" w:eastAsia="hu-HU"/>
          <w14:ligatures w14:val="none"/>
        </w:rPr>
      </w:pPr>
      <w:r w:rsidRPr="00617FC7">
        <w:rPr>
          <w:rFonts w:ascii="Times New Roman" w:eastAsia="Times New Roman" w:hAnsi="Times New Roman" w:cs="Times New Roman"/>
          <w:b/>
          <w:i/>
          <w:noProof w:val="0"/>
          <w:color w:val="000000"/>
          <w:kern w:val="0"/>
          <w:u w:val="single" w:color="000000"/>
          <w:lang w:val="hu-HU" w:eastAsia="hu-HU"/>
          <w14:ligatures w14:val="none"/>
        </w:rPr>
        <w:t>Az MVT és PE kezelése és az MVT és PE kiújulásának megelőzése felnőtt betegeknél (MVT/PE)</w:t>
      </w:r>
    </w:p>
    <w:p w14:paraId="3196FDAB" w14:textId="77777777" w:rsidR="00536CD0" w:rsidRPr="00617FC7" w:rsidRDefault="00536CD0" w:rsidP="00536CD0">
      <w:pPr>
        <w:spacing w:after="0" w:line="240" w:lineRule="auto"/>
        <w:ind w:left="7" w:right="354" w:hanging="10"/>
        <w:rPr>
          <w:rFonts w:ascii="Times New Roman" w:eastAsia="Times New Roman" w:hAnsi="Times New Roman" w:cs="Times New Roman"/>
          <w:bCs/>
          <w:iCs/>
          <w:noProof w:val="0"/>
          <w:color w:val="000000"/>
          <w:kern w:val="0"/>
          <w:lang w:val="hu-HU" w:eastAsia="hu-HU"/>
          <w14:ligatures w14:val="none"/>
        </w:rPr>
      </w:pPr>
    </w:p>
    <w:p w14:paraId="088E5C5F" w14:textId="77777777" w:rsidR="00536CD0" w:rsidRPr="00617FC7" w:rsidRDefault="00536CD0" w:rsidP="00536CD0">
      <w:pPr>
        <w:spacing w:after="0" w:line="240" w:lineRule="auto"/>
        <w:ind w:left="7" w:right="354"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adagolási javaslata SPAF, MVT és PE esetén a 2. táblázatban található.</w:t>
      </w:r>
    </w:p>
    <w:p w14:paraId="587A546B" w14:textId="77777777" w:rsidR="00536CD0" w:rsidRPr="00617FC7" w:rsidRDefault="00536CD0" w:rsidP="00536CD0">
      <w:pPr>
        <w:spacing w:after="0" w:line="240" w:lineRule="auto"/>
        <w:ind w:left="7" w:right="354" w:hanging="10"/>
        <w:rPr>
          <w:rFonts w:ascii="Times New Roman" w:eastAsia="Times New Roman" w:hAnsi="Times New Roman" w:cs="Times New Roman"/>
          <w:noProof w:val="0"/>
          <w:color w:val="000000"/>
          <w:kern w:val="0"/>
          <w:lang w:val="hu-HU" w:eastAsia="hu-HU"/>
          <w14:ligatures w14:val="none"/>
        </w:rPr>
      </w:pPr>
    </w:p>
    <w:p w14:paraId="680577A4" w14:textId="77777777" w:rsidR="00536CD0" w:rsidRPr="00617FC7" w:rsidRDefault="00536CD0" w:rsidP="00536CD0">
      <w:pPr>
        <w:keepNext/>
        <w:spacing w:after="0" w:line="240" w:lineRule="auto"/>
        <w:ind w:left="7" w:right="354" w:hanging="10"/>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 táblázat. Adagolási javaslat SPAF, MVT és PE esetén</w:t>
      </w:r>
    </w:p>
    <w:p w14:paraId="34CBC890" w14:textId="77777777" w:rsidR="00536CD0" w:rsidRPr="00617FC7" w:rsidRDefault="00536CD0" w:rsidP="00536CD0">
      <w:pPr>
        <w:keepNext/>
        <w:spacing w:after="0" w:line="240" w:lineRule="auto"/>
        <w:ind w:left="7" w:right="354" w:hanging="10"/>
        <w:rPr>
          <w:rFonts w:ascii="Times New Roman" w:eastAsia="Times New Roman" w:hAnsi="Times New Roman" w:cs="Times New Roman"/>
          <w:bCs/>
          <w:noProof w:val="0"/>
          <w:color w:val="000000"/>
          <w:kern w:val="0"/>
          <w:lang w:val="hu-HU" w:eastAsia="hu-HU"/>
          <w14:ligatures w14:val="none"/>
        </w:rPr>
      </w:pPr>
    </w:p>
    <w:tbl>
      <w:tblPr>
        <w:tblStyle w:val="TableGrid"/>
        <w:tblW w:w="9322" w:type="dxa"/>
        <w:tblInd w:w="17" w:type="dxa"/>
        <w:tblCellMar>
          <w:top w:w="51" w:type="dxa"/>
          <w:left w:w="108" w:type="dxa"/>
          <w:right w:w="115" w:type="dxa"/>
        </w:tblCellMar>
        <w:tblLook w:val="04A0" w:firstRow="1" w:lastRow="0" w:firstColumn="1" w:lastColumn="0" w:noHBand="0" w:noVBand="1"/>
      </w:tblPr>
      <w:tblGrid>
        <w:gridCol w:w="4219"/>
        <w:gridCol w:w="5103"/>
      </w:tblGrid>
      <w:tr w:rsidR="00536CD0" w:rsidRPr="00617FC7" w14:paraId="54CE84AD"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08DA0B11" w14:textId="77777777" w:rsidR="00536CD0" w:rsidRPr="00617FC7" w:rsidRDefault="00536CD0" w:rsidP="00536CD0">
            <w:pPr>
              <w:keepNext/>
              <w:rPr>
                <w:rFonts w:ascii="Times New Roman" w:eastAsia="Times New Roman" w:hAnsi="Times New Roman" w:cs="Times New Roman"/>
                <w:noProof w:val="0"/>
                <w:color w:val="000000"/>
                <w:lang w:val="hu-HU"/>
              </w:rPr>
            </w:pPr>
          </w:p>
        </w:tc>
        <w:tc>
          <w:tcPr>
            <w:tcW w:w="5102" w:type="dxa"/>
            <w:tcBorders>
              <w:top w:val="single" w:sz="4" w:space="0" w:color="000000"/>
              <w:left w:val="single" w:sz="4" w:space="0" w:color="000000"/>
              <w:bottom w:val="single" w:sz="4" w:space="0" w:color="000000"/>
              <w:right w:val="single" w:sz="4" w:space="0" w:color="000000"/>
            </w:tcBorders>
          </w:tcPr>
          <w:p w14:paraId="2FE73AFB" w14:textId="77777777" w:rsidR="00536CD0" w:rsidRPr="00617FC7" w:rsidRDefault="00536CD0" w:rsidP="00536CD0">
            <w:pPr>
              <w:keepNext/>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Javasolt dózis</w:t>
            </w:r>
          </w:p>
        </w:tc>
      </w:tr>
      <w:tr w:rsidR="00536CD0" w:rsidRPr="00617FC7" w14:paraId="51EA6CF5"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11C4C45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stroke és a szisztémás embolisatio prevenciója nem billentyű eredetű pitvarfibrillációban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tcPr>
          <w:p w14:paraId="44AD92E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 mg dabigatrán-etexilát naponta kétszer 1 darab 150 mg-os kapszula formájában</w:t>
            </w:r>
          </w:p>
        </w:tc>
      </w:tr>
      <w:tr w:rsidR="00536CD0" w:rsidRPr="00617FC7" w14:paraId="58BDC0DF"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2962CB3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14:paraId="4E1A0EF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 mg dabigatrán-etexilát naponta kétszer 1 darab 150 mg-os kapszula formájában legalább 5 napos parenterális antikoaguláns kezelést követően</w:t>
            </w:r>
          </w:p>
        </w:tc>
      </w:tr>
      <w:tr w:rsidR="00536CD0" w:rsidRPr="00617FC7" w14:paraId="16487909" w14:textId="77777777" w:rsidTr="00CF66F9">
        <w:trPr>
          <w:trHeight w:val="567"/>
        </w:trPr>
        <w:tc>
          <w:tcPr>
            <w:tcW w:w="4219" w:type="dxa"/>
            <w:tcBorders>
              <w:top w:val="single" w:sz="4" w:space="0" w:color="000000"/>
              <w:left w:val="single" w:sz="4" w:space="0" w:color="000000"/>
              <w:bottom w:val="single" w:sz="4" w:space="0" w:color="000000"/>
              <w:right w:val="single" w:sz="4" w:space="0" w:color="000000"/>
            </w:tcBorders>
            <w:vAlign w:val="center"/>
          </w:tcPr>
          <w:p w14:paraId="029D175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i/>
                <w:noProof w:val="0"/>
                <w:color w:val="000000"/>
                <w:u w:val="single" w:color="000000"/>
                <w:lang w:val="hu-HU"/>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5F95F0E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7911539"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75581CF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505B3F1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220 mg dabigatrán-etexilát naponta kétszer 1 darab 110 mg-os kapszula formájában </w:t>
            </w:r>
          </w:p>
        </w:tc>
      </w:tr>
      <w:tr w:rsidR="00536CD0" w:rsidRPr="00617FC7" w14:paraId="7C3D0624"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73E815C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Egyidejűleg verapamilt kapó betegek</w:t>
            </w:r>
          </w:p>
        </w:tc>
        <w:tc>
          <w:tcPr>
            <w:tcW w:w="0" w:type="auto"/>
            <w:vMerge/>
            <w:tcBorders>
              <w:top w:val="nil"/>
              <w:left w:val="single" w:sz="4" w:space="0" w:color="000000"/>
              <w:bottom w:val="single" w:sz="4" w:space="0" w:color="000000"/>
              <w:right w:val="single" w:sz="4" w:space="0" w:color="000000"/>
            </w:tcBorders>
          </w:tcPr>
          <w:p w14:paraId="29996178"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352538" w14:paraId="4264AE42" w14:textId="77777777" w:rsidTr="00CF66F9">
        <w:trPr>
          <w:trHeight w:val="567"/>
        </w:trPr>
        <w:tc>
          <w:tcPr>
            <w:tcW w:w="4219" w:type="dxa"/>
            <w:tcBorders>
              <w:top w:val="single" w:sz="4" w:space="0" w:color="000000"/>
              <w:left w:val="single" w:sz="4" w:space="0" w:color="000000"/>
              <w:bottom w:val="single" w:sz="4" w:space="0" w:color="000000"/>
              <w:right w:val="single" w:sz="4" w:space="0" w:color="000000"/>
            </w:tcBorders>
            <w:vAlign w:val="center"/>
          </w:tcPr>
          <w:p w14:paraId="4C219335" w14:textId="77777777" w:rsidR="00536CD0" w:rsidRPr="00CF66F9" w:rsidRDefault="00536CD0" w:rsidP="00536CD0">
            <w:pPr>
              <w:rPr>
                <w:rFonts w:ascii="Times New Roman" w:eastAsia="Times New Roman" w:hAnsi="Times New Roman" w:cs="Times New Roman"/>
                <w:b/>
                <w:i/>
                <w:noProof w:val="0"/>
                <w:color w:val="000000"/>
                <w:u w:val="single" w:color="000000"/>
                <w:lang w:val="hu-HU"/>
              </w:rPr>
            </w:pPr>
            <w:r w:rsidRPr="00617FC7">
              <w:rPr>
                <w:rFonts w:ascii="Times New Roman" w:eastAsia="Times New Roman" w:hAnsi="Times New Roman" w:cs="Times New Roman"/>
                <w:b/>
                <w:i/>
                <w:noProof w:val="0"/>
                <w:color w:val="000000"/>
                <w:u w:val="single" w:color="000000"/>
                <w:lang w:val="hu-HU"/>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3F19231C" w14:textId="77777777" w:rsidR="00536CD0" w:rsidRPr="00CF66F9" w:rsidRDefault="00536CD0" w:rsidP="00536CD0">
            <w:pPr>
              <w:rPr>
                <w:rFonts w:ascii="Times New Roman" w:eastAsia="Times New Roman" w:hAnsi="Times New Roman" w:cs="Times New Roman"/>
                <w:b/>
                <w:i/>
                <w:noProof w:val="0"/>
                <w:color w:val="000000"/>
                <w:u w:val="single" w:color="000000"/>
                <w:lang w:val="hu-HU"/>
              </w:rPr>
            </w:pPr>
          </w:p>
        </w:tc>
      </w:tr>
      <w:tr w:rsidR="00536CD0" w:rsidRPr="00617FC7" w14:paraId="28659A7F"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2B7DDF9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75-80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16F74D8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a dabigatrán-etexilát napi dózisa 300 mg vagy 220 mg, amit egyénileg, a thromboemboliás kockázat és a vérzésveszély alapján kell meghatározni </w:t>
            </w:r>
          </w:p>
        </w:tc>
      </w:tr>
      <w:tr w:rsidR="00536CD0" w:rsidRPr="00617FC7" w14:paraId="0D3798C2"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5CE4AFEF" w14:textId="31781934"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Közepesen súlyos vesekárosodásban szenvedő betegek (CrCl 30</w:t>
            </w:r>
            <w:r w:rsidR="00E06844" w:rsidRPr="00617FC7">
              <w:rPr>
                <w:rFonts w:ascii="Times New Roman" w:eastAsia="Times New Roman" w:hAnsi="Times New Roman" w:cs="Times New Roman"/>
                <w:noProof w:val="0"/>
                <w:color w:val="000000"/>
                <w:lang w:val="hu-HU"/>
              </w:rPr>
              <w:noBreakHyphen/>
            </w:r>
            <w:r w:rsidRPr="00617FC7">
              <w:rPr>
                <w:rFonts w:ascii="Times New Roman" w:eastAsia="Times New Roman" w:hAnsi="Times New Roman" w:cs="Times New Roman"/>
                <w:noProof w:val="0"/>
                <w:color w:val="000000"/>
                <w:lang w:val="hu-HU"/>
              </w:rPr>
              <w:t>50 ml/perc)</w:t>
            </w:r>
          </w:p>
        </w:tc>
        <w:tc>
          <w:tcPr>
            <w:tcW w:w="0" w:type="auto"/>
            <w:vMerge/>
            <w:tcBorders>
              <w:top w:val="nil"/>
              <w:left w:val="single" w:sz="4" w:space="0" w:color="000000"/>
              <w:bottom w:val="nil"/>
              <w:right w:val="single" w:sz="4" w:space="0" w:color="000000"/>
            </w:tcBorders>
          </w:tcPr>
          <w:p w14:paraId="4C3E4DB3"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EA81573"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28EBFDF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Gastritisben, oesophagitisben vagy gastrooesophagealis refluxban szenvedő betegek</w:t>
            </w:r>
          </w:p>
        </w:tc>
        <w:tc>
          <w:tcPr>
            <w:tcW w:w="0" w:type="auto"/>
            <w:vMerge/>
            <w:tcBorders>
              <w:top w:val="nil"/>
              <w:left w:val="single" w:sz="4" w:space="0" w:color="000000"/>
              <w:bottom w:val="nil"/>
              <w:right w:val="single" w:sz="4" w:space="0" w:color="000000"/>
            </w:tcBorders>
          </w:tcPr>
          <w:p w14:paraId="007A4B5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1FE7EBFB" w14:textId="77777777" w:rsidTr="00CF66F9">
        <w:trPr>
          <w:trHeight w:val="113"/>
        </w:trPr>
        <w:tc>
          <w:tcPr>
            <w:tcW w:w="4219" w:type="dxa"/>
            <w:tcBorders>
              <w:top w:val="single" w:sz="4" w:space="0" w:color="000000"/>
              <w:left w:val="single" w:sz="4" w:space="0" w:color="000000"/>
              <w:bottom w:val="single" w:sz="4" w:space="0" w:color="000000"/>
              <w:right w:val="single" w:sz="4" w:space="0" w:color="000000"/>
            </w:tcBorders>
          </w:tcPr>
          <w:p w14:paraId="414BD15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További, fokozott vérzési kockázatú betegek</w:t>
            </w:r>
          </w:p>
        </w:tc>
        <w:tc>
          <w:tcPr>
            <w:tcW w:w="0" w:type="auto"/>
            <w:vMerge/>
            <w:tcBorders>
              <w:top w:val="nil"/>
              <w:left w:val="single" w:sz="4" w:space="0" w:color="000000"/>
              <w:bottom w:val="single" w:sz="4" w:space="0" w:color="000000"/>
              <w:right w:val="single" w:sz="4" w:space="0" w:color="000000"/>
            </w:tcBorders>
          </w:tcPr>
          <w:p w14:paraId="14ABDA71"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12928DA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MVT/PE-s betegek esetén a dabigatrán-etexilát 220 mg-os napi dózisának napi kétszer 1 darab 110 mg-os kapszula formájában történő szedésére vonatkozó javaslat farmakokinetikai és farmakodinámiás elemzéseken alapul, és klinikai körülmények között nem vizsgálták ezt az adagolási módot. Továbbiakat lásd lent, valamint a 4.4, 4.5, 5.1 és 5.2 pontban.</w:t>
      </w:r>
    </w:p>
    <w:p w14:paraId="1B50E9B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A22746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dabigatrán-etexiláttal szembeni intolerancia esetében a betegeket utasítani kell, hogy azonnal forduljanak kezelőorvosukhoz, hogy az megfelelő alternatív kezelésre válthasson a pitvarfibrillációval kapcsolatos stroke és szisztémás embolisatio-prevenció vagy MVT/PE megelőzése érdekében.</w:t>
      </w:r>
    </w:p>
    <w:p w14:paraId="66D8A7B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0A669C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vesefunkció ellenőrzése a dabigatrán-etexilát-kezelés megkezdése előtt és a kezelés során</w:t>
      </w:r>
    </w:p>
    <w:p w14:paraId="2B34B26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FAD4C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Minden betegnél, különösen az idős betegeknél (75 év felett), mivel a vesekárosodás gyakorisága ebben a korosztályban nagyobb lehet:</w:t>
      </w:r>
    </w:p>
    <w:p w14:paraId="564B4365" w14:textId="676BB887" w:rsidR="00536CD0" w:rsidRPr="00617FC7" w:rsidRDefault="00536CD0" w:rsidP="0016776B">
      <w:pPr>
        <w:numPr>
          <w:ilvl w:val="0"/>
          <w:numId w:val="4"/>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elkezdése előtt a kreatinin-clearance (CrCl) meghatározásával a vesefunkciót ellenőrizni kell annak érdekében, hogy kizárhatóak legyenek azok a betegek, akik súlyos vesekárosodásban szenvednek (azaz: CrCl</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 xml:space="preserve">&lt; 30 ml/perc) (lásd 4.3, 4.4 és 5.2 pont). </w:t>
      </w:r>
    </w:p>
    <w:p w14:paraId="20656E22" w14:textId="2A930EAD" w:rsidR="00536CD0" w:rsidRPr="00617FC7" w:rsidRDefault="00536CD0" w:rsidP="0016776B">
      <w:pPr>
        <w:numPr>
          <w:ilvl w:val="0"/>
          <w:numId w:val="4"/>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veseműködést ellenőrizni kell, ha a kezelés alatt a veseműködés rosszabbodására lehet számítani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hypovolaemia, dehidráció és bizonyos gyógyszerek egyidejű alkalmazása esetén).</w:t>
      </w:r>
    </w:p>
    <w:p w14:paraId="6E3ECC2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A2B61D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További követelmények enyhe és közepesen súlyos vesekárosodásban szenvedő betegeknél és 75 év feletti betegeknél:</w:t>
      </w:r>
    </w:p>
    <w:p w14:paraId="6D55553C" w14:textId="66A6D172" w:rsidR="00536CD0" w:rsidRPr="00617FC7" w:rsidRDefault="00536CD0" w:rsidP="0016776B">
      <w:pPr>
        <w:numPr>
          <w:ilvl w:val="0"/>
          <w:numId w:val="4"/>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dabigatrán-etexiláttal kezelt betegek veseműködését évente legalább egyszer, bizonyos klinikai helyzetekben pedig - amikor a veseműködés romlására vagy (további) rosszabbodására </w:t>
      </w:r>
      <w:r w:rsidRPr="00617FC7">
        <w:rPr>
          <w:rFonts w:ascii="Times New Roman" w:eastAsia="Times New Roman" w:hAnsi="Times New Roman" w:cs="Times New Roman"/>
          <w:noProof w:val="0"/>
          <w:color w:val="000000"/>
          <w:kern w:val="0"/>
          <w:lang w:val="hu-HU" w:eastAsia="hu-HU"/>
          <w14:ligatures w14:val="none"/>
        </w:rPr>
        <w:lastRenderedPageBreak/>
        <w:t>lehet számítani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hypovolaemia, dehidráció és bizonyos gyógyszerek egyidejű alkalmazása esetén) - szükség szerint gyakrabban kell ellenőrizni.</w:t>
      </w:r>
    </w:p>
    <w:p w14:paraId="7DB3E0C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8C3D1A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vesefunkció (ml/percben mért CrCl) becslésére a Cockcroft-Gault módszert használják.</w:t>
      </w:r>
    </w:p>
    <w:p w14:paraId="0B4E713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59654D"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kezelés időtartama</w:t>
      </w:r>
    </w:p>
    <w:p w14:paraId="0F90288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86F3F3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időtartamát SPAF, MVT és PE esetén a 3. táblázat ismerteti.</w:t>
      </w:r>
    </w:p>
    <w:p w14:paraId="4ED93D6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F1688FD" w14:textId="77777777" w:rsidR="00536CD0" w:rsidRPr="00617FC7" w:rsidRDefault="00536CD0" w:rsidP="00536CD0">
      <w:pPr>
        <w:tabs>
          <w:tab w:val="center" w:pos="3521"/>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3. táblázat. A kezelés időtartama SPAF, MVT/PE esetén</w:t>
      </w:r>
    </w:p>
    <w:p w14:paraId="1E923E8F" w14:textId="77777777" w:rsidR="00536CD0" w:rsidRPr="00617FC7" w:rsidRDefault="00536CD0" w:rsidP="00536CD0">
      <w:pPr>
        <w:tabs>
          <w:tab w:val="center" w:pos="3521"/>
        </w:tabs>
        <w:spacing w:after="0" w:line="240" w:lineRule="auto"/>
        <w:ind w:left="-3"/>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373"/>
        <w:gridCol w:w="7687"/>
      </w:tblGrid>
      <w:tr w:rsidR="00536CD0" w:rsidRPr="00617FC7" w14:paraId="48D58D2D" w14:textId="77777777" w:rsidTr="00CF66F9">
        <w:trPr>
          <w:trHeight w:val="113"/>
        </w:trPr>
        <w:tc>
          <w:tcPr>
            <w:tcW w:w="1373" w:type="dxa"/>
            <w:tcBorders>
              <w:top w:val="single" w:sz="4" w:space="0" w:color="000000"/>
              <w:left w:val="single" w:sz="4" w:space="0" w:color="000000"/>
              <w:bottom w:val="single" w:sz="4" w:space="0" w:color="000000"/>
              <w:right w:val="single" w:sz="4" w:space="0" w:color="000000"/>
            </w:tcBorders>
          </w:tcPr>
          <w:p w14:paraId="6B76B61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Javallat</w:t>
            </w:r>
          </w:p>
        </w:tc>
        <w:tc>
          <w:tcPr>
            <w:tcW w:w="7687" w:type="dxa"/>
            <w:tcBorders>
              <w:top w:val="single" w:sz="4" w:space="0" w:color="000000"/>
              <w:left w:val="single" w:sz="4" w:space="0" w:color="000000"/>
              <w:bottom w:val="single" w:sz="4" w:space="0" w:color="000000"/>
              <w:right w:val="single" w:sz="4" w:space="0" w:color="000000"/>
            </w:tcBorders>
          </w:tcPr>
          <w:p w14:paraId="443538E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A kezelés időtartama</w:t>
            </w:r>
          </w:p>
        </w:tc>
      </w:tr>
      <w:tr w:rsidR="00536CD0" w:rsidRPr="00617FC7" w14:paraId="6B22DAFB" w14:textId="77777777" w:rsidTr="00CF66F9">
        <w:trPr>
          <w:trHeight w:val="113"/>
        </w:trPr>
        <w:tc>
          <w:tcPr>
            <w:tcW w:w="1373" w:type="dxa"/>
            <w:tcBorders>
              <w:top w:val="single" w:sz="4" w:space="0" w:color="000000"/>
              <w:left w:val="single" w:sz="4" w:space="0" w:color="000000"/>
              <w:bottom w:val="single" w:sz="4" w:space="0" w:color="000000"/>
              <w:right w:val="single" w:sz="4" w:space="0" w:color="000000"/>
            </w:tcBorders>
          </w:tcPr>
          <w:p w14:paraId="4395D03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SPAF</w:t>
            </w:r>
          </w:p>
        </w:tc>
        <w:tc>
          <w:tcPr>
            <w:tcW w:w="7687" w:type="dxa"/>
            <w:tcBorders>
              <w:top w:val="single" w:sz="4" w:space="0" w:color="000000"/>
              <w:left w:val="single" w:sz="4" w:space="0" w:color="000000"/>
              <w:bottom w:val="single" w:sz="4" w:space="0" w:color="000000"/>
              <w:right w:val="single" w:sz="4" w:space="0" w:color="000000"/>
            </w:tcBorders>
          </w:tcPr>
          <w:p w14:paraId="656191C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kezelést hosszú távon folytatni kell.</w:t>
            </w:r>
          </w:p>
        </w:tc>
      </w:tr>
      <w:tr w:rsidR="00536CD0" w:rsidRPr="00617FC7" w14:paraId="1B941DF8" w14:textId="77777777" w:rsidTr="00CF66F9">
        <w:trPr>
          <w:trHeight w:val="113"/>
        </w:trPr>
        <w:tc>
          <w:tcPr>
            <w:tcW w:w="1373" w:type="dxa"/>
            <w:tcBorders>
              <w:top w:val="single" w:sz="4" w:space="0" w:color="000000"/>
              <w:left w:val="single" w:sz="4" w:space="0" w:color="000000"/>
              <w:bottom w:val="single" w:sz="4" w:space="0" w:color="000000"/>
              <w:right w:val="single" w:sz="4" w:space="0" w:color="000000"/>
            </w:tcBorders>
          </w:tcPr>
          <w:p w14:paraId="3337BEE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MVT/PE</w:t>
            </w:r>
          </w:p>
        </w:tc>
        <w:tc>
          <w:tcPr>
            <w:tcW w:w="7687" w:type="dxa"/>
            <w:tcBorders>
              <w:top w:val="single" w:sz="4" w:space="0" w:color="000000"/>
              <w:left w:val="single" w:sz="4" w:space="0" w:color="000000"/>
              <w:bottom w:val="single" w:sz="4" w:space="0" w:color="000000"/>
              <w:right w:val="single" w:sz="4" w:space="0" w:color="000000"/>
            </w:tcBorders>
          </w:tcPr>
          <w:p w14:paraId="7CA3772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kezelés időtartamát egyénileg, a kezelés előnyeinek és a vérzés kockázatának gondos értékelését követően kell meghatározni (lásd 4.4 pont).</w:t>
            </w:r>
          </w:p>
          <w:p w14:paraId="261F5888" w14:textId="28BDF103"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rövid időtartamú terápiának (legalább 3 hónap) az átmeneti rizikófaktorokon (</w:t>
            </w:r>
            <w:r w:rsidR="00A2754E">
              <w:rPr>
                <w:rFonts w:ascii="Times New Roman" w:eastAsia="Times New Roman" w:hAnsi="Times New Roman" w:cs="Times New Roman"/>
                <w:noProof w:val="0"/>
                <w:color w:val="000000"/>
                <w:lang w:val="hu-HU"/>
              </w:rPr>
              <w:t>például</w:t>
            </w:r>
            <w:r w:rsidRPr="00617FC7">
              <w:rPr>
                <w:rFonts w:ascii="Times New Roman" w:eastAsia="Times New Roman" w:hAnsi="Times New Roman" w:cs="Times New Roman"/>
                <w:noProof w:val="0"/>
                <w:color w:val="000000"/>
                <w:lang w:val="hu-HU"/>
              </w:rPr>
              <w:t xml:space="preserve"> műtét a közelmúltban, trauma, immobilizáció), míg a hosszútávú kezelésnek a folyamatosan fennálló kockázati tényezőkön vagy idiopátiás MVT-n, illetve PE-n kell alapulnia.</w:t>
            </w:r>
          </w:p>
        </w:tc>
      </w:tr>
    </w:tbl>
    <w:p w14:paraId="1C4E6E4A"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07E9D365"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Kihagyott dózis</w:t>
      </w:r>
    </w:p>
    <w:p w14:paraId="305F7A3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kimaradt adagja pótolható legkésőbb 6 órával a következő esedékes adag előtt. A következő esedékes adag előtti 6 órán belül az elfelejtett dózist ki kell hagyni.</w:t>
      </w:r>
    </w:p>
    <w:p w14:paraId="59E1915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D9170E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szabad kétszeres adagot bevenni az egyes kihagyott adagok pótlására.</w:t>
      </w:r>
    </w:p>
    <w:p w14:paraId="0FA50D8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A04FC6A"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dabigatrán-etexilát-kezelés leállítása</w:t>
      </w:r>
    </w:p>
    <w:p w14:paraId="3C54387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606EB6D" w14:textId="19D3B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dabigatrán-etexilát-kezelés csak orvosi javaslatra állítható le. A betegeknek gastrointestinalis tünetek,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dyspepsia megjelenése esetén tájékoztatniuk kell kezelőorvosukat (lásd 4.8. pont).</w:t>
      </w:r>
    </w:p>
    <w:p w14:paraId="52825EE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E80C259"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Átállítás</w:t>
      </w:r>
    </w:p>
    <w:p w14:paraId="5CACD42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D52E34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Dabigatrán-etexilát-kezelésről parenterális antikoaguláns-kezelésre:</w:t>
      </w:r>
    </w:p>
    <w:p w14:paraId="1FE7281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dabigatrán-etexilátról parenterális antikoaguláns-kezelésre történő átállításkor javasolt 12 órát várni az utolsó adag Telexer után (lásd 4.5 pont).</w:t>
      </w:r>
    </w:p>
    <w:p w14:paraId="01F8CA0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06C1F3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Parenterális antikoagulánsokról dabigatrán-etexilátra:</w:t>
      </w:r>
    </w:p>
    <w:p w14:paraId="0EF5D680" w14:textId="6A320C9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antikoaguláns-kezelés következő adagjának esedékessége előtt 0-2 órával a parenterális antikoaguláns-kezelést le kell állítani, és a dabigatrán-etexilát-kezelést meg kell kezdeni, illetve a folyamatos kezelés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intravénás nem frakcionált heparin [UFH]) esetén az antikoaguláns-terápia leállításakor kell megkezdeni a dabigatrán-etexilát alkalmazását (lásd 4.5 pont).</w:t>
      </w:r>
    </w:p>
    <w:p w14:paraId="0832B75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B0E32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Dabigatrán-etexilátról K-vitamin-antagonistákra (KVA):</w:t>
      </w:r>
    </w:p>
    <w:p w14:paraId="4906C8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KVA adagolásának elkezdését a következők szerint a CrCl alapján kell időzíteni:</w:t>
      </w:r>
    </w:p>
    <w:p w14:paraId="24356AC0" w14:textId="1D1B190A" w:rsidR="00536CD0" w:rsidRPr="00617FC7" w:rsidRDefault="00536CD0" w:rsidP="0016776B">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CrCl</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 50 ml/perc, a KVA adagolását 3 nappal a dabigatrán-etexilát adagolásának abbahagyása előtt kell elkezdeni.</w:t>
      </w:r>
    </w:p>
    <w:p w14:paraId="304CFAED" w14:textId="0EB4FE45" w:rsidR="00536CD0" w:rsidRPr="00617FC7" w:rsidRDefault="00536CD0" w:rsidP="0016776B">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CrCl</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 30 </w:t>
      </w:r>
      <w:r w:rsidR="00E06844" w:rsidRPr="00617FC7">
        <w:rPr>
          <w:rFonts w:ascii="Times New Roman" w:eastAsia="Times New Roman" w:hAnsi="Times New Roman" w:cs="Times New Roman"/>
          <w:noProof w:val="0"/>
          <w:color w:val="000000"/>
          <w:lang w:val="hu-HU"/>
        </w:rPr>
        <w:noBreakHyphen/>
      </w:r>
      <w:r w:rsidRPr="00617FC7">
        <w:rPr>
          <w:rFonts w:ascii="Times New Roman" w:eastAsia="Times New Roman" w:hAnsi="Times New Roman" w:cs="Times New Roman"/>
          <w:noProof w:val="0"/>
          <w:color w:val="000000"/>
          <w:kern w:val="0"/>
          <w:lang w:val="hu-HU" w:eastAsia="hu-HU"/>
          <w14:ligatures w14:val="none"/>
        </w:rPr>
        <w:t> &lt; 50 ml/perc, a KVA adagolását 2 nappal a dabigatrán-etexilát adagolásának abbahagyása előtt kell elkezdeni.</w:t>
      </w:r>
    </w:p>
    <w:p w14:paraId="1443324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0EBF7D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Mivel a dabigatrán-etexilát befolyásolhatja a nemzetközi normalizált arányt (</w:t>
      </w:r>
      <w:r w:rsidRPr="00617FC7">
        <w:rPr>
          <w:rFonts w:ascii="Times New Roman" w:eastAsia="Times New Roman" w:hAnsi="Times New Roman" w:cs="Times New Roman"/>
          <w:noProof w:val="0"/>
          <w:color w:val="000000" w:themeColor="text1"/>
          <w:kern w:val="0"/>
          <w:lang w:val="hu-HU" w:eastAsia="hu-HU" w:bidi="en-US"/>
          <w14:ligatures w14:val="none"/>
        </w:rPr>
        <w:t xml:space="preserve">International Normalised Ratio: </w:t>
      </w:r>
      <w:r w:rsidRPr="00617FC7">
        <w:rPr>
          <w:rFonts w:ascii="Times New Roman" w:eastAsia="Times New Roman" w:hAnsi="Times New Roman" w:cs="Times New Roman"/>
          <w:noProof w:val="0"/>
          <w:color w:val="000000"/>
          <w:kern w:val="0"/>
          <w:lang w:val="hu-HU" w:eastAsia="hu-HU"/>
          <w14:ligatures w14:val="none"/>
        </w:rPr>
        <w:t xml:space="preserve">INR-t), az INR csak akkor mutatja megfelelően a KVA hatását, ha a dabigatrán-etexilátot már legalább 2 napja leállították. </w:t>
      </w:r>
    </w:p>
    <w:p w14:paraId="279032E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Addig az INR értékeket körültekintően kell értelmezni.</w:t>
      </w:r>
    </w:p>
    <w:p w14:paraId="61FE619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6F2161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KVA-ról dabigatrán-etexilátra:</w:t>
      </w:r>
    </w:p>
    <w:p w14:paraId="4045B04B" w14:textId="77777777" w:rsidR="00536CD0" w:rsidRPr="00617FC7" w:rsidRDefault="00536CD0" w:rsidP="00536CD0">
      <w:pPr>
        <w:spacing w:after="0" w:line="240" w:lineRule="auto"/>
        <w:ind w:left="7" w:right="13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A KVA-t le kell állítani. A dabigatrán-etexilát adása akkor kezdhető el, ha az INR &lt; 2,0.</w:t>
      </w:r>
    </w:p>
    <w:p w14:paraId="4C88FB8C" w14:textId="77777777" w:rsidR="00536CD0" w:rsidRPr="00617FC7" w:rsidRDefault="00536CD0" w:rsidP="00536CD0">
      <w:pPr>
        <w:spacing w:after="0" w:line="240" w:lineRule="auto"/>
        <w:ind w:left="7" w:right="133" w:hanging="10"/>
        <w:rPr>
          <w:rFonts w:ascii="Times New Roman" w:eastAsia="Times New Roman" w:hAnsi="Times New Roman" w:cs="Times New Roman"/>
          <w:noProof w:val="0"/>
          <w:color w:val="000000"/>
          <w:kern w:val="0"/>
          <w:lang w:val="hu-HU" w:eastAsia="hu-HU"/>
          <w14:ligatures w14:val="none"/>
        </w:rPr>
      </w:pPr>
    </w:p>
    <w:p w14:paraId="3E26FC95" w14:textId="77777777" w:rsidR="00536CD0" w:rsidRPr="00617FC7" w:rsidRDefault="00536CD0" w:rsidP="00536CD0">
      <w:pPr>
        <w:spacing w:after="0" w:line="240" w:lineRule="auto"/>
        <w:ind w:left="7" w:right="13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Cardioversio (SPAF)</w:t>
      </w:r>
    </w:p>
    <w:p w14:paraId="78B4A7F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59D4FC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betegek a cardioversio alatt folytathatják a dabigatrán-etexilát szedését.</w:t>
      </w:r>
    </w:p>
    <w:p w14:paraId="3F0B62F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2E12C8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Katéteres ablatio pitvarfibrilláció esetén (SPAF)</w:t>
      </w:r>
    </w:p>
    <w:p w14:paraId="0375D56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A88267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Nincsenek rendelkezésre álló adatok napi kétszer 110 mg dabigatrán-etexilát-kezelésről.</w:t>
      </w:r>
    </w:p>
    <w:p w14:paraId="34383B2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C415F0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Percutan coronariaintervenció (PCI) stent alkalmazásával (SPAF)</w:t>
      </w:r>
    </w:p>
    <w:p w14:paraId="22E70A3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4800A9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nem valvularis pitvarfibrilláló betegek esetén, akiken stent alkalmazásával végeztek PCI-t, a haemostasis elérése után a dabigatrán-etexilát más thrombocitaaggregáció-gátlókkal együtt is alkalmazható (lásd 5.1 pont).</w:t>
      </w:r>
    </w:p>
    <w:p w14:paraId="0F23338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47D62E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Különleges betegcsoportok</w:t>
      </w:r>
    </w:p>
    <w:p w14:paraId="6947A748"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7CE968E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Idősek</w:t>
      </w:r>
    </w:p>
    <w:p w14:paraId="216AF19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EC1F44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ezen betegpopulációt érintő dózismódosításokat lásd fent a 2. táblázatban.</w:t>
      </w:r>
    </w:p>
    <w:p w14:paraId="11C464B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6597B8E"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 xml:space="preserve">Fokozott vérzési kockázatú betegek </w:t>
      </w:r>
    </w:p>
    <w:p w14:paraId="21E5C8B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51A49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fokozott vérzési kockázatú betegeket (lásd 4.4, 4.5, 5.1 és 5.2 pont) klinikailag szorosan kell monitorozni (keresni kell a vérzés vagy anaemia jeleit). A dózis módosítását az orvos dönti el a potenciális előnyök és a kockázatok betegenként egyénileg történő mérlegelése után (lásd 2. táblázat fent). Az alvadási vizsgálat (lásd 4.4) segíthet azonosítani a túlzott dabigatrán-expozíció miatt fokozott vérzési kockázatú betegeket. Ha túlzott dabigatrán-expozíciót mutatnak ki nagy vérzési kockázatú betegnél, 220 mg-os csökkentett napi dózis adása javasolt napi kétszer egy darab 110 mg-os kapszula formájában. Klinikailag jelentős vérzés jelentkezése esetén a kezelést meg kell szakítani.</w:t>
      </w:r>
    </w:p>
    <w:p w14:paraId="622410B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A230D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Gastritis, oesophagitis vagy gastrooesophagealis reflux esetén a gastrointestinalis vérzés fokozott kockázata miatt csökkentett dózis alkalmazása javasolt (lásd 2. táblázat fent és 4.4 pont).</w:t>
      </w:r>
    </w:p>
    <w:p w14:paraId="1538ABA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A1F0A8D"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Vesekárosodás</w:t>
      </w:r>
    </w:p>
    <w:p w14:paraId="53E4A2F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54D564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a súlyos vesekárosodásban szenvedő betegeknél (30 ml/perc alatti kreatinin-clearance [CrCl]) ellenjavallt (lásd 4.3 pont).</w:t>
      </w:r>
    </w:p>
    <w:p w14:paraId="02F35BCE" w14:textId="508B4561"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 módosítása enyhe (CrCl 50</w:t>
      </w:r>
      <w:r w:rsidR="00E06844">
        <w:rPr>
          <w:rFonts w:ascii="Times New Roman" w:eastAsia="Times New Roman" w:hAnsi="Times New Roman" w:cs="Times New Roman"/>
          <w:noProof w:val="0"/>
          <w:color w:val="000000"/>
          <w:kern w:val="0"/>
          <w:lang w:val="hu-HU" w:eastAsia="hu-HU"/>
          <w14:ligatures w14:val="none"/>
        </w:rPr>
        <w:t> </w:t>
      </w:r>
      <w:r w:rsidR="00E06844" w:rsidRPr="00617FC7">
        <w:rPr>
          <w:rFonts w:ascii="Times New Roman" w:eastAsia="Times New Roman" w:hAnsi="Times New Roman" w:cs="Times New Roman"/>
          <w:noProof w:val="0"/>
          <w:color w:val="000000"/>
          <w:lang w:val="hu-HU"/>
        </w:rPr>
        <w:noBreakHyphen/>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kern w:val="0"/>
          <w:lang w:val="hu-HU" w:eastAsia="hu-HU"/>
          <w14:ligatures w14:val="none"/>
        </w:rPr>
        <w:t>≤ 80 ml/perc) vesekárosodásban nem szükséges. Közepesen súlyos vesekárosodásban (CrCl 30</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noBreakHyphen/>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50 ml/perc) szenvedő betegek ajánlott dabigatrán-etexilát dózisa szintén 300 mg (naponta kétszer egy darab 150 mg-os kapszula formájában). Mindazonáltal a magas vérzési kockázatú betegeknél a dabigatrán-etexilát napi dózisának 220 mg-ra (kétszer egy darab 110 mg-os kapszula formájában) való csökkentése is megfontolandó (lásd 4.4 és 5.2 pont). A vesekárosodásban szenvedő betegek szoros klinikai megfigyelése javasolt.</w:t>
      </w:r>
    </w:p>
    <w:p w14:paraId="4D158CE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ECC6EEA" w14:textId="09F16971"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 xml:space="preserve">A dabigatrán-etexilát egyidejű alkalmazása gyenge és közepesen erős P-glikoprotein- (P-gp-) inhibitorokkal, </w:t>
      </w:r>
      <w:r w:rsidR="00A2754E">
        <w:rPr>
          <w:rFonts w:ascii="Times New Roman" w:eastAsia="Times New Roman" w:hAnsi="Times New Roman" w:cs="Times New Roman"/>
          <w:i/>
          <w:noProof w:val="0"/>
          <w:color w:val="000000"/>
          <w:kern w:val="0"/>
          <w:lang w:val="hu-HU" w:eastAsia="hu-HU"/>
          <w14:ligatures w14:val="none"/>
        </w:rPr>
        <w:t>például</w:t>
      </w:r>
      <w:r w:rsidRPr="00617FC7">
        <w:rPr>
          <w:rFonts w:ascii="Times New Roman" w:eastAsia="Times New Roman" w:hAnsi="Times New Roman" w:cs="Times New Roman"/>
          <w:i/>
          <w:noProof w:val="0"/>
          <w:color w:val="000000"/>
          <w:kern w:val="0"/>
          <w:lang w:val="hu-HU" w:eastAsia="hu-HU"/>
          <w14:ligatures w14:val="none"/>
        </w:rPr>
        <w:t xml:space="preserve"> amiodaronnal, kinidinnel vagy verapamillal</w:t>
      </w:r>
    </w:p>
    <w:p w14:paraId="13C7D96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4ED234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 módosítása nem szükséges amiodaronnal vagy kinidinnel történő együttes alkalmazáskor (lásd 4.4, 4.5 és 5.2 pont).</w:t>
      </w:r>
    </w:p>
    <w:p w14:paraId="4870591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1623E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Dóziscsökkentés javasolt azoknál a betegeknél, akik egyidejűleg verapamilt is kapnak (lásd 2. táblázat fent, valamint 4.4 és 4.5 pont). Ebben az esetben a dabigatrán-etexilátot és a verapamilt egyszerre kell bevenni.</w:t>
      </w:r>
    </w:p>
    <w:p w14:paraId="016CA51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0056DF1"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Testtömeg</w:t>
      </w:r>
    </w:p>
    <w:p w14:paraId="2B579E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6A710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 módosítása nem szükséges (lásd 5.2 pont), de az 50 kg alatti testtömegű betegeknél szoros klinikai követés javasolt (lásd 4.4 pont).</w:t>
      </w:r>
    </w:p>
    <w:p w14:paraId="1D7EB8F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189AD2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Nem</w:t>
      </w:r>
    </w:p>
    <w:p w14:paraId="39C45C1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D0E2E5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dózis módosítása nem szükséges (lásd 5.2 pont).</w:t>
      </w:r>
    </w:p>
    <w:p w14:paraId="64153BE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DA763B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Gyermekek és serdülők</w:t>
      </w:r>
    </w:p>
    <w:p w14:paraId="39A8F45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1B2826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dabigatrán-etexilátnak nincs releváns alkalmazása a gyermekeknél és serdülőknél a következő indikációban: a stroke és a szisztémás embolisatio prevenciója nem billentyű eredetű pitvarfibrillációban szenvedő betegeken.</w:t>
      </w:r>
    </w:p>
    <w:p w14:paraId="58425AC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A058B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i/>
          <w:noProof w:val="0"/>
          <w:color w:val="000000"/>
          <w:kern w:val="0"/>
          <w:u w:val="single" w:color="000000"/>
          <w:lang w:val="hu-HU" w:eastAsia="hu-HU"/>
          <w14:ligatures w14:val="none"/>
        </w:rPr>
        <w:t xml:space="preserve">VTE kezelése és VTE kiújulásának megelőzése gyermekeknél </w:t>
      </w:r>
      <w:r w:rsidRPr="00617FC7">
        <w:rPr>
          <w:rFonts w:ascii="Times New Roman" w:eastAsia="Times New Roman" w:hAnsi="Times New Roman" w:cs="Times New Roman"/>
          <w:b/>
          <w:i/>
          <w:noProof w:val="0"/>
          <w:color w:val="000000"/>
          <w:kern w:val="0"/>
          <w:u w:val="single"/>
          <w:lang w:val="hu-HU" w:eastAsia="hu-HU"/>
          <w14:ligatures w14:val="none"/>
        </w:rPr>
        <w:t>és serdülőknél</w:t>
      </w:r>
    </w:p>
    <w:p w14:paraId="1677F33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2BB630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VTE kezelésekor gyermekeknél és serdülőknél a kezelést legalább 5 napos parenterális antikoaguláns kezelést követően kell megkezdeni. A VTE kiújulásának megelőzése érdekében végzett kezelést a korábbi kezelés folytatásaként kell alkalmazni.</w:t>
      </w:r>
    </w:p>
    <w:p w14:paraId="39D38ED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1A980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A dabigatrán-etexilát kapszulát naponta kétszer kell bevenni</w:t>
      </w:r>
      <w:r w:rsidRPr="00617FC7">
        <w:rPr>
          <w:rFonts w:ascii="Times New Roman" w:eastAsia="Times New Roman" w:hAnsi="Times New Roman" w:cs="Times New Roman"/>
          <w:noProof w:val="0"/>
          <w:color w:val="000000"/>
          <w:kern w:val="0"/>
          <w:lang w:val="hu-HU" w:eastAsia="hu-HU"/>
          <w14:ligatures w14:val="none"/>
        </w:rPr>
        <w:t>, egy adagot reggel és egy adagot este, minden nap körülbelül azonos időben. A bevételek között eltelt időnek a lehető legközelebb kell lennie 12 órához.</w:t>
      </w:r>
    </w:p>
    <w:p w14:paraId="0B4735EA" w14:textId="77777777" w:rsidR="00536CD0" w:rsidRPr="00617FC7" w:rsidRDefault="00536CD0" w:rsidP="00536CD0">
      <w:pPr>
        <w:spacing w:after="0" w:line="240" w:lineRule="auto"/>
        <w:ind w:left="7" w:right="126" w:hanging="10"/>
        <w:rPr>
          <w:rFonts w:ascii="Times New Roman" w:eastAsia="Times New Roman" w:hAnsi="Times New Roman" w:cs="Times New Roman"/>
          <w:noProof w:val="0"/>
          <w:color w:val="000000"/>
          <w:kern w:val="0"/>
          <w:lang w:val="hu-HU" w:eastAsia="hu-HU"/>
          <w14:ligatures w14:val="none"/>
        </w:rPr>
      </w:pPr>
    </w:p>
    <w:p w14:paraId="45EBFEAA" w14:textId="77777777" w:rsidR="00536CD0" w:rsidRPr="00617FC7" w:rsidRDefault="00536CD0" w:rsidP="00536CD0">
      <w:pPr>
        <w:spacing w:after="0" w:line="240" w:lineRule="auto"/>
        <w:ind w:left="7" w:right="126"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kapszula javasolt dózisa a beteg testtömegétől és életkorától függ, amint azt a 4. táblázat mutatja. A dózist a kezelés előrehaladtával testtömeg és életkor szerint módosítani kell.</w:t>
      </w:r>
    </w:p>
    <w:p w14:paraId="0995A37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CADC32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adagolási táblázatban nem szereplő testtömeg- és életkor-kombinációk esetén nem adható adagolási javaslat.</w:t>
      </w:r>
    </w:p>
    <w:p w14:paraId="4125B49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E8D1E5A" w14:textId="77777777" w:rsidR="00536CD0" w:rsidRPr="00617FC7" w:rsidRDefault="00536CD0" w:rsidP="00536CD0">
      <w:pPr>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 táblázat. A Telexer egyszeri és teljes napi adagja (milligramm [mg] értékben meghatározva, a beteg kilogrammban megadott testtömege [kg] és évben megadott életkora alapján)</w:t>
      </w:r>
    </w:p>
    <w:p w14:paraId="66D25050" w14:textId="77777777" w:rsidR="00536CD0" w:rsidRPr="00617FC7" w:rsidRDefault="00536CD0" w:rsidP="00536CD0">
      <w:pPr>
        <w:spacing w:after="0" w:line="240" w:lineRule="auto"/>
        <w:ind w:left="988" w:hanging="991"/>
        <w:rPr>
          <w:rFonts w:ascii="Times New Roman" w:eastAsia="Times New Roman" w:hAnsi="Times New Roman" w:cs="Times New Roman"/>
          <w:noProof w:val="0"/>
          <w:color w:val="000000"/>
          <w:kern w:val="0"/>
          <w:lang w:val="hu-HU" w:eastAsia="hu-HU"/>
          <w14:ligatures w14:val="none"/>
        </w:rPr>
      </w:pPr>
    </w:p>
    <w:tbl>
      <w:tblPr>
        <w:tblStyle w:val="TableGrid"/>
        <w:tblW w:w="9060" w:type="dxa"/>
        <w:tblInd w:w="17" w:type="dxa"/>
        <w:tblCellMar>
          <w:top w:w="51" w:type="dxa"/>
          <w:left w:w="108" w:type="dxa"/>
          <w:right w:w="114" w:type="dxa"/>
        </w:tblCellMar>
        <w:tblLook w:val="04A0" w:firstRow="1" w:lastRow="0" w:firstColumn="1" w:lastColumn="0" w:noHBand="0" w:noVBand="1"/>
      </w:tblPr>
      <w:tblGrid>
        <w:gridCol w:w="2265"/>
        <w:gridCol w:w="2263"/>
        <w:gridCol w:w="2266"/>
        <w:gridCol w:w="2266"/>
      </w:tblGrid>
      <w:tr w:rsidR="00536CD0" w:rsidRPr="00617FC7" w14:paraId="2BD0F2F6" w14:textId="77777777" w:rsidTr="009355E0">
        <w:trPr>
          <w:trHeight w:val="262"/>
        </w:trPr>
        <w:tc>
          <w:tcPr>
            <w:tcW w:w="4529" w:type="dxa"/>
            <w:gridSpan w:val="2"/>
            <w:tcBorders>
              <w:top w:val="single" w:sz="4" w:space="0" w:color="000000"/>
              <w:left w:val="single" w:sz="4" w:space="0" w:color="000000"/>
              <w:bottom w:val="single" w:sz="4" w:space="0" w:color="000000"/>
              <w:right w:val="single" w:sz="4" w:space="0" w:color="000000"/>
            </w:tcBorders>
          </w:tcPr>
          <w:p w14:paraId="2D60034D"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Testtömeg/életkor kombinációk</w:t>
            </w:r>
          </w:p>
        </w:tc>
        <w:tc>
          <w:tcPr>
            <w:tcW w:w="2266" w:type="dxa"/>
            <w:vMerge w:val="restart"/>
            <w:tcBorders>
              <w:top w:val="single" w:sz="4" w:space="0" w:color="000000"/>
              <w:left w:val="single" w:sz="4" w:space="0" w:color="000000"/>
              <w:bottom w:val="single" w:sz="4" w:space="0" w:color="000000"/>
              <w:right w:val="single" w:sz="4" w:space="0" w:color="000000"/>
            </w:tcBorders>
          </w:tcPr>
          <w:p w14:paraId="576B6C93"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Egyszeri adag (mg)</w:t>
            </w:r>
          </w:p>
        </w:tc>
        <w:tc>
          <w:tcPr>
            <w:tcW w:w="2266" w:type="dxa"/>
            <w:vMerge w:val="restart"/>
            <w:tcBorders>
              <w:top w:val="single" w:sz="4" w:space="0" w:color="000000"/>
              <w:left w:val="single" w:sz="4" w:space="0" w:color="000000"/>
              <w:bottom w:val="single" w:sz="4" w:space="0" w:color="000000"/>
              <w:right w:val="single" w:sz="4" w:space="0" w:color="000000"/>
            </w:tcBorders>
          </w:tcPr>
          <w:p w14:paraId="4F3127CE" w14:textId="77777777" w:rsidR="00536CD0" w:rsidRPr="00617FC7" w:rsidRDefault="00536CD0" w:rsidP="00536CD0">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Teljes napi adag (mg)</w:t>
            </w:r>
          </w:p>
        </w:tc>
      </w:tr>
      <w:tr w:rsidR="00536CD0" w:rsidRPr="00617FC7" w14:paraId="33051914"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0A059B2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Testtömeg (kg)</w:t>
            </w:r>
          </w:p>
        </w:tc>
        <w:tc>
          <w:tcPr>
            <w:tcW w:w="2263" w:type="dxa"/>
            <w:tcBorders>
              <w:top w:val="single" w:sz="4" w:space="0" w:color="000000"/>
              <w:left w:val="single" w:sz="4" w:space="0" w:color="000000"/>
              <w:bottom w:val="single" w:sz="4" w:space="0" w:color="000000"/>
              <w:right w:val="single" w:sz="4" w:space="0" w:color="000000"/>
            </w:tcBorders>
          </w:tcPr>
          <w:p w14:paraId="141D6A6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b/>
                <w:noProof w:val="0"/>
                <w:color w:val="000000"/>
                <w:lang w:val="hu-HU"/>
              </w:rPr>
              <w:t>Életkor (év)</w:t>
            </w:r>
          </w:p>
        </w:tc>
        <w:tc>
          <w:tcPr>
            <w:tcW w:w="0" w:type="auto"/>
            <w:vMerge/>
            <w:tcBorders>
              <w:top w:val="nil"/>
              <w:left w:val="single" w:sz="4" w:space="0" w:color="000000"/>
              <w:bottom w:val="single" w:sz="4" w:space="0" w:color="000000"/>
              <w:right w:val="single" w:sz="4" w:space="0" w:color="000000"/>
            </w:tcBorders>
          </w:tcPr>
          <w:p w14:paraId="4787BF58" w14:textId="77777777" w:rsidR="00536CD0" w:rsidRPr="00617FC7" w:rsidRDefault="00536CD0" w:rsidP="00536CD0">
            <w:pPr>
              <w:rPr>
                <w:rFonts w:ascii="Times New Roman" w:eastAsia="Times New Roman" w:hAnsi="Times New Roman" w:cs="Times New Roman"/>
                <w:noProof w:val="0"/>
                <w:color w:val="000000"/>
                <w:lang w:val="hu-HU"/>
              </w:rPr>
            </w:pPr>
          </w:p>
        </w:tc>
        <w:tc>
          <w:tcPr>
            <w:tcW w:w="0" w:type="auto"/>
            <w:vMerge/>
            <w:tcBorders>
              <w:top w:val="nil"/>
              <w:left w:val="single" w:sz="4" w:space="0" w:color="000000"/>
              <w:bottom w:val="single" w:sz="4" w:space="0" w:color="000000"/>
              <w:right w:val="single" w:sz="4" w:space="0" w:color="000000"/>
            </w:tcBorders>
          </w:tcPr>
          <w:p w14:paraId="3DC46936"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3410D10C"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659FF3A6" w14:textId="0D66C74E"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13</w:t>
            </w:r>
          </w:p>
        </w:tc>
        <w:tc>
          <w:tcPr>
            <w:tcW w:w="2263" w:type="dxa"/>
            <w:tcBorders>
              <w:top w:val="single" w:sz="4" w:space="0" w:color="000000"/>
              <w:left w:val="single" w:sz="4" w:space="0" w:color="000000"/>
              <w:bottom w:val="single" w:sz="4" w:space="0" w:color="000000"/>
              <w:right w:val="single" w:sz="4" w:space="0" w:color="000000"/>
            </w:tcBorders>
          </w:tcPr>
          <w:p w14:paraId="445309E9" w14:textId="3AF8B81A"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9</w:t>
            </w:r>
          </w:p>
        </w:tc>
        <w:tc>
          <w:tcPr>
            <w:tcW w:w="2266" w:type="dxa"/>
            <w:tcBorders>
              <w:top w:val="single" w:sz="4" w:space="0" w:color="000000"/>
              <w:left w:val="single" w:sz="4" w:space="0" w:color="000000"/>
              <w:bottom w:val="single" w:sz="4" w:space="0" w:color="000000"/>
              <w:right w:val="single" w:sz="4" w:space="0" w:color="000000"/>
            </w:tcBorders>
          </w:tcPr>
          <w:p w14:paraId="40B00AFB"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75</w:t>
            </w:r>
            <w:r w:rsidRPr="00617FC7">
              <w:rPr>
                <w:rFonts w:ascii="Times New Roman" w:eastAsia="Times New Roman" w:hAnsi="Times New Roman" w:cs="Times New Roman"/>
                <w:noProof w:val="0"/>
                <w:color w:val="000000" w:themeColor="text1"/>
                <w:lang w:val="hu-HU" w:bidi="en-US"/>
              </w:rPr>
              <w:t>*</w:t>
            </w:r>
          </w:p>
        </w:tc>
        <w:tc>
          <w:tcPr>
            <w:tcW w:w="2266" w:type="dxa"/>
            <w:tcBorders>
              <w:top w:val="single" w:sz="4" w:space="0" w:color="000000"/>
              <w:left w:val="single" w:sz="4" w:space="0" w:color="000000"/>
              <w:bottom w:val="single" w:sz="4" w:space="0" w:color="000000"/>
              <w:right w:val="single" w:sz="4" w:space="0" w:color="000000"/>
            </w:tcBorders>
          </w:tcPr>
          <w:p w14:paraId="3CA22922"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w:t>
            </w:r>
          </w:p>
        </w:tc>
      </w:tr>
      <w:tr w:rsidR="00536CD0" w:rsidRPr="00617FC7" w14:paraId="7287BB09" w14:textId="77777777" w:rsidTr="009355E0">
        <w:trPr>
          <w:trHeight w:val="262"/>
        </w:trPr>
        <w:tc>
          <w:tcPr>
            <w:tcW w:w="2266" w:type="dxa"/>
            <w:tcBorders>
              <w:top w:val="single" w:sz="4" w:space="0" w:color="000000"/>
              <w:left w:val="single" w:sz="4" w:space="0" w:color="000000"/>
              <w:bottom w:val="single" w:sz="4" w:space="0" w:color="000000"/>
              <w:right w:val="single" w:sz="4" w:space="0" w:color="000000"/>
            </w:tcBorders>
          </w:tcPr>
          <w:p w14:paraId="04308F15" w14:textId="72BBA332"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16</w:t>
            </w:r>
          </w:p>
        </w:tc>
        <w:tc>
          <w:tcPr>
            <w:tcW w:w="2263" w:type="dxa"/>
            <w:tcBorders>
              <w:top w:val="single" w:sz="4" w:space="0" w:color="000000"/>
              <w:left w:val="single" w:sz="4" w:space="0" w:color="000000"/>
              <w:bottom w:val="single" w:sz="4" w:space="0" w:color="000000"/>
              <w:right w:val="single" w:sz="4" w:space="0" w:color="000000"/>
            </w:tcBorders>
          </w:tcPr>
          <w:p w14:paraId="55EDC450" w14:textId="2370A8A1"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11</w:t>
            </w:r>
          </w:p>
        </w:tc>
        <w:tc>
          <w:tcPr>
            <w:tcW w:w="2266" w:type="dxa"/>
            <w:tcBorders>
              <w:top w:val="single" w:sz="4" w:space="0" w:color="000000"/>
              <w:left w:val="single" w:sz="4" w:space="0" w:color="000000"/>
              <w:bottom w:val="single" w:sz="4" w:space="0" w:color="000000"/>
              <w:right w:val="single" w:sz="4" w:space="0" w:color="000000"/>
            </w:tcBorders>
          </w:tcPr>
          <w:p w14:paraId="1D9106EF"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w:t>
            </w:r>
          </w:p>
        </w:tc>
        <w:tc>
          <w:tcPr>
            <w:tcW w:w="2266" w:type="dxa"/>
            <w:tcBorders>
              <w:top w:val="single" w:sz="4" w:space="0" w:color="000000"/>
              <w:left w:val="single" w:sz="4" w:space="0" w:color="000000"/>
              <w:bottom w:val="single" w:sz="4" w:space="0" w:color="000000"/>
              <w:right w:val="single" w:sz="4" w:space="0" w:color="000000"/>
            </w:tcBorders>
          </w:tcPr>
          <w:p w14:paraId="5FC3B871"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w:t>
            </w:r>
          </w:p>
        </w:tc>
      </w:tr>
      <w:tr w:rsidR="00536CD0" w:rsidRPr="00617FC7" w14:paraId="74C0DEA1"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5C1F4F5D" w14:textId="3401FEE2"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16</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21</w:t>
            </w:r>
          </w:p>
        </w:tc>
        <w:tc>
          <w:tcPr>
            <w:tcW w:w="2263" w:type="dxa"/>
            <w:tcBorders>
              <w:top w:val="single" w:sz="4" w:space="0" w:color="000000"/>
              <w:left w:val="single" w:sz="4" w:space="0" w:color="000000"/>
              <w:bottom w:val="single" w:sz="4" w:space="0" w:color="000000"/>
              <w:right w:val="single" w:sz="4" w:space="0" w:color="000000"/>
            </w:tcBorders>
          </w:tcPr>
          <w:p w14:paraId="38348FCE" w14:textId="4B9BE823"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14</w:t>
            </w:r>
          </w:p>
        </w:tc>
        <w:tc>
          <w:tcPr>
            <w:tcW w:w="2266" w:type="dxa"/>
            <w:tcBorders>
              <w:top w:val="single" w:sz="4" w:space="0" w:color="000000"/>
              <w:left w:val="single" w:sz="4" w:space="0" w:color="000000"/>
              <w:bottom w:val="single" w:sz="4" w:space="0" w:color="000000"/>
              <w:right w:val="single" w:sz="4" w:space="0" w:color="000000"/>
            </w:tcBorders>
          </w:tcPr>
          <w:p w14:paraId="537DB6B0"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w:t>
            </w:r>
          </w:p>
        </w:tc>
        <w:tc>
          <w:tcPr>
            <w:tcW w:w="2266" w:type="dxa"/>
            <w:tcBorders>
              <w:top w:val="single" w:sz="4" w:space="0" w:color="000000"/>
              <w:left w:val="single" w:sz="4" w:space="0" w:color="000000"/>
              <w:bottom w:val="single" w:sz="4" w:space="0" w:color="000000"/>
              <w:right w:val="single" w:sz="4" w:space="0" w:color="000000"/>
            </w:tcBorders>
          </w:tcPr>
          <w:p w14:paraId="18D66A83"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w:t>
            </w:r>
          </w:p>
        </w:tc>
      </w:tr>
      <w:tr w:rsidR="00536CD0" w:rsidRPr="00617FC7" w14:paraId="24064180" w14:textId="77777777" w:rsidTr="009355E0">
        <w:trPr>
          <w:trHeight w:val="262"/>
        </w:trPr>
        <w:tc>
          <w:tcPr>
            <w:tcW w:w="2266" w:type="dxa"/>
            <w:tcBorders>
              <w:top w:val="single" w:sz="4" w:space="0" w:color="000000"/>
              <w:left w:val="single" w:sz="4" w:space="0" w:color="000000"/>
              <w:bottom w:val="single" w:sz="4" w:space="0" w:color="000000"/>
              <w:right w:val="single" w:sz="4" w:space="0" w:color="000000"/>
            </w:tcBorders>
          </w:tcPr>
          <w:p w14:paraId="2629CBCA" w14:textId="37255DDB"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26</w:t>
            </w:r>
          </w:p>
        </w:tc>
        <w:tc>
          <w:tcPr>
            <w:tcW w:w="2263" w:type="dxa"/>
            <w:tcBorders>
              <w:top w:val="single" w:sz="4" w:space="0" w:color="000000"/>
              <w:left w:val="single" w:sz="4" w:space="0" w:color="000000"/>
              <w:bottom w:val="single" w:sz="4" w:space="0" w:color="000000"/>
              <w:right w:val="single" w:sz="4" w:space="0" w:color="000000"/>
            </w:tcBorders>
          </w:tcPr>
          <w:p w14:paraId="2C7BBD41" w14:textId="2F8E7DEA"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16</w:t>
            </w:r>
          </w:p>
        </w:tc>
        <w:tc>
          <w:tcPr>
            <w:tcW w:w="2266" w:type="dxa"/>
            <w:tcBorders>
              <w:top w:val="single" w:sz="4" w:space="0" w:color="000000"/>
              <w:left w:val="single" w:sz="4" w:space="0" w:color="000000"/>
              <w:bottom w:val="single" w:sz="4" w:space="0" w:color="000000"/>
              <w:right w:val="single" w:sz="4" w:space="0" w:color="000000"/>
            </w:tcBorders>
          </w:tcPr>
          <w:p w14:paraId="22183B49"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w:t>
            </w:r>
          </w:p>
        </w:tc>
        <w:tc>
          <w:tcPr>
            <w:tcW w:w="2266" w:type="dxa"/>
            <w:tcBorders>
              <w:top w:val="single" w:sz="4" w:space="0" w:color="000000"/>
              <w:left w:val="single" w:sz="4" w:space="0" w:color="000000"/>
              <w:bottom w:val="single" w:sz="4" w:space="0" w:color="000000"/>
              <w:right w:val="single" w:sz="4" w:space="0" w:color="000000"/>
            </w:tcBorders>
          </w:tcPr>
          <w:p w14:paraId="16A71CBD"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w:t>
            </w:r>
          </w:p>
        </w:tc>
      </w:tr>
      <w:tr w:rsidR="00536CD0" w:rsidRPr="00617FC7" w14:paraId="3497A73A"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1F0B7FE1" w14:textId="08814E4E"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31</w:t>
            </w:r>
          </w:p>
        </w:tc>
        <w:tc>
          <w:tcPr>
            <w:tcW w:w="2263" w:type="dxa"/>
            <w:tcBorders>
              <w:top w:val="single" w:sz="4" w:space="0" w:color="000000"/>
              <w:left w:val="single" w:sz="4" w:space="0" w:color="000000"/>
              <w:bottom w:val="single" w:sz="4" w:space="0" w:color="000000"/>
              <w:right w:val="single" w:sz="4" w:space="0" w:color="000000"/>
            </w:tcBorders>
          </w:tcPr>
          <w:p w14:paraId="17358CF1" w14:textId="63A5C712"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7C6CC7D9"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w:t>
            </w:r>
          </w:p>
        </w:tc>
        <w:tc>
          <w:tcPr>
            <w:tcW w:w="2266" w:type="dxa"/>
            <w:tcBorders>
              <w:top w:val="single" w:sz="4" w:space="0" w:color="000000"/>
              <w:left w:val="single" w:sz="4" w:space="0" w:color="000000"/>
              <w:bottom w:val="single" w:sz="4" w:space="0" w:color="000000"/>
              <w:right w:val="single" w:sz="4" w:space="0" w:color="000000"/>
            </w:tcBorders>
          </w:tcPr>
          <w:p w14:paraId="743BC8EA"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w:t>
            </w:r>
          </w:p>
        </w:tc>
      </w:tr>
      <w:tr w:rsidR="00536CD0" w:rsidRPr="00617FC7" w14:paraId="394F11C4" w14:textId="77777777" w:rsidTr="009355E0">
        <w:trPr>
          <w:trHeight w:val="262"/>
        </w:trPr>
        <w:tc>
          <w:tcPr>
            <w:tcW w:w="2266" w:type="dxa"/>
            <w:tcBorders>
              <w:top w:val="single" w:sz="4" w:space="0" w:color="000000"/>
              <w:left w:val="single" w:sz="4" w:space="0" w:color="000000"/>
              <w:bottom w:val="single" w:sz="4" w:space="0" w:color="000000"/>
              <w:right w:val="single" w:sz="4" w:space="0" w:color="000000"/>
            </w:tcBorders>
          </w:tcPr>
          <w:p w14:paraId="38F73D67" w14:textId="69D2FB5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41</w:t>
            </w:r>
          </w:p>
        </w:tc>
        <w:tc>
          <w:tcPr>
            <w:tcW w:w="2263" w:type="dxa"/>
            <w:tcBorders>
              <w:top w:val="single" w:sz="4" w:space="0" w:color="000000"/>
              <w:left w:val="single" w:sz="4" w:space="0" w:color="000000"/>
              <w:bottom w:val="single" w:sz="4" w:space="0" w:color="000000"/>
              <w:right w:val="single" w:sz="4" w:space="0" w:color="000000"/>
            </w:tcBorders>
          </w:tcPr>
          <w:p w14:paraId="7FFB7061" w14:textId="5E0137D5"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6C1342E1"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185</w:t>
            </w:r>
            <w:r w:rsidRPr="00617FC7">
              <w:rPr>
                <w:rFonts w:ascii="Times New Roman" w:eastAsia="Times New Roman" w:hAnsi="Times New Roman" w:cs="Times New Roman"/>
                <w:noProof w:val="0"/>
                <w:color w:val="000000" w:themeColor="text1"/>
                <w:lang w:val="hu-HU" w:bidi="en-US"/>
              </w:rPr>
              <w:t>*</w:t>
            </w:r>
          </w:p>
        </w:tc>
        <w:tc>
          <w:tcPr>
            <w:tcW w:w="2266" w:type="dxa"/>
            <w:tcBorders>
              <w:top w:val="single" w:sz="4" w:space="0" w:color="000000"/>
              <w:left w:val="single" w:sz="4" w:space="0" w:color="000000"/>
              <w:bottom w:val="single" w:sz="4" w:space="0" w:color="000000"/>
              <w:right w:val="single" w:sz="4" w:space="0" w:color="000000"/>
            </w:tcBorders>
          </w:tcPr>
          <w:p w14:paraId="39F9A581"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370</w:t>
            </w:r>
          </w:p>
        </w:tc>
      </w:tr>
      <w:tr w:rsidR="00536CD0" w:rsidRPr="00617FC7" w14:paraId="2CEFE220"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2969661E" w14:textId="6FC7D08D"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51</w:t>
            </w:r>
          </w:p>
        </w:tc>
        <w:tc>
          <w:tcPr>
            <w:tcW w:w="2263" w:type="dxa"/>
            <w:tcBorders>
              <w:top w:val="single" w:sz="4" w:space="0" w:color="000000"/>
              <w:left w:val="single" w:sz="4" w:space="0" w:color="000000"/>
              <w:bottom w:val="single" w:sz="4" w:space="0" w:color="000000"/>
              <w:right w:val="single" w:sz="4" w:space="0" w:color="000000"/>
            </w:tcBorders>
          </w:tcPr>
          <w:p w14:paraId="4B7F658A" w14:textId="5F9899D2"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71673466"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w:t>
            </w:r>
          </w:p>
        </w:tc>
        <w:tc>
          <w:tcPr>
            <w:tcW w:w="2266" w:type="dxa"/>
            <w:tcBorders>
              <w:top w:val="single" w:sz="4" w:space="0" w:color="000000"/>
              <w:left w:val="single" w:sz="4" w:space="0" w:color="000000"/>
              <w:bottom w:val="single" w:sz="4" w:space="0" w:color="000000"/>
              <w:right w:val="single" w:sz="4" w:space="0" w:color="000000"/>
            </w:tcBorders>
          </w:tcPr>
          <w:p w14:paraId="1F522205"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440</w:t>
            </w:r>
          </w:p>
        </w:tc>
      </w:tr>
      <w:tr w:rsidR="00536CD0" w:rsidRPr="00617FC7" w14:paraId="4526BF6E"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09C2A3F8" w14:textId="7C51FD01"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61</w:t>
            </w:r>
          </w:p>
        </w:tc>
        <w:tc>
          <w:tcPr>
            <w:tcW w:w="2263" w:type="dxa"/>
            <w:tcBorders>
              <w:top w:val="single" w:sz="4" w:space="0" w:color="000000"/>
              <w:left w:val="single" w:sz="4" w:space="0" w:color="000000"/>
              <w:bottom w:val="single" w:sz="4" w:space="0" w:color="000000"/>
              <w:right w:val="single" w:sz="4" w:space="0" w:color="000000"/>
            </w:tcBorders>
          </w:tcPr>
          <w:p w14:paraId="0B19195E" w14:textId="706408E5"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5CEEEE6F"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260</w:t>
            </w:r>
          </w:p>
        </w:tc>
        <w:tc>
          <w:tcPr>
            <w:tcW w:w="2266" w:type="dxa"/>
            <w:tcBorders>
              <w:top w:val="single" w:sz="4" w:space="0" w:color="000000"/>
              <w:left w:val="single" w:sz="4" w:space="0" w:color="000000"/>
              <w:bottom w:val="single" w:sz="4" w:space="0" w:color="000000"/>
              <w:right w:val="single" w:sz="4" w:space="0" w:color="000000"/>
            </w:tcBorders>
          </w:tcPr>
          <w:p w14:paraId="553DF682"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520</w:t>
            </w:r>
          </w:p>
        </w:tc>
      </w:tr>
      <w:tr w:rsidR="00536CD0" w:rsidRPr="00617FC7" w14:paraId="5AB42B3C" w14:textId="77777777" w:rsidTr="009355E0">
        <w:trPr>
          <w:trHeight w:val="262"/>
        </w:trPr>
        <w:tc>
          <w:tcPr>
            <w:tcW w:w="2266" w:type="dxa"/>
            <w:tcBorders>
              <w:top w:val="single" w:sz="4" w:space="0" w:color="000000"/>
              <w:left w:val="single" w:sz="4" w:space="0" w:color="000000"/>
              <w:bottom w:val="single" w:sz="4" w:space="0" w:color="000000"/>
              <w:right w:val="single" w:sz="4" w:space="0" w:color="000000"/>
            </w:tcBorders>
          </w:tcPr>
          <w:p w14:paraId="7A8AAF81" w14:textId="48B62B02"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61</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71</w:t>
            </w:r>
          </w:p>
        </w:tc>
        <w:tc>
          <w:tcPr>
            <w:tcW w:w="2263" w:type="dxa"/>
            <w:tcBorders>
              <w:top w:val="single" w:sz="4" w:space="0" w:color="000000"/>
              <w:left w:val="single" w:sz="4" w:space="0" w:color="000000"/>
              <w:bottom w:val="single" w:sz="4" w:space="0" w:color="000000"/>
              <w:right w:val="single" w:sz="4" w:space="0" w:color="000000"/>
            </w:tcBorders>
          </w:tcPr>
          <w:p w14:paraId="357BF22F" w14:textId="0F9CC246"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6F06B489"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w:t>
            </w:r>
          </w:p>
        </w:tc>
        <w:tc>
          <w:tcPr>
            <w:tcW w:w="2266" w:type="dxa"/>
            <w:tcBorders>
              <w:top w:val="single" w:sz="4" w:space="0" w:color="000000"/>
              <w:left w:val="single" w:sz="4" w:space="0" w:color="000000"/>
              <w:bottom w:val="single" w:sz="4" w:space="0" w:color="000000"/>
              <w:right w:val="single" w:sz="4" w:space="0" w:color="000000"/>
            </w:tcBorders>
          </w:tcPr>
          <w:p w14:paraId="6F48E633"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600</w:t>
            </w:r>
          </w:p>
        </w:tc>
      </w:tr>
      <w:tr w:rsidR="00536CD0" w:rsidRPr="00617FC7" w14:paraId="6038F4D9" w14:textId="77777777" w:rsidTr="009355E0">
        <w:trPr>
          <w:trHeight w:val="264"/>
        </w:trPr>
        <w:tc>
          <w:tcPr>
            <w:tcW w:w="2266" w:type="dxa"/>
            <w:tcBorders>
              <w:top w:val="single" w:sz="4" w:space="0" w:color="000000"/>
              <w:left w:val="single" w:sz="4" w:space="0" w:color="000000"/>
              <w:bottom w:val="single" w:sz="4" w:space="0" w:color="000000"/>
              <w:right w:val="single" w:sz="4" w:space="0" w:color="000000"/>
            </w:tcBorders>
          </w:tcPr>
          <w:p w14:paraId="4CEB8E9D" w14:textId="1DDC8589"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71</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81</w:t>
            </w:r>
          </w:p>
        </w:tc>
        <w:tc>
          <w:tcPr>
            <w:tcW w:w="2263" w:type="dxa"/>
            <w:tcBorders>
              <w:top w:val="single" w:sz="4" w:space="0" w:color="000000"/>
              <w:left w:val="single" w:sz="4" w:space="0" w:color="000000"/>
              <w:bottom w:val="single" w:sz="4" w:space="0" w:color="000000"/>
              <w:right w:val="single" w:sz="4" w:space="0" w:color="000000"/>
            </w:tcBorders>
          </w:tcPr>
          <w:p w14:paraId="03CAF382" w14:textId="2FFB9683"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1BEC66DE"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w:t>
            </w:r>
          </w:p>
        </w:tc>
        <w:tc>
          <w:tcPr>
            <w:tcW w:w="2266" w:type="dxa"/>
            <w:tcBorders>
              <w:top w:val="single" w:sz="4" w:space="0" w:color="000000"/>
              <w:left w:val="single" w:sz="4" w:space="0" w:color="000000"/>
              <w:bottom w:val="single" w:sz="4" w:space="0" w:color="000000"/>
              <w:right w:val="single" w:sz="4" w:space="0" w:color="000000"/>
            </w:tcBorders>
          </w:tcPr>
          <w:p w14:paraId="573325AB"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600</w:t>
            </w:r>
          </w:p>
        </w:tc>
      </w:tr>
      <w:tr w:rsidR="00536CD0" w:rsidRPr="00617FC7" w14:paraId="3C88A266" w14:textId="77777777" w:rsidTr="009355E0">
        <w:trPr>
          <w:trHeight w:val="262"/>
        </w:trPr>
        <w:tc>
          <w:tcPr>
            <w:tcW w:w="2266" w:type="dxa"/>
            <w:tcBorders>
              <w:top w:val="single" w:sz="4" w:space="0" w:color="000000"/>
              <w:left w:val="single" w:sz="4" w:space="0" w:color="000000"/>
              <w:bottom w:val="single" w:sz="4" w:space="0" w:color="000000"/>
              <w:right w:val="single" w:sz="4" w:space="0" w:color="000000"/>
            </w:tcBorders>
          </w:tcPr>
          <w:p w14:paraId="04161FF9" w14:textId="07E38CCA"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81</w:t>
            </w:r>
          </w:p>
        </w:tc>
        <w:tc>
          <w:tcPr>
            <w:tcW w:w="2263" w:type="dxa"/>
            <w:tcBorders>
              <w:top w:val="single" w:sz="4" w:space="0" w:color="000000"/>
              <w:left w:val="single" w:sz="4" w:space="0" w:color="000000"/>
              <w:bottom w:val="single" w:sz="4" w:space="0" w:color="000000"/>
              <w:right w:val="single" w:sz="4" w:space="0" w:color="000000"/>
            </w:tcBorders>
          </w:tcPr>
          <w:p w14:paraId="5FD53F97" w14:textId="61C9ECD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w:t>
            </w:r>
            <w:r w:rsidR="00E06844">
              <w:rPr>
                <w:rFonts w:ascii="Times New Roman" w:eastAsia="Times New Roman" w:hAnsi="Times New Roman" w:cs="Times New Roman"/>
                <w:noProof w:val="0"/>
                <w:color w:val="000000"/>
                <w:lang w:val="hu-HU"/>
              </w:rPr>
              <w:t> </w:t>
            </w:r>
            <w:r w:rsidR="00E06844" w:rsidRPr="00617FC7">
              <w:rPr>
                <w:rFonts w:ascii="Times New Roman" w:eastAsia="Times New Roman" w:hAnsi="Times New Roman" w:cs="Times New Roman"/>
                <w:noProof w:val="0"/>
                <w:color w:val="000000"/>
                <w:lang w:val="hu-HU"/>
              </w:rPr>
              <w: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w:t>
            </w:r>
            <w:r w:rsidR="00E0684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266" w:type="dxa"/>
            <w:tcBorders>
              <w:top w:val="single" w:sz="4" w:space="0" w:color="000000"/>
              <w:left w:val="single" w:sz="4" w:space="0" w:color="000000"/>
              <w:bottom w:val="single" w:sz="4" w:space="0" w:color="000000"/>
              <w:right w:val="single" w:sz="4" w:space="0" w:color="000000"/>
            </w:tcBorders>
          </w:tcPr>
          <w:p w14:paraId="12F55D2C"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w:t>
            </w:r>
          </w:p>
        </w:tc>
        <w:tc>
          <w:tcPr>
            <w:tcW w:w="2266" w:type="dxa"/>
            <w:tcBorders>
              <w:top w:val="single" w:sz="4" w:space="0" w:color="000000"/>
              <w:left w:val="single" w:sz="4" w:space="0" w:color="000000"/>
              <w:bottom w:val="single" w:sz="4" w:space="0" w:color="000000"/>
              <w:right w:val="single" w:sz="4" w:space="0" w:color="000000"/>
            </w:tcBorders>
          </w:tcPr>
          <w:p w14:paraId="6A04283D"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600</w:t>
            </w:r>
          </w:p>
        </w:tc>
      </w:tr>
    </w:tbl>
    <w:p w14:paraId="60CAEEA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Több kapszula kombinálásával alkalmazható egyszeri adagok:</w:t>
      </w:r>
    </w:p>
    <w:tbl>
      <w:tblPr>
        <w:tblStyle w:val="TableGrid"/>
        <w:tblW w:w="6367" w:type="dxa"/>
        <w:tblInd w:w="12" w:type="dxa"/>
        <w:tblLook w:val="04A0" w:firstRow="1" w:lastRow="0" w:firstColumn="1" w:lastColumn="0" w:noHBand="0" w:noVBand="1"/>
      </w:tblPr>
      <w:tblGrid>
        <w:gridCol w:w="1133"/>
        <w:gridCol w:w="5234"/>
      </w:tblGrid>
      <w:tr w:rsidR="00536CD0" w:rsidRPr="00617FC7" w14:paraId="09D28D8D" w14:textId="77777777" w:rsidTr="009355E0">
        <w:trPr>
          <w:trHeight w:val="480"/>
        </w:trPr>
        <w:tc>
          <w:tcPr>
            <w:tcW w:w="1133" w:type="dxa"/>
            <w:tcBorders>
              <w:top w:val="nil"/>
              <w:left w:val="nil"/>
              <w:bottom w:val="nil"/>
              <w:right w:val="nil"/>
            </w:tcBorders>
          </w:tcPr>
          <w:p w14:paraId="6432876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 mg:</w:t>
            </w:r>
          </w:p>
        </w:tc>
        <w:tc>
          <w:tcPr>
            <w:tcW w:w="5234" w:type="dxa"/>
            <w:tcBorders>
              <w:top w:val="nil"/>
              <w:left w:val="nil"/>
              <w:bottom w:val="nil"/>
              <w:right w:val="nil"/>
            </w:tcBorders>
          </w:tcPr>
          <w:p w14:paraId="01829674" w14:textId="77777777" w:rsidR="00536CD0" w:rsidRPr="00617FC7" w:rsidRDefault="00536CD0" w:rsidP="00536CD0">
            <w:pPr>
              <w:ind w:right="122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két 150 mg-os kapszulaként vagy négy 75 mg-os* kapszulaként</w:t>
            </w:r>
          </w:p>
        </w:tc>
      </w:tr>
      <w:tr w:rsidR="00536CD0" w:rsidRPr="00617FC7" w14:paraId="146B6973" w14:textId="77777777" w:rsidTr="009355E0">
        <w:trPr>
          <w:trHeight w:val="506"/>
        </w:trPr>
        <w:tc>
          <w:tcPr>
            <w:tcW w:w="1133" w:type="dxa"/>
            <w:tcBorders>
              <w:top w:val="nil"/>
              <w:left w:val="nil"/>
              <w:bottom w:val="nil"/>
              <w:right w:val="nil"/>
            </w:tcBorders>
          </w:tcPr>
          <w:p w14:paraId="6D8D108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260 mg:</w:t>
            </w:r>
          </w:p>
        </w:tc>
        <w:tc>
          <w:tcPr>
            <w:tcW w:w="5234" w:type="dxa"/>
            <w:tcBorders>
              <w:top w:val="nil"/>
              <w:left w:val="nil"/>
              <w:bottom w:val="nil"/>
              <w:right w:val="nil"/>
            </w:tcBorders>
          </w:tcPr>
          <w:p w14:paraId="57C0A44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 110 mg-os és egy 150 mg-os kapszulaként vagy egy 110 mg-os és két 75 mg-os* kapszulaként</w:t>
            </w:r>
          </w:p>
        </w:tc>
      </w:tr>
      <w:tr w:rsidR="00536CD0" w:rsidRPr="00617FC7" w14:paraId="1BF0517C" w14:textId="77777777" w:rsidTr="009355E0">
        <w:trPr>
          <w:trHeight w:val="253"/>
        </w:trPr>
        <w:tc>
          <w:tcPr>
            <w:tcW w:w="1133" w:type="dxa"/>
            <w:tcBorders>
              <w:top w:val="nil"/>
              <w:left w:val="nil"/>
              <w:bottom w:val="nil"/>
              <w:right w:val="nil"/>
            </w:tcBorders>
          </w:tcPr>
          <w:p w14:paraId="77B92DF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 mg:</w:t>
            </w:r>
          </w:p>
        </w:tc>
        <w:tc>
          <w:tcPr>
            <w:tcW w:w="5234" w:type="dxa"/>
            <w:tcBorders>
              <w:top w:val="nil"/>
              <w:left w:val="nil"/>
              <w:bottom w:val="nil"/>
              <w:right w:val="nil"/>
            </w:tcBorders>
          </w:tcPr>
          <w:p w14:paraId="1624C6E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két 110 mg-os kapszulaként</w:t>
            </w:r>
          </w:p>
        </w:tc>
      </w:tr>
      <w:tr w:rsidR="00536CD0" w:rsidRPr="00617FC7" w14:paraId="6811665D" w14:textId="77777777" w:rsidTr="009355E0">
        <w:trPr>
          <w:trHeight w:val="252"/>
        </w:trPr>
        <w:tc>
          <w:tcPr>
            <w:tcW w:w="1133" w:type="dxa"/>
            <w:tcBorders>
              <w:top w:val="nil"/>
              <w:left w:val="nil"/>
              <w:bottom w:val="nil"/>
              <w:right w:val="nil"/>
            </w:tcBorders>
          </w:tcPr>
          <w:p w14:paraId="6D72BE4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185 mg:</w:t>
            </w:r>
          </w:p>
        </w:tc>
        <w:tc>
          <w:tcPr>
            <w:tcW w:w="5234" w:type="dxa"/>
            <w:tcBorders>
              <w:top w:val="nil"/>
              <w:left w:val="nil"/>
              <w:bottom w:val="nil"/>
              <w:right w:val="nil"/>
            </w:tcBorders>
          </w:tcPr>
          <w:p w14:paraId="65FAF83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 75 mg-os* és egy 110 mg-os kapszulaként</w:t>
            </w:r>
          </w:p>
        </w:tc>
      </w:tr>
      <w:tr w:rsidR="00536CD0" w:rsidRPr="00617FC7" w14:paraId="6EF94E63" w14:textId="77777777" w:rsidTr="009355E0">
        <w:trPr>
          <w:trHeight w:val="481"/>
        </w:trPr>
        <w:tc>
          <w:tcPr>
            <w:tcW w:w="1133" w:type="dxa"/>
            <w:tcBorders>
              <w:top w:val="nil"/>
              <w:left w:val="nil"/>
              <w:bottom w:val="nil"/>
              <w:right w:val="nil"/>
            </w:tcBorders>
          </w:tcPr>
          <w:p w14:paraId="7E90FEC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150 mg:</w:t>
            </w:r>
          </w:p>
        </w:tc>
        <w:tc>
          <w:tcPr>
            <w:tcW w:w="5234" w:type="dxa"/>
            <w:tcBorders>
              <w:top w:val="nil"/>
              <w:left w:val="nil"/>
              <w:bottom w:val="nil"/>
              <w:right w:val="nil"/>
            </w:tcBorders>
          </w:tcPr>
          <w:p w14:paraId="1B8C4329" w14:textId="77777777" w:rsidR="00536CD0" w:rsidRPr="00617FC7" w:rsidRDefault="00536CD0" w:rsidP="00536CD0">
            <w:pPr>
              <w:ind w:right="13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 150 mg-os kapszulaként vagy két 75 mg-os* kapszulaként</w:t>
            </w:r>
          </w:p>
        </w:tc>
      </w:tr>
    </w:tbl>
    <w:p w14:paraId="6D412BA4"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r w:rsidRPr="00617FC7">
        <w:rPr>
          <w:rFonts w:ascii="Times New Roman" w:eastAsia="Times New Roman" w:hAnsi="Times New Roman" w:cs="Times New Roman"/>
          <w:iCs/>
          <w:noProof w:val="0"/>
          <w:color w:val="000000"/>
          <w:kern w:val="0"/>
          <w:lang w:val="hu-HU" w:eastAsia="hu-HU"/>
          <w14:ligatures w14:val="none"/>
        </w:rPr>
        <w:t>* A Telexer 75 mg-os dózisa nem elérhető, ezért ez a gyógyszer nem alkalmas a fentebb említett betegcsoport számára. Ezen betegek esetében más, 75 mg-os dabigatrán-etexilát-tartalmú gyógyszerkészítményt kell alkalmazni.</w:t>
      </w:r>
    </w:p>
    <w:p w14:paraId="78342032"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02C4147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vesefunkció ellenőrzése a kezelés megkezdése előtt és a kezelés során</w:t>
      </w:r>
    </w:p>
    <w:p w14:paraId="37525EF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E1210F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kezelés megkezdése előtt a becsült glomeruláris filtrációs rátát (eGFR) a Schwartz-formula segítségével kell meghatározni. (a kreatinin vizsgálatára szolgáló módszert a helyi laboratóriumban kell ellenőrizni).</w:t>
      </w:r>
    </w:p>
    <w:p w14:paraId="4622699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138A73C" w14:textId="1A8FD85D"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dabigatrán-etexilát-kezelés az eGFR</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50 ml/perc/1,73m</w:t>
      </w:r>
      <w:r w:rsidRPr="00617FC7">
        <w:rPr>
          <w:rFonts w:ascii="Times New Roman" w:eastAsia="Times New Roman" w:hAnsi="Times New Roman" w:cs="Times New Roman"/>
          <w:noProof w:val="0"/>
          <w:color w:val="000000"/>
          <w:kern w:val="0"/>
          <w:vertAlign w:val="superscript"/>
          <w:lang w:val="hu-HU" w:eastAsia="hu-HU"/>
          <w14:ligatures w14:val="none"/>
        </w:rPr>
        <w:t>2</w:t>
      </w:r>
      <w:r w:rsidRPr="00617FC7">
        <w:rPr>
          <w:rFonts w:ascii="Times New Roman" w:eastAsia="Times New Roman" w:hAnsi="Times New Roman" w:cs="Times New Roman"/>
          <w:noProof w:val="0"/>
          <w:color w:val="000000"/>
          <w:kern w:val="0"/>
          <w:lang w:val="hu-HU" w:eastAsia="hu-HU"/>
          <w14:ligatures w14:val="none"/>
        </w:rPr>
        <w:t xml:space="preserve"> értékű gyermekeknél és serdülőknél ellenjavallt (lásd 4.3 pont).</w:t>
      </w:r>
    </w:p>
    <w:p w14:paraId="65746E2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EB3BC31" w14:textId="1B6C1C9D"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eGFR</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 50 ml/perc/1,73m</w:t>
      </w:r>
      <w:r w:rsidRPr="00617FC7">
        <w:rPr>
          <w:rFonts w:ascii="Times New Roman" w:eastAsia="Times New Roman" w:hAnsi="Times New Roman" w:cs="Times New Roman"/>
          <w:noProof w:val="0"/>
          <w:color w:val="000000"/>
          <w:kern w:val="0"/>
          <w:vertAlign w:val="superscript"/>
          <w:lang w:val="hu-HU" w:eastAsia="hu-HU"/>
          <w14:ligatures w14:val="none"/>
        </w:rPr>
        <w:t>2</w:t>
      </w:r>
      <w:r w:rsidRPr="00617FC7">
        <w:rPr>
          <w:rFonts w:ascii="Times New Roman" w:eastAsia="Times New Roman" w:hAnsi="Times New Roman" w:cs="Times New Roman"/>
          <w:noProof w:val="0"/>
          <w:color w:val="000000"/>
          <w:kern w:val="0"/>
          <w:lang w:val="hu-HU" w:eastAsia="hu-HU"/>
          <w14:ligatures w14:val="none"/>
        </w:rPr>
        <w:t xml:space="preserve"> értékű betegeket a 4. táblázat szerinti adaggal kell kezelni.</w:t>
      </w:r>
    </w:p>
    <w:p w14:paraId="104789B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37A996E" w14:textId="1D9268B0"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kezelés alatt bizonyos klinikai helyzetekben ellenőrizni kell a vesefunkciót, amikor a vesefunkció romlását lehet sejteni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hypovolemia, dehidráció, valamint bizonyos együttesen alkalmazott gyógyszerek stb.).</w:t>
      </w:r>
    </w:p>
    <w:p w14:paraId="315CDF0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2E54073"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kezelés időtartama</w:t>
      </w:r>
    </w:p>
    <w:p w14:paraId="3FE64FF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197C9C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kezelés időtartamát az előny/kockázat arány mérlegelése után egyedileg kell meghatározni.</w:t>
      </w:r>
    </w:p>
    <w:p w14:paraId="3724662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A6ED87C"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Kihagyott dózis</w:t>
      </w:r>
    </w:p>
    <w:p w14:paraId="5973B97A" w14:textId="77777777" w:rsidR="00536CD0" w:rsidRPr="00617FC7" w:rsidRDefault="00536CD0" w:rsidP="00536CD0">
      <w:pPr>
        <w:spacing w:after="0" w:line="240" w:lineRule="auto"/>
        <w:ind w:left="7" w:right="342" w:hanging="10"/>
        <w:rPr>
          <w:rFonts w:ascii="Times New Roman" w:eastAsia="Times New Roman" w:hAnsi="Times New Roman" w:cs="Times New Roman"/>
          <w:noProof w:val="0"/>
          <w:color w:val="000000"/>
          <w:kern w:val="0"/>
          <w:lang w:val="hu-HU" w:eastAsia="hu-HU"/>
          <w14:ligatures w14:val="none"/>
        </w:rPr>
      </w:pPr>
    </w:p>
    <w:p w14:paraId="479F7282" w14:textId="77777777" w:rsidR="00536CD0" w:rsidRPr="00617FC7" w:rsidRDefault="00536CD0" w:rsidP="00536CD0">
      <w:pPr>
        <w:spacing w:after="0" w:line="240" w:lineRule="auto"/>
        <w:ind w:left="7" w:right="34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kimaradt adagja még bevehető legkésőbb 6 órával a következő esedékes adag előtt. A következő esedékes adag előtti 6 órán belül az elfelejtett dózist ki kell hagyni. Soha nem szabad kétszeres adagot bevenni az elfelejtett egyszeri adag pótlására.</w:t>
      </w:r>
    </w:p>
    <w:p w14:paraId="4AF8C25D" w14:textId="77777777" w:rsidR="00536CD0" w:rsidRPr="00617FC7" w:rsidRDefault="00536CD0" w:rsidP="00536CD0">
      <w:pPr>
        <w:spacing w:after="0" w:line="240" w:lineRule="auto"/>
        <w:ind w:left="7" w:right="342" w:hanging="10"/>
        <w:rPr>
          <w:rFonts w:ascii="Times New Roman" w:eastAsia="Times New Roman" w:hAnsi="Times New Roman" w:cs="Times New Roman"/>
          <w:noProof w:val="0"/>
          <w:color w:val="000000"/>
          <w:kern w:val="0"/>
          <w:lang w:val="hu-HU" w:eastAsia="hu-HU"/>
          <w14:ligatures w14:val="none"/>
        </w:rPr>
      </w:pPr>
    </w:p>
    <w:p w14:paraId="44453B28"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dabigatrán-etexilát-kezelés leállítása</w:t>
      </w:r>
    </w:p>
    <w:p w14:paraId="2EFB516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A6F07DA" w14:textId="14C6DD84"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dabigatrán-etexilát-kezelés csak orvosi javaslatra állítható le. A betegeknek vagy gondozóiknak gastrointestinalis tünetek,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dyspepsia megjelenése esetén tájékoztatniuk kell a kezelőorvost (lásd 4.8 pont).</w:t>
      </w:r>
    </w:p>
    <w:p w14:paraId="108D26D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216D3B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Átállítás</w:t>
      </w:r>
    </w:p>
    <w:p w14:paraId="10C467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9C63B4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Dabigatrán-etexilát-kezelésről parenterális antikoaguláns-kezelésre:</w:t>
      </w:r>
    </w:p>
    <w:p w14:paraId="24DE156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dabigatrán-etexilátról parenterális antikoaguláns-kezelésre történő átállításkor javasolt 12 órát várni az utolsó adag dabigatrán-etexilát után (lásd 4.5 pont).</w:t>
      </w:r>
    </w:p>
    <w:p w14:paraId="76E8B44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8585AF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Parenterális antikoagulánsokról dabigatrán-etexilátra:</w:t>
      </w:r>
    </w:p>
    <w:p w14:paraId="50A75E12" w14:textId="2C2CBF8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antikoaguláns-kezelés következő adagjának esedékessége előtt 0</w:t>
      </w:r>
      <w:r w:rsidRPr="00617FC7">
        <w:rPr>
          <w:rFonts w:ascii="Times New Roman" w:eastAsia="Times New Roman" w:hAnsi="Times New Roman" w:cs="Times New Roman"/>
          <w:noProof w:val="0"/>
          <w:color w:val="000000"/>
          <w:kern w:val="0"/>
          <w:lang w:val="hu-HU" w:eastAsia="hu-HU"/>
          <w14:ligatures w14:val="none"/>
        </w:rPr>
        <w:noBreakHyphen/>
        <w:t>2 órával a parenterális antikoaguláns-kezelést le kell állítani, és a dabigatrán-etexilát-kezelést meg kell kezdeni, illetve a folyamatos kezelés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intravénás nem frakcionált heparin [</w:t>
      </w:r>
      <w:r w:rsidRPr="00617FC7">
        <w:rPr>
          <w:rFonts w:ascii="Times New Roman" w:eastAsia="Times New Roman" w:hAnsi="Times New Roman" w:cs="Times New Roman"/>
          <w:noProof w:val="0"/>
          <w:color w:val="000000" w:themeColor="text1"/>
          <w:kern w:val="0"/>
          <w:lang w:val="hu-HU" w:eastAsia="hu-HU" w:bidi="en-US"/>
          <w14:ligatures w14:val="none"/>
        </w:rPr>
        <w:t xml:space="preserve">Unfractionated Heparin </w:t>
      </w:r>
      <w:r w:rsidRPr="00617FC7">
        <w:rPr>
          <w:rFonts w:ascii="Times New Roman" w:eastAsia="Times New Roman" w:hAnsi="Times New Roman" w:cs="Times New Roman"/>
          <w:noProof w:val="0"/>
          <w:color w:val="000000"/>
          <w:kern w:val="0"/>
          <w:lang w:val="hu-HU" w:eastAsia="hu-HU"/>
          <w14:ligatures w14:val="none"/>
        </w:rPr>
        <w:t>UFH]) esetén az antikoaguláns-terápia leállításakor kell megkezdeni a dabigatrán-etexilát alkalmazását (lásd 4.5 pont).</w:t>
      </w:r>
    </w:p>
    <w:p w14:paraId="3FD0C14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6940B2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Dabigatrán-etexilátról K-vitamin-antagonistákra (KVA):</w:t>
      </w:r>
    </w:p>
    <w:p w14:paraId="387D884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betegeknél a KVA adagolását 3 nappal a dabigatrán-etexilát adagolásának abbahagyása előtt kell elkezdeni.</w:t>
      </w:r>
    </w:p>
    <w:p w14:paraId="42E1D7D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Mivel a dabigatrán-etexilát befolyásolhatja az INR-t, az INR csak akkor mutatja megfelelően a KVA hatását, ha a dabigatrán-etexilátot már legalább 2 napja leállították. </w:t>
      </w:r>
    </w:p>
    <w:p w14:paraId="6D22615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Addig az INR értékeket körültekintően kell értelmezni.</w:t>
      </w:r>
    </w:p>
    <w:p w14:paraId="5AFC573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DA9A28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KVA-ról dabigatrán-etexilátra:</w:t>
      </w:r>
    </w:p>
    <w:p w14:paraId="0FCD09EF" w14:textId="4BBDAA0A"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KVA-t le kell állítani. A dabigatrán-etexilát adása akkor kezdhető el, ha az INR</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2,0.</w:t>
      </w:r>
    </w:p>
    <w:p w14:paraId="4802D71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00248DA"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Az alkalmazás módja</w:t>
      </w:r>
    </w:p>
    <w:p w14:paraId="62B18F3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0CFF76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gyógyszer szájon át történő alkalmazásra való.</w:t>
      </w:r>
    </w:p>
    <w:p w14:paraId="55536D7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kapszulák étkezés közben, vagy étkezéstől függetlenül egyaránt bevehetőek. A kapszulákat egészben, a gyomorba jutás elősegítése érdekében egy pohár vízzel kell bevenni. </w:t>
      </w:r>
    </w:p>
    <w:p w14:paraId="7C9AF41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betegek figyelmét fel kell hívni arra, hogy ne nyissák ki a kapszulát, mivel ez fokozhatja a vérzés veszélyét (lásd 5.2 és 6.6 pont).</w:t>
      </w:r>
    </w:p>
    <w:p w14:paraId="5F925D2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D0DBDA7" w14:textId="77777777" w:rsidR="00536CD0" w:rsidRPr="00617FC7" w:rsidRDefault="00536CD0" w:rsidP="00CF66F9">
      <w:pPr>
        <w:tabs>
          <w:tab w:val="left" w:pos="567"/>
          <w:tab w:val="center" w:pos="1295"/>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4.3</w:t>
      </w:r>
      <w:r w:rsidRPr="00617FC7">
        <w:rPr>
          <w:rFonts w:ascii="Times New Roman" w:eastAsia="Times New Roman" w:hAnsi="Times New Roman" w:cs="Times New Roman"/>
          <w:b/>
          <w:noProof w:val="0"/>
          <w:color w:val="000000"/>
          <w:kern w:val="0"/>
          <w:lang w:val="hu-HU" w:eastAsia="hu-HU"/>
          <w14:ligatures w14:val="none"/>
        </w:rPr>
        <w:tab/>
        <w:t>Ellenjavallatok</w:t>
      </w:r>
    </w:p>
    <w:p w14:paraId="63316085" w14:textId="77777777" w:rsidR="00536CD0" w:rsidRPr="00617FC7" w:rsidRDefault="00536CD0" w:rsidP="00536CD0">
      <w:pPr>
        <w:tabs>
          <w:tab w:val="center" w:pos="1295"/>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7850B8A3"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készítmény hatóanyagával vagy a 6.1 pontban felsorolt bármely segédanyagával szembeni túlérzékenység.</w:t>
      </w:r>
    </w:p>
    <w:p w14:paraId="4BC83BC0" w14:textId="46311A59"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Súlyos vesekárosodás (CrCl</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30 ml/perc) felnőtt betegeknél.</w:t>
      </w:r>
    </w:p>
    <w:p w14:paraId="5BA91C60" w14:textId="64CCA491"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eGFR</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50 ml/perc/1,73</w:t>
      </w:r>
      <w:r w:rsidR="00E0684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m</w:t>
      </w:r>
      <w:r w:rsidRPr="00617FC7">
        <w:rPr>
          <w:rFonts w:ascii="Times New Roman" w:eastAsia="Times New Roman" w:hAnsi="Times New Roman" w:cs="Times New Roman"/>
          <w:noProof w:val="0"/>
          <w:color w:val="000000"/>
          <w:kern w:val="0"/>
          <w:vertAlign w:val="superscript"/>
          <w:lang w:val="hu-HU" w:eastAsia="hu-HU"/>
          <w14:ligatures w14:val="none"/>
        </w:rPr>
        <w:t>2</w:t>
      </w:r>
      <w:r w:rsidRPr="00617FC7">
        <w:rPr>
          <w:rFonts w:ascii="Times New Roman" w:eastAsia="Times New Roman" w:hAnsi="Times New Roman" w:cs="Times New Roman"/>
          <w:noProof w:val="0"/>
          <w:color w:val="000000"/>
          <w:kern w:val="0"/>
          <w:lang w:val="hu-HU" w:eastAsia="hu-HU"/>
          <w14:ligatures w14:val="none"/>
        </w:rPr>
        <w:t xml:space="preserve"> gyermekeknél és serdülőknél.</w:t>
      </w:r>
    </w:p>
    <w:p w14:paraId="01B270BC"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Aktív, klinikailag jelentős vérzés.</w:t>
      </w:r>
    </w:p>
    <w:p w14:paraId="359B9851"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vérzés megnövekedett kockázatával járónak ítélt sérülések vagy egyéb állapotok. Ezek közé tartozhat a fennálló vagy közelmúltbeli gastrointestinalis fekélybetegség, nagy vérzésveszéllyel járó rosszindulatú daganat, közelmúltbeli agy- vagy gerincvelő-sérülés, közelmúltbeli agy-, gerinc- vagy szemműtét, közelmúltbeli intracranialis vérzés, ismert vagy feltételezett nyelőcső varixok, arteriovenosus malformatiók, ér-aneurysmák vagy jelentős intraspinalis vagy intracerebralis érrendellenességek.</w:t>
      </w:r>
    </w:p>
    <w:p w14:paraId="2D2F21DD" w14:textId="19D23F85"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Más antikoagulánssal,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nem frakcionált heparinnal (UFH), alacsony molekulasúlyú heparinokkal (enoxaparin, dalteparin, stb.), heparin-származékokkal (fondaparinux, stb.), orális antikoagulánsokkal (warfarin, rivaroxabán, apixabán, stb.) történő egyidejű kezelés, kivéve bizonyos speciális eseteket. Ezek lehetnek az antikoaguláns-terápia átállítás időszakai (lásd 4.2 pont), amikor az UFH-t a centrális vénás vagy artériás kanül nyitva tartásához szükséges dózisban adják, vagy amikor az UFH adása szükséges katéteres ablatio alatt pitvarfibrilláció esetén (lásd 4.5 pont).</w:t>
      </w:r>
    </w:p>
    <w:p w14:paraId="0432DBE1"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Májkárosodás vagy májbetegség, aminek hatása lehet a túlélésre.</w:t>
      </w:r>
    </w:p>
    <w:p w14:paraId="2E29E9E2"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Egyidejű kezelés a következő erős P-gp-inhibitorokkal: szisztémás ketokonazollal, ciklosporinnal, itrakonazollal, dronedaronnal vagy fix dózisú kombinációban alkalmazott glekaprevirral/pibrentaszvirral (lásd 4.5 pont).</w:t>
      </w:r>
    </w:p>
    <w:p w14:paraId="18FE3DD9" w14:textId="77777777" w:rsidR="00536CD0" w:rsidRPr="00617FC7" w:rsidRDefault="00536CD0" w:rsidP="0016776B">
      <w:pPr>
        <w:numPr>
          <w:ilvl w:val="0"/>
          <w:numId w:val="6"/>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Antikoaguláns kezelést igénylő műbillentyű beültetés (lásd 5.1 pont).</w:t>
      </w:r>
    </w:p>
    <w:p w14:paraId="6C9770E4" w14:textId="77777777" w:rsidR="00536CD0" w:rsidRPr="00617FC7" w:rsidRDefault="00536CD0" w:rsidP="00536CD0">
      <w:pPr>
        <w:spacing w:after="0" w:line="240" w:lineRule="auto"/>
        <w:ind w:right="9"/>
        <w:rPr>
          <w:rFonts w:ascii="Times New Roman" w:eastAsia="Times New Roman" w:hAnsi="Times New Roman" w:cs="Times New Roman"/>
          <w:noProof w:val="0"/>
          <w:color w:val="000000"/>
          <w:kern w:val="0"/>
          <w:lang w:val="hu-HU" w:eastAsia="hu-HU"/>
          <w14:ligatures w14:val="none"/>
        </w:rPr>
      </w:pPr>
    </w:p>
    <w:p w14:paraId="08D2CA7A" w14:textId="77777777" w:rsidR="00536CD0" w:rsidRPr="00617FC7" w:rsidRDefault="00536CD0" w:rsidP="00CF66F9">
      <w:pPr>
        <w:tabs>
          <w:tab w:val="left" w:pos="567"/>
          <w:tab w:val="center" w:pos="4137"/>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4.4</w:t>
      </w:r>
      <w:r w:rsidRPr="00617FC7">
        <w:rPr>
          <w:rFonts w:ascii="Times New Roman" w:eastAsia="Times New Roman" w:hAnsi="Times New Roman" w:cs="Times New Roman"/>
          <w:b/>
          <w:noProof w:val="0"/>
          <w:color w:val="000000"/>
          <w:kern w:val="0"/>
          <w:lang w:val="hu-HU" w:eastAsia="hu-HU"/>
          <w14:ligatures w14:val="none"/>
        </w:rPr>
        <w:tab/>
        <w:t>Különleges figyelmeztetések és az alkalmazással kapcsolatos óvintézkedések</w:t>
      </w:r>
    </w:p>
    <w:p w14:paraId="19AE5050" w14:textId="77777777" w:rsidR="00536CD0" w:rsidRPr="00617FC7" w:rsidRDefault="00536CD0" w:rsidP="00536CD0">
      <w:pPr>
        <w:tabs>
          <w:tab w:val="center" w:pos="4137"/>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4F4BC40F"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Vérzésveszély</w:t>
      </w:r>
    </w:p>
    <w:p w14:paraId="28AD59B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D580C1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dabigatrán-etexilátot óvatosan kell alkalmazni olyan állapotokban, amelyek fokozott vérzésveszéllyel járnak, vagy azokban az esetekben, amikor az egyidejű gyógyszerelés a thrombocytaaggregáció gátlásával befolyásolja a haemostasist. A vérzés a kezelés során bárhol jelentkezhet. A haemoglobinszint és/vagy a haematocrit-érték tisztázatlan csökkenése vagy vérnyomásesés esetén vérzésforrást kell keresni.</w:t>
      </w:r>
    </w:p>
    <w:p w14:paraId="55D487D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56B8FB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Felnőtt betegeknél az életveszélyes vagy nem kontrollálható vérzések esetén, amikor a dabigatrán antikoaguláns hatásának gyors felfüggesztésére van szükség, specifikus antagonista szer, az idarucizumab áll rendelkezésre. Az idarucizumab hatásosságát és biztonságosságát nem határozták meg a gyermekeknél és serdülőknél. A haemodialízis képes a dabigatrán eltávolítására. Felnőtt betegeknél további választható lehetőségek a friss teljes vér vagy a friss fagyasztott plazma, az alvadási faktor koncentrátuma (aktivált vagy nem aktivált), a rekombináns VIIa-faktor vagy a thrombocytakoncentrátum (lásd még 4.9 pont).</w:t>
      </w:r>
    </w:p>
    <w:p w14:paraId="1A74D55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F2A3CFC" w14:textId="31DB99EC"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Klinikai vizsgálatokban a dabigatrán-etexilát esetén nagyobb arányban észleltek jelentős gastrointestinalis (GI) vérzést időseknél (≥ 75 év) a napi kétszer 150 mg dabigatrán-etexilát esetében. </w:t>
      </w:r>
      <w:r w:rsidRPr="00617FC7">
        <w:rPr>
          <w:rFonts w:ascii="Times New Roman" w:eastAsia="Times New Roman" w:hAnsi="Times New Roman" w:cs="Times New Roman"/>
          <w:noProof w:val="0"/>
          <w:color w:val="000000"/>
          <w:kern w:val="0"/>
          <w:lang w:val="hu-HU" w:eastAsia="hu-HU"/>
          <w14:ligatures w14:val="none"/>
        </w:rPr>
        <w:lastRenderedPageBreak/>
        <w:t>További kockázati tényezők (lásd 5. táblázat)</w:t>
      </w:r>
      <w:r w:rsidRPr="00617FC7">
        <w:rPr>
          <w:rFonts w:ascii="Times New Roman" w:eastAsia="Times New Roman" w:hAnsi="Times New Roman" w:cs="Times New Roman"/>
          <w:noProof w:val="0"/>
          <w:color w:val="000000"/>
          <w:kern w:val="0"/>
          <w:lang w:val="hu-HU" w:eastAsia="hu-HU"/>
          <w14:ligatures w14:val="none"/>
        </w:rPr>
        <w:tab/>
        <w:t xml:space="preserve">többek között a thrombocytaaggregáció-gátló gyógyszerek,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a klopidogrel és az acetilszalicilsav (ASA) vagy a nem-szteroid gyulladáscsökkentő szerek (NSAID) egyidejű alkalmazása, valamint az oesophagitis, gastritis vagy gastrooesophagealis reflux fennállása.</w:t>
      </w:r>
    </w:p>
    <w:p w14:paraId="62724E1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62B7BB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Kockázati tényezők</w:t>
      </w:r>
    </w:p>
    <w:p w14:paraId="5D35D267" w14:textId="77777777" w:rsidR="00536CD0" w:rsidRPr="00617FC7" w:rsidRDefault="00536CD0" w:rsidP="00536CD0">
      <w:pPr>
        <w:spacing w:after="0" w:line="240" w:lineRule="auto"/>
        <w:ind w:left="7" w:right="3210" w:hanging="10"/>
        <w:rPr>
          <w:rFonts w:ascii="Times New Roman" w:eastAsia="Times New Roman" w:hAnsi="Times New Roman" w:cs="Times New Roman"/>
          <w:noProof w:val="0"/>
          <w:color w:val="000000"/>
          <w:kern w:val="0"/>
          <w:lang w:val="hu-HU" w:eastAsia="hu-HU"/>
          <w14:ligatures w14:val="none"/>
        </w:rPr>
      </w:pPr>
    </w:p>
    <w:p w14:paraId="74D598B9" w14:textId="77777777" w:rsidR="00536CD0" w:rsidRPr="00617FC7" w:rsidRDefault="00536CD0" w:rsidP="00536CD0">
      <w:pPr>
        <w:spacing w:after="0" w:line="240" w:lineRule="auto"/>
        <w:ind w:left="7" w:right="3210"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5. táblázat összefoglalja a vérzésveszélyt fokozó tényezőket.</w:t>
      </w:r>
    </w:p>
    <w:p w14:paraId="4150F335" w14:textId="77777777" w:rsidR="00536CD0" w:rsidRPr="00617FC7" w:rsidRDefault="00536CD0" w:rsidP="00536CD0">
      <w:pPr>
        <w:spacing w:after="0" w:line="240" w:lineRule="auto"/>
        <w:ind w:left="7" w:right="3210" w:hanging="10"/>
        <w:rPr>
          <w:rFonts w:ascii="Times New Roman" w:eastAsia="Times New Roman" w:hAnsi="Times New Roman" w:cs="Times New Roman"/>
          <w:noProof w:val="0"/>
          <w:color w:val="000000"/>
          <w:kern w:val="0"/>
          <w:lang w:val="hu-HU" w:eastAsia="hu-HU"/>
          <w14:ligatures w14:val="none"/>
        </w:rPr>
      </w:pPr>
    </w:p>
    <w:p w14:paraId="598F17C9" w14:textId="77777777" w:rsidR="00536CD0" w:rsidRPr="00617FC7" w:rsidRDefault="00536CD0" w:rsidP="00536CD0">
      <w:pPr>
        <w:spacing w:after="0" w:line="240" w:lineRule="auto"/>
        <w:ind w:left="7" w:right="3210" w:hanging="10"/>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5. táblázat. A vérzésveszélyt fokozó tényezők</w:t>
      </w:r>
    </w:p>
    <w:p w14:paraId="61906A8F" w14:textId="77777777" w:rsidR="00536CD0" w:rsidRPr="00617FC7" w:rsidRDefault="00536CD0" w:rsidP="00536CD0">
      <w:pPr>
        <w:spacing w:after="0" w:line="240" w:lineRule="auto"/>
        <w:ind w:left="7" w:right="3210" w:hanging="10"/>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4433"/>
        <w:gridCol w:w="4639"/>
      </w:tblGrid>
      <w:tr w:rsidR="00536CD0" w:rsidRPr="00617FC7" w14:paraId="5529AC56" w14:textId="77777777" w:rsidTr="00CF66F9">
        <w:trPr>
          <w:trHeight w:val="113"/>
        </w:trPr>
        <w:tc>
          <w:tcPr>
            <w:tcW w:w="4433" w:type="dxa"/>
            <w:tcBorders>
              <w:top w:val="single" w:sz="4" w:space="0" w:color="000000"/>
              <w:left w:val="single" w:sz="4" w:space="0" w:color="000000"/>
              <w:bottom w:val="single" w:sz="4" w:space="0" w:color="000000"/>
              <w:right w:val="single" w:sz="4" w:space="0" w:color="000000"/>
            </w:tcBorders>
          </w:tcPr>
          <w:p w14:paraId="7C54E968" w14:textId="77777777" w:rsidR="00536CD0" w:rsidRPr="00617FC7" w:rsidRDefault="00536CD0" w:rsidP="00536CD0">
            <w:pPr>
              <w:rPr>
                <w:rFonts w:ascii="Times New Roman" w:eastAsia="Times New Roman" w:hAnsi="Times New Roman" w:cs="Times New Roman"/>
                <w:noProof w:val="0"/>
                <w:color w:val="000000"/>
                <w:lang w:val="hu-HU"/>
              </w:rPr>
            </w:pPr>
          </w:p>
        </w:tc>
        <w:tc>
          <w:tcPr>
            <w:tcW w:w="4639" w:type="dxa"/>
            <w:tcBorders>
              <w:top w:val="single" w:sz="4" w:space="0" w:color="000000"/>
              <w:left w:val="single" w:sz="4" w:space="0" w:color="000000"/>
              <w:bottom w:val="single" w:sz="4" w:space="0" w:color="000000"/>
              <w:right w:val="single" w:sz="4" w:space="0" w:color="000000"/>
            </w:tcBorders>
          </w:tcPr>
          <w:p w14:paraId="608B257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Kockázati tényező</w:t>
            </w:r>
          </w:p>
        </w:tc>
      </w:tr>
      <w:tr w:rsidR="00536CD0" w:rsidRPr="00617FC7" w14:paraId="05E96789" w14:textId="77777777" w:rsidTr="00CF66F9">
        <w:trPr>
          <w:trHeight w:val="113"/>
        </w:trPr>
        <w:tc>
          <w:tcPr>
            <w:tcW w:w="4433" w:type="dxa"/>
            <w:tcBorders>
              <w:top w:val="single" w:sz="4" w:space="0" w:color="000000"/>
              <w:left w:val="single" w:sz="4" w:space="0" w:color="000000"/>
              <w:bottom w:val="single" w:sz="4" w:space="0" w:color="000000"/>
              <w:right w:val="single" w:sz="4" w:space="0" w:color="000000"/>
            </w:tcBorders>
          </w:tcPr>
          <w:p w14:paraId="3AC5321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Farmakodinámiás és kinetikai tényezők</w:t>
            </w:r>
          </w:p>
        </w:tc>
        <w:tc>
          <w:tcPr>
            <w:tcW w:w="4639" w:type="dxa"/>
            <w:tcBorders>
              <w:top w:val="single" w:sz="4" w:space="0" w:color="000000"/>
              <w:left w:val="single" w:sz="4" w:space="0" w:color="000000"/>
              <w:bottom w:val="single" w:sz="4" w:space="0" w:color="000000"/>
              <w:right w:val="single" w:sz="4" w:space="0" w:color="000000"/>
            </w:tcBorders>
          </w:tcPr>
          <w:p w14:paraId="3A20585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75 év vagy afeletti életkor</w:t>
            </w:r>
          </w:p>
        </w:tc>
      </w:tr>
      <w:tr w:rsidR="00536CD0" w:rsidRPr="00617FC7" w14:paraId="56874DE1" w14:textId="77777777" w:rsidTr="00CF66F9">
        <w:trPr>
          <w:trHeight w:val="113"/>
        </w:trPr>
        <w:tc>
          <w:tcPr>
            <w:tcW w:w="4433" w:type="dxa"/>
            <w:tcBorders>
              <w:top w:val="single" w:sz="4" w:space="0" w:color="000000"/>
              <w:left w:val="single" w:sz="4" w:space="0" w:color="000000"/>
              <w:bottom w:val="single" w:sz="4" w:space="0" w:color="000000"/>
              <w:right w:val="single" w:sz="4" w:space="0" w:color="000000"/>
            </w:tcBorders>
          </w:tcPr>
          <w:p w14:paraId="66359E2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dabigatrán plazmaszintjét emelő tényezők</w:t>
            </w:r>
          </w:p>
        </w:tc>
        <w:tc>
          <w:tcPr>
            <w:tcW w:w="4639" w:type="dxa"/>
            <w:tcBorders>
              <w:top w:val="single" w:sz="4" w:space="0" w:color="000000"/>
              <w:left w:val="single" w:sz="4" w:space="0" w:color="000000"/>
              <w:bottom w:val="single" w:sz="4" w:space="0" w:color="000000"/>
              <w:right w:val="single" w:sz="4" w:space="0" w:color="000000"/>
            </w:tcBorders>
          </w:tcPr>
          <w:p w14:paraId="32011E8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u w:val="single" w:color="000000"/>
                <w:lang w:val="hu-HU"/>
              </w:rPr>
              <w:t>Jelentős:</w:t>
            </w:r>
          </w:p>
          <w:p w14:paraId="6FFCEB25" w14:textId="77777777" w:rsidR="00536CD0" w:rsidRPr="00617FC7" w:rsidRDefault="00536CD0" w:rsidP="0016776B">
            <w:pPr>
              <w:numPr>
                <w:ilvl w:val="0"/>
                <w:numId w:val="13"/>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Felnőtt betegeknél közepesen súlyos vesekárosodás (30</w:t>
            </w:r>
            <w:r w:rsidRPr="00617FC7">
              <w:rPr>
                <w:rFonts w:ascii="Times New Roman" w:eastAsia="Times New Roman" w:hAnsi="Times New Roman" w:cs="Times New Roman"/>
                <w:noProof w:val="0"/>
                <w:color w:val="000000"/>
                <w:lang w:val="hu-HU"/>
              </w:rPr>
              <w:noBreakHyphen/>
              <w:t>50 ml/perc CrCl)</w:t>
            </w:r>
          </w:p>
          <w:p w14:paraId="54D5DCEE" w14:textId="77777777" w:rsidR="00536CD0" w:rsidRPr="00617FC7" w:rsidRDefault="00536CD0" w:rsidP="0016776B">
            <w:pPr>
              <w:numPr>
                <w:ilvl w:val="0"/>
                <w:numId w:val="13"/>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Erős P-gp-inhibitorok (lásd 4.3 és 4.5 pont)</w:t>
            </w:r>
          </w:p>
          <w:p w14:paraId="2B898548" w14:textId="50ACCCF3" w:rsidR="00536CD0" w:rsidRDefault="00536CD0" w:rsidP="0016776B">
            <w:pPr>
              <w:numPr>
                <w:ilvl w:val="0"/>
                <w:numId w:val="13"/>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Egyidejű gyógyszerelés gyenge és közepesen erős P-gp-inhibitorokkal (</w:t>
            </w:r>
            <w:r w:rsidR="00A2754E">
              <w:rPr>
                <w:rFonts w:ascii="Times New Roman" w:eastAsia="Times New Roman" w:hAnsi="Times New Roman" w:cs="Times New Roman"/>
                <w:noProof w:val="0"/>
                <w:color w:val="000000"/>
                <w:lang w:val="hu-HU"/>
              </w:rPr>
              <w:t>például</w:t>
            </w:r>
            <w:r w:rsidRPr="00617FC7">
              <w:rPr>
                <w:rFonts w:ascii="Times New Roman" w:eastAsia="Times New Roman" w:hAnsi="Times New Roman" w:cs="Times New Roman"/>
                <w:noProof w:val="0"/>
                <w:color w:val="000000"/>
                <w:lang w:val="hu-HU"/>
              </w:rPr>
              <w:t xml:space="preserve"> amiodaron, verapamil, kinidin és tikagrelor, lásd 4.5 pont)</w:t>
            </w:r>
          </w:p>
          <w:p w14:paraId="542AD6A5" w14:textId="77777777" w:rsidR="005576E7" w:rsidRPr="00617FC7" w:rsidRDefault="005576E7" w:rsidP="00CF66F9">
            <w:pPr>
              <w:rPr>
                <w:rFonts w:ascii="Times New Roman" w:eastAsia="Times New Roman" w:hAnsi="Times New Roman" w:cs="Times New Roman"/>
                <w:noProof w:val="0"/>
                <w:color w:val="000000"/>
                <w:lang w:val="hu-HU"/>
              </w:rPr>
            </w:pPr>
          </w:p>
          <w:p w14:paraId="55CAE76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u w:val="single" w:color="000000"/>
                <w:lang w:val="hu-HU"/>
              </w:rPr>
              <w:t>Kisebb:</w:t>
            </w:r>
          </w:p>
          <w:p w14:paraId="641D63B7" w14:textId="77777777" w:rsidR="00536CD0" w:rsidRPr="00617FC7" w:rsidRDefault="00536CD0" w:rsidP="0016776B">
            <w:pPr>
              <w:numPr>
                <w:ilvl w:val="0"/>
                <w:numId w:val="13"/>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Alacsony testtömeg (&lt; 50 kg) felnőtt betegeknél</w:t>
            </w:r>
          </w:p>
        </w:tc>
      </w:tr>
      <w:tr w:rsidR="00536CD0" w:rsidRPr="00617FC7" w14:paraId="755E8763" w14:textId="77777777" w:rsidTr="00CF66F9">
        <w:trPr>
          <w:trHeight w:val="113"/>
        </w:trPr>
        <w:tc>
          <w:tcPr>
            <w:tcW w:w="4433" w:type="dxa"/>
            <w:tcBorders>
              <w:top w:val="single" w:sz="4" w:space="0" w:color="000000"/>
              <w:left w:val="single" w:sz="4" w:space="0" w:color="000000"/>
              <w:bottom w:val="single" w:sz="4" w:space="0" w:color="000000"/>
              <w:right w:val="single" w:sz="4" w:space="0" w:color="000000"/>
            </w:tcBorders>
          </w:tcPr>
          <w:p w14:paraId="1FC387E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Farmakodinámiás interakciók (lásd 4.5 pont)</w:t>
            </w:r>
          </w:p>
        </w:tc>
        <w:tc>
          <w:tcPr>
            <w:tcW w:w="4639" w:type="dxa"/>
            <w:tcBorders>
              <w:top w:val="single" w:sz="4" w:space="0" w:color="000000"/>
              <w:left w:val="single" w:sz="4" w:space="0" w:color="000000"/>
              <w:bottom w:val="single" w:sz="4" w:space="0" w:color="000000"/>
              <w:right w:val="single" w:sz="4" w:space="0" w:color="000000"/>
            </w:tcBorders>
          </w:tcPr>
          <w:p w14:paraId="2B40A618" w14:textId="103F546E" w:rsidR="00536CD0" w:rsidRPr="00617FC7" w:rsidRDefault="00536CD0" w:rsidP="0016776B">
            <w:pPr>
              <w:numPr>
                <w:ilvl w:val="0"/>
                <w:numId w:val="14"/>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ASA és egyéb thrombocytaaggregáció-gátló gyógyszerek, </w:t>
            </w:r>
            <w:r w:rsidR="00A2754E">
              <w:rPr>
                <w:rFonts w:ascii="Times New Roman" w:eastAsia="Times New Roman" w:hAnsi="Times New Roman" w:cs="Times New Roman"/>
                <w:noProof w:val="0"/>
                <w:color w:val="000000"/>
                <w:lang w:val="hu-HU"/>
              </w:rPr>
              <w:t>például</w:t>
            </w:r>
            <w:r w:rsidRPr="00617FC7">
              <w:rPr>
                <w:rFonts w:ascii="Times New Roman" w:eastAsia="Times New Roman" w:hAnsi="Times New Roman" w:cs="Times New Roman"/>
                <w:noProof w:val="0"/>
                <w:color w:val="000000"/>
                <w:lang w:val="hu-HU"/>
              </w:rPr>
              <w:t xml:space="preserve"> a klopidogrel</w:t>
            </w:r>
          </w:p>
          <w:p w14:paraId="6A30BB03" w14:textId="77777777" w:rsidR="00536CD0" w:rsidRPr="00617FC7" w:rsidRDefault="00536CD0" w:rsidP="0016776B">
            <w:pPr>
              <w:numPr>
                <w:ilvl w:val="0"/>
                <w:numId w:val="14"/>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NSAID-ok</w:t>
            </w:r>
          </w:p>
          <w:p w14:paraId="6A834930" w14:textId="77777777" w:rsidR="00536CD0" w:rsidRPr="00617FC7" w:rsidRDefault="00536CD0" w:rsidP="0016776B">
            <w:pPr>
              <w:numPr>
                <w:ilvl w:val="0"/>
                <w:numId w:val="14"/>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SSRI-k vagy SNRI-k</w:t>
            </w:r>
          </w:p>
          <w:p w14:paraId="499BB43E" w14:textId="77777777" w:rsidR="00536CD0" w:rsidRPr="00617FC7" w:rsidRDefault="00536CD0" w:rsidP="0016776B">
            <w:pPr>
              <w:numPr>
                <w:ilvl w:val="0"/>
                <w:numId w:val="14"/>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Egyéb, a haemostasist rontó gyógyszerek </w:t>
            </w:r>
          </w:p>
        </w:tc>
      </w:tr>
      <w:tr w:rsidR="00536CD0" w:rsidRPr="00617FC7" w14:paraId="32E08AF1" w14:textId="77777777" w:rsidTr="00CF66F9">
        <w:trPr>
          <w:trHeight w:val="113"/>
        </w:trPr>
        <w:tc>
          <w:tcPr>
            <w:tcW w:w="4433" w:type="dxa"/>
            <w:tcBorders>
              <w:top w:val="single" w:sz="4" w:space="0" w:color="000000"/>
              <w:left w:val="single" w:sz="4" w:space="0" w:color="000000"/>
              <w:bottom w:val="single" w:sz="4" w:space="0" w:color="000000"/>
              <w:right w:val="single" w:sz="4" w:space="0" w:color="000000"/>
            </w:tcBorders>
          </w:tcPr>
          <w:p w14:paraId="467CCB2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tcPr>
          <w:p w14:paraId="3C89E664" w14:textId="77777777" w:rsidR="00536CD0" w:rsidRPr="00617FC7" w:rsidRDefault="00536CD0" w:rsidP="0016776B">
            <w:pPr>
              <w:numPr>
                <w:ilvl w:val="0"/>
                <w:numId w:val="15"/>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Veleszületett vagy szerzett véralvadási zavarok</w:t>
            </w:r>
          </w:p>
          <w:p w14:paraId="11585AA8" w14:textId="77777777" w:rsidR="00536CD0" w:rsidRPr="00617FC7" w:rsidRDefault="00536CD0" w:rsidP="0016776B">
            <w:pPr>
              <w:numPr>
                <w:ilvl w:val="0"/>
                <w:numId w:val="15"/>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Thrombocytopenia vagy funkcionális thrombocyta-károsodás</w:t>
            </w:r>
          </w:p>
          <w:p w14:paraId="059A87B9" w14:textId="77777777" w:rsidR="00536CD0" w:rsidRPr="00617FC7" w:rsidRDefault="00536CD0" w:rsidP="0016776B">
            <w:pPr>
              <w:numPr>
                <w:ilvl w:val="0"/>
                <w:numId w:val="15"/>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Közelmúltban végzett biopszia vagy jelentős trauma</w:t>
            </w:r>
          </w:p>
          <w:p w14:paraId="14556986" w14:textId="77777777" w:rsidR="00536CD0" w:rsidRPr="00617FC7" w:rsidRDefault="00536CD0" w:rsidP="0016776B">
            <w:pPr>
              <w:numPr>
                <w:ilvl w:val="0"/>
                <w:numId w:val="15"/>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Bakteriális endocarditis</w:t>
            </w:r>
          </w:p>
          <w:p w14:paraId="2BBDFEB1" w14:textId="77777777" w:rsidR="00536CD0" w:rsidRPr="00617FC7" w:rsidRDefault="00536CD0" w:rsidP="0016776B">
            <w:pPr>
              <w:numPr>
                <w:ilvl w:val="0"/>
                <w:numId w:val="15"/>
              </w:numPr>
              <w:ind w:hanging="56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Oesophagitis, gastritis vagy gastrooesophagealis reflux</w:t>
            </w:r>
          </w:p>
        </w:tc>
      </w:tr>
    </w:tbl>
    <w:p w14:paraId="6B3F13B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DE36CD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50 kg-nál kisebb testtömegű felnőtt betegekre vonatkozóan kevés adat áll rendelkezésre (lásd 5.2 pont).</w:t>
      </w:r>
    </w:p>
    <w:p w14:paraId="48D2E0D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D08CAF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és P‑gp-inhibitorok együttes alkalmazását nem vizsgálták gyermekeknél és serdülőknél, azonban esetükben is fokozódhat a vérzés kockázata (lásd 4.5 pont).</w:t>
      </w:r>
    </w:p>
    <w:p w14:paraId="355F08F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E713FE"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Óvintézkedések és a vérzésveszély kezelése</w:t>
      </w:r>
    </w:p>
    <w:p w14:paraId="50F6B63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3B925A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vérzéses szövődmények kezelését lásd még a 4.9 pontban.</w:t>
      </w:r>
    </w:p>
    <w:p w14:paraId="10E5A6E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540805F" w14:textId="77777777" w:rsidR="00536CD0" w:rsidRPr="00617FC7" w:rsidRDefault="00536CD0" w:rsidP="00536CD0">
      <w:pPr>
        <w:keepNext/>
        <w:spacing w:after="0" w:line="240" w:lineRule="auto"/>
        <w:ind w:left="5" w:hanging="11"/>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 xml:space="preserve">Előny/kockázat arány mérlegelése </w:t>
      </w:r>
    </w:p>
    <w:p w14:paraId="2689ACE8" w14:textId="77777777" w:rsidR="00536CD0" w:rsidRPr="00617FC7" w:rsidRDefault="00536CD0" w:rsidP="00536CD0">
      <w:pPr>
        <w:keepNext/>
        <w:spacing w:after="0" w:line="240" w:lineRule="auto"/>
        <w:ind w:left="5" w:right="9" w:hanging="11"/>
        <w:rPr>
          <w:rFonts w:ascii="Times New Roman" w:eastAsia="Times New Roman" w:hAnsi="Times New Roman" w:cs="Times New Roman"/>
          <w:noProof w:val="0"/>
          <w:color w:val="000000"/>
          <w:kern w:val="0"/>
          <w:lang w:val="hu-HU" w:eastAsia="hu-HU"/>
          <w14:ligatures w14:val="none"/>
        </w:rPr>
      </w:pPr>
    </w:p>
    <w:p w14:paraId="0ABB0572" w14:textId="6896C4BE"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Olyan károsodások, állapotok, eljárások és/vagy gyógyszeres kezelés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NSAID-ok, thrombocytaaggregáció-gátlók, SSRI-k és SNRI-k, lásd 4.5 pont) esetén, amelyek jelentős mértékben fokozzák a major vérzés veszélyét, az előny-kockázat arány gondos elemzésére van szükség. A dabigatrán-etexilát csak akkor adható, ha az előny felülmúlja a vérzési kockázatokat.</w:t>
      </w:r>
    </w:p>
    <w:p w14:paraId="43CC8CA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3BC86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kockázati tényezőkkel rendelkező gyermekekre és serdülőkre – beleértve az aktív meningitisben, encephalitisben és intracranialis abscessusban szenvedő betegeket (lásd 5.1 pont) – vonatkozóan csak korlátozott klinikai adat érhető el. Ezeknek a betegeknek a dabigatrán-etexilát csak akkor adható, ha a várt előny felülmúlja a vérzési kockázatokat.</w:t>
      </w:r>
    </w:p>
    <w:p w14:paraId="25837E3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08EE92A"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Szoros klinikai megfigyelés</w:t>
      </w:r>
    </w:p>
    <w:p w14:paraId="4593C58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10D9AA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vérzés vagy anaemia jeleinek szoros megfigyelése javasolt a teljes kezelési időszakban, különösen a kockázati tényezők együttes fennállása esetén (lásd a fenti 5. táblázat). Fokozott figyelem szükséges a dabigatrán-etexilát, illetve a verapamil, az amiodaron, a kinidin vagy a klaritromicin (P-gp-inhibitorok) egyidejű alkalmazásakor, különösen vérzés esetén, és elsősorban a vesekárosodásban szenvedő betegeknél (lásd 4.5 pont).</w:t>
      </w:r>
    </w:p>
    <w:p w14:paraId="11F2742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vérzés jeleinek szoros megfigyelése javasolt az NSAID-okkal egyidejűleg kezelt betegek esetében (lásd 4.5 pont).</w:t>
      </w:r>
    </w:p>
    <w:p w14:paraId="1D5F99B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7990A99"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A dabigatrán-etexilát-kezelés leállítása</w:t>
      </w:r>
    </w:p>
    <w:p w14:paraId="453878D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2814B5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Akut veseelégtelenség fellépése esetén a dabigatrán-etexilát-kezelést le kell állítani (lásd 4.3 pont).</w:t>
      </w:r>
    </w:p>
    <w:p w14:paraId="5534240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C569E5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Súlyos vérzés jelentkezése esetén a kezelést le kell állítani, meg kell keresni a vérzés forrását, és megfontolandó egy specifikus antidótum (idarucizumab) használata felnőtt betegeknél. Az idarucizumab hatásosságát és biztonságosságát nem határozták meg a gyermekeknél és serdülőknél. A haemodialízis képes a dabigatrán eltávolítására.</w:t>
      </w:r>
    </w:p>
    <w:p w14:paraId="3206721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C538C16"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Protonpumpa-inhibitorok használata</w:t>
      </w:r>
    </w:p>
    <w:p w14:paraId="6C31F68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3CB0D9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gastrointestinalis vérzés megelőzésére mérlegelhető egy protonpumpa-inhibitor (PPI) adása. </w:t>
      </w:r>
    </w:p>
    <w:p w14:paraId="2FD4C8B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Gyermekeknél és serdülőknél a protonpumpa-inhibitorokra vonatkozó helyi javallatokat kell követni.</w:t>
      </w:r>
    </w:p>
    <w:p w14:paraId="11243E0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66BE1C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Laboratóriumi koagulációs paraméterek</w:t>
      </w:r>
    </w:p>
    <w:p w14:paraId="63C0EC8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B3EC61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Noha a gyógyszer általánosságban nem teszi szükségessé a rutinszerű antikoaguláns monitorozást, a további kockázati tényezők jelenléte esetén a dabigatránnal összefüggő alvadásgátlás mérése segíthet meghatározni a túlzott dabigatrán-expozíciót.</w:t>
      </w:r>
    </w:p>
    <w:p w14:paraId="3242526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Hasznos információval szolgálhat a hígított thrombinidő dTT (hTI), az ekarin alvadási idő (Ecarin Clotting Time: ECT) és az aktivált parciális thromboplastin-idő (aPTT), de az eredményeket körültekintéssel kell értékelni a vizsgálatok közötti variabilitás miatt (lásd 5.1 pont).</w:t>
      </w:r>
    </w:p>
    <w:p w14:paraId="355FD83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INR mérése a dabigatrán-etexilátot kapó betegeknél nem megbízható, és fals pozitív INR emelkedésről számoltak be. Ezért INR vizsgálatot nem szabad végezni.</w:t>
      </w:r>
    </w:p>
    <w:p w14:paraId="38F6828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3FB73D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6. táblázat a véralvadási vizsgálatoknak azokat a mélyponti küszöbértékeit mutatja felnőtt betegeknél, amelyek fokozott vérzésveszélyt jelezhetnek. A gyermekekre és serdülőkre vonatkozó küszöbértékek nem ismertek (lásd 5.1 pont).</w:t>
      </w:r>
    </w:p>
    <w:p w14:paraId="40984C1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DACA6D0" w14:textId="77777777" w:rsidR="00536CD0" w:rsidRPr="00617FC7" w:rsidRDefault="00536CD0" w:rsidP="00536CD0">
      <w:pPr>
        <w:keepNext/>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 táblázat. A véralvadási vizsgálatok mélyponti küszöbértékei felnőtt betegeknél, amelyek fokozott vérzésveszélyt jelenthetnek</w:t>
      </w:r>
    </w:p>
    <w:p w14:paraId="53884ED4" w14:textId="77777777" w:rsidR="00536CD0" w:rsidRPr="00617FC7" w:rsidRDefault="00536CD0" w:rsidP="00536CD0">
      <w:pPr>
        <w:keepNext/>
        <w:spacing w:after="0" w:line="240" w:lineRule="auto"/>
        <w:ind w:left="991" w:hanging="994"/>
        <w:rPr>
          <w:rFonts w:ascii="Times New Roman" w:eastAsia="Times New Roman" w:hAnsi="Times New Roman" w:cs="Times New Roman"/>
          <w:bCs/>
          <w:noProof w:val="0"/>
          <w:color w:val="000000"/>
          <w:kern w:val="0"/>
          <w:lang w:val="hu-HU" w:eastAsia="hu-HU"/>
          <w14:ligatures w14:val="none"/>
        </w:rPr>
      </w:pPr>
    </w:p>
    <w:tbl>
      <w:tblPr>
        <w:tblStyle w:val="TableGrid"/>
        <w:tblW w:w="9072" w:type="dxa"/>
        <w:tblInd w:w="10" w:type="dxa"/>
        <w:tblCellMar>
          <w:top w:w="51" w:type="dxa"/>
          <w:left w:w="108" w:type="dxa"/>
          <w:right w:w="106" w:type="dxa"/>
        </w:tblCellMar>
        <w:tblLook w:val="04A0" w:firstRow="1" w:lastRow="0" w:firstColumn="1" w:lastColumn="0" w:noHBand="0" w:noVBand="1"/>
      </w:tblPr>
      <w:tblGrid>
        <w:gridCol w:w="3607"/>
        <w:gridCol w:w="2580"/>
        <w:gridCol w:w="2885"/>
      </w:tblGrid>
      <w:tr w:rsidR="00536CD0" w:rsidRPr="00617FC7" w14:paraId="41B5383E"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2F450FFB" w14:textId="77777777" w:rsidR="00536CD0" w:rsidRPr="00617FC7" w:rsidRDefault="00536CD0" w:rsidP="00536CD0">
            <w:pPr>
              <w:keepNext/>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Vizsgálat (mélyponti érték)</w:t>
            </w:r>
          </w:p>
        </w:tc>
        <w:tc>
          <w:tcPr>
            <w:tcW w:w="5465" w:type="dxa"/>
            <w:gridSpan w:val="2"/>
            <w:tcBorders>
              <w:top w:val="single" w:sz="4" w:space="0" w:color="000000"/>
              <w:left w:val="single" w:sz="4" w:space="0" w:color="000000"/>
              <w:bottom w:val="single" w:sz="4" w:space="0" w:color="000000"/>
              <w:right w:val="single" w:sz="4" w:space="0" w:color="000000"/>
            </w:tcBorders>
          </w:tcPr>
          <w:p w14:paraId="0782D86B" w14:textId="77777777" w:rsidR="00536CD0" w:rsidRPr="00617FC7" w:rsidRDefault="00536CD0" w:rsidP="00536CD0">
            <w:pPr>
              <w:keepNext/>
              <w:ind w:left="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Indikáció</w:t>
            </w:r>
          </w:p>
        </w:tc>
      </w:tr>
      <w:tr w:rsidR="00536CD0" w:rsidRPr="00617FC7" w14:paraId="159F998C"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603B8547" w14:textId="77777777" w:rsidR="00536CD0" w:rsidRPr="00617FC7" w:rsidRDefault="00536CD0" w:rsidP="00536CD0">
            <w:pPr>
              <w:rPr>
                <w:rFonts w:ascii="Times New Roman" w:eastAsia="Times New Roman" w:hAnsi="Times New Roman" w:cs="Times New Roman"/>
                <w:noProof w:val="0"/>
                <w:color w:val="000000"/>
                <w:lang w:val="hu-HU"/>
              </w:rPr>
            </w:pPr>
          </w:p>
        </w:tc>
        <w:tc>
          <w:tcPr>
            <w:tcW w:w="2580" w:type="dxa"/>
            <w:tcBorders>
              <w:top w:val="single" w:sz="4" w:space="0" w:color="000000"/>
              <w:left w:val="single" w:sz="4" w:space="0" w:color="000000"/>
              <w:bottom w:val="single" w:sz="4" w:space="0" w:color="000000"/>
              <w:right w:val="single" w:sz="4" w:space="0" w:color="000000"/>
            </w:tcBorders>
          </w:tcPr>
          <w:p w14:paraId="6674DE11"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 primer prevenciója ortopédiai műtéteknél</w:t>
            </w:r>
          </w:p>
        </w:tc>
        <w:tc>
          <w:tcPr>
            <w:tcW w:w="2885" w:type="dxa"/>
            <w:tcBorders>
              <w:top w:val="single" w:sz="4" w:space="0" w:color="000000"/>
              <w:left w:val="single" w:sz="4" w:space="0" w:color="000000"/>
              <w:bottom w:val="single" w:sz="4" w:space="0" w:color="000000"/>
              <w:right w:val="single" w:sz="4" w:space="0" w:color="000000"/>
            </w:tcBorders>
          </w:tcPr>
          <w:p w14:paraId="2C7813E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SPAF és MVT/PE</w:t>
            </w:r>
          </w:p>
        </w:tc>
      </w:tr>
      <w:tr w:rsidR="00536CD0" w:rsidRPr="00617FC7" w14:paraId="11FB75E3"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26D25E8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dTT [ng/ml]</w:t>
            </w:r>
          </w:p>
        </w:tc>
        <w:tc>
          <w:tcPr>
            <w:tcW w:w="2580" w:type="dxa"/>
            <w:tcBorders>
              <w:top w:val="single" w:sz="4" w:space="0" w:color="000000"/>
              <w:left w:val="single" w:sz="4" w:space="0" w:color="000000"/>
              <w:bottom w:val="single" w:sz="4" w:space="0" w:color="000000"/>
              <w:right w:val="single" w:sz="4" w:space="0" w:color="000000"/>
            </w:tcBorders>
          </w:tcPr>
          <w:p w14:paraId="6F817CF7"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67</w:t>
            </w:r>
          </w:p>
        </w:tc>
        <w:tc>
          <w:tcPr>
            <w:tcW w:w="2885" w:type="dxa"/>
            <w:tcBorders>
              <w:top w:val="single" w:sz="4" w:space="0" w:color="000000"/>
              <w:left w:val="single" w:sz="4" w:space="0" w:color="000000"/>
              <w:bottom w:val="single" w:sz="4" w:space="0" w:color="000000"/>
              <w:right w:val="single" w:sz="4" w:space="0" w:color="000000"/>
            </w:tcBorders>
          </w:tcPr>
          <w:p w14:paraId="55A40FB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200</w:t>
            </w:r>
          </w:p>
        </w:tc>
      </w:tr>
      <w:tr w:rsidR="00536CD0" w:rsidRPr="00617FC7" w14:paraId="4C34507E"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76E644D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ECT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7AEC52A8"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nincs adat</w:t>
            </w:r>
          </w:p>
        </w:tc>
        <w:tc>
          <w:tcPr>
            <w:tcW w:w="2885" w:type="dxa"/>
            <w:tcBorders>
              <w:top w:val="single" w:sz="4" w:space="0" w:color="000000"/>
              <w:left w:val="single" w:sz="4" w:space="0" w:color="000000"/>
              <w:bottom w:val="single" w:sz="4" w:space="0" w:color="000000"/>
              <w:right w:val="single" w:sz="4" w:space="0" w:color="000000"/>
            </w:tcBorders>
          </w:tcPr>
          <w:p w14:paraId="572BF3C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3</w:t>
            </w:r>
          </w:p>
        </w:tc>
      </w:tr>
      <w:tr w:rsidR="00536CD0" w:rsidRPr="00617FC7" w14:paraId="25A8B93A"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0E00CFE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aPTT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5033F056"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1,3</w:t>
            </w:r>
          </w:p>
        </w:tc>
        <w:tc>
          <w:tcPr>
            <w:tcW w:w="2885" w:type="dxa"/>
            <w:tcBorders>
              <w:top w:val="single" w:sz="4" w:space="0" w:color="000000"/>
              <w:left w:val="single" w:sz="4" w:space="0" w:color="000000"/>
              <w:bottom w:val="single" w:sz="4" w:space="0" w:color="000000"/>
              <w:right w:val="single" w:sz="4" w:space="0" w:color="000000"/>
            </w:tcBorders>
          </w:tcPr>
          <w:p w14:paraId="7397E7E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2</w:t>
            </w:r>
          </w:p>
        </w:tc>
      </w:tr>
      <w:tr w:rsidR="00536CD0" w:rsidRPr="00617FC7" w14:paraId="6C20251A" w14:textId="77777777" w:rsidTr="00CF66F9">
        <w:trPr>
          <w:trHeight w:val="113"/>
        </w:trPr>
        <w:tc>
          <w:tcPr>
            <w:tcW w:w="3607" w:type="dxa"/>
            <w:tcBorders>
              <w:top w:val="single" w:sz="4" w:space="0" w:color="000000"/>
              <w:left w:val="single" w:sz="4" w:space="0" w:color="000000"/>
              <w:bottom w:val="single" w:sz="4" w:space="0" w:color="000000"/>
              <w:right w:val="single" w:sz="4" w:space="0" w:color="000000"/>
            </w:tcBorders>
          </w:tcPr>
          <w:p w14:paraId="54D6A8F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INR</w:t>
            </w:r>
          </w:p>
        </w:tc>
        <w:tc>
          <w:tcPr>
            <w:tcW w:w="2580" w:type="dxa"/>
            <w:tcBorders>
              <w:top w:val="single" w:sz="4" w:space="0" w:color="000000"/>
              <w:left w:val="single" w:sz="4" w:space="0" w:color="000000"/>
              <w:bottom w:val="single" w:sz="4" w:space="0" w:color="000000"/>
              <w:right w:val="single" w:sz="4" w:space="0" w:color="000000"/>
            </w:tcBorders>
          </w:tcPr>
          <w:p w14:paraId="4A1D86E4"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szabad végezni</w:t>
            </w:r>
          </w:p>
        </w:tc>
        <w:tc>
          <w:tcPr>
            <w:tcW w:w="2885" w:type="dxa"/>
            <w:tcBorders>
              <w:top w:val="single" w:sz="4" w:space="0" w:color="000000"/>
              <w:left w:val="single" w:sz="4" w:space="0" w:color="000000"/>
              <w:bottom w:val="single" w:sz="4" w:space="0" w:color="000000"/>
              <w:right w:val="single" w:sz="4" w:space="0" w:color="000000"/>
            </w:tcBorders>
          </w:tcPr>
          <w:p w14:paraId="69CCAD4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szabad végezni</w:t>
            </w:r>
          </w:p>
        </w:tc>
      </w:tr>
    </w:tbl>
    <w:p w14:paraId="283C4C02"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2C3CC26B"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Fibrinolyticus hatású gyógyszerek alkalmazása az akut ischaemiás stroke kezelésére</w:t>
      </w:r>
    </w:p>
    <w:p w14:paraId="31FB469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FD089F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fibrinolyticus hatású gyógyszerek alkalmazása mérlegelhető az akut ischaemiás stroke kezelésére, ha a beteg dTT-, ECT- vagy PTT-értéke nem haladja meg a helyi referencia tartomány szerinti normál érték felső határát (upper limit of normal, ULN).</w:t>
      </w:r>
    </w:p>
    <w:p w14:paraId="4E48B00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595CF56"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Műtét és beavatkozások</w:t>
      </w:r>
    </w:p>
    <w:p w14:paraId="6F400B6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03581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Dabigatrán-etexilátot kapó betegeknél műtét vagy invazív beavatkozás esetén fokozott a vérzésveszély. Ezért a műtéti beavatkozás a dabigatrán-etexilát ideiglenes leállítását teheti szükségessé.</w:t>
      </w:r>
    </w:p>
    <w:p w14:paraId="2657888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1D8DE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betegek a cardioversio alatt folytathatják a dabigatrán-etexilát szedését. Nincsenek rendelkezésre álló adatok napi kétszer 110 mg dabigatrán-etexilát-kezelésről pitvarfibrilláció miatt katéteres ablatióban részesülő betegeknél (lásd 4.2 pont).</w:t>
      </w:r>
    </w:p>
    <w:p w14:paraId="13D93E6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03C598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Óvatosság szükséges, és az alvadásgátló hatás ellenőrzése elengedhetetlen, ha a kezelést intervenció miatt ideiglenesen leállítják. A dabigatrán clearance-e veseelégtelenségben szenvedő betegeknél megnyúlhat (lásd 5.2 pont). Ezt minden beavatkozás előtt figyelembe kell venni. Ilyen esetben véralvadási vizsgálat (lásd 4.4 és 5.1 pont) segíthet eldönteni, hogy a haemostasis még károsodott-e.</w:t>
      </w:r>
    </w:p>
    <w:p w14:paraId="76425A0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A8529F7"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Akut műtét vagy sürgős beavatkozások</w:t>
      </w:r>
    </w:p>
    <w:p w14:paraId="11A7DE2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001FD1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adását átmenetileg le kell állítani. Ha az antikoaguláns hatás gyors felfüggesztésére van szükség, rendelkezésre áll a dabigatrán specifikus antagonista szere (idarucizumab) a felnőtt betegek számára. Az idarucizumab hatásosságát és biztonságosságát nem határozták meg a gyermekeknél és serdülőknél. A haemodialízis képes a dabigatrán eltávolítására.</w:t>
      </w:r>
    </w:p>
    <w:p w14:paraId="1758534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27F632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dabigatrán-kezelés felfüggesztése a betegeket az alapbetegségük miatti thromboticus kockázatnak teszi ki. A dabigatrán-etexilát-kezelés az idarucizumab adása után 24 órával újra elkezdhető, ha a beteg klinikailag stabil állapotban van és a megfelelő haemostasis kialakult.</w:t>
      </w:r>
    </w:p>
    <w:p w14:paraId="5C0B5D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B10E5A1"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Szubakut műtét/beavatkozások</w:t>
      </w:r>
    </w:p>
    <w:p w14:paraId="1246318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9E79C7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3569EAC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B5FB512"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Elektív műtét</w:t>
      </w:r>
    </w:p>
    <w:p w14:paraId="61B24DE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063730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Ha lehetséges, a dabigatrán-etexilátot az invazív vagy műtéti beavatkozás előtt legalább 24 órával le kell állítani. Nagyobb vérzésveszély vagy nagy műtét esetén, amikor teljes haemostasisra lehet szükség, mérlegelni lehet a dabigatrán-etexilát 2-4 nappal a műtét előtt történő leállítását. </w:t>
      </w:r>
    </w:p>
    <w:p w14:paraId="523FD04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525B7E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7. táblázat összefoglalja az invazív vagy sebészi beavatkozások előtti leállításra vonatkozó szabályokat felnőtt betegeknél.</w:t>
      </w:r>
    </w:p>
    <w:p w14:paraId="430D657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3FAA84C" w14:textId="77777777" w:rsidR="00536CD0" w:rsidRPr="00617FC7" w:rsidRDefault="00536CD0" w:rsidP="00536CD0">
      <w:pPr>
        <w:keepNext/>
        <w:spacing w:after="0" w:line="240" w:lineRule="auto"/>
        <w:ind w:left="22" w:hanging="11"/>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7. táblázat. Az invazív vagy sebészi beavatkozások előtti leállításra vonatkozó szabályok felnőtt betegeknél</w:t>
      </w:r>
    </w:p>
    <w:p w14:paraId="7217678A" w14:textId="77777777" w:rsidR="00536CD0" w:rsidRPr="00617FC7" w:rsidRDefault="00536CD0" w:rsidP="00536CD0">
      <w:pPr>
        <w:keepNext/>
        <w:spacing w:after="0" w:line="240" w:lineRule="auto"/>
        <w:ind w:left="22" w:hanging="11"/>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1591"/>
        <w:gridCol w:w="1867"/>
        <w:gridCol w:w="2832"/>
        <w:gridCol w:w="2782"/>
      </w:tblGrid>
      <w:tr w:rsidR="00536CD0" w:rsidRPr="00617FC7" w14:paraId="39609DD7" w14:textId="77777777" w:rsidTr="00CF66F9">
        <w:trPr>
          <w:trHeight w:val="113"/>
        </w:trPr>
        <w:tc>
          <w:tcPr>
            <w:tcW w:w="1591" w:type="dxa"/>
            <w:vMerge w:val="restart"/>
            <w:tcBorders>
              <w:top w:val="single" w:sz="4" w:space="0" w:color="000000"/>
              <w:left w:val="single" w:sz="4" w:space="0" w:color="000000"/>
              <w:bottom w:val="single" w:sz="4" w:space="0" w:color="000000"/>
              <w:right w:val="single" w:sz="4" w:space="0" w:color="000000"/>
            </w:tcBorders>
          </w:tcPr>
          <w:p w14:paraId="3EFAAD2C" w14:textId="77777777" w:rsidR="006D1865" w:rsidRDefault="00536CD0" w:rsidP="0009732E">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Vesefunkció</w:t>
            </w:r>
          </w:p>
          <w:p w14:paraId="2758EF3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(CrCl ml/perc)</w:t>
            </w:r>
          </w:p>
        </w:tc>
        <w:tc>
          <w:tcPr>
            <w:tcW w:w="1867" w:type="dxa"/>
            <w:vMerge w:val="restart"/>
            <w:tcBorders>
              <w:top w:val="single" w:sz="4" w:space="0" w:color="000000"/>
              <w:left w:val="single" w:sz="4" w:space="0" w:color="000000"/>
              <w:bottom w:val="single" w:sz="4" w:space="0" w:color="000000"/>
              <w:right w:val="single" w:sz="4" w:space="0" w:color="000000"/>
            </w:tcBorders>
          </w:tcPr>
          <w:p w14:paraId="19DEAEC2" w14:textId="77777777" w:rsidR="00536CD0" w:rsidRPr="00617FC7" w:rsidRDefault="00536CD0" w:rsidP="00536CD0">
            <w:pPr>
              <w:ind w:right="25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tcPr>
          <w:p w14:paraId="0EE319C7"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dabigatrán-etexilátot elektív műtét előtt le kell állítani</w:t>
            </w:r>
          </w:p>
        </w:tc>
      </w:tr>
      <w:tr w:rsidR="00536CD0" w:rsidRPr="00617FC7" w14:paraId="3CBAA08C" w14:textId="77777777" w:rsidTr="00CF66F9">
        <w:trPr>
          <w:trHeight w:val="113"/>
        </w:trPr>
        <w:tc>
          <w:tcPr>
            <w:tcW w:w="0" w:type="auto"/>
            <w:vMerge/>
            <w:tcBorders>
              <w:top w:val="nil"/>
              <w:left w:val="single" w:sz="4" w:space="0" w:color="000000"/>
              <w:bottom w:val="single" w:sz="4" w:space="0" w:color="000000"/>
              <w:right w:val="single" w:sz="4" w:space="0" w:color="000000"/>
            </w:tcBorders>
          </w:tcPr>
          <w:p w14:paraId="4A9423F0" w14:textId="77777777" w:rsidR="00536CD0" w:rsidRPr="00617FC7" w:rsidRDefault="00536CD0" w:rsidP="00536CD0">
            <w:pPr>
              <w:rPr>
                <w:rFonts w:ascii="Times New Roman" w:eastAsia="Times New Roman" w:hAnsi="Times New Roman" w:cs="Times New Roman"/>
                <w:noProof w:val="0"/>
                <w:color w:val="000000"/>
                <w:lang w:val="hu-HU"/>
              </w:rPr>
            </w:pPr>
          </w:p>
        </w:tc>
        <w:tc>
          <w:tcPr>
            <w:tcW w:w="0" w:type="auto"/>
            <w:vMerge/>
            <w:tcBorders>
              <w:top w:val="nil"/>
              <w:left w:val="single" w:sz="4" w:space="0" w:color="000000"/>
              <w:bottom w:val="single" w:sz="4" w:space="0" w:color="000000"/>
              <w:right w:val="single" w:sz="4" w:space="0" w:color="000000"/>
            </w:tcBorders>
          </w:tcPr>
          <w:p w14:paraId="30337811" w14:textId="77777777" w:rsidR="00536CD0" w:rsidRPr="00617FC7" w:rsidRDefault="00536CD0" w:rsidP="00536CD0">
            <w:pPr>
              <w:rPr>
                <w:rFonts w:ascii="Times New Roman" w:eastAsia="Times New Roman" w:hAnsi="Times New Roman" w:cs="Times New Roman"/>
                <w:noProof w:val="0"/>
                <w:color w:val="000000"/>
                <w:lang w:val="hu-HU"/>
              </w:rPr>
            </w:pPr>
          </w:p>
        </w:tc>
        <w:tc>
          <w:tcPr>
            <w:tcW w:w="2832" w:type="dxa"/>
            <w:tcBorders>
              <w:top w:val="single" w:sz="4" w:space="0" w:color="000000"/>
              <w:left w:val="single" w:sz="4" w:space="0" w:color="000000"/>
              <w:bottom w:val="single" w:sz="4" w:space="0" w:color="000000"/>
              <w:right w:val="single" w:sz="4" w:space="0" w:color="000000"/>
            </w:tcBorders>
          </w:tcPr>
          <w:p w14:paraId="419201C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tcPr>
          <w:p w14:paraId="195A6AA9"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Átlagos kockázat</w:t>
            </w:r>
          </w:p>
        </w:tc>
      </w:tr>
      <w:tr w:rsidR="00536CD0" w:rsidRPr="00617FC7" w14:paraId="175D05E4" w14:textId="77777777" w:rsidTr="00CF66F9">
        <w:trPr>
          <w:trHeight w:val="113"/>
        </w:trPr>
        <w:tc>
          <w:tcPr>
            <w:tcW w:w="1591" w:type="dxa"/>
            <w:tcBorders>
              <w:top w:val="single" w:sz="4" w:space="0" w:color="000000"/>
              <w:left w:val="single" w:sz="4" w:space="0" w:color="000000"/>
              <w:bottom w:val="single" w:sz="4" w:space="0" w:color="000000"/>
              <w:right w:val="single" w:sz="4" w:space="0" w:color="000000"/>
            </w:tcBorders>
          </w:tcPr>
          <w:p w14:paraId="5EADFBD1"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 80</w:t>
            </w:r>
          </w:p>
        </w:tc>
        <w:tc>
          <w:tcPr>
            <w:tcW w:w="1867" w:type="dxa"/>
            <w:tcBorders>
              <w:top w:val="single" w:sz="4" w:space="0" w:color="000000"/>
              <w:left w:val="single" w:sz="4" w:space="0" w:color="000000"/>
              <w:bottom w:val="single" w:sz="4" w:space="0" w:color="000000"/>
              <w:right w:val="single" w:sz="4" w:space="0" w:color="000000"/>
            </w:tcBorders>
          </w:tcPr>
          <w:p w14:paraId="53A25C6A" w14:textId="7B06A37B"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13</w:t>
            </w:r>
          </w:p>
        </w:tc>
        <w:tc>
          <w:tcPr>
            <w:tcW w:w="2832" w:type="dxa"/>
            <w:tcBorders>
              <w:top w:val="single" w:sz="4" w:space="0" w:color="000000"/>
              <w:left w:val="single" w:sz="4" w:space="0" w:color="000000"/>
              <w:bottom w:val="single" w:sz="4" w:space="0" w:color="000000"/>
              <w:right w:val="single" w:sz="4" w:space="0" w:color="000000"/>
            </w:tcBorders>
          </w:tcPr>
          <w:p w14:paraId="16C0200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nappal előtte</w:t>
            </w:r>
          </w:p>
        </w:tc>
        <w:tc>
          <w:tcPr>
            <w:tcW w:w="2782" w:type="dxa"/>
            <w:tcBorders>
              <w:top w:val="single" w:sz="4" w:space="0" w:color="000000"/>
              <w:left w:val="single" w:sz="4" w:space="0" w:color="000000"/>
              <w:bottom w:val="single" w:sz="4" w:space="0" w:color="000000"/>
              <w:right w:val="single" w:sz="4" w:space="0" w:color="000000"/>
            </w:tcBorders>
          </w:tcPr>
          <w:p w14:paraId="63999E5B"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24 órával előtte</w:t>
            </w:r>
          </w:p>
        </w:tc>
      </w:tr>
      <w:tr w:rsidR="00536CD0" w:rsidRPr="00617FC7" w14:paraId="65DAF93D" w14:textId="77777777" w:rsidTr="00CF66F9">
        <w:trPr>
          <w:trHeight w:val="113"/>
        </w:trPr>
        <w:tc>
          <w:tcPr>
            <w:tcW w:w="1591" w:type="dxa"/>
            <w:tcBorders>
              <w:top w:val="single" w:sz="4" w:space="0" w:color="000000"/>
              <w:left w:val="single" w:sz="4" w:space="0" w:color="000000"/>
              <w:bottom w:val="single" w:sz="4" w:space="0" w:color="000000"/>
              <w:right w:val="single" w:sz="4" w:space="0" w:color="000000"/>
            </w:tcBorders>
          </w:tcPr>
          <w:p w14:paraId="66B7C6D4" w14:textId="48BAAC8E"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50</w:t>
            </w:r>
            <w:r w:rsidR="00E34E16">
              <w:rPr>
                <w:rFonts w:ascii="Times New Roman" w:eastAsia="Times New Roman" w:hAnsi="Times New Roman" w:cs="Times New Roman"/>
                <w:noProof w:val="0"/>
                <w:color w:val="000000"/>
                <w:lang w:val="hu-HU"/>
              </w:rPr>
              <w:t> </w:t>
            </w:r>
            <w:r w:rsidR="00E34E16" w:rsidRPr="00617FC7">
              <w:rPr>
                <w:rFonts w:ascii="Times New Roman" w:eastAsia="Times New Roman" w:hAnsi="Times New Roman" w:cs="Times New Roman"/>
                <w:noProof w:val="0"/>
                <w:color w:val="000000"/>
                <w:lang w:val="hu-HU"/>
              </w:rPr>
              <w:t>–</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 80</w:t>
            </w:r>
          </w:p>
        </w:tc>
        <w:tc>
          <w:tcPr>
            <w:tcW w:w="1867" w:type="dxa"/>
            <w:tcBorders>
              <w:top w:val="single" w:sz="4" w:space="0" w:color="000000"/>
              <w:left w:val="single" w:sz="4" w:space="0" w:color="000000"/>
              <w:bottom w:val="single" w:sz="4" w:space="0" w:color="000000"/>
              <w:right w:val="single" w:sz="4" w:space="0" w:color="000000"/>
            </w:tcBorders>
          </w:tcPr>
          <w:p w14:paraId="3353AC67" w14:textId="3C7A9BA1"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15</w:t>
            </w:r>
          </w:p>
        </w:tc>
        <w:tc>
          <w:tcPr>
            <w:tcW w:w="2832" w:type="dxa"/>
            <w:tcBorders>
              <w:top w:val="single" w:sz="4" w:space="0" w:color="000000"/>
              <w:left w:val="single" w:sz="4" w:space="0" w:color="000000"/>
              <w:bottom w:val="single" w:sz="4" w:space="0" w:color="000000"/>
              <w:right w:val="single" w:sz="4" w:space="0" w:color="000000"/>
            </w:tcBorders>
          </w:tcPr>
          <w:p w14:paraId="2C09A8C9" w14:textId="46B13360"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w:t>
            </w:r>
            <w:r w:rsidR="00E34E16"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3 nappal előtte</w:t>
            </w:r>
          </w:p>
        </w:tc>
        <w:tc>
          <w:tcPr>
            <w:tcW w:w="2782" w:type="dxa"/>
            <w:tcBorders>
              <w:top w:val="single" w:sz="4" w:space="0" w:color="000000"/>
              <w:left w:val="single" w:sz="4" w:space="0" w:color="000000"/>
              <w:bottom w:val="single" w:sz="4" w:space="0" w:color="000000"/>
              <w:right w:val="single" w:sz="4" w:space="0" w:color="000000"/>
            </w:tcBorders>
          </w:tcPr>
          <w:p w14:paraId="099CF7CC" w14:textId="170CB315"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w:t>
            </w:r>
            <w:r w:rsidR="00E34E16"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2 nappal előtte</w:t>
            </w:r>
          </w:p>
        </w:tc>
      </w:tr>
      <w:tr w:rsidR="00536CD0" w:rsidRPr="00617FC7" w14:paraId="42580B0A" w14:textId="77777777" w:rsidTr="00CF66F9">
        <w:trPr>
          <w:trHeight w:val="113"/>
        </w:trPr>
        <w:tc>
          <w:tcPr>
            <w:tcW w:w="1591" w:type="dxa"/>
            <w:tcBorders>
              <w:top w:val="single" w:sz="4" w:space="0" w:color="000000"/>
              <w:left w:val="single" w:sz="4" w:space="0" w:color="000000"/>
              <w:bottom w:val="single" w:sz="4" w:space="0" w:color="000000"/>
              <w:right w:val="single" w:sz="4" w:space="0" w:color="000000"/>
            </w:tcBorders>
          </w:tcPr>
          <w:p w14:paraId="1C9898D7" w14:textId="5D3EF1DC"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30</w:t>
            </w:r>
            <w:r w:rsidR="00E34E16">
              <w:rPr>
                <w:rFonts w:ascii="Times New Roman" w:eastAsia="Times New Roman" w:hAnsi="Times New Roman" w:cs="Times New Roman"/>
                <w:noProof w:val="0"/>
                <w:color w:val="000000"/>
                <w:lang w:val="hu-HU"/>
              </w:rPr>
              <w:t> </w:t>
            </w:r>
            <w:r w:rsidR="00E34E16" w:rsidRPr="00617FC7">
              <w:rPr>
                <w:rFonts w:ascii="Times New Roman" w:eastAsia="Times New Roman" w:hAnsi="Times New Roman" w:cs="Times New Roman"/>
                <w:noProof w:val="0"/>
                <w:color w:val="000000"/>
                <w:lang w:val="hu-HU"/>
              </w:rPr>
              <w:t>–</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 50</w:t>
            </w:r>
          </w:p>
        </w:tc>
        <w:tc>
          <w:tcPr>
            <w:tcW w:w="1867" w:type="dxa"/>
            <w:tcBorders>
              <w:top w:val="single" w:sz="4" w:space="0" w:color="000000"/>
              <w:left w:val="single" w:sz="4" w:space="0" w:color="000000"/>
              <w:bottom w:val="single" w:sz="4" w:space="0" w:color="000000"/>
              <w:right w:val="single" w:sz="4" w:space="0" w:color="000000"/>
            </w:tcBorders>
          </w:tcPr>
          <w:p w14:paraId="252C375D" w14:textId="52D17ED4"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18</w:t>
            </w:r>
          </w:p>
        </w:tc>
        <w:tc>
          <w:tcPr>
            <w:tcW w:w="2832" w:type="dxa"/>
            <w:tcBorders>
              <w:top w:val="single" w:sz="4" w:space="0" w:color="000000"/>
              <w:left w:val="single" w:sz="4" w:space="0" w:color="000000"/>
              <w:bottom w:val="single" w:sz="4" w:space="0" w:color="000000"/>
              <w:right w:val="single" w:sz="4" w:space="0" w:color="000000"/>
            </w:tcBorders>
          </w:tcPr>
          <w:p w14:paraId="2C54BAA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nappal előtte</w:t>
            </w:r>
          </w:p>
        </w:tc>
        <w:tc>
          <w:tcPr>
            <w:tcW w:w="2782" w:type="dxa"/>
            <w:tcBorders>
              <w:top w:val="single" w:sz="4" w:space="0" w:color="000000"/>
              <w:left w:val="single" w:sz="4" w:space="0" w:color="000000"/>
              <w:bottom w:val="single" w:sz="4" w:space="0" w:color="000000"/>
              <w:right w:val="single" w:sz="4" w:space="0" w:color="000000"/>
            </w:tcBorders>
          </w:tcPr>
          <w:p w14:paraId="4989B0FF" w14:textId="49FB7929"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w:t>
            </w:r>
            <w:r w:rsidR="00E34E16"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3 nappal előtte (&gt; 48 óra)</w:t>
            </w:r>
          </w:p>
        </w:tc>
      </w:tr>
    </w:tbl>
    <w:p w14:paraId="46AC67C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F15513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invazív vagy sebészi beavatkozások előtti leállításra vonatkozó szabályokat gyermekeknél és serdülőknél a 8. táblázat foglalja össze.</w:t>
      </w:r>
    </w:p>
    <w:p w14:paraId="4FDABA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5346755"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8. táblázat. Az invazív vagy sebészi beavatkozások előtti leállításra vonatkozó szabályok gyermekeknél és serdülőknél</w:t>
      </w:r>
    </w:p>
    <w:p w14:paraId="166CD7C3"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p>
    <w:tbl>
      <w:tblPr>
        <w:tblStyle w:val="TableGrid"/>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536CD0" w:rsidRPr="00617FC7" w14:paraId="1E2C9F48" w14:textId="77777777" w:rsidTr="00CF66F9">
        <w:trPr>
          <w:trHeight w:val="57"/>
        </w:trPr>
        <w:tc>
          <w:tcPr>
            <w:tcW w:w="3521" w:type="dxa"/>
            <w:tcBorders>
              <w:top w:val="single" w:sz="4" w:space="0" w:color="000000"/>
              <w:left w:val="single" w:sz="4" w:space="0" w:color="000000"/>
              <w:bottom w:val="single" w:sz="4" w:space="0" w:color="000000"/>
              <w:right w:val="single" w:sz="4" w:space="0" w:color="000000"/>
            </w:tcBorders>
          </w:tcPr>
          <w:p w14:paraId="689E09F0" w14:textId="6F4F7135"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Vesefunkció</w:t>
            </w:r>
          </w:p>
          <w:p w14:paraId="11F01B93" w14:textId="601C4503"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(eGFR ml/perc/1,73</w:t>
            </w:r>
            <w:r w:rsidR="00E34E16">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m</w:t>
            </w:r>
            <w:r w:rsidRPr="00617FC7">
              <w:rPr>
                <w:rFonts w:ascii="Times New Roman" w:eastAsia="Times New Roman" w:hAnsi="Times New Roman" w:cs="Times New Roman"/>
                <w:noProof w:val="0"/>
                <w:color w:val="000000"/>
                <w:vertAlign w:val="superscript"/>
                <w:lang w:val="hu-HU"/>
              </w:rPr>
              <w:t>2</w:t>
            </w:r>
            <w:r w:rsidRPr="00617FC7">
              <w:rPr>
                <w:rFonts w:ascii="Times New Roman" w:eastAsia="Times New Roman" w:hAnsi="Times New Roman" w:cs="Times New Roman"/>
                <w:noProof w:val="0"/>
                <w:color w:val="000000"/>
                <w:lang w:val="hu-HU"/>
              </w:rPr>
              <w:t xml:space="preserve"> értékben)</w:t>
            </w:r>
          </w:p>
        </w:tc>
        <w:tc>
          <w:tcPr>
            <w:tcW w:w="5561" w:type="dxa"/>
            <w:tcBorders>
              <w:top w:val="single" w:sz="4" w:space="0" w:color="000000"/>
              <w:left w:val="single" w:sz="4" w:space="0" w:color="000000"/>
              <w:bottom w:val="single" w:sz="4" w:space="0" w:color="000000"/>
              <w:right w:val="single" w:sz="4" w:space="0" w:color="000000"/>
            </w:tcBorders>
          </w:tcPr>
          <w:p w14:paraId="435E92A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leállítása elektív műtét előtt</w:t>
            </w:r>
          </w:p>
        </w:tc>
      </w:tr>
      <w:tr w:rsidR="00536CD0" w:rsidRPr="00617FC7" w14:paraId="761ED48F" w14:textId="77777777" w:rsidTr="00CF66F9">
        <w:trPr>
          <w:trHeight w:val="57"/>
        </w:trPr>
        <w:tc>
          <w:tcPr>
            <w:tcW w:w="3521" w:type="dxa"/>
            <w:tcBorders>
              <w:top w:val="single" w:sz="4" w:space="0" w:color="000000"/>
              <w:left w:val="single" w:sz="4" w:space="0" w:color="000000"/>
              <w:bottom w:val="single" w:sz="4" w:space="0" w:color="000000"/>
              <w:right w:val="single" w:sz="4" w:space="0" w:color="000000"/>
            </w:tcBorders>
          </w:tcPr>
          <w:p w14:paraId="30E750B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&gt; 80</w:t>
            </w:r>
          </w:p>
        </w:tc>
        <w:tc>
          <w:tcPr>
            <w:tcW w:w="5561" w:type="dxa"/>
            <w:tcBorders>
              <w:top w:val="single" w:sz="4" w:space="0" w:color="000000"/>
              <w:left w:val="single" w:sz="4" w:space="0" w:color="000000"/>
              <w:bottom w:val="single" w:sz="4" w:space="0" w:color="000000"/>
              <w:right w:val="single" w:sz="4" w:space="0" w:color="000000"/>
            </w:tcBorders>
          </w:tcPr>
          <w:p w14:paraId="35115CB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24 órával előtte</w:t>
            </w:r>
          </w:p>
        </w:tc>
      </w:tr>
      <w:tr w:rsidR="00536CD0" w:rsidRPr="00617FC7" w14:paraId="54EAD3BC" w14:textId="77777777" w:rsidTr="00CF66F9">
        <w:trPr>
          <w:trHeight w:val="57"/>
        </w:trPr>
        <w:tc>
          <w:tcPr>
            <w:tcW w:w="3521" w:type="dxa"/>
            <w:tcBorders>
              <w:top w:val="single" w:sz="4" w:space="0" w:color="000000"/>
              <w:left w:val="single" w:sz="4" w:space="0" w:color="000000"/>
              <w:bottom w:val="single" w:sz="4" w:space="0" w:color="000000"/>
              <w:right w:val="single" w:sz="4" w:space="0" w:color="000000"/>
            </w:tcBorders>
          </w:tcPr>
          <w:p w14:paraId="17CD6A5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 – 80</w:t>
            </w:r>
          </w:p>
        </w:tc>
        <w:tc>
          <w:tcPr>
            <w:tcW w:w="5561" w:type="dxa"/>
            <w:tcBorders>
              <w:top w:val="single" w:sz="4" w:space="0" w:color="000000"/>
              <w:left w:val="single" w:sz="4" w:space="0" w:color="000000"/>
              <w:bottom w:val="single" w:sz="4" w:space="0" w:color="000000"/>
              <w:right w:val="single" w:sz="4" w:space="0" w:color="000000"/>
            </w:tcBorders>
          </w:tcPr>
          <w:p w14:paraId="3E76215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nappal előtte</w:t>
            </w:r>
          </w:p>
        </w:tc>
      </w:tr>
      <w:tr w:rsidR="00536CD0" w:rsidRPr="00617FC7" w14:paraId="60FAF035" w14:textId="77777777" w:rsidTr="00CF66F9">
        <w:trPr>
          <w:trHeight w:val="57"/>
        </w:trPr>
        <w:tc>
          <w:tcPr>
            <w:tcW w:w="3521" w:type="dxa"/>
            <w:tcBorders>
              <w:top w:val="single" w:sz="4" w:space="0" w:color="000000"/>
              <w:left w:val="single" w:sz="4" w:space="0" w:color="000000"/>
              <w:bottom w:val="single" w:sz="4" w:space="0" w:color="000000"/>
              <w:right w:val="single" w:sz="4" w:space="0" w:color="000000"/>
            </w:tcBorders>
          </w:tcPr>
          <w:p w14:paraId="4FC9C32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 50</w:t>
            </w:r>
          </w:p>
        </w:tc>
        <w:tc>
          <w:tcPr>
            <w:tcW w:w="5561" w:type="dxa"/>
            <w:tcBorders>
              <w:top w:val="single" w:sz="4" w:space="0" w:color="000000"/>
              <w:left w:val="single" w:sz="4" w:space="0" w:color="000000"/>
              <w:bottom w:val="single" w:sz="4" w:space="0" w:color="000000"/>
              <w:right w:val="single" w:sz="4" w:space="0" w:color="000000"/>
            </w:tcBorders>
          </w:tcPr>
          <w:p w14:paraId="0A51035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vizsgálták ezeket a betegeket (lásd 4.3 pont).</w:t>
            </w:r>
          </w:p>
        </w:tc>
      </w:tr>
    </w:tbl>
    <w:p w14:paraId="15DE10E6"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033B13C3"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Spinalis anaesthesia /epiduralis anaesthesia /lumbalpunctio</w:t>
      </w:r>
    </w:p>
    <w:p w14:paraId="0C71C8E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350E1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olyan beavatkozások esetén, mint a spinalis anaesthesia, a haemostasis rendszer teljes működésére szükség lehet.</w:t>
      </w:r>
    </w:p>
    <w:p w14:paraId="0269DCA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243345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spinalis vagy epiduralis haematoma veszélye fokozott lehet traumás vagy ismételt punctio, valamint epiduralis kanülök tartós alkalmazása esetén. A kanül eltávolítása után legalább 2 órának kell eltelnie a dabigatrán-etexilát első dózisának a beadásáig. Ezeknél a betegeknél gyakran kell ellenőrizni a spinalis vagy epiduralis haematoma neurológiai jeleit és tüneteit.</w:t>
      </w:r>
    </w:p>
    <w:p w14:paraId="573AA9B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08E7A3D"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Posztopertív időszak</w:t>
      </w:r>
    </w:p>
    <w:p w14:paraId="74F4255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54A4B4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Invazív eljárást vagy sebészi beavatkozást követően a dabigatrán-etexilát-kezelést olyan hamar kell folytatni/újrakezdeni, amennyire a klinikai helyzet megengedi, illetve amikor az adekvát haemostasis kialakult.</w:t>
      </w:r>
    </w:p>
    <w:p w14:paraId="1E360CB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A92142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Óvatosan kell kezelni a vérzésveszélynek vagy túlzott expozíciónak kitett (nevezetesen vesekárosodásban szenvedő) (lásd még 5. táblázat) betegeket (lásd 4.4 és 5.1 pont).</w:t>
      </w:r>
    </w:p>
    <w:p w14:paraId="711D0AC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233DEA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Nagy műtéti mortalitási kockázatú és thromboemboliás eseményre hajlamosító intrinsic rizikófaktorral</w:t>
      </w:r>
      <w:r w:rsidRPr="00617FC7">
        <w:rPr>
          <w:rFonts w:ascii="Times New Roman" w:eastAsia="Times New Roman" w:hAnsi="Times New Roman" w:cs="Times New Roman"/>
          <w:noProof w:val="0"/>
          <w:color w:val="000000"/>
          <w:kern w:val="0"/>
          <w:u w:color="000000"/>
          <w:lang w:val="hu-HU" w:eastAsia="hu-HU"/>
          <w14:ligatures w14:val="none"/>
        </w:rPr>
        <w:t xml:space="preserve"> </w:t>
      </w:r>
      <w:r w:rsidRPr="00617FC7">
        <w:rPr>
          <w:rFonts w:ascii="Times New Roman" w:eastAsia="Times New Roman" w:hAnsi="Times New Roman" w:cs="Times New Roman"/>
          <w:noProof w:val="0"/>
          <w:color w:val="000000"/>
          <w:kern w:val="0"/>
          <w:u w:val="single" w:color="000000"/>
          <w:lang w:val="hu-HU" w:eastAsia="hu-HU"/>
          <w14:ligatures w14:val="none"/>
        </w:rPr>
        <w:t>rendelkező betegek</w:t>
      </w:r>
    </w:p>
    <w:p w14:paraId="1AF226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6BDE6A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Ezen betegekre vonatkozóan a dabigatrán-etexilát hatásosságára és biztonságosságára vonatkozó adatok korlátozottak, ezért csak óvatosan kezelhetők.</w:t>
      </w:r>
    </w:p>
    <w:p w14:paraId="4E46C06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B50158C" w14:textId="77777777" w:rsidR="00536CD0" w:rsidRPr="00617FC7" w:rsidRDefault="00536CD0" w:rsidP="00536CD0">
      <w:pPr>
        <w:keepNext/>
        <w:keepLines/>
        <w:spacing w:after="0" w:line="240" w:lineRule="auto"/>
        <w:ind w:left="5" w:hanging="11"/>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Csípőtáji törés műtéti kezelése</w:t>
      </w:r>
    </w:p>
    <w:p w14:paraId="1A576571" w14:textId="77777777" w:rsidR="00536CD0" w:rsidRPr="00617FC7" w:rsidRDefault="00536CD0" w:rsidP="00536CD0">
      <w:pPr>
        <w:keepNext/>
        <w:keepLines/>
        <w:spacing w:after="0" w:line="240" w:lineRule="auto"/>
        <w:ind w:left="5" w:right="9" w:hanging="11"/>
        <w:rPr>
          <w:rFonts w:ascii="Times New Roman" w:eastAsia="Times New Roman" w:hAnsi="Times New Roman" w:cs="Times New Roman"/>
          <w:noProof w:val="0"/>
          <w:color w:val="000000"/>
          <w:kern w:val="0"/>
          <w:lang w:val="hu-HU" w:eastAsia="hu-HU"/>
          <w14:ligatures w14:val="none"/>
        </w:rPr>
      </w:pPr>
    </w:p>
    <w:p w14:paraId="25DB61C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Nincs adat a dabigatrán-etexilát csípőtáji törés miatt műtétre kerülő betegeknél történő alkalmazására vonatkozóan. Ezért ez a kezelés nem javasolt.</w:t>
      </w:r>
    </w:p>
    <w:p w14:paraId="6C425B2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8AF6419"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Májkárosodás</w:t>
      </w:r>
    </w:p>
    <w:p w14:paraId="0B9FDBD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EC188E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fő vizsgálatokból kizárták azokat a betegeket, akiknek a májenzimértékei az ULN kétszeresét meghaladták. Ebben a betegalcsoportban nem áll rendelkezésre klinikai vizsgálati tapasztalat, ezért a dabigatrán-etexilát alkalmazása ebben a betegcsoportban nem javasolt. Kontraindikációt jelent bármilyen májkárosodás vagy májbetegség, aminek várhatóan hatása lehet a túlélésre (lásd 4.3 pont).</w:t>
      </w:r>
    </w:p>
    <w:p w14:paraId="31AD7F1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7F1CDFA"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Interakció a P-gp-induktorokkal</w:t>
      </w:r>
    </w:p>
    <w:p w14:paraId="4277DF3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BBC04D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A P-gp-induktorok egyidejű adása várhatóan csökkenti a dabigatrán plazmakoncentrációit, ezért együttadásukat kerülni kell (lásd 4.5 és 5.2 pont).</w:t>
      </w:r>
    </w:p>
    <w:p w14:paraId="4711C81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0356E4D"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Antifoszfolipid szindrómában szenvedő betegek</w:t>
      </w:r>
    </w:p>
    <w:p w14:paraId="6CD53AF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B43078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direkt hatású orális antikoagulánsok (DOAC) - köztük a dabigatrán-etexilát - nem javasoltak olyan, korábban thrombosison átesett betegeknél, akiknél antifoszfolipid szindrómát diagnosztizáltak. Különösen azon betegeknél, akik mindhárom antifoszfolipid vizsgálatra pozitívnak bizonyultak (lupus-antikoaguláns, antikardiolipin-antitestek és anti-béta-2-glikoprotein-I-antitestek) a DOAC-terápia az ismételt thromboticus események magasabb gyakoriságával társulhat a K-vitamin antagonista kezeléssel összehasonlítva.</w:t>
      </w:r>
    </w:p>
    <w:p w14:paraId="6584366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2728D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Myocardialis infarctus (MI)</w:t>
      </w:r>
    </w:p>
    <w:p w14:paraId="2557894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A39CD8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III. fázisú RE-LY vizsgálatban (SPAF, lásd 5.1 pont) az MI éves abszolút aránya 0,82% volt a napi kétszer 110 mg dabigatrán-etexilátot, 0,81% a napi kétszer 150 mg dabigatrán-etexilátot és 0,64% a warfarint kapó betegeknél, ami a dabigatrán 29, illetve 27%-os relatív kockázatnövekedését jelenti a warfarinhoz képest. A kezeléstől függetlenül a MI legmagasabb abszolút kockázatát találták a következő alcsoportokban, hasonló relatív kockázattal: korábban MI-on átesett betegek; 65 év feletti, diabeteses vagy koszorúér betegségben szenvedő betegek; 40%-nál alacsonyabb bal kamrai ejekciós frakciójú betegek; és középsúlyos veseműködési zavarban szenvedő betegek. Továbbá nagyobb MI kockázatot találtak az egyidejűleg ASA-t és klopidogrelt vagy klopidogrelt önmagában szedő betegeknél.</w:t>
      </w:r>
    </w:p>
    <w:p w14:paraId="068E3CA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B9F4F7" w14:textId="5CF12926"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három aktív kontrollos, MVT/PE III. fázisú vizsgálatban nagyobb gyakorisággal észlelték MI jelentkezését azoknál a betegeknél, akik dabigatrán-etexilátot kaptak, mint azoknál, akiket warfarinnal kezeltek: 0,4% vs. 0,2% a rövid távú RE-COVER és RE-COVER II vizsgálatokban; és 0,8% vs. 0,1% a hosszú távú RE-MEDY vizsgálatban. A növekedés ebben a vizsgálatban statisztikailag szignifikáns volt (p</w:t>
      </w:r>
      <w:r w:rsidR="00C228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C228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0,022).</w:t>
      </w:r>
    </w:p>
    <w:p w14:paraId="0DF76BD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7F0F53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RE-SONATE vizsgálatban, amelyben a dabigatrán-etexilátot placebóval hasonlították össze, a MI gyakorisága 0,1% volt a dabigatrán-etexilátot kapó, és 0,2% a placebót kapó betegeknél.</w:t>
      </w:r>
    </w:p>
    <w:p w14:paraId="21FC1E3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01FF8A6"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Aktív daganatos betegségben szenvedők (MVT/PE, VTE kezelése gyermekeknél és serdülőknél)</w:t>
      </w:r>
    </w:p>
    <w:p w14:paraId="4592DBE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E0A564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hatásosságot és biztonságosságot aktív daganatos betegségben szenvedő betegek MVT/PE kezelésére nem igazolták. Aktív daganatos betegségben szenvedő gyermekeknél és serdülőknél korlátozottan állnak rendelkezésre adatok a hatásosságra és biztonságosságra vonatkozóan.</w:t>
      </w:r>
    </w:p>
    <w:p w14:paraId="5D9DA2B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377F8B0" w14:textId="77777777" w:rsidR="00536CD0" w:rsidRPr="00617FC7" w:rsidRDefault="00536CD0" w:rsidP="00536CD0">
      <w:pPr>
        <w:keepNext/>
        <w:keepLines/>
        <w:spacing w:after="0" w:line="240" w:lineRule="auto"/>
        <w:ind w:left="5" w:hanging="11"/>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Gyermekek és serdülők</w:t>
      </w:r>
    </w:p>
    <w:p w14:paraId="2C8C1FE0" w14:textId="77777777" w:rsidR="00536CD0" w:rsidRPr="00617FC7" w:rsidRDefault="00536CD0" w:rsidP="00536CD0">
      <w:pPr>
        <w:keepNext/>
        <w:spacing w:after="0" w:line="240" w:lineRule="auto"/>
        <w:ind w:left="5" w:right="9" w:hanging="11"/>
        <w:rPr>
          <w:rFonts w:ascii="Times New Roman" w:eastAsia="Times New Roman" w:hAnsi="Times New Roman" w:cs="Times New Roman"/>
          <w:noProof w:val="0"/>
          <w:color w:val="000000"/>
          <w:kern w:val="0"/>
          <w:lang w:val="hu-HU" w:eastAsia="hu-HU"/>
          <w14:ligatures w14:val="none"/>
        </w:rPr>
      </w:pPr>
    </w:p>
    <w:p w14:paraId="16AFA719" w14:textId="4F63F42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Néhány nagyon specifikus gyermek és serdülő esetében –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vékonybélbetegségben szenvedő betegeknél, akiknél a betegség a felszívódást érintheti – meg kell fontolni egy parenterálisan alkalmazott antikoaguláns készítmény használatát.</w:t>
      </w:r>
    </w:p>
    <w:p w14:paraId="6BAA31F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B4AA571" w14:textId="77777777" w:rsidR="00536CD0" w:rsidRPr="00617FC7" w:rsidRDefault="00536CD0" w:rsidP="00CF66F9">
      <w:pPr>
        <w:tabs>
          <w:tab w:val="left" w:pos="567"/>
          <w:tab w:val="center" w:pos="2777"/>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4.5</w:t>
      </w:r>
      <w:r w:rsidRPr="00617FC7">
        <w:rPr>
          <w:rFonts w:ascii="Times New Roman" w:eastAsia="Times New Roman" w:hAnsi="Times New Roman" w:cs="Times New Roman"/>
          <w:b/>
          <w:noProof w:val="0"/>
          <w:color w:val="000000"/>
          <w:kern w:val="0"/>
          <w:lang w:val="hu-HU" w:eastAsia="hu-HU"/>
          <w14:ligatures w14:val="none"/>
        </w:rPr>
        <w:tab/>
        <w:t>Gyógyszerkölcsönhatások és egyéb interakciók</w:t>
      </w:r>
    </w:p>
    <w:p w14:paraId="79B9D78F"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698F7E5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Transzporter interakciók</w:t>
      </w:r>
    </w:p>
    <w:p w14:paraId="40EF818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F49571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az efflux transzporter P-gp szubsztrátja. A P-gp-inhibitorok (lásd 9. táblázat) egyidejű adása várhatóan emelkedett dabigatrán-plazmakoncentrációkat eredményez.</w:t>
      </w:r>
    </w:p>
    <w:p w14:paraId="719F2081" w14:textId="77777777" w:rsidR="006D1865" w:rsidRDefault="006D1865"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B9FAE0D" w14:textId="4BD97D0C"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Hacsak a leírásban nem szerepel más, a dabigatrán és erős P-gp-inhibitor együttadása esetén szoros klinikai ellenőrzés (vérzés vagy anaemia jeleinek figyelése) szükséges. Egyes P-gp-inhibitorok együttadása esetén dóziscsökkentésre lehet szükség (lásd 4.2, 4.3, 4.4 és 5.1 pont).</w:t>
      </w:r>
    </w:p>
    <w:p w14:paraId="37E5239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C93C6F3" w14:textId="77777777" w:rsidR="00536CD0" w:rsidRPr="00617FC7" w:rsidRDefault="00536CD0" w:rsidP="00536CD0">
      <w:pPr>
        <w:tabs>
          <w:tab w:val="center" w:pos="2627"/>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9. táblázat. Transzporter interakciók</w:t>
      </w:r>
    </w:p>
    <w:p w14:paraId="7C4449B7" w14:textId="77777777" w:rsidR="00536CD0" w:rsidRPr="00617FC7" w:rsidRDefault="00536CD0" w:rsidP="00536CD0">
      <w:pPr>
        <w:tabs>
          <w:tab w:val="center" w:pos="2627"/>
        </w:tabs>
        <w:spacing w:after="0" w:line="240" w:lineRule="auto"/>
        <w:ind w:left="-3"/>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536CD0" w:rsidRPr="00617FC7" w14:paraId="6B6C17CD" w14:textId="77777777" w:rsidTr="00CF66F9">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2CCF1FB"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t>P-gp-inhibitorok</w:t>
            </w:r>
          </w:p>
        </w:tc>
      </w:tr>
      <w:tr w:rsidR="00536CD0" w:rsidRPr="00617FC7" w14:paraId="43B356DF" w14:textId="77777777" w:rsidTr="00CF66F9">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CDA09B6"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lang w:val="hu-HU"/>
              </w:rPr>
              <w:t xml:space="preserve">Az egyidejű használat ellenjavallt (lásd 4.3 pont) </w:t>
            </w:r>
          </w:p>
        </w:tc>
      </w:tr>
      <w:tr w:rsidR="00536CD0" w:rsidRPr="00617FC7" w14:paraId="1571B645" w14:textId="77777777" w:rsidTr="00CF66F9">
        <w:trPr>
          <w:trHeight w:val="113"/>
        </w:trPr>
        <w:tc>
          <w:tcPr>
            <w:tcW w:w="2054" w:type="dxa"/>
            <w:tcBorders>
              <w:top w:val="single" w:sz="4" w:space="0" w:color="000000"/>
              <w:left w:val="single" w:sz="4" w:space="0" w:color="000000"/>
              <w:bottom w:val="single" w:sz="4" w:space="0" w:color="000000"/>
              <w:right w:val="single" w:sz="4" w:space="0" w:color="000000"/>
            </w:tcBorders>
          </w:tcPr>
          <w:p w14:paraId="521874FD"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Ketokonazol</w:t>
            </w:r>
          </w:p>
        </w:tc>
        <w:tc>
          <w:tcPr>
            <w:tcW w:w="7006" w:type="dxa"/>
            <w:gridSpan w:val="2"/>
            <w:tcBorders>
              <w:top w:val="single" w:sz="4" w:space="0" w:color="000000"/>
              <w:left w:val="single" w:sz="4" w:space="0" w:color="000000"/>
              <w:bottom w:val="single" w:sz="4" w:space="0" w:color="000000"/>
              <w:right w:val="single" w:sz="4" w:space="0" w:color="000000"/>
            </w:tcBorders>
          </w:tcPr>
          <w:p w14:paraId="0F4CEEC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ketokonazol egyetlen 400 mg-os orális adagját követően 2,38-szorosára emelkedett a dabigatrán AUC</w:t>
            </w:r>
            <w:r w:rsidRPr="00617FC7">
              <w:rPr>
                <w:rFonts w:ascii="Times New Roman" w:eastAsia="Times New Roman" w:hAnsi="Times New Roman" w:cs="Times New Roman"/>
                <w:noProof w:val="0"/>
                <w:color w:val="000000"/>
                <w:vertAlign w:val="subscript"/>
                <w:lang w:val="hu-HU"/>
              </w:rPr>
              <w:t>0-∞</w:t>
            </w:r>
            <w:r w:rsidRPr="00617FC7">
              <w:rPr>
                <w:rFonts w:ascii="Times New Roman" w:eastAsia="Times New Roman" w:hAnsi="Times New Roman" w:cs="Times New Roman"/>
                <w:noProof w:val="0"/>
                <w:color w:val="000000"/>
                <w:lang w:val="hu-HU"/>
              </w:rPr>
              <w:t xml:space="preserve"> és 2,35-szörösére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értéke, napi egyszer 400 mg ketokonazol ismételt orális adása esetén pedig a dabigatrán AUC</w:t>
            </w:r>
            <w:r w:rsidRPr="00617FC7">
              <w:rPr>
                <w:rFonts w:ascii="Times New Roman" w:eastAsia="Times New Roman" w:hAnsi="Times New Roman" w:cs="Times New Roman"/>
                <w:noProof w:val="0"/>
                <w:color w:val="000000"/>
                <w:vertAlign w:val="subscript"/>
                <w:lang w:val="hu-HU"/>
              </w:rPr>
              <w:t>0-∞</w:t>
            </w:r>
            <w:r w:rsidRPr="00617FC7">
              <w:rPr>
                <w:rFonts w:ascii="Times New Roman" w:eastAsia="Times New Roman" w:hAnsi="Times New Roman" w:cs="Times New Roman"/>
                <w:noProof w:val="0"/>
                <w:color w:val="000000"/>
                <w:lang w:val="hu-HU"/>
              </w:rPr>
              <w:t xml:space="preserve"> 2,53-szorosára a C</w:t>
            </w:r>
            <w:r w:rsidRPr="00617FC7">
              <w:rPr>
                <w:rFonts w:ascii="Times New Roman" w:eastAsia="Times New Roman" w:hAnsi="Times New Roman" w:cs="Times New Roman"/>
                <w:noProof w:val="0"/>
                <w:color w:val="000000"/>
                <w:vertAlign w:val="subscript"/>
                <w:lang w:val="hu-HU"/>
              </w:rPr>
              <w:t xml:space="preserve">max </w:t>
            </w:r>
            <w:r w:rsidRPr="00617FC7">
              <w:rPr>
                <w:rFonts w:ascii="Times New Roman" w:eastAsia="Times New Roman" w:hAnsi="Times New Roman" w:cs="Times New Roman"/>
                <w:noProof w:val="0"/>
                <w:color w:val="000000"/>
                <w:lang w:val="hu-HU"/>
              </w:rPr>
              <w:t xml:space="preserve">pedig 2,49-szeresére nőtt. </w:t>
            </w:r>
          </w:p>
        </w:tc>
      </w:tr>
      <w:tr w:rsidR="00536CD0" w:rsidRPr="00617FC7" w14:paraId="566AD722" w14:textId="77777777" w:rsidTr="00CF66F9">
        <w:trPr>
          <w:trHeight w:val="113"/>
        </w:trPr>
        <w:tc>
          <w:tcPr>
            <w:tcW w:w="2054" w:type="dxa"/>
            <w:tcBorders>
              <w:top w:val="single" w:sz="4" w:space="0" w:color="000000"/>
              <w:left w:val="single" w:sz="4" w:space="0" w:color="000000"/>
              <w:bottom w:val="single" w:sz="4" w:space="0" w:color="000000"/>
              <w:right w:val="single" w:sz="4" w:space="0" w:color="000000"/>
            </w:tcBorders>
          </w:tcPr>
          <w:p w14:paraId="466A2459"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Dronedaron</w:t>
            </w:r>
          </w:p>
        </w:tc>
        <w:tc>
          <w:tcPr>
            <w:tcW w:w="7006" w:type="dxa"/>
            <w:gridSpan w:val="2"/>
            <w:tcBorders>
              <w:top w:val="single" w:sz="4" w:space="0" w:color="000000"/>
              <w:left w:val="single" w:sz="4" w:space="0" w:color="000000"/>
              <w:bottom w:val="single" w:sz="4" w:space="0" w:color="000000"/>
              <w:right w:val="single" w:sz="4" w:space="0" w:color="000000"/>
            </w:tcBorders>
          </w:tcPr>
          <w:p w14:paraId="7101356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dabigatrán-etexilát és a dronedaron együttes adása esetén 400 mg dronedaron ismételt, napi kétszeri adagolása mellett a dabigatrán AUC</w:t>
            </w:r>
            <w:r w:rsidRPr="00617FC7">
              <w:rPr>
                <w:rFonts w:ascii="Times New Roman" w:eastAsia="Times New Roman" w:hAnsi="Times New Roman" w:cs="Times New Roman"/>
                <w:noProof w:val="0"/>
                <w:color w:val="000000"/>
                <w:vertAlign w:val="subscript"/>
                <w:lang w:val="hu-HU"/>
              </w:rPr>
              <w:t>0-∞</w:t>
            </w:r>
            <w:r w:rsidRPr="00617FC7">
              <w:rPr>
                <w:rFonts w:ascii="Times New Roman" w:eastAsia="Times New Roman" w:hAnsi="Times New Roman" w:cs="Times New Roman"/>
                <w:noProof w:val="0"/>
                <w:color w:val="000000"/>
                <w:lang w:val="hu-HU"/>
              </w:rPr>
              <w:t xml:space="preserve"> és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értékei sorrendben kb. 2,4-szeresére, illetve 2,3-szorosára, 400 mg dronedaron egyszeri alkalmazása után pedig sorrendben kb. 2,1-szeresére, illetve 1,9-szeresére nőttek. </w:t>
            </w:r>
          </w:p>
        </w:tc>
      </w:tr>
      <w:tr w:rsidR="00536CD0" w:rsidRPr="00617FC7" w14:paraId="74CB58D1" w14:textId="77777777" w:rsidTr="00CF66F9">
        <w:trPr>
          <w:trHeight w:val="113"/>
        </w:trPr>
        <w:tc>
          <w:tcPr>
            <w:tcW w:w="2054" w:type="dxa"/>
            <w:tcBorders>
              <w:top w:val="single" w:sz="4" w:space="0" w:color="000000"/>
              <w:left w:val="single" w:sz="4" w:space="0" w:color="000000"/>
              <w:bottom w:val="single" w:sz="4" w:space="0" w:color="000000"/>
              <w:right w:val="single" w:sz="4" w:space="0" w:color="000000"/>
            </w:tcBorders>
          </w:tcPr>
          <w:p w14:paraId="5BCC1309"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Itrakonazol és ciklosporin</w:t>
            </w:r>
          </w:p>
        </w:tc>
        <w:tc>
          <w:tcPr>
            <w:tcW w:w="7006" w:type="dxa"/>
            <w:gridSpan w:val="2"/>
            <w:tcBorders>
              <w:top w:val="single" w:sz="4" w:space="0" w:color="000000"/>
              <w:left w:val="single" w:sz="4" w:space="0" w:color="000000"/>
              <w:bottom w:val="single" w:sz="4" w:space="0" w:color="000000"/>
              <w:right w:val="single" w:sz="4" w:space="0" w:color="000000"/>
            </w:tcBorders>
          </w:tcPr>
          <w:p w14:paraId="3F03186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lang w:val="hu-HU"/>
              </w:rPr>
              <w:t xml:space="preserve">In vitro </w:t>
            </w:r>
            <w:r w:rsidRPr="00617FC7">
              <w:rPr>
                <w:rFonts w:ascii="Times New Roman" w:eastAsia="Times New Roman" w:hAnsi="Times New Roman" w:cs="Times New Roman"/>
                <w:noProof w:val="0"/>
                <w:color w:val="000000"/>
                <w:lang w:val="hu-HU"/>
              </w:rPr>
              <w:t xml:space="preserve">vizsgálatok eredményei alapján a ketokonazolhoz hasonló hatások várhatók. </w:t>
            </w:r>
          </w:p>
        </w:tc>
      </w:tr>
      <w:tr w:rsidR="00536CD0" w:rsidRPr="00617FC7" w14:paraId="2A7049D0" w14:textId="77777777" w:rsidTr="00CF66F9">
        <w:trPr>
          <w:trHeight w:val="113"/>
        </w:trPr>
        <w:tc>
          <w:tcPr>
            <w:tcW w:w="2054" w:type="dxa"/>
            <w:tcBorders>
              <w:top w:val="single" w:sz="4" w:space="0" w:color="000000"/>
              <w:left w:val="single" w:sz="4" w:space="0" w:color="000000"/>
              <w:bottom w:val="single" w:sz="4" w:space="0" w:color="000000"/>
              <w:right w:val="single" w:sz="4" w:space="0" w:color="000000"/>
            </w:tcBorders>
          </w:tcPr>
          <w:p w14:paraId="381B3560"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Glekaprevir / pibrentaszvir</w:t>
            </w:r>
          </w:p>
        </w:tc>
        <w:tc>
          <w:tcPr>
            <w:tcW w:w="7006" w:type="dxa"/>
            <w:gridSpan w:val="2"/>
            <w:tcBorders>
              <w:top w:val="single" w:sz="4" w:space="0" w:color="000000"/>
              <w:left w:val="single" w:sz="4" w:space="0" w:color="000000"/>
              <w:bottom w:val="single" w:sz="4" w:space="0" w:color="000000"/>
              <w:right w:val="single" w:sz="4" w:space="0" w:color="000000"/>
            </w:tcBorders>
          </w:tcPr>
          <w:p w14:paraId="06DB69A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Megállapították, hogy a dabigatrán-etexilát és a fix dózisú kombinációban alkalmazott, P-gp inhibitor glekaprevir/pibrentaszvir együttes adása esetén megnő a dabigatrán expozíciója és megnövekedhet a vérzés kockázata.</w:t>
            </w:r>
          </w:p>
        </w:tc>
      </w:tr>
      <w:tr w:rsidR="00536CD0" w:rsidRPr="00617FC7" w14:paraId="309EB1D6" w14:textId="77777777" w:rsidTr="00CF66F9">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30CC81DC"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lang w:val="hu-HU"/>
              </w:rPr>
              <w:t>Az egyidejű használat nem javasolt</w:t>
            </w:r>
          </w:p>
        </w:tc>
      </w:tr>
      <w:tr w:rsidR="00536CD0" w:rsidRPr="00617FC7" w14:paraId="77C0D5B8" w14:textId="77777777" w:rsidTr="00CF66F9">
        <w:trPr>
          <w:trHeight w:val="113"/>
        </w:trPr>
        <w:tc>
          <w:tcPr>
            <w:tcW w:w="2054" w:type="dxa"/>
            <w:tcBorders>
              <w:top w:val="single" w:sz="4" w:space="0" w:color="000000"/>
              <w:left w:val="single" w:sz="4" w:space="0" w:color="000000"/>
              <w:bottom w:val="single" w:sz="4" w:space="0" w:color="000000"/>
              <w:right w:val="single" w:sz="4" w:space="0" w:color="000000"/>
            </w:tcBorders>
          </w:tcPr>
          <w:p w14:paraId="53191B35"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Takrolimusz</w:t>
            </w:r>
          </w:p>
        </w:tc>
        <w:tc>
          <w:tcPr>
            <w:tcW w:w="7006" w:type="dxa"/>
            <w:gridSpan w:val="2"/>
            <w:tcBorders>
              <w:top w:val="single" w:sz="4" w:space="0" w:color="000000"/>
              <w:left w:val="single" w:sz="4" w:space="0" w:color="000000"/>
              <w:bottom w:val="single" w:sz="4" w:space="0" w:color="000000"/>
              <w:right w:val="single" w:sz="4" w:space="0" w:color="000000"/>
            </w:tcBorders>
          </w:tcPr>
          <w:p w14:paraId="0535B08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Megállapították, hogy a takrolimusz </w:t>
            </w:r>
            <w:r w:rsidRPr="00617FC7">
              <w:rPr>
                <w:rFonts w:ascii="Times New Roman" w:eastAsia="Times New Roman" w:hAnsi="Times New Roman" w:cs="Times New Roman"/>
                <w:i/>
                <w:noProof w:val="0"/>
                <w:color w:val="000000"/>
                <w:lang w:val="hu-HU"/>
              </w:rPr>
              <w:t xml:space="preserve">in vitro </w:t>
            </w:r>
            <w:r w:rsidRPr="00617FC7">
              <w:rPr>
                <w:rFonts w:ascii="Times New Roman" w:eastAsia="Times New Roman" w:hAnsi="Times New Roman" w:cs="Times New Roman"/>
                <w:noProof w:val="0"/>
                <w:color w:val="000000"/>
                <w:lang w:val="hu-HU"/>
              </w:rPr>
              <w:t xml:space="preserve">hasonló mértékű inhibitoros hatással van a P-gp-re, mint amit az itrakonazol és a ciklosporin esetén észleltek. A dabigatrán-etexilátot klinikailag nem vizsgálták takrolimusszal együtt. Ugyanakkor egy másik P-gp-szubsztráttal (everolimusz) nyert kevés klinikai adat arra utal, hogy a takrolimusszal való P-gp gátlás gyengébb, mint amit az erős P-gp-inhibitorok mellett észleltek. </w:t>
            </w:r>
          </w:p>
        </w:tc>
      </w:tr>
      <w:tr w:rsidR="00536CD0" w:rsidRPr="00617FC7" w14:paraId="4C85AAB2" w14:textId="77777777" w:rsidTr="00CF66F9">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3BD3EF07"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lang w:val="hu-HU"/>
              </w:rPr>
              <w:t xml:space="preserve">Óvatosság szükséges az egyidejű alkalmazás esetén (lásd 4.2 és 4.4 pont) </w:t>
            </w:r>
          </w:p>
        </w:tc>
      </w:tr>
      <w:tr w:rsidR="00536CD0" w:rsidRPr="00617FC7" w14:paraId="7788A48A"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70E5623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Verapamil</w:t>
            </w:r>
          </w:p>
        </w:tc>
        <w:tc>
          <w:tcPr>
            <w:tcW w:w="6934" w:type="dxa"/>
            <w:tcBorders>
              <w:top w:val="single" w:sz="4" w:space="0" w:color="000000"/>
              <w:left w:val="single" w:sz="4" w:space="0" w:color="000000"/>
              <w:bottom w:val="single" w:sz="4" w:space="0" w:color="000000"/>
              <w:right w:val="single" w:sz="4" w:space="0" w:color="000000"/>
            </w:tcBorders>
          </w:tcPr>
          <w:p w14:paraId="2AF702C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 a dabigatrán-etexilátot (150 mg) szájon át adagolt verapamillal adták együtt, a dabigatrán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és AUC-értékei megnövekedtek, a változás nagysága azonban a beadás idejétől és a verapamil gyógyszerformájától függően eltérő volt (lásd 4.2 és 4.4 pont).</w:t>
            </w:r>
          </w:p>
          <w:p w14:paraId="6132316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dabigatrán-expozíció legnagyobb mértékű növekedését akkor figyelték meg, amikor a verapamil azonnali hatóanyagleadású gyógyszerformájának első dózisát a dabigatrán-etexilát bevétele előtt 1 órával alkalmazták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kb. 2,8-szorosára, az AUC kb. 2,5-szörösére növekedett). A hatás progresszíven csökkent retard gyógyszerforma alkalmazásakor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kb. 1,9-szeresére, az AUC kb. 1,7-szeresére nőtt), illetve a verapamil ismételt adagolásakor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kb. 1,6-szorosárae, az AUC kb. 1,5-szörösére nőtt).</w:t>
            </w:r>
          </w:p>
          <w:p w14:paraId="5D9D531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alakult ki számottevő kölcsönhatás, ha a dabigatrán-etexilát alkalmazása után 2 órával később adagolták a verapamilt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kb. 1,1</w:t>
            </w:r>
            <w:r w:rsidRPr="00617FC7">
              <w:rPr>
                <w:rFonts w:ascii="Times New Roman" w:eastAsia="Times New Roman" w:hAnsi="Times New Roman" w:cs="Times New Roman"/>
                <w:noProof w:val="0"/>
                <w:color w:val="000000"/>
                <w:lang w:val="hu-HU"/>
              </w:rPr>
              <w:noBreakHyphen/>
              <w:t>szeresére, az AUC kb. 1,2-szeresére növekedett). Ezt azzal magyarázzák, hogy a dabigatrán felszívódása 2 óra alatt lezajlik.</w:t>
            </w:r>
          </w:p>
        </w:tc>
      </w:tr>
      <w:tr w:rsidR="00536CD0" w:rsidRPr="00617FC7" w14:paraId="4FE97C59"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501D3B8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Amiodaron</w:t>
            </w:r>
          </w:p>
        </w:tc>
        <w:tc>
          <w:tcPr>
            <w:tcW w:w="6934" w:type="dxa"/>
            <w:tcBorders>
              <w:top w:val="single" w:sz="4" w:space="0" w:color="000000"/>
              <w:left w:val="single" w:sz="4" w:space="0" w:color="000000"/>
              <w:bottom w:val="single" w:sz="4" w:space="0" w:color="000000"/>
              <w:right w:val="single" w:sz="4" w:space="0" w:color="000000"/>
            </w:tcBorders>
          </w:tcPr>
          <w:p w14:paraId="0C811AB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 a dabigatrán-etexilátot 600 mg-os egyszeri dózisban szájon át adagolt amiodaronnal adták együtt, az amiodaron és aktív metabolitja, a DEA felszívódásának mértéke és sebessége gyakorlatilag változatlan maradt. A dabigatrán AUC-je 1,6-szorosára,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értéke pedig 1,5-szörösére nőtt. Ennek a kölcsönhatásnak a mechanizmusa nem teljesen tisztázott. Az amiodaron hosszú felezési idejére való tekintettel a kölcsönhatás lehetősége még az amiodaron leállítását követően több héttel is fennállhat. (lásd 4.2 és 4.4 pont).</w:t>
            </w:r>
          </w:p>
        </w:tc>
      </w:tr>
      <w:tr w:rsidR="00536CD0" w:rsidRPr="00617FC7" w14:paraId="3543BE23"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4B5434D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Kinidin</w:t>
            </w:r>
          </w:p>
        </w:tc>
        <w:tc>
          <w:tcPr>
            <w:tcW w:w="6934" w:type="dxa"/>
            <w:tcBorders>
              <w:top w:val="single" w:sz="4" w:space="0" w:color="000000"/>
              <w:left w:val="single" w:sz="4" w:space="0" w:color="000000"/>
              <w:bottom w:val="single" w:sz="4" w:space="0" w:color="000000"/>
              <w:right w:val="single" w:sz="4" w:space="0" w:color="000000"/>
            </w:tcBorders>
          </w:tcPr>
          <w:p w14:paraId="787B825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kinidint 200 mg-os dózisban 2 óránként adták 1000 mg-os összdózisig. A dabigatrán-etexilátot naponta kétszer adták 3 egymást követő napon, a harmadik napon kinidinnel vagy anélkül. A dabigatrán AUC</w:t>
            </w:r>
            <w:r w:rsidRPr="00617FC7">
              <w:rPr>
                <w:rFonts w:ascii="Times New Roman" w:eastAsia="Times New Roman" w:hAnsi="Times New Roman" w:cs="Times New Roman"/>
                <w:noProof w:val="0"/>
                <w:color w:val="000000"/>
                <w:vertAlign w:val="subscript"/>
                <w:lang w:val="hu-HU"/>
              </w:rPr>
              <w:t xml:space="preserve">τ,ss </w:t>
            </w:r>
            <w:r w:rsidRPr="00617FC7">
              <w:rPr>
                <w:rFonts w:ascii="Times New Roman" w:eastAsia="Times New Roman" w:hAnsi="Times New Roman" w:cs="Times New Roman"/>
                <w:noProof w:val="0"/>
                <w:color w:val="000000"/>
                <w:lang w:val="hu-HU"/>
              </w:rPr>
              <w:t>értéke 1,53</w:t>
            </w:r>
            <w:r w:rsidRPr="00617FC7">
              <w:rPr>
                <w:rFonts w:ascii="Times New Roman" w:eastAsia="Times New Roman" w:hAnsi="Times New Roman" w:cs="Times New Roman"/>
                <w:noProof w:val="0"/>
                <w:color w:val="000000"/>
                <w:lang w:val="hu-HU"/>
              </w:rPr>
              <w:noBreakHyphen/>
              <w:t>szorosára, a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 értéke pedig 1,56-szorosára nőtt a kinidin egyidejű alkalmazása esetén (lásd 4.2 és 4.4 pont).</w:t>
            </w:r>
          </w:p>
        </w:tc>
      </w:tr>
      <w:tr w:rsidR="00536CD0" w:rsidRPr="00617FC7" w14:paraId="3F90C6CD"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02E214A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Klaritromicin</w:t>
            </w:r>
          </w:p>
        </w:tc>
        <w:tc>
          <w:tcPr>
            <w:tcW w:w="6934" w:type="dxa"/>
            <w:tcBorders>
              <w:top w:val="single" w:sz="4" w:space="0" w:color="000000"/>
              <w:left w:val="single" w:sz="4" w:space="0" w:color="000000"/>
              <w:bottom w:val="single" w:sz="4" w:space="0" w:color="000000"/>
              <w:right w:val="single" w:sz="4" w:space="0" w:color="000000"/>
            </w:tcBorders>
          </w:tcPr>
          <w:p w14:paraId="363F9054" w14:textId="77777777" w:rsidR="00536CD0" w:rsidRPr="00617FC7" w:rsidRDefault="00536CD0" w:rsidP="00536CD0">
            <w:pPr>
              <w:ind w:right="2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Amikor egészséges önkénteseknek klaritromicint (naponta kétszer 500 mg-os adagban) adtak együtt dabigatrán-etexiláttal, 1,19-szoros AUCés 1,15-szörös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-növekedést mértek. </w:t>
            </w:r>
          </w:p>
        </w:tc>
      </w:tr>
      <w:tr w:rsidR="00536CD0" w:rsidRPr="00617FC7" w14:paraId="511EE0E1"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3027809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Tikagrelor</w:t>
            </w:r>
          </w:p>
        </w:tc>
        <w:tc>
          <w:tcPr>
            <w:tcW w:w="6934" w:type="dxa"/>
            <w:tcBorders>
              <w:top w:val="single" w:sz="4" w:space="0" w:color="000000"/>
              <w:left w:val="single" w:sz="4" w:space="0" w:color="000000"/>
              <w:bottom w:val="single" w:sz="4" w:space="0" w:color="000000"/>
              <w:right w:val="single" w:sz="4" w:space="0" w:color="000000"/>
            </w:tcBorders>
          </w:tcPr>
          <w:p w14:paraId="767DCE3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dabigatrán-etexilát 75 mg-os egyszeri adagját egyidejűleg alkalmazva tikagrelor 180 mg-os telítő dózisával, a dabigatrán AUC 1,73-szorosára,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1,95-szörösére nőtt. A tikaglerol napi kétszer 90 mg-os dózisú ismételt adagolását követően a dabigatrán-expozíció növekedéseként a C</w:t>
            </w:r>
            <w:r w:rsidRPr="00617FC7">
              <w:rPr>
                <w:rFonts w:ascii="Times New Roman" w:eastAsia="Times New Roman" w:hAnsi="Times New Roman" w:cs="Times New Roman"/>
                <w:noProof w:val="0"/>
                <w:color w:val="000000"/>
                <w:vertAlign w:val="subscript"/>
                <w:lang w:val="hu-HU"/>
              </w:rPr>
              <w:t>max</w:t>
            </w:r>
            <w:r w:rsidRPr="00617FC7">
              <w:rPr>
                <w:rFonts w:ascii="Times New Roman" w:eastAsia="Times New Roman" w:hAnsi="Times New Roman" w:cs="Times New Roman"/>
                <w:noProof w:val="0"/>
                <w:color w:val="000000"/>
                <w:lang w:val="hu-HU"/>
              </w:rPr>
              <w:t xml:space="preserve"> 1,56-szoros, az AUC 1,46-szoros lett.</w:t>
            </w:r>
          </w:p>
          <w:p w14:paraId="535D0340" w14:textId="77777777" w:rsidR="00536CD0" w:rsidRPr="00617FC7" w:rsidRDefault="00536CD0" w:rsidP="00536CD0">
            <w:pPr>
              <w:rPr>
                <w:rFonts w:ascii="Times New Roman" w:eastAsia="Times New Roman" w:hAnsi="Times New Roman" w:cs="Times New Roman"/>
                <w:noProof w:val="0"/>
                <w:color w:val="000000"/>
                <w:lang w:val="hu-HU"/>
              </w:rPr>
            </w:pPr>
          </w:p>
          <w:p w14:paraId="32527E0D" w14:textId="77777777" w:rsidR="00536CD0" w:rsidRPr="00617FC7" w:rsidRDefault="00536CD0" w:rsidP="00536CD0">
            <w:pPr>
              <w:ind w:right="8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180 mg telítő dózisú tikagrelor és 110 mg dabigatrán-etexilát egyidejű alkalmazása (dinamikus egyensúlyi állapotban) a dabigatrán AUC</w:t>
            </w:r>
            <w:r w:rsidRPr="00617FC7">
              <w:rPr>
                <w:rFonts w:ascii="Times New Roman" w:eastAsia="Times New Roman" w:hAnsi="Times New Roman" w:cs="Times New Roman"/>
                <w:noProof w:val="0"/>
                <w:color w:val="000000"/>
                <w:vertAlign w:val="subscript"/>
                <w:lang w:val="hu-HU"/>
              </w:rPr>
              <w:t>t,ss</w:t>
            </w:r>
            <w:r w:rsidRPr="00617FC7">
              <w:rPr>
                <w:rFonts w:ascii="Times New Roman" w:eastAsia="Times New Roman" w:hAnsi="Times New Roman" w:cs="Times New Roman"/>
                <w:noProof w:val="0"/>
                <w:color w:val="000000"/>
                <w:lang w:val="hu-HU"/>
              </w:rPr>
              <w:t xml:space="preserve"> értékét 1,49-szeresére, a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 értéket 1,65-szörösére emelte az önmagában adott dabigatrán-etexiláthoz képest. Ha a tikagrelor 180 mg-os telítő dózisát 2 órával a 110 mg dabigatrán-etexilát után adták (dinamikus egyensúlyi állapotban), a dabigatrán AUC</w:t>
            </w:r>
            <w:r w:rsidRPr="00617FC7">
              <w:rPr>
                <w:rFonts w:ascii="Times New Roman" w:eastAsia="Times New Roman" w:hAnsi="Times New Roman" w:cs="Times New Roman"/>
                <w:noProof w:val="0"/>
                <w:color w:val="000000"/>
                <w:vertAlign w:val="subscript"/>
                <w:lang w:val="hu-HU"/>
              </w:rPr>
              <w:t>t,ss</w:t>
            </w:r>
            <w:r w:rsidRPr="00617FC7">
              <w:rPr>
                <w:rFonts w:ascii="Times New Roman" w:eastAsia="Times New Roman" w:hAnsi="Times New Roman" w:cs="Times New Roman"/>
                <w:noProof w:val="0"/>
                <w:color w:val="000000"/>
                <w:lang w:val="hu-HU"/>
              </w:rPr>
              <w:t xml:space="preserve"> értéke kisebb mértékben, 1,27-szeresére, a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 pedig 1,23-szorosára nőtt, az önmagában adott dabigatrán-etexiláttal összehasonlítva. Ez a lépcsőzetes terápia a javasolt adagolási mód a telítő dózisú tikagrerol-terápia indításakor.</w:t>
            </w:r>
          </w:p>
          <w:p w14:paraId="21BA7D5C" w14:textId="77777777" w:rsidR="00536CD0" w:rsidRPr="00617FC7" w:rsidRDefault="00536CD0" w:rsidP="00536CD0">
            <w:pPr>
              <w:ind w:right="87"/>
              <w:rPr>
                <w:rFonts w:ascii="Times New Roman" w:eastAsia="Times New Roman" w:hAnsi="Times New Roman" w:cs="Times New Roman"/>
                <w:noProof w:val="0"/>
                <w:color w:val="000000"/>
                <w:lang w:val="hu-HU"/>
              </w:rPr>
            </w:pPr>
          </w:p>
          <w:p w14:paraId="0A67F49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Naponta kétszer 90 mg tikagrelor (fenntartó dózis) együttadása 110 mg dabigatrán-etexiláttal az illesztett dabigatrán AUC</w:t>
            </w:r>
            <w:r w:rsidRPr="00617FC7">
              <w:rPr>
                <w:rFonts w:ascii="Times New Roman" w:eastAsia="Times New Roman" w:hAnsi="Times New Roman" w:cs="Times New Roman"/>
                <w:noProof w:val="0"/>
                <w:color w:val="000000"/>
                <w:vertAlign w:val="subscript"/>
                <w:lang w:val="hu-HU"/>
              </w:rPr>
              <w:t xml:space="preserve">t,ss </w:t>
            </w:r>
            <w:r w:rsidRPr="00617FC7">
              <w:rPr>
                <w:rFonts w:ascii="Times New Roman" w:eastAsia="Times New Roman" w:hAnsi="Times New Roman" w:cs="Times New Roman"/>
                <w:noProof w:val="0"/>
                <w:color w:val="000000"/>
                <w:lang w:val="hu-HU"/>
              </w:rPr>
              <w:t>értékét 1,26-szorosára, a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 értéket pedig 1,29-szeresére növelte az önmagában adott dabigatrán-etexiláthoz képest.</w:t>
            </w:r>
          </w:p>
        </w:tc>
      </w:tr>
      <w:tr w:rsidR="00536CD0" w:rsidRPr="00617FC7" w14:paraId="3F8B6DCB"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28A5EF0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Pozakonazol</w:t>
            </w:r>
          </w:p>
        </w:tc>
        <w:tc>
          <w:tcPr>
            <w:tcW w:w="6934" w:type="dxa"/>
            <w:tcBorders>
              <w:top w:val="single" w:sz="4" w:space="0" w:color="000000"/>
              <w:left w:val="single" w:sz="4" w:space="0" w:color="000000"/>
              <w:bottom w:val="single" w:sz="4" w:space="0" w:color="000000"/>
              <w:right w:val="single" w:sz="4" w:space="0" w:color="000000"/>
            </w:tcBorders>
          </w:tcPr>
          <w:p w14:paraId="00CFD0D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pozakonazol szintén gátolja bizonyos mértékben a P-gp-t, de ezt klinikailag nem vizsgálták. Óvatosság szükséges, ha a dabigatrán-etexilátot pozakonazollal egyidejűleg alkalmazzák.</w:t>
            </w:r>
          </w:p>
        </w:tc>
      </w:tr>
      <w:tr w:rsidR="00536CD0" w:rsidRPr="00617FC7" w14:paraId="0F248573" w14:textId="77777777" w:rsidTr="00CF66F9">
        <w:tblPrEx>
          <w:tblCellMar>
            <w:left w:w="108" w:type="dxa"/>
            <w:right w:w="59" w:type="dxa"/>
          </w:tblCellMar>
        </w:tblPrEx>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2FFEC9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t>P-gp-induktorok</w:t>
            </w:r>
          </w:p>
        </w:tc>
      </w:tr>
      <w:tr w:rsidR="00536CD0" w:rsidRPr="006D1865" w14:paraId="7987A3B7" w14:textId="77777777" w:rsidTr="00CF66F9">
        <w:tblPrEx>
          <w:tblCellMar>
            <w:left w:w="108" w:type="dxa"/>
            <w:right w:w="59" w:type="dxa"/>
          </w:tblCellMar>
        </w:tblPrEx>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0720346B" w14:textId="77777777" w:rsidR="00536CD0" w:rsidRPr="00CF66F9" w:rsidRDefault="00536CD0" w:rsidP="00536CD0">
            <w:pPr>
              <w:rPr>
                <w:rFonts w:ascii="Times New Roman" w:eastAsia="Times New Roman" w:hAnsi="Times New Roman" w:cs="Times New Roman"/>
                <w:i/>
                <w:iCs/>
                <w:noProof w:val="0"/>
                <w:color w:val="000000"/>
                <w:lang w:val="hu-HU"/>
              </w:rPr>
            </w:pPr>
            <w:r w:rsidRPr="00CF66F9">
              <w:rPr>
                <w:rFonts w:ascii="Times New Roman" w:eastAsia="Times New Roman" w:hAnsi="Times New Roman" w:cs="Times New Roman"/>
                <w:i/>
                <w:iCs/>
                <w:noProof w:val="0"/>
                <w:color w:val="000000"/>
                <w:lang w:val="hu-HU"/>
              </w:rPr>
              <w:t>Az egyidejű alkalmazás kerülendő.</w:t>
            </w:r>
          </w:p>
        </w:tc>
      </w:tr>
      <w:tr w:rsidR="00536CD0" w:rsidRPr="00617FC7" w14:paraId="4C70D664"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247AC4E9" w14:textId="112B32D5" w:rsidR="00536CD0" w:rsidRPr="00617FC7" w:rsidRDefault="00A2754E" w:rsidP="009F4419">
            <w:pPr>
              <w:rPr>
                <w:rFonts w:ascii="Times New Roman" w:eastAsia="Times New Roman" w:hAnsi="Times New Roman" w:cs="Times New Roman"/>
                <w:noProof w:val="0"/>
                <w:color w:val="000000"/>
                <w:lang w:val="hu-HU"/>
              </w:rPr>
            </w:pPr>
            <w:r>
              <w:rPr>
                <w:rFonts w:ascii="Times New Roman" w:eastAsia="Times New Roman" w:hAnsi="Times New Roman" w:cs="Times New Roman"/>
                <w:noProof w:val="0"/>
                <w:color w:val="000000"/>
                <w:lang w:val="hu-HU"/>
              </w:rPr>
              <w:t>például</w:t>
            </w:r>
            <w:r w:rsidR="00536CD0" w:rsidRPr="00617FC7">
              <w:rPr>
                <w:rFonts w:ascii="Times New Roman" w:eastAsia="Times New Roman" w:hAnsi="Times New Roman" w:cs="Times New Roman"/>
                <w:noProof w:val="0"/>
                <w:color w:val="000000"/>
                <w:lang w:val="hu-HU"/>
              </w:rPr>
              <w:t xml:space="preserve"> rifampicin, közönséges orbáncfű (</w:t>
            </w:r>
            <w:r w:rsidR="00536CD0" w:rsidRPr="00617FC7">
              <w:rPr>
                <w:rFonts w:ascii="Times New Roman" w:eastAsia="Times New Roman" w:hAnsi="Times New Roman" w:cs="Times New Roman"/>
                <w:i/>
                <w:iCs/>
                <w:noProof w:val="0"/>
                <w:color w:val="000000"/>
                <w:lang w:val="hu-HU"/>
              </w:rPr>
              <w:t>Hypericum perforatum</w:t>
            </w:r>
            <w:r w:rsidR="00536CD0" w:rsidRPr="00617FC7">
              <w:rPr>
                <w:rFonts w:ascii="Times New Roman" w:eastAsia="Times New Roman" w:hAnsi="Times New Roman" w:cs="Times New Roman"/>
                <w:noProof w:val="0"/>
                <w:color w:val="000000"/>
                <w:lang w:val="hu-HU"/>
              </w:rPr>
              <w:t>), karbamazepin, vagy fenitoin</w:t>
            </w:r>
          </w:p>
        </w:tc>
        <w:tc>
          <w:tcPr>
            <w:tcW w:w="6934" w:type="dxa"/>
            <w:tcBorders>
              <w:top w:val="single" w:sz="4" w:space="0" w:color="000000"/>
              <w:left w:val="single" w:sz="4" w:space="0" w:color="000000"/>
              <w:bottom w:val="single" w:sz="4" w:space="0" w:color="000000"/>
              <w:right w:val="single" w:sz="4" w:space="0" w:color="000000"/>
            </w:tcBorders>
          </w:tcPr>
          <w:p w14:paraId="14E0DE5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Egyidejű adásuk várhatóan a dabigatrán-koncentrációk csökkenését eredményezi.</w:t>
            </w:r>
          </w:p>
          <w:p w14:paraId="11BE4BD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teszt-induktor rifampicin 7 napon át napi egyszeri 600 mg dózisban alkalmazott előzetes (pre-dose) adagolása a dabigatrán csúcskoncentrációját 65,5%-kal, a teljes expozícióját pedig 67%-kal csökkentette. A rifampicin-kezelés leállítását követő 7. napra az indukáló hatás csökkent és a dabigatrán-expozíció közel a referenciaszintet érte el. A biohasznosulás további növekedését a következő 7 napban nem figyelték meg.</w:t>
            </w:r>
          </w:p>
        </w:tc>
      </w:tr>
      <w:tr w:rsidR="00536CD0" w:rsidRPr="00617FC7" w14:paraId="14337428" w14:textId="77777777" w:rsidTr="00CF66F9">
        <w:tblPrEx>
          <w:tblCellMar>
            <w:left w:w="108" w:type="dxa"/>
            <w:right w:w="59" w:type="dxa"/>
          </w:tblCellMar>
        </w:tblPrEx>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FDD9F42" w14:textId="4149BF7D"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t xml:space="preserve">Proteázinhibitorok, </w:t>
            </w:r>
            <w:r w:rsidR="00A2754E">
              <w:rPr>
                <w:rFonts w:ascii="Times New Roman" w:eastAsia="Times New Roman" w:hAnsi="Times New Roman" w:cs="Times New Roman"/>
                <w:i/>
                <w:noProof w:val="0"/>
                <w:color w:val="000000"/>
                <w:u w:val="single" w:color="000000"/>
                <w:lang w:val="hu-HU"/>
              </w:rPr>
              <w:t>például</w:t>
            </w:r>
            <w:r w:rsidRPr="00617FC7">
              <w:rPr>
                <w:rFonts w:ascii="Times New Roman" w:eastAsia="Times New Roman" w:hAnsi="Times New Roman" w:cs="Times New Roman"/>
                <w:i/>
                <w:noProof w:val="0"/>
                <w:color w:val="000000"/>
                <w:u w:val="single" w:color="000000"/>
                <w:lang w:val="hu-HU"/>
              </w:rPr>
              <w:t xml:space="preserve"> ritonavir</w:t>
            </w:r>
          </w:p>
        </w:tc>
      </w:tr>
      <w:tr w:rsidR="00536CD0" w:rsidRPr="00617FC7" w14:paraId="1CD21674" w14:textId="77777777" w:rsidTr="00CF66F9">
        <w:tblPrEx>
          <w:tblCellMar>
            <w:left w:w="108" w:type="dxa"/>
            <w:right w:w="59" w:type="dxa"/>
          </w:tblCellMar>
        </w:tblPrEx>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4FBD97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lang w:val="hu-HU"/>
              </w:rPr>
              <w:t>Az egyidejű használat nem javasolt</w:t>
            </w:r>
          </w:p>
        </w:tc>
      </w:tr>
      <w:tr w:rsidR="00536CD0" w:rsidRPr="00617FC7" w14:paraId="372F874E"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42B4156A" w14:textId="4543FB65" w:rsidR="00536CD0" w:rsidRPr="00617FC7" w:rsidRDefault="00A2754E" w:rsidP="00536CD0">
            <w:pPr>
              <w:rPr>
                <w:rFonts w:ascii="Times New Roman" w:eastAsia="Times New Roman" w:hAnsi="Times New Roman" w:cs="Times New Roman"/>
                <w:noProof w:val="0"/>
                <w:color w:val="000000"/>
                <w:lang w:val="hu-HU"/>
              </w:rPr>
            </w:pPr>
            <w:r>
              <w:rPr>
                <w:rFonts w:ascii="Times New Roman" w:eastAsia="Times New Roman" w:hAnsi="Times New Roman" w:cs="Times New Roman"/>
                <w:noProof w:val="0"/>
                <w:color w:val="000000"/>
                <w:lang w:val="hu-HU"/>
              </w:rPr>
              <w:t>például</w:t>
            </w:r>
            <w:r w:rsidR="00536CD0" w:rsidRPr="00617FC7">
              <w:rPr>
                <w:rFonts w:ascii="Times New Roman" w:eastAsia="Times New Roman" w:hAnsi="Times New Roman" w:cs="Times New Roman"/>
                <w:noProof w:val="0"/>
                <w:color w:val="000000"/>
                <w:lang w:val="hu-HU"/>
              </w:rPr>
              <w:t xml:space="preserve"> ritonavir és annak más proteázinhibitorokkal való kombinációi</w:t>
            </w:r>
          </w:p>
        </w:tc>
        <w:tc>
          <w:tcPr>
            <w:tcW w:w="6934" w:type="dxa"/>
            <w:tcBorders>
              <w:top w:val="single" w:sz="4" w:space="0" w:color="000000"/>
              <w:left w:val="single" w:sz="4" w:space="0" w:color="000000"/>
              <w:bottom w:val="single" w:sz="4" w:space="0" w:color="000000"/>
              <w:right w:val="single" w:sz="4" w:space="0" w:color="000000"/>
            </w:tcBorders>
          </w:tcPr>
          <w:p w14:paraId="11A662F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Befolyásolják a P-gp-t (gátolják vagy indukálják). Ezeket nem vizsgálták és ezért egyidejű alkalmazásuk a dabigatrán-etexiláttal nem javasolt.</w:t>
            </w:r>
          </w:p>
        </w:tc>
      </w:tr>
      <w:tr w:rsidR="00536CD0" w:rsidRPr="00617FC7" w14:paraId="3B11158C" w14:textId="77777777" w:rsidTr="00CF66F9">
        <w:tblPrEx>
          <w:tblCellMar>
            <w:left w:w="108" w:type="dxa"/>
            <w:right w:w="59" w:type="dxa"/>
          </w:tblCellMar>
        </w:tblPrEx>
        <w:trPr>
          <w:trHeight w:val="567"/>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3566928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t>P-gp-szubsztrát</w:t>
            </w:r>
          </w:p>
        </w:tc>
      </w:tr>
      <w:tr w:rsidR="00536CD0" w:rsidRPr="00617FC7" w14:paraId="0B3BC186" w14:textId="77777777" w:rsidTr="00CF66F9">
        <w:tblPrEx>
          <w:tblCellMar>
            <w:left w:w="108" w:type="dxa"/>
            <w:right w:w="59" w:type="dxa"/>
          </w:tblCellMar>
        </w:tblPrEx>
        <w:trPr>
          <w:trHeight w:val="113"/>
        </w:trPr>
        <w:tc>
          <w:tcPr>
            <w:tcW w:w="2126" w:type="dxa"/>
            <w:gridSpan w:val="2"/>
            <w:tcBorders>
              <w:top w:val="single" w:sz="4" w:space="0" w:color="000000"/>
              <w:left w:val="single" w:sz="4" w:space="0" w:color="000000"/>
              <w:bottom w:val="single" w:sz="4" w:space="0" w:color="000000"/>
              <w:right w:val="single" w:sz="4" w:space="0" w:color="000000"/>
            </w:tcBorders>
          </w:tcPr>
          <w:p w14:paraId="19746C0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Digoxin</w:t>
            </w:r>
          </w:p>
        </w:tc>
        <w:tc>
          <w:tcPr>
            <w:tcW w:w="6934" w:type="dxa"/>
            <w:tcBorders>
              <w:top w:val="single" w:sz="4" w:space="0" w:color="000000"/>
              <w:left w:val="single" w:sz="4" w:space="0" w:color="000000"/>
              <w:bottom w:val="single" w:sz="4" w:space="0" w:color="000000"/>
              <w:right w:val="single" w:sz="4" w:space="0" w:color="000000"/>
            </w:tcBorders>
          </w:tcPr>
          <w:p w14:paraId="2261566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Egy 24 egészséges önkéntesen végzett vizsgálatban, melyben a dabigatrán-etexilátot digoxinnal adták együtt, nem észleltek változást a digoxin, illetve klinikailag jelentős változást a dabigatrán-expozícióban.</w:t>
            </w:r>
          </w:p>
        </w:tc>
      </w:tr>
    </w:tbl>
    <w:p w14:paraId="0E7BF5F1"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4496E43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Antikoagulánsok és thrombocytaaggregáció-gátló gyógyszerek</w:t>
      </w:r>
    </w:p>
    <w:p w14:paraId="6BBEA8C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C5E22CE" w14:textId="75C7168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Nincs vagy csak korlátozott tapasztalat áll rendelkezésre a következő kezelésekre, melyek fokozhatják a vérzésveszélyt, ha a dabigatrán-etexiláttal egyidejűleg alkalmazzák őket: antikoagulánsok,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nem frakcionált heparin (UFH), alacsony molekulatömegű heparinok (LMWH) és heparin származékok (fondaparinux, dezirudin), thrombolyticus gyógyszerek és K-vitamin antagonisták, rivaroxabán vagy egyéb orális antikoagulánsok (lásd 4.3 pont) és thrombocytaaggregáció-gátló gyógyszerek mint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w:t>
      </w:r>
      <w:r w:rsidR="00361800">
        <w:rPr>
          <w:rFonts w:ascii="Times New Roman" w:eastAsia="Times New Roman" w:hAnsi="Times New Roman" w:cs="Times New Roman"/>
          <w:noProof w:val="0"/>
          <w:color w:val="000000"/>
          <w:kern w:val="0"/>
          <w:lang w:val="hu-HU" w:eastAsia="hu-HU"/>
          <w14:ligatures w14:val="none"/>
        </w:rPr>
        <w:t xml:space="preserve">a </w:t>
      </w:r>
      <w:r w:rsidRPr="00617FC7">
        <w:rPr>
          <w:rFonts w:ascii="Times New Roman" w:eastAsia="Times New Roman" w:hAnsi="Times New Roman" w:cs="Times New Roman"/>
          <w:noProof w:val="0"/>
          <w:color w:val="000000"/>
          <w:kern w:val="0"/>
          <w:lang w:val="hu-HU" w:eastAsia="hu-HU"/>
          <w14:ligatures w14:val="none"/>
        </w:rPr>
        <w:t>GPIIb/IIIa receptor antagonisták, tiklopidin, prazugrel, tikagrelor, dextrán és szulfinpirazon (lásd 4.4 pont).</w:t>
      </w:r>
    </w:p>
    <w:p w14:paraId="1269EF0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503061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III. fázisú RE-LY vizsgálatban gyűjtött adatokból (lásd 5.1 pont) azt figyelték meg, hogy mind a dabigatrán-etexilát, mind a warfarin más orális vagy parenterális antikoagulánsokkal történő együttadása, melyre többnyire egyik antikoagulánsról a másikra történő átállítással kapcsolatban került sor, körülbelül 2,5-szeresére növelte a major vérzések kockázatát (lásd 4.3 pont). Továbbá mind a dabigatrán-etexilát, mind a warfarin véralvadásgátlókkal (ASA vagy klopidogrel) történő egyidejű adása körülbelül megkétszerezte a major vérzések arányát (lásd 4.4 pont).</w:t>
      </w:r>
    </w:p>
    <w:p w14:paraId="600D0BC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F88A07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UFH a szükséges dózisban adható a centrális vénás vagy artériás kanül nyitvatartásához vagy pitvarfibrilláció esetén katéteres ablatio alatt (lásd 4.3 pont).</w:t>
      </w:r>
    </w:p>
    <w:p w14:paraId="6780B54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FB7E3C6" w14:textId="77777777" w:rsidR="00536CD0" w:rsidRPr="00617FC7" w:rsidRDefault="00536CD0" w:rsidP="00536CD0">
      <w:pPr>
        <w:keepNext/>
        <w:tabs>
          <w:tab w:val="right" w:pos="9084"/>
        </w:tabs>
        <w:spacing w:after="0" w:line="240" w:lineRule="auto"/>
        <w:ind w:left="-6"/>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10. táblázat. Interakciók antikoagulánsokkal és thrombocytaaggregáció-gátló gyógyszerekkel</w:t>
      </w:r>
    </w:p>
    <w:p w14:paraId="5CAA017D" w14:textId="77777777" w:rsidR="00536CD0" w:rsidRPr="00617FC7" w:rsidRDefault="00536CD0" w:rsidP="00536CD0">
      <w:pPr>
        <w:keepNext/>
        <w:tabs>
          <w:tab w:val="right" w:pos="9084"/>
        </w:tabs>
        <w:spacing w:after="0" w:line="240" w:lineRule="auto"/>
        <w:ind w:left="-6"/>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8" w:type="dxa"/>
          <w:right w:w="106" w:type="dxa"/>
        </w:tblCellMar>
        <w:tblLook w:val="04A0" w:firstRow="1" w:lastRow="0" w:firstColumn="1" w:lastColumn="0" w:noHBand="0" w:noVBand="1"/>
      </w:tblPr>
      <w:tblGrid>
        <w:gridCol w:w="1279"/>
        <w:gridCol w:w="7781"/>
      </w:tblGrid>
      <w:tr w:rsidR="00536CD0" w:rsidRPr="00617FC7" w14:paraId="551FD039" w14:textId="77777777" w:rsidTr="00CF66F9">
        <w:trPr>
          <w:trHeight w:val="113"/>
        </w:trPr>
        <w:tc>
          <w:tcPr>
            <w:tcW w:w="1279" w:type="dxa"/>
            <w:tcBorders>
              <w:top w:val="single" w:sz="4" w:space="0" w:color="000000"/>
              <w:left w:val="single" w:sz="4" w:space="0" w:color="000000"/>
              <w:bottom w:val="single" w:sz="4" w:space="0" w:color="000000"/>
              <w:right w:val="single" w:sz="4" w:space="0" w:color="000000"/>
            </w:tcBorders>
          </w:tcPr>
          <w:p w14:paraId="0107FB1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NSAID-ok</w:t>
            </w:r>
          </w:p>
        </w:tc>
        <w:tc>
          <w:tcPr>
            <w:tcW w:w="7781" w:type="dxa"/>
            <w:tcBorders>
              <w:top w:val="single" w:sz="4" w:space="0" w:color="000000"/>
              <w:left w:val="single" w:sz="4" w:space="0" w:color="000000"/>
              <w:bottom w:val="single" w:sz="4" w:space="0" w:color="000000"/>
              <w:right w:val="single" w:sz="4" w:space="0" w:color="000000"/>
            </w:tcBorders>
          </w:tcPr>
          <w:p w14:paraId="2A3883A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Kimutatták, hogy a rövid távú fájdalomcsillapítás céljára adott NSAID-ok nem fokozzák a vérzésveszélyt, ha dabigatrán-etexiláttal adják együtt. A RE-LY vizsgálatban megfigyelhető krónikus NSAID-szedés a vérzés veszélyét körülbelül 50%-kal növeli dabigatrán-etexilát és warfarin esetében is.</w:t>
            </w:r>
          </w:p>
        </w:tc>
      </w:tr>
      <w:tr w:rsidR="00536CD0" w:rsidRPr="00617FC7" w14:paraId="545D24E6" w14:textId="77777777" w:rsidTr="00CF66F9">
        <w:trPr>
          <w:trHeight w:val="113"/>
        </w:trPr>
        <w:tc>
          <w:tcPr>
            <w:tcW w:w="1279" w:type="dxa"/>
            <w:tcBorders>
              <w:top w:val="single" w:sz="4" w:space="0" w:color="000000"/>
              <w:left w:val="single" w:sz="4" w:space="0" w:color="000000"/>
              <w:bottom w:val="single" w:sz="4" w:space="0" w:color="000000"/>
              <w:right w:val="single" w:sz="4" w:space="0" w:color="000000"/>
            </w:tcBorders>
          </w:tcPr>
          <w:p w14:paraId="4083FA4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Klopidogrel</w:t>
            </w:r>
          </w:p>
        </w:tc>
        <w:tc>
          <w:tcPr>
            <w:tcW w:w="7781" w:type="dxa"/>
            <w:tcBorders>
              <w:top w:val="single" w:sz="4" w:space="0" w:color="000000"/>
              <w:left w:val="single" w:sz="4" w:space="0" w:color="000000"/>
              <w:bottom w:val="single" w:sz="4" w:space="0" w:color="000000"/>
              <w:right w:val="single" w:sz="4" w:space="0" w:color="000000"/>
            </w:tcBorders>
          </w:tcPr>
          <w:p w14:paraId="2225569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Fiatal egészséges önkéntes férfiakon végzett vizsgálatok szerint a dabigatrán-etexilát és a klopidogrel együttadása nem nyújtotta tovább a kapilláris vérzési időt a klopidogrel monoterápiához viszonyítva. Ezenkívül a dabigatrán AUC</w:t>
            </w:r>
            <w:r w:rsidRPr="00617FC7">
              <w:rPr>
                <w:rFonts w:ascii="Times New Roman" w:eastAsia="Times New Roman" w:hAnsi="Times New Roman" w:cs="Times New Roman"/>
                <w:noProof w:val="0"/>
                <w:color w:val="000000"/>
                <w:vertAlign w:val="subscript"/>
                <w:lang w:val="hu-HU"/>
              </w:rPr>
              <w:t>τ,ss</w:t>
            </w:r>
            <w:r w:rsidRPr="00617FC7">
              <w:rPr>
                <w:rFonts w:ascii="Times New Roman" w:eastAsia="Times New Roman" w:hAnsi="Times New Roman" w:cs="Times New Roman"/>
                <w:noProof w:val="0"/>
                <w:color w:val="000000"/>
                <w:lang w:val="hu-HU"/>
              </w:rPr>
              <w:t>- és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értéke, valamint a dabigatrán hatását vizsgáló alvadási vizsgálatok, illetve a klopidogrel hatását mutató thrombocytaaggregáció-gátlás lényegében változatlan maradt a kombinált kezelés és a megfelelő monoterápiák összehasonlítása során. </w:t>
            </w:r>
          </w:p>
          <w:p w14:paraId="0D781F80" w14:textId="71B83D5D"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300 mg vagy 600 mg klopidogrel telítő dózis esetén a dabigatrán AUC</w:t>
            </w:r>
            <w:r w:rsidRPr="00617FC7">
              <w:rPr>
                <w:rFonts w:ascii="Times New Roman" w:eastAsia="Times New Roman" w:hAnsi="Times New Roman" w:cs="Times New Roman"/>
                <w:noProof w:val="0"/>
                <w:color w:val="000000"/>
                <w:vertAlign w:val="subscript"/>
                <w:lang w:val="hu-HU"/>
              </w:rPr>
              <w:t>τ,ss</w:t>
            </w:r>
            <w:r w:rsidRPr="00617FC7">
              <w:rPr>
                <w:rFonts w:ascii="Times New Roman" w:eastAsia="Times New Roman" w:hAnsi="Times New Roman" w:cs="Times New Roman"/>
                <w:noProof w:val="0"/>
                <w:color w:val="000000"/>
                <w:lang w:val="hu-HU"/>
              </w:rPr>
              <w:t>- és C</w:t>
            </w:r>
            <w:r w:rsidRPr="00617FC7">
              <w:rPr>
                <w:rFonts w:ascii="Times New Roman" w:eastAsia="Times New Roman" w:hAnsi="Times New Roman" w:cs="Times New Roman"/>
                <w:noProof w:val="0"/>
                <w:color w:val="000000"/>
                <w:vertAlign w:val="subscript"/>
                <w:lang w:val="hu-HU"/>
              </w:rPr>
              <w:t>max,ss</w:t>
            </w:r>
            <w:r w:rsidRPr="00617FC7">
              <w:rPr>
                <w:rFonts w:ascii="Times New Roman" w:eastAsia="Times New Roman" w:hAnsi="Times New Roman" w:cs="Times New Roman"/>
                <w:noProof w:val="0"/>
                <w:color w:val="000000"/>
                <w:lang w:val="hu-HU"/>
              </w:rPr>
              <w:t xml:space="preserve"> értéke körülbelül 30</w:t>
            </w:r>
            <w:r w:rsidR="00F45A82"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40%-kal nőtt (lásd 4.4 pont).</w:t>
            </w:r>
          </w:p>
        </w:tc>
      </w:tr>
      <w:tr w:rsidR="00536CD0" w:rsidRPr="00617FC7" w14:paraId="6FA3F447" w14:textId="77777777" w:rsidTr="00CF66F9">
        <w:trPr>
          <w:trHeight w:val="113"/>
        </w:trPr>
        <w:tc>
          <w:tcPr>
            <w:tcW w:w="1279" w:type="dxa"/>
            <w:tcBorders>
              <w:top w:val="single" w:sz="4" w:space="0" w:color="000000"/>
              <w:left w:val="single" w:sz="4" w:space="0" w:color="000000"/>
              <w:bottom w:val="single" w:sz="4" w:space="0" w:color="000000"/>
              <w:right w:val="single" w:sz="4" w:space="0" w:color="000000"/>
            </w:tcBorders>
          </w:tcPr>
          <w:p w14:paraId="145D7CA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ASA</w:t>
            </w:r>
          </w:p>
        </w:tc>
        <w:tc>
          <w:tcPr>
            <w:tcW w:w="7781" w:type="dxa"/>
            <w:tcBorders>
              <w:top w:val="single" w:sz="4" w:space="0" w:color="000000"/>
              <w:left w:val="single" w:sz="4" w:space="0" w:color="000000"/>
              <w:bottom w:val="single" w:sz="4" w:space="0" w:color="000000"/>
              <w:right w:val="single" w:sz="4" w:space="0" w:color="000000"/>
            </w:tcBorders>
          </w:tcPr>
          <w:p w14:paraId="6182BD4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Az ASA és napi kétszeri 150 mg dabigatrán-etexilát együttadása bármilyen vérzés veszélyét 12%-ról 18%-ra növelheti 81 mg, és 24%-ra 325 mg ASA esetében (lásd 4.4 pont).</w:t>
            </w:r>
          </w:p>
        </w:tc>
      </w:tr>
      <w:tr w:rsidR="00536CD0" w:rsidRPr="00617FC7" w14:paraId="09C9C453" w14:textId="77777777" w:rsidTr="00CF66F9">
        <w:trPr>
          <w:trHeight w:val="113"/>
        </w:trPr>
        <w:tc>
          <w:tcPr>
            <w:tcW w:w="1279" w:type="dxa"/>
            <w:tcBorders>
              <w:top w:val="single" w:sz="4" w:space="0" w:color="000000"/>
              <w:left w:val="single" w:sz="4" w:space="0" w:color="000000"/>
              <w:bottom w:val="single" w:sz="4" w:space="0" w:color="000000"/>
              <w:right w:val="single" w:sz="4" w:space="0" w:color="000000"/>
            </w:tcBorders>
          </w:tcPr>
          <w:p w14:paraId="7FDF3D6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LMWH</w:t>
            </w:r>
          </w:p>
        </w:tc>
        <w:tc>
          <w:tcPr>
            <w:tcW w:w="7781" w:type="dxa"/>
            <w:tcBorders>
              <w:top w:val="single" w:sz="4" w:space="0" w:color="000000"/>
              <w:left w:val="single" w:sz="4" w:space="0" w:color="000000"/>
              <w:bottom w:val="single" w:sz="4" w:space="0" w:color="000000"/>
              <w:right w:val="single" w:sz="4" w:space="0" w:color="000000"/>
            </w:tcBorders>
          </w:tcPr>
          <w:p w14:paraId="324485B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Az LMWH-k (például enoxaparin) és a dabigatrán-etexilát egyidejű alkalmazását külön nem vizsgálták. 3 napon keresztül, naponta egyszer sc. adott 40 mg enoxaparinról történő átállítás után, az enoxaparin utolsó dózisa után 24 órával a dabigatrán-expozíció kicsivel alacsonyabb volt, mint önmagában adott dabigatrán-etexilát (egyszeri 220 mg-os dózis) után. Magasabb anti-FXa/FIIa aktivitást figyeltek meg dabigatrán-etexilát adása után enoxaparin-előkezelést követően az önmagában adott dabigatrán-etexiláthoz viszonyítva. A feltételezések szerint ez az enoxaparin megmaradó hatásának következménye, és klinikailag nem tekintik relevánsnak. Más, dabigatránnal kapcsolatos antikoaguláns vizsgálatok nem változtak meg lényegesen enoxaparin-előkezelést követően.</w:t>
            </w:r>
          </w:p>
        </w:tc>
      </w:tr>
    </w:tbl>
    <w:p w14:paraId="1C7D62A5"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113E1A27"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Egyéb interakciók</w:t>
      </w:r>
    </w:p>
    <w:p w14:paraId="167E0537" w14:textId="77777777" w:rsidR="00536CD0" w:rsidRPr="00617FC7" w:rsidRDefault="00536CD0" w:rsidP="00536CD0">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7B9AC78C" w14:textId="77777777" w:rsidR="00536CD0" w:rsidRPr="00617FC7" w:rsidRDefault="00536CD0" w:rsidP="00536CD0">
      <w:pPr>
        <w:tabs>
          <w:tab w:val="center" w:pos="2291"/>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11. táblázat. Egyéb interakciók</w:t>
      </w:r>
    </w:p>
    <w:p w14:paraId="7BE64B61" w14:textId="77777777" w:rsidR="00536CD0" w:rsidRPr="00617FC7" w:rsidRDefault="00536CD0" w:rsidP="00536CD0">
      <w:pPr>
        <w:tabs>
          <w:tab w:val="center" w:pos="2291"/>
        </w:tabs>
        <w:spacing w:after="0" w:line="240" w:lineRule="auto"/>
        <w:ind w:left="-3"/>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538"/>
        <w:gridCol w:w="7522"/>
      </w:tblGrid>
      <w:tr w:rsidR="00536CD0" w:rsidRPr="00617FC7" w14:paraId="4AD87D7D" w14:textId="77777777" w:rsidTr="00CF66F9">
        <w:trPr>
          <w:trHeight w:val="567"/>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4CE6BC7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lastRenderedPageBreak/>
              <w:t>Szelektív szerotoninvisszavétel-gátlók (SSRI-k) vagy szelektív szerotonin-noradrenalin-visszavétel</w:t>
            </w:r>
            <w:r w:rsidRPr="00617FC7">
              <w:rPr>
                <w:rFonts w:ascii="Times New Roman" w:eastAsia="Times New Roman" w:hAnsi="Times New Roman" w:cs="Times New Roman"/>
                <w:i/>
                <w:noProof w:val="0"/>
                <w:color w:val="000000"/>
                <w:lang w:val="hu-HU"/>
              </w:rPr>
              <w:t>-</w:t>
            </w:r>
            <w:r w:rsidRPr="00617FC7">
              <w:rPr>
                <w:rFonts w:ascii="Times New Roman" w:eastAsia="Times New Roman" w:hAnsi="Times New Roman" w:cs="Times New Roman"/>
                <w:i/>
                <w:noProof w:val="0"/>
                <w:color w:val="000000"/>
                <w:u w:val="single" w:color="000000"/>
                <w:lang w:val="hu-HU"/>
              </w:rPr>
              <w:t>gátlók (SNRI-k)</w:t>
            </w:r>
          </w:p>
        </w:tc>
      </w:tr>
      <w:tr w:rsidR="00536CD0" w:rsidRPr="00617FC7" w14:paraId="3EBE67D4" w14:textId="77777777" w:rsidTr="00CF66F9">
        <w:trPr>
          <w:trHeight w:val="113"/>
        </w:trPr>
        <w:tc>
          <w:tcPr>
            <w:tcW w:w="1538" w:type="dxa"/>
            <w:tcBorders>
              <w:top w:val="single" w:sz="4" w:space="0" w:color="000000"/>
              <w:left w:val="single" w:sz="4" w:space="0" w:color="000000"/>
              <w:bottom w:val="single" w:sz="4" w:space="0" w:color="000000"/>
              <w:right w:val="single" w:sz="4" w:space="0" w:color="000000"/>
            </w:tcBorders>
          </w:tcPr>
          <w:p w14:paraId="6E530BF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SSRI-k, </w:t>
            </w:r>
          </w:p>
          <w:p w14:paraId="02FEB74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SNRI-k</w:t>
            </w:r>
          </w:p>
        </w:tc>
        <w:tc>
          <w:tcPr>
            <w:tcW w:w="7522" w:type="dxa"/>
            <w:tcBorders>
              <w:top w:val="single" w:sz="4" w:space="0" w:color="000000"/>
              <w:left w:val="single" w:sz="4" w:space="0" w:color="000000"/>
              <w:bottom w:val="single" w:sz="4" w:space="0" w:color="000000"/>
              <w:right w:val="single" w:sz="4" w:space="0" w:color="000000"/>
            </w:tcBorders>
          </w:tcPr>
          <w:p w14:paraId="00C91F3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Az SSRI-k és az SNRI-k a RE-LY vizsgálat valamennyi kezelési csoportjában növelték a vérzés kockázatát.</w:t>
            </w:r>
          </w:p>
        </w:tc>
      </w:tr>
      <w:tr w:rsidR="00536CD0" w:rsidRPr="00617FC7" w14:paraId="4A40B92A" w14:textId="77777777" w:rsidTr="00CF66F9">
        <w:trPr>
          <w:trHeight w:val="567"/>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29A2165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i/>
                <w:noProof w:val="0"/>
                <w:color w:val="000000"/>
                <w:u w:val="single" w:color="000000"/>
                <w:lang w:val="hu-HU"/>
              </w:rPr>
              <w:t>A gyomor pH-t befolyásoló egyéb gyógyszerek</w:t>
            </w:r>
          </w:p>
        </w:tc>
      </w:tr>
      <w:tr w:rsidR="00536CD0" w:rsidRPr="00617FC7" w14:paraId="71BDAA97" w14:textId="77777777" w:rsidTr="00CF66F9">
        <w:trPr>
          <w:trHeight w:val="113"/>
        </w:trPr>
        <w:tc>
          <w:tcPr>
            <w:tcW w:w="1538" w:type="dxa"/>
            <w:tcBorders>
              <w:top w:val="single" w:sz="4" w:space="0" w:color="000000"/>
              <w:left w:val="single" w:sz="4" w:space="0" w:color="000000"/>
              <w:bottom w:val="single" w:sz="4" w:space="0" w:color="000000"/>
              <w:right w:val="single" w:sz="4" w:space="0" w:color="000000"/>
            </w:tcBorders>
          </w:tcPr>
          <w:p w14:paraId="300C4FC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Pantoprazol</w:t>
            </w:r>
          </w:p>
        </w:tc>
        <w:tc>
          <w:tcPr>
            <w:tcW w:w="7522" w:type="dxa"/>
            <w:tcBorders>
              <w:top w:val="single" w:sz="4" w:space="0" w:color="000000"/>
              <w:left w:val="single" w:sz="4" w:space="0" w:color="000000"/>
              <w:bottom w:val="single" w:sz="4" w:space="0" w:color="000000"/>
              <w:right w:val="single" w:sz="4" w:space="0" w:color="000000"/>
            </w:tcBorders>
          </w:tcPr>
          <w:p w14:paraId="635C949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 a dabigatrán-etexilátot pantoprazollal adták együtt, a dabigatrán AUC értékének kb. 30%-os csökkenését figyelték meg. Klinikai vizsgálatokban pantoprazolt és egyéb protonpumpa-inhibitorokat (PPI) adtak együtt dabigatrán-etexiláttal: a párhuzamos PPI-kezelés során a dabigatrán-etexilát hatásosságát csökkentő hatást nem figyeltek meg.</w:t>
            </w:r>
          </w:p>
        </w:tc>
      </w:tr>
      <w:tr w:rsidR="00536CD0" w:rsidRPr="00617FC7" w14:paraId="79D968CC" w14:textId="77777777" w:rsidTr="00CF66F9">
        <w:trPr>
          <w:trHeight w:val="113"/>
        </w:trPr>
        <w:tc>
          <w:tcPr>
            <w:tcW w:w="1538" w:type="dxa"/>
            <w:tcBorders>
              <w:top w:val="single" w:sz="4" w:space="0" w:color="000000"/>
              <w:left w:val="single" w:sz="4" w:space="0" w:color="000000"/>
              <w:bottom w:val="single" w:sz="4" w:space="0" w:color="000000"/>
              <w:right w:val="single" w:sz="4" w:space="0" w:color="000000"/>
            </w:tcBorders>
          </w:tcPr>
          <w:p w14:paraId="14464A1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Ranitidin</w:t>
            </w:r>
          </w:p>
        </w:tc>
        <w:tc>
          <w:tcPr>
            <w:tcW w:w="7522" w:type="dxa"/>
            <w:tcBorders>
              <w:top w:val="single" w:sz="4" w:space="0" w:color="000000"/>
              <w:left w:val="single" w:sz="4" w:space="0" w:color="000000"/>
              <w:bottom w:val="single" w:sz="4" w:space="0" w:color="000000"/>
              <w:right w:val="single" w:sz="4" w:space="0" w:color="000000"/>
            </w:tcBorders>
          </w:tcPr>
          <w:p w14:paraId="6795D35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ranitidin dabigatrán-etexiláttal történő együttadásának nem volt klinikailag jelentős hatása a dabigatrán felszívódásának mértékére.</w:t>
            </w:r>
          </w:p>
        </w:tc>
      </w:tr>
    </w:tbl>
    <w:p w14:paraId="24966328"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3866B18D"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 dabigatrán-etexilát és a dabigatrán metabolikus profiljával kapcsolatos interakciók</w:t>
      </w:r>
    </w:p>
    <w:p w14:paraId="56B634A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dabigatrán-etexilát és a dabigatrán nem metabolizálódik a citokróm P450 rendszeren keresztül, és </w:t>
      </w:r>
      <w:r w:rsidRPr="00617FC7">
        <w:rPr>
          <w:rFonts w:ascii="Times New Roman" w:eastAsia="Times New Roman" w:hAnsi="Times New Roman" w:cs="Times New Roman"/>
          <w:i/>
          <w:noProof w:val="0"/>
          <w:color w:val="000000"/>
          <w:kern w:val="0"/>
          <w:lang w:val="hu-HU" w:eastAsia="hu-HU"/>
          <w14:ligatures w14:val="none"/>
        </w:rPr>
        <w:t xml:space="preserve">in vitro </w:t>
      </w:r>
      <w:r w:rsidRPr="00617FC7">
        <w:rPr>
          <w:rFonts w:ascii="Times New Roman" w:eastAsia="Times New Roman" w:hAnsi="Times New Roman" w:cs="Times New Roman"/>
          <w:noProof w:val="0"/>
          <w:color w:val="000000"/>
          <w:kern w:val="0"/>
          <w:lang w:val="hu-HU" w:eastAsia="hu-HU"/>
          <w14:ligatures w14:val="none"/>
        </w:rPr>
        <w:t>nincs hatásuk az emberi citokróm P450 enzimekre. Ezért az ezzel összefüggő gyógyszerkölcsönhatások a dabigatránnal nem várhatók.</w:t>
      </w:r>
    </w:p>
    <w:p w14:paraId="270EE0F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0D9CFC2"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Gyermekek és serdülők</w:t>
      </w:r>
    </w:p>
    <w:p w14:paraId="3F03FF6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Interakciós vizsgálatokat csak felnőttek körében végeztek.</w:t>
      </w:r>
    </w:p>
    <w:p w14:paraId="1769AF3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C72C683" w14:textId="77777777" w:rsidR="00536CD0" w:rsidRPr="00617FC7" w:rsidRDefault="00536CD0" w:rsidP="00CF66F9">
      <w:pPr>
        <w:tabs>
          <w:tab w:val="left" w:pos="567"/>
          <w:tab w:val="center" w:pos="2333"/>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4.6</w:t>
      </w:r>
      <w:r w:rsidRPr="00617FC7">
        <w:rPr>
          <w:rFonts w:ascii="Times New Roman" w:eastAsia="Times New Roman" w:hAnsi="Times New Roman" w:cs="Times New Roman"/>
          <w:b/>
          <w:noProof w:val="0"/>
          <w:color w:val="000000"/>
          <w:kern w:val="0"/>
          <w:lang w:val="hu-HU" w:eastAsia="hu-HU"/>
          <w14:ligatures w14:val="none"/>
        </w:rPr>
        <w:tab/>
        <w:t>Termékenység, terhesség és szoptatás</w:t>
      </w:r>
    </w:p>
    <w:p w14:paraId="6A36760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465A5CE8"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Fogamzóképes nők</w:t>
      </w:r>
    </w:p>
    <w:p w14:paraId="13AB07E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Fogamzóképes nőknek kerülniük kell a teherbe esést a Telexer-kezelés alatt.</w:t>
      </w:r>
    </w:p>
    <w:p w14:paraId="2359DCD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978F97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Terhesség</w:t>
      </w:r>
    </w:p>
    <w:p w14:paraId="4108401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terhes nőknél történő alkalmazása tekintetében korlátozott mennyiségű információ áll rendelkezésre.</w:t>
      </w:r>
    </w:p>
    <w:p w14:paraId="7490CDE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állatokon végzett kísérletek reprodukciós toxicitást mutattak (lásd 5.3 pont). Emberben a potenciális veszély nem ismert.</w:t>
      </w:r>
    </w:p>
    <w:p w14:paraId="7239408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Telexert a terhesség ideje alatt nem szabad alkalmazni, csak nagyon indokolt esetben.</w:t>
      </w:r>
    </w:p>
    <w:p w14:paraId="196CB0A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9C14F54"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Szoptatás</w:t>
      </w:r>
    </w:p>
    <w:p w14:paraId="080D3BDC" w14:textId="77777777" w:rsidR="00536CD0" w:rsidRPr="00617FC7" w:rsidRDefault="00536CD0" w:rsidP="00536CD0">
      <w:pPr>
        <w:spacing w:after="0" w:line="240" w:lineRule="auto"/>
        <w:ind w:left="7" w:right="9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szoptatott csecsemőre gyakorolt hatásaira vonatkozó adatok nem állnak rendelkezésre. A Telexer-kezelés alatt a szoptatást abba kell hagyni.</w:t>
      </w:r>
    </w:p>
    <w:p w14:paraId="7EBE2196" w14:textId="77777777" w:rsidR="00536CD0" w:rsidRPr="00617FC7" w:rsidRDefault="00536CD0" w:rsidP="00536CD0">
      <w:pPr>
        <w:spacing w:after="0" w:line="240" w:lineRule="auto"/>
        <w:ind w:left="7" w:right="93" w:hanging="10"/>
        <w:rPr>
          <w:rFonts w:ascii="Times New Roman" w:eastAsia="Times New Roman" w:hAnsi="Times New Roman" w:cs="Times New Roman"/>
          <w:noProof w:val="0"/>
          <w:color w:val="000000"/>
          <w:kern w:val="0"/>
          <w:lang w:val="hu-HU" w:eastAsia="hu-HU"/>
          <w14:ligatures w14:val="none"/>
        </w:rPr>
      </w:pPr>
    </w:p>
    <w:p w14:paraId="5F1B804F"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Termékenység</w:t>
      </w:r>
    </w:p>
    <w:p w14:paraId="3D164A9D" w14:textId="77777777" w:rsidR="00536CD0"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állnak rendelkezésre humán vizsgálati adatok.</w:t>
      </w:r>
    </w:p>
    <w:p w14:paraId="49E0D9B7" w14:textId="77777777" w:rsidR="006D1865" w:rsidRPr="00617FC7" w:rsidRDefault="006D1865"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B3942CD" w14:textId="44171098"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Állatkísérletekben a nőstények termékenységére kifejtett hatást figyeltek meg az implantáció csökkenése és a pre-implantációs veszteség növekedése formájában 70 mg/ttkg dózis esetén (ez 5</w:t>
      </w:r>
      <w:r w:rsidRPr="00617FC7">
        <w:rPr>
          <w:rFonts w:ascii="Times New Roman" w:eastAsia="Times New Roman" w:hAnsi="Times New Roman" w:cs="Times New Roman"/>
          <w:noProof w:val="0"/>
          <w:color w:val="000000"/>
          <w:kern w:val="0"/>
          <w:lang w:val="hu-HU" w:eastAsia="hu-HU"/>
          <w14:ligatures w14:val="none"/>
        </w:rPr>
        <w:noBreakHyphen/>
        <w:t>ször nagyobb plazmaexpozíció szintet jelent, mint a betegeknél). Más, a nőstények termékenységére kifejtett hatást nem figyeltek meg. A hímek termékenységére kifejtett hatást nem találtak. Anyai toxikus dózisok esetén (ami 5</w:t>
      </w:r>
      <w:r w:rsidR="00F45A82"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10-szer nagyobb plazmaexpozíció szintet jelent, mint a betegeknél), a foetalis testtömeg és az embryofoetalis életképesség csökkenését, valamint a foetalis variációk növekedését figyelték meg patkányoknál és nyulaknál. A pre- és post-natalis vizsgálatban a foetalis mortalitás növekedését észlelték az anyaállatokra toxikus dózisok esetén (a dózis olyan plazmaexpozíciós szintnek felel meg, ami 4-szer nagyobb volt, mint amit a betegeknél megfigyeltek).</w:t>
      </w:r>
    </w:p>
    <w:p w14:paraId="7EC47D2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30304DB" w14:textId="77777777" w:rsidR="00536CD0" w:rsidRPr="00617FC7" w:rsidRDefault="00536CD0" w:rsidP="00CF66F9">
      <w:pPr>
        <w:tabs>
          <w:tab w:val="left" w:pos="567"/>
          <w:tab w:val="right" w:pos="9084"/>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4.7</w:t>
      </w:r>
      <w:r w:rsidRPr="00617FC7">
        <w:rPr>
          <w:rFonts w:ascii="Times New Roman" w:eastAsia="Times New Roman" w:hAnsi="Times New Roman" w:cs="Times New Roman"/>
          <w:b/>
          <w:noProof w:val="0"/>
          <w:color w:val="000000"/>
          <w:kern w:val="0"/>
          <w:lang w:val="hu-HU" w:eastAsia="hu-HU"/>
          <w14:ligatures w14:val="none"/>
        </w:rPr>
        <w:tab/>
        <w:t>A készítmény hatásai a gépjárművezetéshez és a gépek kezeléséhez szükséges képességekre</w:t>
      </w:r>
    </w:p>
    <w:p w14:paraId="35DE39C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95B303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nem, vagy csak elhanyagolható mértékben befolyásolja a gépjárművezetéshez és a gépek kezeléséhez szükséges képességeket.</w:t>
      </w:r>
    </w:p>
    <w:p w14:paraId="2A551B7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E0BCFF8" w14:textId="77777777" w:rsidR="00536CD0" w:rsidRPr="00617FC7" w:rsidRDefault="00536CD0" w:rsidP="00CF66F9">
      <w:pPr>
        <w:tabs>
          <w:tab w:val="left" w:pos="567"/>
          <w:tab w:val="center" w:pos="2380"/>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4.8</w:t>
      </w:r>
      <w:r w:rsidRPr="00617FC7">
        <w:rPr>
          <w:rFonts w:ascii="Times New Roman" w:eastAsia="Times New Roman" w:hAnsi="Times New Roman" w:cs="Times New Roman"/>
          <w:b/>
          <w:noProof w:val="0"/>
          <w:color w:val="000000"/>
          <w:kern w:val="0"/>
          <w:lang w:val="hu-HU" w:eastAsia="hu-HU"/>
          <w14:ligatures w14:val="none"/>
        </w:rPr>
        <w:tab/>
        <w:t>Nemkívánatos hatások, mellékhatások</w:t>
      </w:r>
    </w:p>
    <w:p w14:paraId="46361CD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24FDED81"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 biztonságossági profil összefoglalása</w:t>
      </w:r>
    </w:p>
    <w:p w14:paraId="5AEFD83E" w14:textId="77777777" w:rsidR="006D1865" w:rsidRDefault="006D1865"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C8D2F93" w14:textId="15D9ADDE"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dabigatrán-etexilátot összesen körülbelül 64 000 betegen végzett klinikai vizsgálatokban értékelték; közülük körülbelül 35 000 beteg kapott dabigatrán-etexilátot.</w:t>
      </w:r>
    </w:p>
    <w:p w14:paraId="0F66FFB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elektív csípő vagy térdműtét miatt kezelt betegek 9%-a (rövid távú kezelés legfeljebb 42 napig) és stroke és a szisztémás embolisatio prevenciója miatt kezelt pitvarfibrilláló betegek 22%-a (tartós kezelés legfeljebb 3 évig), az MVT/PE miatt kezelt betegek 14%-a, valamint az MVT/PE prevenció miatt kezelt betegek 15%-a észlelt mellékhatásokat.</w:t>
      </w:r>
    </w:p>
    <w:p w14:paraId="7D6C8C6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85360D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leggyakrabban jelentett esemény a vérzés volt, ami a csípő- vagy térdprotézis műtét miatt rövid távon kezelt betegek körülbelül 14%-ánál, a pitvarfibrillációval kapcsolatos stroke és a szisztémás embolisatio prevenciója miatt hosszú távon kezelt betegek 16,6%-ánál, és az MVT/PE miatt kezelt felnőtt betegek 14,4%-ánál észlelték. Továbbá vérzés az MVT/PE prevenciós RE-MEDY vizsgálat (felnőtt) betegeinek 19,4%-ánál és az MVT/PE prevenciós RE-SONATE vizsgálat (felnőtt) betegeinek 10,5%-ánál jelentkezett.</w:t>
      </w:r>
    </w:p>
    <w:p w14:paraId="41B65FF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C8D1E8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Mivel a három indikációban kezelt betegpopuláció nem összehasonlítható, és a vérzéses események számos szervrendszert érintettek, a jelentős, illetve bármilyen vérzések összesített leírása indikáció szerint megadva alább, a 13-17. táblázatokban található.</w:t>
      </w:r>
    </w:p>
    <w:p w14:paraId="1CD86AD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3588BA5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9616077"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 mellékhatások táblázatos felsorolása</w:t>
      </w:r>
    </w:p>
    <w:p w14:paraId="07BE8C4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4191BFF" w14:textId="2790B3B9"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12. táblázat azokat a mellékhatásokat mutatja, amelyeket primer VTE prevenciós indikációban csípő- vagy térdprotézis műtétet követően, a pitvarfibrilláló betegek thromboemboliás stroke és a szisztémás embolisatio prevenciója során, valamint az MVT/PE kezelése és MVT/PE prevenciója során észleltek klinikai vizsgálatokban és a forgalomba hozatalt követően. A mellékhatásokat szervrendszerek és gyakoriság szerinti felosztásban, a következő gyakorisági kategóriák szerint ismertetjük: nagyon gyakori (≥ 1/10); gyakori (≥ 1/100 </w:t>
      </w:r>
      <w:r w:rsidR="00F45A82"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 nem gyakori (≥ 1/1000 </w:t>
      </w:r>
      <w:r w:rsidR="00F45A82"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1/100); ritka (≥ 1/10 000 </w:t>
      </w:r>
      <w:r w:rsidR="00F45A82"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1/1000); nagyon ritka (&lt; 1/10 000), nem ismert (a gyakoriság a rendelkezésre álló adatokból nem állapítható meg).</w:t>
      </w:r>
    </w:p>
    <w:p w14:paraId="4253DE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67A7F74" w14:textId="77777777" w:rsidR="00536CD0" w:rsidRPr="00617FC7" w:rsidRDefault="00536CD0" w:rsidP="00536CD0">
      <w:pPr>
        <w:keepNext/>
        <w:tabs>
          <w:tab w:val="center" w:pos="2123"/>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12. táblázat. Mellékhatások</w:t>
      </w:r>
    </w:p>
    <w:p w14:paraId="447839BE" w14:textId="77777777" w:rsidR="00536CD0" w:rsidRPr="00617FC7" w:rsidRDefault="00536CD0" w:rsidP="00536CD0">
      <w:pPr>
        <w:keepNext/>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195" w:type="dxa"/>
        <w:tblInd w:w="0" w:type="dxa"/>
        <w:tblCellMar>
          <w:top w:w="51" w:type="dxa"/>
          <w:left w:w="108" w:type="dxa"/>
          <w:right w:w="115" w:type="dxa"/>
        </w:tblCellMar>
        <w:tblLook w:val="04A0" w:firstRow="1" w:lastRow="0" w:firstColumn="1" w:lastColumn="0" w:noHBand="0" w:noVBand="1"/>
      </w:tblPr>
      <w:tblGrid>
        <w:gridCol w:w="2933"/>
        <w:gridCol w:w="2426"/>
        <w:gridCol w:w="2146"/>
        <w:gridCol w:w="1690"/>
      </w:tblGrid>
      <w:tr w:rsidR="00536CD0" w:rsidRPr="00617FC7" w14:paraId="5C7479BA"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34BF521" w14:textId="77777777" w:rsidR="00536CD0" w:rsidRPr="00617FC7" w:rsidRDefault="00536CD0" w:rsidP="00536CD0">
            <w:pPr>
              <w:keepNext/>
              <w:rPr>
                <w:rFonts w:ascii="Times New Roman" w:eastAsia="Times New Roman" w:hAnsi="Times New Roman" w:cs="Times New Roman"/>
                <w:noProof w:val="0"/>
                <w:color w:val="000000"/>
                <w:lang w:val="hu-HU"/>
              </w:rPr>
            </w:pPr>
          </w:p>
        </w:tc>
        <w:tc>
          <w:tcPr>
            <w:tcW w:w="6262" w:type="dxa"/>
            <w:gridSpan w:val="3"/>
            <w:tcBorders>
              <w:top w:val="single" w:sz="4" w:space="0" w:color="000000"/>
              <w:left w:val="single" w:sz="4" w:space="0" w:color="000000"/>
              <w:bottom w:val="single" w:sz="4" w:space="0" w:color="000000"/>
              <w:right w:val="single" w:sz="4" w:space="0" w:color="000000"/>
            </w:tcBorders>
          </w:tcPr>
          <w:p w14:paraId="2407DB4A" w14:textId="77777777" w:rsidR="00536CD0" w:rsidRPr="00617FC7" w:rsidRDefault="00536CD0" w:rsidP="00F45A82">
            <w:pPr>
              <w:keepNext/>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Gyakoriság</w:t>
            </w:r>
          </w:p>
        </w:tc>
      </w:tr>
      <w:tr w:rsidR="00536CD0" w:rsidRPr="00617FC7" w14:paraId="1A1190A7"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B6EB83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Szervrendszer / Preferált kifejezés</w:t>
            </w:r>
          </w:p>
        </w:tc>
        <w:tc>
          <w:tcPr>
            <w:tcW w:w="2426" w:type="dxa"/>
            <w:tcBorders>
              <w:top w:val="single" w:sz="4" w:space="0" w:color="000000"/>
              <w:left w:val="single" w:sz="4" w:space="0" w:color="000000"/>
              <w:bottom w:val="single" w:sz="4" w:space="0" w:color="000000"/>
              <w:right w:val="single" w:sz="4" w:space="0" w:color="000000"/>
            </w:tcBorders>
          </w:tcPr>
          <w:p w14:paraId="619E52D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 primer prevenciója csípő- vagy térdprotézis műtét után</w:t>
            </w:r>
          </w:p>
        </w:tc>
        <w:tc>
          <w:tcPr>
            <w:tcW w:w="2146" w:type="dxa"/>
            <w:tcBorders>
              <w:top w:val="single" w:sz="4" w:space="0" w:color="000000"/>
              <w:left w:val="single" w:sz="4" w:space="0" w:color="000000"/>
              <w:bottom w:val="single" w:sz="4" w:space="0" w:color="000000"/>
              <w:right w:val="single" w:sz="4" w:space="0" w:color="000000"/>
            </w:tcBorders>
          </w:tcPr>
          <w:p w14:paraId="11DE3212"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Stroke és szisztémás embolisatio prevenciója pitvarfibrillációban szenvedő betegeknél</w:t>
            </w:r>
          </w:p>
        </w:tc>
        <w:tc>
          <w:tcPr>
            <w:tcW w:w="1690" w:type="dxa"/>
            <w:tcBorders>
              <w:top w:val="single" w:sz="4" w:space="0" w:color="000000"/>
              <w:left w:val="single" w:sz="4" w:space="0" w:color="000000"/>
              <w:bottom w:val="single" w:sz="4" w:space="0" w:color="000000"/>
              <w:right w:val="single" w:sz="4" w:space="0" w:color="000000"/>
            </w:tcBorders>
          </w:tcPr>
          <w:p w14:paraId="14339616" w14:textId="77777777" w:rsidR="00536CD0" w:rsidRPr="00617FC7" w:rsidRDefault="00536CD0" w:rsidP="00F45A82">
            <w:pPr>
              <w:ind w:left="5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MVT/PE kezelése és MVT/PE prevenciója</w:t>
            </w:r>
          </w:p>
        </w:tc>
      </w:tr>
      <w:tr w:rsidR="00536CD0" w:rsidRPr="00617FC7" w14:paraId="58C2A2DA"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2EE7152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Vérképzőszervi és nyirokrendszeri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2238C19"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18889903" w14:textId="77777777" w:rsidTr="00CF66F9">
        <w:trPr>
          <w:trHeight w:val="113"/>
        </w:trPr>
        <w:tc>
          <w:tcPr>
            <w:tcW w:w="2933" w:type="dxa"/>
            <w:tcBorders>
              <w:top w:val="single" w:sz="4" w:space="0" w:color="000000"/>
              <w:left w:val="single" w:sz="4" w:space="0" w:color="000000"/>
              <w:bottom w:val="single" w:sz="4" w:space="0" w:color="auto"/>
              <w:right w:val="single" w:sz="4" w:space="0" w:color="000000"/>
            </w:tcBorders>
          </w:tcPr>
          <w:p w14:paraId="3DEE6421"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Anaemia</w:t>
            </w:r>
          </w:p>
        </w:tc>
        <w:tc>
          <w:tcPr>
            <w:tcW w:w="2426" w:type="dxa"/>
            <w:tcBorders>
              <w:top w:val="single" w:sz="4" w:space="0" w:color="000000"/>
              <w:left w:val="single" w:sz="4" w:space="0" w:color="000000"/>
              <w:bottom w:val="single" w:sz="4" w:space="0" w:color="auto"/>
              <w:right w:val="single" w:sz="4" w:space="0" w:color="000000"/>
            </w:tcBorders>
          </w:tcPr>
          <w:p w14:paraId="7D842525"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auto"/>
              <w:right w:val="single" w:sz="4" w:space="0" w:color="000000"/>
            </w:tcBorders>
          </w:tcPr>
          <w:p w14:paraId="5191F081" w14:textId="77777777" w:rsidR="00536CD0" w:rsidRPr="00617FC7" w:rsidRDefault="00536CD0" w:rsidP="00F45A82">
            <w:pPr>
              <w:ind w:hanging="1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66C46CA3"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528A248D"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4B62BBDD"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Csökkent haemoglobinszint</w:t>
            </w:r>
          </w:p>
        </w:tc>
        <w:tc>
          <w:tcPr>
            <w:tcW w:w="2426" w:type="dxa"/>
            <w:tcBorders>
              <w:top w:val="single" w:sz="4" w:space="0" w:color="auto"/>
              <w:left w:val="single" w:sz="4" w:space="0" w:color="000000"/>
              <w:bottom w:val="single" w:sz="4" w:space="0" w:color="auto"/>
              <w:right w:val="single" w:sz="4" w:space="0" w:color="000000"/>
            </w:tcBorders>
          </w:tcPr>
          <w:p w14:paraId="25CDFAD5" w14:textId="77777777" w:rsidR="00536CD0" w:rsidRPr="00617FC7" w:rsidRDefault="00536CD0" w:rsidP="00F45A82">
            <w:pPr>
              <w:ind w:hanging="1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2146" w:type="dxa"/>
            <w:tcBorders>
              <w:top w:val="single" w:sz="4" w:space="0" w:color="auto"/>
              <w:left w:val="single" w:sz="4" w:space="0" w:color="000000"/>
              <w:bottom w:val="single" w:sz="4" w:space="0" w:color="auto"/>
              <w:right w:val="single" w:sz="4" w:space="0" w:color="000000"/>
            </w:tcBorders>
          </w:tcPr>
          <w:p w14:paraId="6A1C8648" w14:textId="77777777" w:rsidR="00536CD0" w:rsidRPr="00617FC7" w:rsidRDefault="00536CD0" w:rsidP="00F45A82">
            <w:pPr>
              <w:ind w:hanging="1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63586E3E"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311C3461"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18A921DF"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Thrombocytopenia</w:t>
            </w:r>
          </w:p>
        </w:tc>
        <w:tc>
          <w:tcPr>
            <w:tcW w:w="2426" w:type="dxa"/>
            <w:tcBorders>
              <w:top w:val="single" w:sz="4" w:space="0" w:color="auto"/>
              <w:left w:val="single" w:sz="4" w:space="0" w:color="000000"/>
              <w:bottom w:val="single" w:sz="4" w:space="0" w:color="auto"/>
              <w:right w:val="single" w:sz="4" w:space="0" w:color="000000"/>
            </w:tcBorders>
          </w:tcPr>
          <w:p w14:paraId="2B852A06"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2EAA02F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4B41A9C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43CDAAD1"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22124056"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Csökkent haematocrit</w:t>
            </w:r>
          </w:p>
        </w:tc>
        <w:tc>
          <w:tcPr>
            <w:tcW w:w="2426" w:type="dxa"/>
            <w:tcBorders>
              <w:top w:val="single" w:sz="4" w:space="0" w:color="auto"/>
              <w:left w:val="single" w:sz="4" w:space="0" w:color="000000"/>
              <w:bottom w:val="single" w:sz="4" w:space="0" w:color="auto"/>
              <w:right w:val="single" w:sz="4" w:space="0" w:color="000000"/>
            </w:tcBorders>
          </w:tcPr>
          <w:p w14:paraId="313AE794"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auto"/>
              <w:left w:val="single" w:sz="4" w:space="0" w:color="000000"/>
              <w:bottom w:val="single" w:sz="4" w:space="0" w:color="auto"/>
              <w:right w:val="single" w:sz="4" w:space="0" w:color="000000"/>
            </w:tcBorders>
          </w:tcPr>
          <w:p w14:paraId="3BD2E56B"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24B80CBE"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60DAC665" w14:textId="77777777" w:rsidTr="00CF66F9">
        <w:trPr>
          <w:trHeight w:val="113"/>
        </w:trPr>
        <w:tc>
          <w:tcPr>
            <w:tcW w:w="2933" w:type="dxa"/>
            <w:tcBorders>
              <w:top w:val="single" w:sz="4" w:space="0" w:color="auto"/>
              <w:left w:val="single" w:sz="4" w:space="0" w:color="000000"/>
              <w:bottom w:val="single" w:sz="4" w:space="0" w:color="000000"/>
              <w:right w:val="single" w:sz="4" w:space="0" w:color="000000"/>
            </w:tcBorders>
          </w:tcPr>
          <w:p w14:paraId="441EECF1"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Neutropenia</w:t>
            </w:r>
          </w:p>
        </w:tc>
        <w:tc>
          <w:tcPr>
            <w:tcW w:w="2426" w:type="dxa"/>
            <w:tcBorders>
              <w:top w:val="single" w:sz="4" w:space="0" w:color="auto"/>
              <w:left w:val="single" w:sz="4" w:space="0" w:color="000000"/>
              <w:bottom w:val="single" w:sz="4" w:space="0" w:color="000000"/>
              <w:right w:val="single" w:sz="4" w:space="0" w:color="000000"/>
            </w:tcBorders>
          </w:tcPr>
          <w:p w14:paraId="7174AB4B"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2146" w:type="dxa"/>
            <w:tcBorders>
              <w:top w:val="single" w:sz="4" w:space="0" w:color="auto"/>
              <w:left w:val="single" w:sz="4" w:space="0" w:color="000000"/>
              <w:bottom w:val="single" w:sz="4" w:space="0" w:color="000000"/>
              <w:right w:val="single" w:sz="4" w:space="0" w:color="000000"/>
            </w:tcBorders>
          </w:tcPr>
          <w:p w14:paraId="23DC62F8"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1690" w:type="dxa"/>
            <w:tcBorders>
              <w:top w:val="single" w:sz="4" w:space="0" w:color="000000"/>
              <w:left w:val="single" w:sz="4" w:space="0" w:color="000000"/>
              <w:bottom w:val="single" w:sz="4" w:space="0" w:color="000000"/>
              <w:right w:val="single" w:sz="4" w:space="0" w:color="000000"/>
            </w:tcBorders>
          </w:tcPr>
          <w:p w14:paraId="58CD8E5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68888475" w14:textId="77777777" w:rsidTr="00CF66F9">
        <w:trPr>
          <w:trHeight w:val="113"/>
        </w:trPr>
        <w:tc>
          <w:tcPr>
            <w:tcW w:w="2933" w:type="dxa"/>
            <w:tcBorders>
              <w:left w:val="single" w:sz="4" w:space="0" w:color="000000"/>
              <w:bottom w:val="single" w:sz="4" w:space="0" w:color="000000"/>
              <w:right w:val="single" w:sz="4" w:space="0" w:color="000000"/>
            </w:tcBorders>
          </w:tcPr>
          <w:p w14:paraId="43F9F745"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Agranulocytosis</w:t>
            </w:r>
          </w:p>
        </w:tc>
        <w:tc>
          <w:tcPr>
            <w:tcW w:w="2426" w:type="dxa"/>
            <w:tcBorders>
              <w:left w:val="single" w:sz="4" w:space="0" w:color="000000"/>
              <w:bottom w:val="single" w:sz="4" w:space="0" w:color="000000"/>
              <w:right w:val="single" w:sz="4" w:space="0" w:color="000000"/>
            </w:tcBorders>
          </w:tcPr>
          <w:p w14:paraId="678FDF17"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2146" w:type="dxa"/>
            <w:tcBorders>
              <w:left w:val="single" w:sz="4" w:space="0" w:color="000000"/>
              <w:bottom w:val="single" w:sz="4" w:space="0" w:color="000000"/>
              <w:right w:val="single" w:sz="4" w:space="0" w:color="000000"/>
            </w:tcBorders>
          </w:tcPr>
          <w:p w14:paraId="156E6B12"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1690" w:type="dxa"/>
            <w:tcBorders>
              <w:top w:val="single" w:sz="4" w:space="0" w:color="000000"/>
              <w:left w:val="single" w:sz="4" w:space="0" w:color="000000"/>
              <w:bottom w:val="single" w:sz="4" w:space="0" w:color="000000"/>
              <w:right w:val="single" w:sz="4" w:space="0" w:color="000000"/>
            </w:tcBorders>
          </w:tcPr>
          <w:p w14:paraId="480E52BA"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7139377D"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584E6301"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Immunrendszeri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523909C9"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19A7E2E9" w14:textId="77777777" w:rsidTr="00CF66F9">
        <w:trPr>
          <w:trHeight w:val="113"/>
        </w:trPr>
        <w:tc>
          <w:tcPr>
            <w:tcW w:w="2933" w:type="dxa"/>
            <w:tcBorders>
              <w:top w:val="single" w:sz="4" w:space="0" w:color="000000"/>
              <w:left w:val="single" w:sz="4" w:space="0" w:color="000000"/>
              <w:bottom w:val="single" w:sz="4" w:space="0" w:color="auto"/>
              <w:right w:val="single" w:sz="4" w:space="0" w:color="000000"/>
            </w:tcBorders>
          </w:tcPr>
          <w:p w14:paraId="3B129D96"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Gyógyszer-túlérzékenység</w:t>
            </w:r>
          </w:p>
        </w:tc>
        <w:tc>
          <w:tcPr>
            <w:tcW w:w="2426" w:type="dxa"/>
            <w:tcBorders>
              <w:top w:val="single" w:sz="4" w:space="0" w:color="000000"/>
              <w:left w:val="single" w:sz="4" w:space="0" w:color="000000"/>
              <w:bottom w:val="single" w:sz="4" w:space="0" w:color="auto"/>
              <w:right w:val="single" w:sz="4" w:space="0" w:color="000000"/>
            </w:tcBorders>
          </w:tcPr>
          <w:p w14:paraId="543461FA"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auto"/>
              <w:right w:val="single" w:sz="4" w:space="0" w:color="000000"/>
            </w:tcBorders>
          </w:tcPr>
          <w:p w14:paraId="789F8F88"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1C523AD6"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E2C1953"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58B8BCD7"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Bőrkiütés</w:t>
            </w:r>
          </w:p>
        </w:tc>
        <w:tc>
          <w:tcPr>
            <w:tcW w:w="2426" w:type="dxa"/>
            <w:tcBorders>
              <w:top w:val="single" w:sz="4" w:space="0" w:color="auto"/>
              <w:left w:val="single" w:sz="4" w:space="0" w:color="000000"/>
              <w:bottom w:val="single" w:sz="4" w:space="0" w:color="auto"/>
              <w:right w:val="single" w:sz="4" w:space="0" w:color="000000"/>
            </w:tcBorders>
          </w:tcPr>
          <w:p w14:paraId="423166C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7C410F52"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66F5C8FA"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259722D7"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7CD484AD"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Viszketés</w:t>
            </w:r>
          </w:p>
        </w:tc>
        <w:tc>
          <w:tcPr>
            <w:tcW w:w="2426" w:type="dxa"/>
            <w:tcBorders>
              <w:top w:val="single" w:sz="4" w:space="0" w:color="auto"/>
              <w:left w:val="single" w:sz="4" w:space="0" w:color="000000"/>
              <w:bottom w:val="single" w:sz="4" w:space="0" w:color="auto"/>
              <w:right w:val="single" w:sz="4" w:space="0" w:color="000000"/>
            </w:tcBorders>
          </w:tcPr>
          <w:p w14:paraId="7FF2E70A"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24967720"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B64D048"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075E8282"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32204CED"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Anafilaxiás reakció</w:t>
            </w:r>
          </w:p>
        </w:tc>
        <w:tc>
          <w:tcPr>
            <w:tcW w:w="2426" w:type="dxa"/>
            <w:tcBorders>
              <w:top w:val="single" w:sz="4" w:space="0" w:color="auto"/>
              <w:left w:val="single" w:sz="4" w:space="0" w:color="000000"/>
              <w:bottom w:val="single" w:sz="4" w:space="0" w:color="auto"/>
              <w:right w:val="single" w:sz="4" w:space="0" w:color="000000"/>
            </w:tcBorders>
          </w:tcPr>
          <w:p w14:paraId="1C33EA21"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0EA9B927"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2030B362"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657C0D05"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4FC168C7"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Angiooedema</w:t>
            </w:r>
          </w:p>
        </w:tc>
        <w:tc>
          <w:tcPr>
            <w:tcW w:w="2426" w:type="dxa"/>
            <w:tcBorders>
              <w:top w:val="single" w:sz="4" w:space="0" w:color="auto"/>
              <w:left w:val="single" w:sz="4" w:space="0" w:color="000000"/>
              <w:bottom w:val="single" w:sz="4" w:space="0" w:color="auto"/>
              <w:right w:val="single" w:sz="4" w:space="0" w:color="000000"/>
            </w:tcBorders>
          </w:tcPr>
          <w:p w14:paraId="49DD72E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4F8F1018"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3E693752"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345400EA"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630C568D"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Csalánkiütés</w:t>
            </w:r>
          </w:p>
        </w:tc>
        <w:tc>
          <w:tcPr>
            <w:tcW w:w="2426" w:type="dxa"/>
            <w:tcBorders>
              <w:top w:val="single" w:sz="4" w:space="0" w:color="auto"/>
              <w:left w:val="single" w:sz="4" w:space="0" w:color="000000"/>
              <w:bottom w:val="single" w:sz="4" w:space="0" w:color="auto"/>
              <w:right w:val="single" w:sz="4" w:space="0" w:color="000000"/>
            </w:tcBorders>
          </w:tcPr>
          <w:p w14:paraId="6B6141FA"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0D2CFD1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11F66381"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1328B996" w14:textId="77777777" w:rsidTr="00CF66F9">
        <w:trPr>
          <w:trHeight w:val="113"/>
        </w:trPr>
        <w:tc>
          <w:tcPr>
            <w:tcW w:w="2933" w:type="dxa"/>
            <w:tcBorders>
              <w:top w:val="single" w:sz="4" w:space="0" w:color="auto"/>
              <w:left w:val="single" w:sz="4" w:space="0" w:color="000000"/>
              <w:bottom w:val="single" w:sz="4" w:space="0" w:color="000000"/>
              <w:right w:val="single" w:sz="4" w:space="0" w:color="000000"/>
            </w:tcBorders>
          </w:tcPr>
          <w:p w14:paraId="15B3DB90"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Hörgőgörcs</w:t>
            </w:r>
          </w:p>
        </w:tc>
        <w:tc>
          <w:tcPr>
            <w:tcW w:w="2426" w:type="dxa"/>
            <w:tcBorders>
              <w:top w:val="single" w:sz="4" w:space="0" w:color="auto"/>
              <w:left w:val="single" w:sz="4" w:space="0" w:color="000000"/>
              <w:bottom w:val="single" w:sz="4" w:space="0" w:color="000000"/>
              <w:right w:val="single" w:sz="4" w:space="0" w:color="000000"/>
            </w:tcBorders>
          </w:tcPr>
          <w:p w14:paraId="2FFAF2E3"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2146" w:type="dxa"/>
            <w:tcBorders>
              <w:top w:val="single" w:sz="4" w:space="0" w:color="auto"/>
              <w:left w:val="single" w:sz="4" w:space="0" w:color="000000"/>
              <w:bottom w:val="single" w:sz="4" w:space="0" w:color="000000"/>
              <w:right w:val="single" w:sz="4" w:space="0" w:color="000000"/>
            </w:tcBorders>
          </w:tcPr>
          <w:p w14:paraId="4944C48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1690" w:type="dxa"/>
            <w:tcBorders>
              <w:top w:val="single" w:sz="4" w:space="0" w:color="000000"/>
              <w:left w:val="single" w:sz="4" w:space="0" w:color="000000"/>
              <w:bottom w:val="single" w:sz="4" w:space="0" w:color="000000"/>
              <w:right w:val="single" w:sz="4" w:space="0" w:color="000000"/>
            </w:tcBorders>
          </w:tcPr>
          <w:p w14:paraId="6E35707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727405C8"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1C646B10"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Idegrendszeri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536C07CC"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0753C773"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680EC057"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Koponyaűri vérzés</w:t>
            </w:r>
          </w:p>
        </w:tc>
        <w:tc>
          <w:tcPr>
            <w:tcW w:w="2426" w:type="dxa"/>
            <w:tcBorders>
              <w:top w:val="single" w:sz="4" w:space="0" w:color="000000"/>
              <w:left w:val="single" w:sz="4" w:space="0" w:color="000000"/>
              <w:bottom w:val="single" w:sz="4" w:space="0" w:color="000000"/>
              <w:right w:val="single" w:sz="4" w:space="0" w:color="000000"/>
            </w:tcBorders>
          </w:tcPr>
          <w:p w14:paraId="18F5BF05"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26ADEE7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79A34324"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60AAD738" w14:textId="77777777" w:rsidTr="00CF66F9">
        <w:trPr>
          <w:trHeight w:val="113"/>
        </w:trPr>
        <w:tc>
          <w:tcPr>
            <w:tcW w:w="7505" w:type="dxa"/>
            <w:gridSpan w:val="3"/>
            <w:tcBorders>
              <w:top w:val="single" w:sz="4" w:space="0" w:color="000000"/>
              <w:left w:val="single" w:sz="4" w:space="0" w:color="000000"/>
              <w:bottom w:val="single" w:sz="4" w:space="0" w:color="auto"/>
              <w:right w:val="single" w:sz="4" w:space="0" w:color="000000"/>
            </w:tcBorders>
          </w:tcPr>
          <w:p w14:paraId="3417348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Érbetegségek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9482B1C"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124B84F4"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150F578A"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Haematoma</w:t>
            </w:r>
          </w:p>
        </w:tc>
        <w:tc>
          <w:tcPr>
            <w:tcW w:w="2426" w:type="dxa"/>
            <w:tcBorders>
              <w:top w:val="single" w:sz="4" w:space="0" w:color="auto"/>
              <w:left w:val="single" w:sz="4" w:space="0" w:color="000000"/>
              <w:bottom w:val="single" w:sz="4" w:space="0" w:color="auto"/>
              <w:right w:val="single" w:sz="4" w:space="0" w:color="000000"/>
            </w:tcBorders>
          </w:tcPr>
          <w:p w14:paraId="089DF498"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auto"/>
              <w:left w:val="single" w:sz="4" w:space="0" w:color="000000"/>
              <w:bottom w:val="single" w:sz="4" w:space="0" w:color="auto"/>
              <w:right w:val="single" w:sz="4" w:space="0" w:color="000000"/>
            </w:tcBorders>
          </w:tcPr>
          <w:p w14:paraId="2EBD2C2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auto"/>
              <w:right w:val="single" w:sz="4" w:space="0" w:color="000000"/>
            </w:tcBorders>
          </w:tcPr>
          <w:p w14:paraId="2A54CD0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1C38A036" w14:textId="77777777" w:rsidTr="00CF66F9">
        <w:trPr>
          <w:trHeight w:val="113"/>
        </w:trPr>
        <w:tc>
          <w:tcPr>
            <w:tcW w:w="2933" w:type="dxa"/>
            <w:tcBorders>
              <w:top w:val="single" w:sz="4" w:space="0" w:color="auto"/>
              <w:left w:val="single" w:sz="4" w:space="0" w:color="000000"/>
              <w:bottom w:val="single" w:sz="4" w:space="0" w:color="auto"/>
              <w:right w:val="single" w:sz="4" w:space="0" w:color="000000"/>
            </w:tcBorders>
          </w:tcPr>
          <w:p w14:paraId="76384992"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w:t>
            </w:r>
          </w:p>
        </w:tc>
        <w:tc>
          <w:tcPr>
            <w:tcW w:w="2426" w:type="dxa"/>
            <w:tcBorders>
              <w:top w:val="single" w:sz="4" w:space="0" w:color="auto"/>
              <w:left w:val="single" w:sz="4" w:space="0" w:color="000000"/>
              <w:bottom w:val="single" w:sz="4" w:space="0" w:color="auto"/>
              <w:right w:val="single" w:sz="4" w:space="0" w:color="000000"/>
            </w:tcBorders>
          </w:tcPr>
          <w:p w14:paraId="686B6A6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auto"/>
              <w:left w:val="single" w:sz="4" w:space="0" w:color="000000"/>
              <w:bottom w:val="single" w:sz="4" w:space="0" w:color="auto"/>
              <w:right w:val="single" w:sz="4" w:space="0" w:color="000000"/>
            </w:tcBorders>
          </w:tcPr>
          <w:p w14:paraId="7BDF2306"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auto"/>
              <w:left w:val="single" w:sz="4" w:space="0" w:color="000000"/>
              <w:bottom w:val="single" w:sz="4" w:space="0" w:color="000000"/>
              <w:right w:val="single" w:sz="4" w:space="0" w:color="000000"/>
            </w:tcBorders>
          </w:tcPr>
          <w:p w14:paraId="3A4FA34D"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596D8D4" w14:textId="77777777" w:rsidTr="00CF66F9">
        <w:trPr>
          <w:trHeight w:val="113"/>
        </w:trPr>
        <w:tc>
          <w:tcPr>
            <w:tcW w:w="2933" w:type="dxa"/>
            <w:tcBorders>
              <w:top w:val="single" w:sz="4" w:space="0" w:color="auto"/>
              <w:left w:val="single" w:sz="4" w:space="0" w:color="000000"/>
              <w:bottom w:val="single" w:sz="4" w:space="0" w:color="000000"/>
              <w:right w:val="single" w:sz="4" w:space="0" w:color="000000"/>
            </w:tcBorders>
          </w:tcPr>
          <w:p w14:paraId="4366E5EC" w14:textId="77777777" w:rsidR="00536CD0" w:rsidRPr="00617FC7" w:rsidRDefault="00536CD0" w:rsidP="00CF66F9">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Seb vérzése</w:t>
            </w:r>
          </w:p>
        </w:tc>
        <w:tc>
          <w:tcPr>
            <w:tcW w:w="2426" w:type="dxa"/>
            <w:tcBorders>
              <w:top w:val="single" w:sz="4" w:space="0" w:color="auto"/>
              <w:left w:val="single" w:sz="4" w:space="0" w:color="000000"/>
              <w:bottom w:val="single" w:sz="4" w:space="0" w:color="000000"/>
              <w:right w:val="single" w:sz="4" w:space="0" w:color="000000"/>
            </w:tcBorders>
          </w:tcPr>
          <w:p w14:paraId="5D8F7250"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auto"/>
              <w:left w:val="single" w:sz="4" w:space="0" w:color="000000"/>
              <w:bottom w:val="single" w:sz="4" w:space="0" w:color="000000"/>
              <w:right w:val="single" w:sz="4" w:space="0" w:color="000000"/>
            </w:tcBorders>
          </w:tcPr>
          <w:p w14:paraId="63215043"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1010F515"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4CB7228D"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370931AE"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Légzőrendszeri, mellkasi és mediastinalis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6C3B301"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1F3D3500"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28B5585C"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Orrvérzés </w:t>
            </w:r>
          </w:p>
        </w:tc>
        <w:tc>
          <w:tcPr>
            <w:tcW w:w="2426" w:type="dxa"/>
            <w:tcBorders>
              <w:top w:val="single" w:sz="4" w:space="0" w:color="000000"/>
              <w:left w:val="single" w:sz="4" w:space="0" w:color="000000"/>
              <w:bottom w:val="single" w:sz="4" w:space="0" w:color="000000"/>
              <w:right w:val="single" w:sz="4" w:space="0" w:color="000000"/>
            </w:tcBorders>
          </w:tcPr>
          <w:p w14:paraId="500B92CB"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670B59A0"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397A2DD6" w14:textId="18493088"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6A18268"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0A26F4B4"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Haemoptoe</w:t>
            </w:r>
          </w:p>
        </w:tc>
        <w:tc>
          <w:tcPr>
            <w:tcW w:w="2426" w:type="dxa"/>
            <w:tcBorders>
              <w:top w:val="single" w:sz="4" w:space="0" w:color="000000"/>
              <w:left w:val="single" w:sz="4" w:space="0" w:color="000000"/>
              <w:bottom w:val="single" w:sz="4" w:space="0" w:color="000000"/>
              <w:right w:val="single" w:sz="4" w:space="0" w:color="000000"/>
            </w:tcBorders>
          </w:tcPr>
          <w:p w14:paraId="13865D9B"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24C1D056"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A624298" w14:textId="4AD79C8F"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5CC2E82E"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5D14AAAB"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Emésztőrendszeri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CE4489F"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44F674BE"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3C52269F"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Emésztőrendszeri vérzés</w:t>
            </w:r>
          </w:p>
        </w:tc>
        <w:tc>
          <w:tcPr>
            <w:tcW w:w="2426" w:type="dxa"/>
            <w:tcBorders>
              <w:top w:val="single" w:sz="4" w:space="0" w:color="000000"/>
              <w:left w:val="single" w:sz="4" w:space="0" w:color="000000"/>
              <w:bottom w:val="single" w:sz="4" w:space="0" w:color="000000"/>
              <w:right w:val="single" w:sz="4" w:space="0" w:color="000000"/>
            </w:tcBorders>
          </w:tcPr>
          <w:p w14:paraId="36A0698B"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42FDD3C9"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1EB29B24" w14:textId="4C9DFAE8"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0581B13"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3DE96D7F"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Hasi fájdalom</w:t>
            </w:r>
          </w:p>
        </w:tc>
        <w:tc>
          <w:tcPr>
            <w:tcW w:w="2426" w:type="dxa"/>
            <w:tcBorders>
              <w:top w:val="single" w:sz="4" w:space="0" w:color="000000"/>
              <w:left w:val="single" w:sz="4" w:space="0" w:color="000000"/>
              <w:bottom w:val="single" w:sz="4" w:space="0" w:color="000000"/>
              <w:right w:val="single" w:sz="4" w:space="0" w:color="000000"/>
            </w:tcBorders>
          </w:tcPr>
          <w:p w14:paraId="3F1A7E20"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7665550F"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287D0C93" w14:textId="63AF71C4"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44030211"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2F13802B"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Hasmenés </w:t>
            </w:r>
          </w:p>
        </w:tc>
        <w:tc>
          <w:tcPr>
            <w:tcW w:w="2426" w:type="dxa"/>
            <w:tcBorders>
              <w:top w:val="single" w:sz="4" w:space="0" w:color="000000"/>
              <w:left w:val="single" w:sz="4" w:space="0" w:color="000000"/>
              <w:bottom w:val="single" w:sz="4" w:space="0" w:color="000000"/>
              <w:right w:val="single" w:sz="4" w:space="0" w:color="000000"/>
            </w:tcBorders>
          </w:tcPr>
          <w:p w14:paraId="1A28CA6A"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29EA015A"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1142A00E" w14:textId="5CAC6416"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E4FB876"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42731CDE"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Dyspepsia </w:t>
            </w:r>
          </w:p>
        </w:tc>
        <w:tc>
          <w:tcPr>
            <w:tcW w:w="2426" w:type="dxa"/>
            <w:tcBorders>
              <w:top w:val="single" w:sz="4" w:space="0" w:color="000000"/>
              <w:left w:val="single" w:sz="4" w:space="0" w:color="000000"/>
              <w:bottom w:val="single" w:sz="4" w:space="0" w:color="000000"/>
              <w:right w:val="single" w:sz="4" w:space="0" w:color="000000"/>
            </w:tcBorders>
          </w:tcPr>
          <w:p w14:paraId="5527508E"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604A449B"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1C36D32A" w14:textId="5C8891CF"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073CAA9"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3648EA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Hányinger </w:t>
            </w:r>
          </w:p>
        </w:tc>
        <w:tc>
          <w:tcPr>
            <w:tcW w:w="2426" w:type="dxa"/>
            <w:tcBorders>
              <w:top w:val="single" w:sz="4" w:space="0" w:color="000000"/>
              <w:left w:val="single" w:sz="4" w:space="0" w:color="000000"/>
              <w:bottom w:val="single" w:sz="4" w:space="0" w:color="000000"/>
              <w:right w:val="single" w:sz="4" w:space="0" w:color="000000"/>
            </w:tcBorders>
          </w:tcPr>
          <w:p w14:paraId="53C0E226"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29B0AAF7"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799B936E" w14:textId="7E4E88AA"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5964A47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5329E38"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Rectalis vérzés</w:t>
            </w:r>
          </w:p>
        </w:tc>
        <w:tc>
          <w:tcPr>
            <w:tcW w:w="2426" w:type="dxa"/>
            <w:tcBorders>
              <w:top w:val="single" w:sz="4" w:space="0" w:color="000000"/>
              <w:left w:val="single" w:sz="4" w:space="0" w:color="000000"/>
              <w:bottom w:val="single" w:sz="4" w:space="0" w:color="000000"/>
              <w:right w:val="single" w:sz="4" w:space="0" w:color="000000"/>
            </w:tcBorders>
          </w:tcPr>
          <w:p w14:paraId="11ECA89B"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3F0D091E"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72239053" w14:textId="25DDD320"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47C95B4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0506E4EB"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Aranyérvérzés</w:t>
            </w:r>
          </w:p>
        </w:tc>
        <w:tc>
          <w:tcPr>
            <w:tcW w:w="2426" w:type="dxa"/>
            <w:tcBorders>
              <w:top w:val="single" w:sz="4" w:space="0" w:color="000000"/>
              <w:left w:val="single" w:sz="4" w:space="0" w:color="000000"/>
              <w:bottom w:val="single" w:sz="4" w:space="0" w:color="000000"/>
              <w:right w:val="single" w:sz="4" w:space="0" w:color="000000"/>
            </w:tcBorders>
          </w:tcPr>
          <w:p w14:paraId="7488C3DD"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3DCEF3D7"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476D5101" w14:textId="49F945B8"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14EAA774"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12C03479"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Gastrointestinalis fekély, a nyelőcsőfekélyt is beleértve</w:t>
            </w:r>
          </w:p>
        </w:tc>
        <w:tc>
          <w:tcPr>
            <w:tcW w:w="2426" w:type="dxa"/>
            <w:tcBorders>
              <w:top w:val="single" w:sz="4" w:space="0" w:color="000000"/>
              <w:left w:val="single" w:sz="4" w:space="0" w:color="000000"/>
              <w:bottom w:val="single" w:sz="4" w:space="0" w:color="000000"/>
              <w:right w:val="single" w:sz="4" w:space="0" w:color="000000"/>
            </w:tcBorders>
          </w:tcPr>
          <w:p w14:paraId="72A9D2D5"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780A1D27"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70D5109" w14:textId="7AF48E8A"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2E545BC2"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0926D72C"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Gastrooesophagitis </w:t>
            </w:r>
          </w:p>
        </w:tc>
        <w:tc>
          <w:tcPr>
            <w:tcW w:w="2426" w:type="dxa"/>
            <w:tcBorders>
              <w:top w:val="single" w:sz="4" w:space="0" w:color="000000"/>
              <w:left w:val="single" w:sz="4" w:space="0" w:color="000000"/>
              <w:bottom w:val="single" w:sz="4" w:space="0" w:color="000000"/>
              <w:right w:val="single" w:sz="4" w:space="0" w:color="000000"/>
            </w:tcBorders>
          </w:tcPr>
          <w:p w14:paraId="32197825"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1622F005"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555EBBB8" w14:textId="130D3727"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19AE70D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550FA1D"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Gastrooesophagealis refluxbetegség </w:t>
            </w:r>
          </w:p>
        </w:tc>
        <w:tc>
          <w:tcPr>
            <w:tcW w:w="2426" w:type="dxa"/>
            <w:tcBorders>
              <w:top w:val="single" w:sz="4" w:space="0" w:color="000000"/>
              <w:left w:val="single" w:sz="4" w:space="0" w:color="000000"/>
              <w:bottom w:val="single" w:sz="4" w:space="0" w:color="000000"/>
              <w:right w:val="single" w:sz="4" w:space="0" w:color="000000"/>
            </w:tcBorders>
          </w:tcPr>
          <w:p w14:paraId="3E98262B"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6DFD0E5E"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201D28AE" w14:textId="7D097FBF"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474B3B5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42C4CA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Hányás</w:t>
            </w:r>
          </w:p>
        </w:tc>
        <w:tc>
          <w:tcPr>
            <w:tcW w:w="2426" w:type="dxa"/>
            <w:tcBorders>
              <w:top w:val="single" w:sz="4" w:space="0" w:color="000000"/>
              <w:left w:val="single" w:sz="4" w:space="0" w:color="000000"/>
              <w:bottom w:val="single" w:sz="4" w:space="0" w:color="000000"/>
              <w:right w:val="single" w:sz="4" w:space="0" w:color="000000"/>
            </w:tcBorders>
          </w:tcPr>
          <w:p w14:paraId="4284E334"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7F0D217F"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5CAFCA6" w14:textId="7076C582"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E2F6EBA"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2C30DDBD"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Dysphagia </w:t>
            </w:r>
          </w:p>
        </w:tc>
        <w:tc>
          <w:tcPr>
            <w:tcW w:w="2426" w:type="dxa"/>
            <w:tcBorders>
              <w:top w:val="single" w:sz="4" w:space="0" w:color="000000"/>
              <w:left w:val="single" w:sz="4" w:space="0" w:color="000000"/>
              <w:bottom w:val="single" w:sz="4" w:space="0" w:color="000000"/>
              <w:right w:val="single" w:sz="4" w:space="0" w:color="000000"/>
            </w:tcBorders>
          </w:tcPr>
          <w:p w14:paraId="69B760AB"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3B046520"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2A850C5" w14:textId="178407A3"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712FB6C0"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7CB7DB9D"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Máj- és epebetegségek, illetve tünetek</w:t>
            </w:r>
          </w:p>
        </w:tc>
        <w:tc>
          <w:tcPr>
            <w:tcW w:w="1690" w:type="dxa"/>
            <w:tcBorders>
              <w:top w:val="single" w:sz="4" w:space="0" w:color="000000"/>
              <w:left w:val="single" w:sz="4" w:space="0" w:color="000000"/>
              <w:bottom w:val="single" w:sz="4" w:space="0" w:color="000000"/>
              <w:right w:val="single" w:sz="4" w:space="0" w:color="000000"/>
            </w:tcBorders>
          </w:tcPr>
          <w:p w14:paraId="34711497"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0B3E83B7"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4E82D20B"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Kóros májfunkció/kóros májfunkciós vizsgálati eredmények</w:t>
            </w:r>
          </w:p>
        </w:tc>
        <w:tc>
          <w:tcPr>
            <w:tcW w:w="2426" w:type="dxa"/>
            <w:tcBorders>
              <w:top w:val="single" w:sz="4" w:space="0" w:color="000000"/>
              <w:left w:val="single" w:sz="4" w:space="0" w:color="000000"/>
              <w:bottom w:val="single" w:sz="4" w:space="0" w:color="000000"/>
              <w:right w:val="single" w:sz="4" w:space="0" w:color="000000"/>
            </w:tcBorders>
          </w:tcPr>
          <w:p w14:paraId="0BC0D83A"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2146" w:type="dxa"/>
            <w:tcBorders>
              <w:top w:val="single" w:sz="4" w:space="0" w:color="000000"/>
              <w:left w:val="single" w:sz="4" w:space="0" w:color="000000"/>
              <w:bottom w:val="single" w:sz="4" w:space="0" w:color="000000"/>
              <w:right w:val="single" w:sz="4" w:space="0" w:color="000000"/>
            </w:tcBorders>
          </w:tcPr>
          <w:p w14:paraId="0033CF96"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5EAF6EE7" w14:textId="3F25B1FC"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2CD6F7D3"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84FC5A4"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Glutamát-piruvát-transzamináz-emelkedés</w:t>
            </w:r>
          </w:p>
        </w:tc>
        <w:tc>
          <w:tcPr>
            <w:tcW w:w="2426" w:type="dxa"/>
            <w:tcBorders>
              <w:top w:val="single" w:sz="4" w:space="0" w:color="000000"/>
              <w:left w:val="single" w:sz="4" w:space="0" w:color="000000"/>
              <w:bottom w:val="single" w:sz="4" w:space="0" w:color="000000"/>
              <w:right w:val="single" w:sz="4" w:space="0" w:color="000000"/>
            </w:tcBorders>
          </w:tcPr>
          <w:p w14:paraId="275E0D54"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5E3226F5"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450D5DDE" w14:textId="2429EC1C"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6D5B0954"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4DEE1BE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Glutamát-oxálacetát-transzamináz-emelkedés</w:t>
            </w:r>
          </w:p>
        </w:tc>
        <w:tc>
          <w:tcPr>
            <w:tcW w:w="2426" w:type="dxa"/>
            <w:tcBorders>
              <w:top w:val="single" w:sz="4" w:space="0" w:color="000000"/>
              <w:left w:val="single" w:sz="4" w:space="0" w:color="000000"/>
              <w:bottom w:val="single" w:sz="4" w:space="0" w:color="000000"/>
              <w:right w:val="single" w:sz="4" w:space="0" w:color="000000"/>
            </w:tcBorders>
          </w:tcPr>
          <w:p w14:paraId="42B0C32F"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123CB53F"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1690" w:type="dxa"/>
            <w:tcBorders>
              <w:top w:val="single" w:sz="4" w:space="0" w:color="000000"/>
              <w:left w:val="single" w:sz="4" w:space="0" w:color="000000"/>
              <w:bottom w:val="single" w:sz="4" w:space="0" w:color="000000"/>
              <w:right w:val="single" w:sz="4" w:space="0" w:color="000000"/>
            </w:tcBorders>
          </w:tcPr>
          <w:p w14:paraId="3E01FD31" w14:textId="7753C6A9"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0C1FFA5"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881D520"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Májenzimszint-emelkedés</w:t>
            </w:r>
          </w:p>
        </w:tc>
        <w:tc>
          <w:tcPr>
            <w:tcW w:w="2426" w:type="dxa"/>
            <w:tcBorders>
              <w:top w:val="single" w:sz="4" w:space="0" w:color="000000"/>
              <w:left w:val="single" w:sz="4" w:space="0" w:color="000000"/>
              <w:bottom w:val="single" w:sz="4" w:space="0" w:color="000000"/>
              <w:right w:val="single" w:sz="4" w:space="0" w:color="000000"/>
            </w:tcBorders>
          </w:tcPr>
          <w:p w14:paraId="07D9FEFA"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511761D6"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09111E3F" w14:textId="63F92F16"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AFEC9AE"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D7955F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Hyperbilirubinaemia</w:t>
            </w:r>
          </w:p>
        </w:tc>
        <w:tc>
          <w:tcPr>
            <w:tcW w:w="2426" w:type="dxa"/>
            <w:tcBorders>
              <w:top w:val="single" w:sz="4" w:space="0" w:color="000000"/>
              <w:left w:val="single" w:sz="4" w:space="0" w:color="000000"/>
              <w:bottom w:val="single" w:sz="4" w:space="0" w:color="000000"/>
              <w:right w:val="single" w:sz="4" w:space="0" w:color="000000"/>
            </w:tcBorders>
          </w:tcPr>
          <w:p w14:paraId="12E3329B"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31192A4B"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2D784BC0" w14:textId="69905C32"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4D5A03D9"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1B8C1C9D"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bőr és a bőr alatti 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69326503"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6D7977F2"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11527AEB"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Bőrvérzés</w:t>
            </w:r>
          </w:p>
        </w:tc>
        <w:tc>
          <w:tcPr>
            <w:tcW w:w="2426" w:type="dxa"/>
            <w:tcBorders>
              <w:top w:val="single" w:sz="4" w:space="0" w:color="000000"/>
              <w:left w:val="single" w:sz="4" w:space="0" w:color="000000"/>
              <w:bottom w:val="single" w:sz="4" w:space="0" w:color="000000"/>
              <w:right w:val="single" w:sz="4" w:space="0" w:color="000000"/>
            </w:tcBorders>
          </w:tcPr>
          <w:p w14:paraId="2442501B"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1F07E145"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0C59D628" w14:textId="622DD802"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02BDD2F1"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67FB80B0"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Alopecia</w:t>
            </w:r>
          </w:p>
        </w:tc>
        <w:tc>
          <w:tcPr>
            <w:tcW w:w="2426" w:type="dxa"/>
            <w:tcBorders>
              <w:top w:val="single" w:sz="4" w:space="0" w:color="000000"/>
              <w:left w:val="single" w:sz="4" w:space="0" w:color="000000"/>
              <w:bottom w:val="single" w:sz="4" w:space="0" w:color="000000"/>
              <w:right w:val="single" w:sz="4" w:space="0" w:color="000000"/>
            </w:tcBorders>
          </w:tcPr>
          <w:p w14:paraId="3684D0DB"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2146" w:type="dxa"/>
            <w:tcBorders>
              <w:top w:val="single" w:sz="4" w:space="0" w:color="000000"/>
              <w:left w:val="single" w:sz="4" w:space="0" w:color="000000"/>
              <w:bottom w:val="single" w:sz="4" w:space="0" w:color="000000"/>
              <w:right w:val="single" w:sz="4" w:space="0" w:color="000000"/>
            </w:tcBorders>
          </w:tcPr>
          <w:p w14:paraId="204D3122"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c>
          <w:tcPr>
            <w:tcW w:w="1690" w:type="dxa"/>
            <w:tcBorders>
              <w:top w:val="single" w:sz="4" w:space="0" w:color="000000"/>
              <w:left w:val="single" w:sz="4" w:space="0" w:color="000000"/>
              <w:bottom w:val="single" w:sz="4" w:space="0" w:color="000000"/>
              <w:right w:val="single" w:sz="4" w:space="0" w:color="000000"/>
            </w:tcBorders>
          </w:tcPr>
          <w:p w14:paraId="4C62BB72"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03152342"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475228D0"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csont- és izomrendszer, valamint a kötőszövet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35F4956C"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30DB108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CF65857"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Haemarthrosis</w:t>
            </w:r>
          </w:p>
        </w:tc>
        <w:tc>
          <w:tcPr>
            <w:tcW w:w="2426" w:type="dxa"/>
            <w:tcBorders>
              <w:top w:val="single" w:sz="4" w:space="0" w:color="000000"/>
              <w:left w:val="single" w:sz="4" w:space="0" w:color="000000"/>
              <w:bottom w:val="single" w:sz="4" w:space="0" w:color="000000"/>
              <w:right w:val="single" w:sz="4" w:space="0" w:color="000000"/>
            </w:tcBorders>
          </w:tcPr>
          <w:p w14:paraId="71A7F8BE"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53FE7A86"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64AF36ED" w14:textId="13C4A982"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5111CF0C"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5F16744B"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Vese- és húgyúti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B784C3E"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45316822"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3340E82F"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Urogenitális vérzés, a haematuriát is beleértve</w:t>
            </w:r>
          </w:p>
        </w:tc>
        <w:tc>
          <w:tcPr>
            <w:tcW w:w="2426" w:type="dxa"/>
            <w:tcBorders>
              <w:top w:val="single" w:sz="4" w:space="0" w:color="000000"/>
              <w:left w:val="single" w:sz="4" w:space="0" w:color="000000"/>
              <w:bottom w:val="single" w:sz="4" w:space="0" w:color="000000"/>
              <w:right w:val="single" w:sz="4" w:space="0" w:color="000000"/>
            </w:tcBorders>
          </w:tcPr>
          <w:p w14:paraId="5C183155"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2729770D"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c>
          <w:tcPr>
            <w:tcW w:w="1690" w:type="dxa"/>
            <w:tcBorders>
              <w:top w:val="single" w:sz="4" w:space="0" w:color="000000"/>
              <w:left w:val="single" w:sz="4" w:space="0" w:color="000000"/>
              <w:bottom w:val="single" w:sz="4" w:space="0" w:color="000000"/>
              <w:right w:val="single" w:sz="4" w:space="0" w:color="000000"/>
            </w:tcBorders>
          </w:tcPr>
          <w:p w14:paraId="7CC8FA25" w14:textId="7AA79F76"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84E3E19"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1374C296"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Általános tünetek, az alkalmazás helyén fellépő reakciók</w:t>
            </w:r>
          </w:p>
        </w:tc>
        <w:tc>
          <w:tcPr>
            <w:tcW w:w="1690" w:type="dxa"/>
            <w:tcBorders>
              <w:top w:val="single" w:sz="4" w:space="0" w:color="000000"/>
              <w:left w:val="single" w:sz="4" w:space="0" w:color="000000"/>
              <w:bottom w:val="single" w:sz="4" w:space="0" w:color="000000"/>
              <w:right w:val="single" w:sz="4" w:space="0" w:color="000000"/>
            </w:tcBorders>
          </w:tcPr>
          <w:p w14:paraId="0159ACFE"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38F028D6"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1CB13D45"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az injekció beadásának helyén</w:t>
            </w:r>
          </w:p>
        </w:tc>
        <w:tc>
          <w:tcPr>
            <w:tcW w:w="2426" w:type="dxa"/>
            <w:tcBorders>
              <w:top w:val="single" w:sz="4" w:space="0" w:color="000000"/>
              <w:left w:val="single" w:sz="4" w:space="0" w:color="000000"/>
              <w:bottom w:val="single" w:sz="4" w:space="0" w:color="000000"/>
              <w:right w:val="single" w:sz="4" w:space="0" w:color="000000"/>
            </w:tcBorders>
          </w:tcPr>
          <w:p w14:paraId="56884C7E"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45EB621A"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721F6199" w14:textId="77777777"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3CFE18C2"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05B7620"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 kanül helyén</w:t>
            </w:r>
          </w:p>
        </w:tc>
        <w:tc>
          <w:tcPr>
            <w:tcW w:w="2426" w:type="dxa"/>
            <w:tcBorders>
              <w:top w:val="single" w:sz="4" w:space="0" w:color="000000"/>
              <w:left w:val="single" w:sz="4" w:space="0" w:color="000000"/>
              <w:bottom w:val="single" w:sz="4" w:space="0" w:color="000000"/>
              <w:right w:val="single" w:sz="4" w:space="0" w:color="000000"/>
            </w:tcBorders>
          </w:tcPr>
          <w:p w14:paraId="7FCFA866"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5C7C5E25"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2A348C7B" w14:textId="0B9D7DC3"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69D324E5"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B08AEA7"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Véres váladékozás</w:t>
            </w:r>
          </w:p>
        </w:tc>
        <w:tc>
          <w:tcPr>
            <w:tcW w:w="2426" w:type="dxa"/>
            <w:tcBorders>
              <w:top w:val="single" w:sz="4" w:space="0" w:color="000000"/>
              <w:left w:val="single" w:sz="4" w:space="0" w:color="000000"/>
              <w:bottom w:val="single" w:sz="4" w:space="0" w:color="000000"/>
              <w:right w:val="single" w:sz="4" w:space="0" w:color="000000"/>
            </w:tcBorders>
          </w:tcPr>
          <w:p w14:paraId="17213741"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70517261"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7F9DF529"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292CE8BD"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643B60E5"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Sérülés, mérgezés és a beavatkozással kapcsolatos szövődmények</w:t>
            </w:r>
          </w:p>
        </w:tc>
        <w:tc>
          <w:tcPr>
            <w:tcW w:w="1690" w:type="dxa"/>
            <w:tcBorders>
              <w:top w:val="single" w:sz="4" w:space="0" w:color="000000"/>
              <w:left w:val="single" w:sz="4" w:space="0" w:color="000000"/>
              <w:bottom w:val="single" w:sz="4" w:space="0" w:color="000000"/>
              <w:right w:val="single" w:sz="4" w:space="0" w:color="000000"/>
            </w:tcBorders>
          </w:tcPr>
          <w:p w14:paraId="55012D1F"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2EED224E"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3AE95268"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Traumás vérzés</w:t>
            </w:r>
          </w:p>
        </w:tc>
        <w:tc>
          <w:tcPr>
            <w:tcW w:w="2426" w:type="dxa"/>
            <w:tcBorders>
              <w:top w:val="single" w:sz="4" w:space="0" w:color="000000"/>
              <w:left w:val="single" w:sz="4" w:space="0" w:color="000000"/>
              <w:bottom w:val="single" w:sz="4" w:space="0" w:color="000000"/>
              <w:right w:val="single" w:sz="4" w:space="0" w:color="000000"/>
            </w:tcBorders>
          </w:tcPr>
          <w:p w14:paraId="240B3F04" w14:textId="77777777" w:rsidR="00536CD0" w:rsidRPr="00617FC7" w:rsidRDefault="00536CD0" w:rsidP="00CF66F9">
            <w:pPr>
              <w:ind w:left="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5E7D511F"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089DF5D8" w14:textId="33EE5A1D"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351FCADD"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5A49E513" w14:textId="77777777" w:rsidR="00536CD0" w:rsidRPr="00617FC7" w:rsidRDefault="00536CD0" w:rsidP="00536CD0">
            <w:pPr>
              <w:ind w:right="7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 bemetszés helyén</w:t>
            </w:r>
          </w:p>
        </w:tc>
        <w:tc>
          <w:tcPr>
            <w:tcW w:w="2426" w:type="dxa"/>
            <w:tcBorders>
              <w:top w:val="single" w:sz="4" w:space="0" w:color="000000"/>
              <w:left w:val="single" w:sz="4" w:space="0" w:color="000000"/>
              <w:bottom w:val="single" w:sz="4" w:space="0" w:color="000000"/>
              <w:right w:val="single" w:sz="4" w:space="0" w:color="000000"/>
            </w:tcBorders>
          </w:tcPr>
          <w:p w14:paraId="5FE5E277"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112DE3E6"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1690" w:type="dxa"/>
            <w:tcBorders>
              <w:top w:val="single" w:sz="4" w:space="0" w:color="000000"/>
              <w:left w:val="single" w:sz="4" w:space="0" w:color="000000"/>
              <w:bottom w:val="single" w:sz="4" w:space="0" w:color="000000"/>
              <w:right w:val="single" w:sz="4" w:space="0" w:color="000000"/>
            </w:tcBorders>
          </w:tcPr>
          <w:p w14:paraId="288C9AEA" w14:textId="77777777" w:rsidR="00536CD0" w:rsidRPr="00617FC7" w:rsidRDefault="00536CD0" w:rsidP="00CF66F9">
            <w:pPr>
              <w:ind w:left="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r>
      <w:tr w:rsidR="00536CD0" w:rsidRPr="00617FC7" w14:paraId="46AA0C5A"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1FB6618B"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Beavatkozás utáni haematoma</w:t>
            </w:r>
          </w:p>
        </w:tc>
        <w:tc>
          <w:tcPr>
            <w:tcW w:w="2426" w:type="dxa"/>
            <w:tcBorders>
              <w:top w:val="single" w:sz="4" w:space="0" w:color="000000"/>
              <w:left w:val="single" w:sz="4" w:space="0" w:color="000000"/>
              <w:bottom w:val="single" w:sz="4" w:space="0" w:color="000000"/>
              <w:right w:val="single" w:sz="4" w:space="0" w:color="000000"/>
            </w:tcBorders>
          </w:tcPr>
          <w:p w14:paraId="32C8E27F"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5FA5E32C"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7A09024C"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724D181A"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04A8C485"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Beavatkozás utáni vérzés</w:t>
            </w:r>
          </w:p>
        </w:tc>
        <w:tc>
          <w:tcPr>
            <w:tcW w:w="2426" w:type="dxa"/>
            <w:tcBorders>
              <w:top w:val="single" w:sz="4" w:space="0" w:color="000000"/>
              <w:left w:val="single" w:sz="4" w:space="0" w:color="000000"/>
              <w:bottom w:val="single" w:sz="4" w:space="0" w:color="000000"/>
              <w:right w:val="single" w:sz="4" w:space="0" w:color="000000"/>
            </w:tcBorders>
          </w:tcPr>
          <w:p w14:paraId="5987E467"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4D522533"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6369F0F0"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56CA4314"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12A2936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Posztoperatív anaemia</w:t>
            </w:r>
          </w:p>
        </w:tc>
        <w:tc>
          <w:tcPr>
            <w:tcW w:w="2426" w:type="dxa"/>
            <w:tcBorders>
              <w:top w:val="single" w:sz="4" w:space="0" w:color="000000"/>
              <w:left w:val="single" w:sz="4" w:space="0" w:color="000000"/>
              <w:bottom w:val="single" w:sz="4" w:space="0" w:color="000000"/>
              <w:right w:val="single" w:sz="4" w:space="0" w:color="000000"/>
            </w:tcBorders>
          </w:tcPr>
          <w:p w14:paraId="01FCECD9"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5F16F6EE"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0F0BE7DA"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207D7979"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287C288A"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Beavatkozás utáni váladékozás</w:t>
            </w:r>
          </w:p>
        </w:tc>
        <w:tc>
          <w:tcPr>
            <w:tcW w:w="2426" w:type="dxa"/>
            <w:tcBorders>
              <w:top w:val="single" w:sz="4" w:space="0" w:color="000000"/>
              <w:left w:val="single" w:sz="4" w:space="0" w:color="000000"/>
              <w:bottom w:val="single" w:sz="4" w:space="0" w:color="000000"/>
              <w:right w:val="single" w:sz="4" w:space="0" w:color="000000"/>
            </w:tcBorders>
          </w:tcPr>
          <w:p w14:paraId="3E2BFA8B"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38377A1E"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43549FA6"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32060DB7"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08A9EC74"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Sebsecretio</w:t>
            </w:r>
          </w:p>
        </w:tc>
        <w:tc>
          <w:tcPr>
            <w:tcW w:w="2426" w:type="dxa"/>
            <w:tcBorders>
              <w:top w:val="single" w:sz="4" w:space="0" w:color="000000"/>
              <w:left w:val="single" w:sz="4" w:space="0" w:color="000000"/>
              <w:bottom w:val="single" w:sz="4" w:space="0" w:color="000000"/>
              <w:right w:val="single" w:sz="4" w:space="0" w:color="000000"/>
            </w:tcBorders>
          </w:tcPr>
          <w:p w14:paraId="79E0DB47" w14:textId="77777777" w:rsidR="00536CD0" w:rsidRPr="00617FC7" w:rsidRDefault="00536CD0" w:rsidP="00CF66F9">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c>
          <w:tcPr>
            <w:tcW w:w="2146" w:type="dxa"/>
            <w:tcBorders>
              <w:top w:val="single" w:sz="4" w:space="0" w:color="000000"/>
              <w:left w:val="single" w:sz="4" w:space="0" w:color="000000"/>
              <w:bottom w:val="single" w:sz="4" w:space="0" w:color="000000"/>
              <w:right w:val="single" w:sz="4" w:space="0" w:color="000000"/>
            </w:tcBorders>
          </w:tcPr>
          <w:p w14:paraId="42493B63"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0E7823E7"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18438BF9" w14:textId="77777777" w:rsidTr="00CF66F9">
        <w:trPr>
          <w:trHeight w:val="113"/>
        </w:trPr>
        <w:tc>
          <w:tcPr>
            <w:tcW w:w="7505" w:type="dxa"/>
            <w:gridSpan w:val="3"/>
            <w:tcBorders>
              <w:top w:val="single" w:sz="4" w:space="0" w:color="000000"/>
              <w:left w:val="single" w:sz="4" w:space="0" w:color="000000"/>
              <w:bottom w:val="single" w:sz="4" w:space="0" w:color="000000"/>
              <w:right w:val="single" w:sz="4" w:space="0" w:color="000000"/>
            </w:tcBorders>
          </w:tcPr>
          <w:p w14:paraId="2D48F32F" w14:textId="77777777" w:rsidR="00536CD0" w:rsidRPr="00617FC7" w:rsidRDefault="00536CD0" w:rsidP="00F45A82">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Sebészeti és egyéb orvosi beavatkozások és eljárások</w:t>
            </w:r>
          </w:p>
        </w:tc>
        <w:tc>
          <w:tcPr>
            <w:tcW w:w="1690" w:type="dxa"/>
            <w:tcBorders>
              <w:top w:val="single" w:sz="4" w:space="0" w:color="000000"/>
              <w:left w:val="single" w:sz="4" w:space="0" w:color="000000"/>
              <w:bottom w:val="single" w:sz="4" w:space="0" w:color="000000"/>
              <w:right w:val="single" w:sz="4" w:space="0" w:color="000000"/>
            </w:tcBorders>
          </w:tcPr>
          <w:p w14:paraId="62A61369" w14:textId="77777777" w:rsidR="00536CD0" w:rsidRPr="00617FC7" w:rsidRDefault="00536CD0" w:rsidP="00F45A82">
            <w:pPr>
              <w:rPr>
                <w:rFonts w:ascii="Times New Roman" w:eastAsia="Times New Roman" w:hAnsi="Times New Roman" w:cs="Times New Roman"/>
                <w:noProof w:val="0"/>
                <w:color w:val="000000"/>
                <w:lang w:val="hu-HU"/>
              </w:rPr>
            </w:pPr>
          </w:p>
        </w:tc>
      </w:tr>
      <w:tr w:rsidR="00536CD0" w:rsidRPr="00617FC7" w14:paraId="5112697B"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725D875A"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Sebdrenázs</w:t>
            </w:r>
          </w:p>
        </w:tc>
        <w:tc>
          <w:tcPr>
            <w:tcW w:w="2426" w:type="dxa"/>
            <w:tcBorders>
              <w:top w:val="single" w:sz="4" w:space="0" w:color="000000"/>
              <w:left w:val="single" w:sz="4" w:space="0" w:color="000000"/>
              <w:bottom w:val="single" w:sz="4" w:space="0" w:color="000000"/>
              <w:right w:val="single" w:sz="4" w:space="0" w:color="000000"/>
            </w:tcBorders>
          </w:tcPr>
          <w:p w14:paraId="091E74DF"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70763526"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01E1DE1B"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r w:rsidR="00536CD0" w:rsidRPr="00617FC7" w14:paraId="194626C0" w14:textId="77777777" w:rsidTr="00CF66F9">
        <w:trPr>
          <w:trHeight w:val="113"/>
        </w:trPr>
        <w:tc>
          <w:tcPr>
            <w:tcW w:w="2933" w:type="dxa"/>
            <w:tcBorders>
              <w:top w:val="single" w:sz="4" w:space="0" w:color="000000"/>
              <w:left w:val="single" w:sz="4" w:space="0" w:color="000000"/>
              <w:bottom w:val="single" w:sz="4" w:space="0" w:color="000000"/>
              <w:right w:val="single" w:sz="4" w:space="0" w:color="000000"/>
            </w:tcBorders>
          </w:tcPr>
          <w:p w14:paraId="4A656BF3" w14:textId="77777777" w:rsidR="00536CD0" w:rsidRPr="00617FC7" w:rsidRDefault="00536CD0" w:rsidP="00536CD0">
            <w:pPr>
              <w:ind w:left="18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Beavatkozás utáni drenázs</w:t>
            </w:r>
          </w:p>
        </w:tc>
        <w:tc>
          <w:tcPr>
            <w:tcW w:w="2426" w:type="dxa"/>
            <w:tcBorders>
              <w:top w:val="single" w:sz="4" w:space="0" w:color="000000"/>
              <w:left w:val="single" w:sz="4" w:space="0" w:color="000000"/>
              <w:bottom w:val="single" w:sz="4" w:space="0" w:color="000000"/>
              <w:right w:val="single" w:sz="4" w:space="0" w:color="000000"/>
            </w:tcBorders>
          </w:tcPr>
          <w:p w14:paraId="2FEB3912" w14:textId="77777777" w:rsidR="00536CD0" w:rsidRPr="00617FC7" w:rsidRDefault="00536CD0" w:rsidP="00CF66F9">
            <w:pPr>
              <w:ind w:left="7"/>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Ritka</w:t>
            </w:r>
          </w:p>
        </w:tc>
        <w:tc>
          <w:tcPr>
            <w:tcW w:w="2146" w:type="dxa"/>
            <w:tcBorders>
              <w:top w:val="single" w:sz="4" w:space="0" w:color="000000"/>
              <w:left w:val="single" w:sz="4" w:space="0" w:color="000000"/>
              <w:bottom w:val="single" w:sz="4" w:space="0" w:color="000000"/>
              <w:right w:val="single" w:sz="4" w:space="0" w:color="000000"/>
            </w:tcBorders>
          </w:tcPr>
          <w:p w14:paraId="6DF941AD" w14:textId="77777777" w:rsidR="00536CD0" w:rsidRPr="00617FC7" w:rsidRDefault="00536CD0" w:rsidP="00CF66F9">
            <w:pPr>
              <w:ind w:right="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c>
          <w:tcPr>
            <w:tcW w:w="1690" w:type="dxa"/>
            <w:tcBorders>
              <w:top w:val="single" w:sz="4" w:space="0" w:color="000000"/>
              <w:left w:val="single" w:sz="4" w:space="0" w:color="000000"/>
              <w:bottom w:val="single" w:sz="4" w:space="0" w:color="000000"/>
              <w:right w:val="single" w:sz="4" w:space="0" w:color="000000"/>
            </w:tcBorders>
          </w:tcPr>
          <w:p w14:paraId="0E597765" w14:textId="77777777" w:rsidR="00536CD0" w:rsidRPr="00617FC7" w:rsidRDefault="00536CD0" w:rsidP="00CF66F9">
            <w:pPr>
              <w:ind w:left="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p>
        </w:tc>
      </w:tr>
    </w:tbl>
    <w:p w14:paraId="33494B0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1DD0E726"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Egyes kiválasztott mellékhatások leírása</w:t>
      </w:r>
    </w:p>
    <w:p w14:paraId="724063D5" w14:textId="77777777" w:rsidR="00536CD0" w:rsidRPr="00617FC7" w:rsidRDefault="00536CD0" w:rsidP="00536CD0">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2B42EA13"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Vérzéses reakciók</w:t>
      </w:r>
      <w:r w:rsidRPr="00617FC7">
        <w:rPr>
          <w:rFonts w:ascii="Times New Roman" w:eastAsia="Times New Roman" w:hAnsi="Times New Roman" w:cs="Times New Roman"/>
          <w:i/>
          <w:noProof w:val="0"/>
          <w:color w:val="000000"/>
          <w:kern w:val="0"/>
          <w:lang w:val="hu-HU" w:eastAsia="hu-HU"/>
          <w14:ligatures w14:val="none"/>
        </w:rPr>
        <w:t xml:space="preserve"> </w:t>
      </w:r>
    </w:p>
    <w:p w14:paraId="411AB2F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84FB1C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farmakológiai hatásmódjának köszönhetően a dabigatrán-etexilát alkalmazása együtt jár a szövetek vagy szervek rejtett vagy nyílt vérzésének kockázatával. Ennek jelei, tünetei és súlyossága (beleértve a halálos kimenetelt) függ a vérzés és/vagy az anaemia helyétől, mértékétől, illetve kiterjedésétől. </w:t>
      </w:r>
    </w:p>
    <w:p w14:paraId="6464CEAD" w14:textId="6FF17513"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Klinikai vizsgálatokban nagyobb gyakorisággal figyeltek meg nyálkahártyavérzést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gastrointestinalis vagy urogenitalis vérzést) a hosszú távú dabigatrán-etexilát-kezelés során, szemben a KVA-kezeléssel. Ezért a megfelelő klinikai megfigyelés mellett a haemoglobin/haematocrit mérése is fontos a rejtett vérzés megállapításában. A vérzések kockázata magasabb lehet egyes betegpopulációkban,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közepesen súlyos vesekárosodásban és/vagy a haemostasisra hatást kifejtő egyidejű kezelésben részesülő vagy erős P-gp-inhibitorokkal kezelt betegek esetében (lásd 4.4 pont, Vérzésveszély). A vérzéses szövődmények gyengeség, sápadtság, szédülés, fejfájás vagy tisztázatlan eredetű duzzadás, dyspnoe, valamint tisztázatlan eredetű sokk formájában jelenhetnek meg.</w:t>
      </w:r>
    </w:p>
    <w:p w14:paraId="0A59AE7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D861EF6" w14:textId="1D253AA3"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Ismert vérzéses szövődményeket,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kompartment szindrómát, és hypoperfusio okozta akut veseelégtelenséget, valamint a hajlamosító kockázati tényezőkkel rendelkező betegeknél antikoaguláns-terápiával összefüggő nephropathiát is jelentettek már dabigatrán-etexiláttal összefüggésben. Ezért a haemorrhagia lehetőségét mérlegelni kell antikoagulált betegek állapotának értékelésekor. Felnőtt betegeknél csillapíthatatlan vérzés esetén rendelkezésre áll a dabigatrán specifikus antagonista szere, az idarucizumab (lásd 4.9 pont).</w:t>
      </w:r>
    </w:p>
    <w:p w14:paraId="0D5E8B2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F0D0B17"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VTE primer prevenciója ortopédiai műtéteknél</w:t>
      </w:r>
    </w:p>
    <w:p w14:paraId="326F6CD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7AF34C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13. táblázat azoknak a betegeknek a számát (%) mutatja dózis szerinti megoszlásban, akiknél mellékhatásként a VTE prevenciós kezelési időszak alatt vérzéses esemény történt a két pivotális klinikai vizsgálatban.</w:t>
      </w:r>
    </w:p>
    <w:p w14:paraId="17883A0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0276EC4" w14:textId="77777777" w:rsidR="00536CD0" w:rsidRPr="00617FC7" w:rsidRDefault="00536CD0" w:rsidP="00536CD0">
      <w:pPr>
        <w:tabs>
          <w:tab w:val="center" w:pos="4416"/>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13. táblázat. Betegek száma (%-ban), akiknél vérzéses mellékhatást észleltek</w:t>
      </w:r>
    </w:p>
    <w:p w14:paraId="63D14CF0" w14:textId="77777777" w:rsidR="00536CD0" w:rsidRPr="00617FC7" w:rsidRDefault="00536CD0" w:rsidP="00536CD0">
      <w:pPr>
        <w:tabs>
          <w:tab w:val="center" w:pos="4416"/>
        </w:tabs>
        <w:spacing w:after="0" w:line="240" w:lineRule="auto"/>
        <w:ind w:left="-3"/>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10" w:type="dxa"/>
        <w:tblCellMar>
          <w:top w:w="51" w:type="dxa"/>
          <w:left w:w="62" w:type="dxa"/>
          <w:right w:w="115" w:type="dxa"/>
        </w:tblCellMar>
        <w:tblLook w:val="04A0" w:firstRow="1" w:lastRow="0" w:firstColumn="1" w:lastColumn="0" w:noHBand="0" w:noVBand="1"/>
      </w:tblPr>
      <w:tblGrid>
        <w:gridCol w:w="2169"/>
        <w:gridCol w:w="2302"/>
        <w:gridCol w:w="2299"/>
        <w:gridCol w:w="2302"/>
      </w:tblGrid>
      <w:tr w:rsidR="00536CD0" w:rsidRPr="00617FC7" w14:paraId="0648DDDB" w14:textId="77777777" w:rsidTr="00CF66F9">
        <w:trPr>
          <w:trHeight w:val="113"/>
        </w:trPr>
        <w:tc>
          <w:tcPr>
            <w:tcW w:w="2170" w:type="dxa"/>
            <w:tcBorders>
              <w:top w:val="single" w:sz="4" w:space="0" w:color="000000"/>
              <w:left w:val="single" w:sz="4" w:space="0" w:color="000000"/>
              <w:bottom w:val="single" w:sz="4" w:space="0" w:color="000000"/>
              <w:right w:val="single" w:sz="4" w:space="0" w:color="000000"/>
            </w:tcBorders>
          </w:tcPr>
          <w:p w14:paraId="6F817710" w14:textId="77777777" w:rsidR="00536CD0" w:rsidRPr="00617FC7" w:rsidRDefault="00536CD0" w:rsidP="00536CD0">
            <w:pPr>
              <w:rPr>
                <w:rFonts w:ascii="Times New Roman" w:eastAsia="Times New Roman" w:hAnsi="Times New Roman" w:cs="Times New Roman"/>
                <w:noProof w:val="0"/>
                <w:color w:val="000000"/>
                <w:lang w:val="hu-HU"/>
              </w:rPr>
            </w:pPr>
          </w:p>
        </w:tc>
        <w:tc>
          <w:tcPr>
            <w:tcW w:w="2302" w:type="dxa"/>
            <w:tcBorders>
              <w:top w:val="single" w:sz="4" w:space="0" w:color="000000"/>
              <w:left w:val="single" w:sz="4" w:space="0" w:color="000000"/>
              <w:bottom w:val="single" w:sz="4" w:space="0" w:color="000000"/>
              <w:right w:val="single" w:sz="4" w:space="0" w:color="000000"/>
            </w:tcBorders>
          </w:tcPr>
          <w:p w14:paraId="54C1A5E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2405BFB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egyszer</w:t>
            </w:r>
          </w:p>
          <w:p w14:paraId="0B98CFE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 (%)</w:t>
            </w:r>
          </w:p>
        </w:tc>
        <w:tc>
          <w:tcPr>
            <w:tcW w:w="2299" w:type="dxa"/>
            <w:tcBorders>
              <w:top w:val="single" w:sz="4" w:space="0" w:color="000000"/>
              <w:left w:val="single" w:sz="4" w:space="0" w:color="000000"/>
              <w:bottom w:val="single" w:sz="4" w:space="0" w:color="000000"/>
              <w:right w:val="single" w:sz="4" w:space="0" w:color="000000"/>
            </w:tcBorders>
          </w:tcPr>
          <w:p w14:paraId="006CDDD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6B880DF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 mg napi egyszer</w:t>
            </w:r>
          </w:p>
          <w:p w14:paraId="5D8BF2A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 (%)</w:t>
            </w:r>
          </w:p>
        </w:tc>
        <w:tc>
          <w:tcPr>
            <w:tcW w:w="2302" w:type="dxa"/>
            <w:tcBorders>
              <w:top w:val="single" w:sz="4" w:space="0" w:color="000000"/>
              <w:left w:val="single" w:sz="4" w:space="0" w:color="000000"/>
              <w:bottom w:val="single" w:sz="4" w:space="0" w:color="000000"/>
              <w:right w:val="single" w:sz="4" w:space="0" w:color="000000"/>
            </w:tcBorders>
          </w:tcPr>
          <w:p w14:paraId="5CE7D74A"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Enoxaparin</w:t>
            </w:r>
          </w:p>
          <w:p w14:paraId="453B12B1"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 (%)</w:t>
            </w:r>
          </w:p>
        </w:tc>
      </w:tr>
      <w:tr w:rsidR="00536CD0" w:rsidRPr="00617FC7" w14:paraId="21C44BC1" w14:textId="77777777" w:rsidTr="00CF66F9">
        <w:trPr>
          <w:trHeight w:val="113"/>
        </w:trPr>
        <w:tc>
          <w:tcPr>
            <w:tcW w:w="2170" w:type="dxa"/>
            <w:tcBorders>
              <w:top w:val="single" w:sz="4" w:space="0" w:color="000000"/>
              <w:left w:val="single" w:sz="4" w:space="0" w:color="000000"/>
              <w:bottom w:val="single" w:sz="4" w:space="0" w:color="000000"/>
              <w:right w:val="single" w:sz="4" w:space="0" w:color="000000"/>
            </w:tcBorders>
          </w:tcPr>
          <w:p w14:paraId="3473CDF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w:t>
            </w:r>
          </w:p>
        </w:tc>
        <w:tc>
          <w:tcPr>
            <w:tcW w:w="2302" w:type="dxa"/>
            <w:tcBorders>
              <w:top w:val="single" w:sz="4" w:space="0" w:color="000000"/>
              <w:left w:val="single" w:sz="4" w:space="0" w:color="000000"/>
              <w:bottom w:val="single" w:sz="4" w:space="0" w:color="000000"/>
              <w:right w:val="single" w:sz="4" w:space="0" w:color="000000"/>
            </w:tcBorders>
          </w:tcPr>
          <w:p w14:paraId="59B12112" w14:textId="77777777" w:rsidR="00536CD0" w:rsidRPr="00617FC7" w:rsidRDefault="00536CD0" w:rsidP="00536CD0">
            <w:pPr>
              <w:ind w:left="5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1866 (100,0)</w:t>
            </w:r>
          </w:p>
        </w:tc>
        <w:tc>
          <w:tcPr>
            <w:tcW w:w="2299" w:type="dxa"/>
            <w:tcBorders>
              <w:top w:val="single" w:sz="4" w:space="0" w:color="000000"/>
              <w:left w:val="single" w:sz="4" w:space="0" w:color="000000"/>
              <w:bottom w:val="single" w:sz="4" w:space="0" w:color="000000"/>
              <w:right w:val="single" w:sz="4" w:space="0" w:color="000000"/>
            </w:tcBorders>
          </w:tcPr>
          <w:p w14:paraId="7B4E8D0C" w14:textId="77777777" w:rsidR="00536CD0" w:rsidRPr="00617FC7" w:rsidRDefault="00536CD0" w:rsidP="00536CD0">
            <w:pPr>
              <w:ind w:left="5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1825 (100,0)</w:t>
            </w:r>
          </w:p>
        </w:tc>
        <w:tc>
          <w:tcPr>
            <w:tcW w:w="2302" w:type="dxa"/>
            <w:tcBorders>
              <w:top w:val="single" w:sz="4" w:space="0" w:color="000000"/>
              <w:left w:val="single" w:sz="4" w:space="0" w:color="000000"/>
              <w:bottom w:val="single" w:sz="4" w:space="0" w:color="000000"/>
              <w:right w:val="single" w:sz="4" w:space="0" w:color="000000"/>
            </w:tcBorders>
          </w:tcPr>
          <w:p w14:paraId="0F85F994" w14:textId="77777777" w:rsidR="00536CD0" w:rsidRPr="00617FC7" w:rsidRDefault="00536CD0" w:rsidP="00536CD0">
            <w:pPr>
              <w:ind w:left="5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1848(100,0)</w:t>
            </w:r>
          </w:p>
        </w:tc>
      </w:tr>
      <w:tr w:rsidR="00536CD0" w:rsidRPr="00617FC7" w14:paraId="171ED9D4" w14:textId="77777777" w:rsidTr="00CF66F9">
        <w:trPr>
          <w:trHeight w:val="113"/>
        </w:trPr>
        <w:tc>
          <w:tcPr>
            <w:tcW w:w="2170" w:type="dxa"/>
            <w:tcBorders>
              <w:top w:val="single" w:sz="4" w:space="0" w:color="000000"/>
              <w:left w:val="single" w:sz="4" w:space="0" w:color="000000"/>
              <w:bottom w:val="single" w:sz="4" w:space="0" w:color="000000"/>
              <w:right w:val="single" w:sz="4" w:space="0" w:color="000000"/>
            </w:tcBorders>
          </w:tcPr>
          <w:p w14:paraId="029AEC4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Jelentős vérzés</w:t>
            </w:r>
          </w:p>
        </w:tc>
        <w:tc>
          <w:tcPr>
            <w:tcW w:w="2302" w:type="dxa"/>
            <w:tcBorders>
              <w:top w:val="single" w:sz="4" w:space="0" w:color="000000"/>
              <w:left w:val="single" w:sz="4" w:space="0" w:color="000000"/>
              <w:bottom w:val="single" w:sz="4" w:space="0" w:color="000000"/>
              <w:right w:val="single" w:sz="4" w:space="0" w:color="000000"/>
            </w:tcBorders>
          </w:tcPr>
          <w:p w14:paraId="0C6820DD" w14:textId="77777777" w:rsidR="00536CD0" w:rsidRPr="00617FC7" w:rsidRDefault="00536CD0" w:rsidP="00536CD0">
            <w:pPr>
              <w:ind w:left="5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24 (1,3)</w:t>
            </w:r>
          </w:p>
        </w:tc>
        <w:tc>
          <w:tcPr>
            <w:tcW w:w="2299" w:type="dxa"/>
            <w:tcBorders>
              <w:top w:val="single" w:sz="4" w:space="0" w:color="000000"/>
              <w:left w:val="single" w:sz="4" w:space="0" w:color="000000"/>
              <w:bottom w:val="single" w:sz="4" w:space="0" w:color="000000"/>
              <w:right w:val="single" w:sz="4" w:space="0" w:color="000000"/>
            </w:tcBorders>
          </w:tcPr>
          <w:p w14:paraId="11C17E6E" w14:textId="77777777" w:rsidR="00536CD0" w:rsidRPr="00617FC7" w:rsidRDefault="00536CD0" w:rsidP="00536CD0">
            <w:pPr>
              <w:ind w:left="5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33 (1,8)</w:t>
            </w:r>
          </w:p>
        </w:tc>
        <w:tc>
          <w:tcPr>
            <w:tcW w:w="2302" w:type="dxa"/>
            <w:tcBorders>
              <w:top w:val="single" w:sz="4" w:space="0" w:color="000000"/>
              <w:left w:val="single" w:sz="4" w:space="0" w:color="000000"/>
              <w:bottom w:val="single" w:sz="4" w:space="0" w:color="000000"/>
              <w:right w:val="single" w:sz="4" w:space="0" w:color="000000"/>
            </w:tcBorders>
          </w:tcPr>
          <w:p w14:paraId="471BF8A6" w14:textId="77777777" w:rsidR="00536CD0" w:rsidRPr="00617FC7" w:rsidRDefault="00536CD0" w:rsidP="00536CD0">
            <w:pPr>
              <w:ind w:left="5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 (1,5)</w:t>
            </w:r>
          </w:p>
        </w:tc>
      </w:tr>
      <w:tr w:rsidR="00536CD0" w:rsidRPr="00617FC7" w14:paraId="1AFF0B7D" w14:textId="77777777" w:rsidTr="00CF66F9">
        <w:trPr>
          <w:trHeight w:val="113"/>
        </w:trPr>
        <w:tc>
          <w:tcPr>
            <w:tcW w:w="2170" w:type="dxa"/>
            <w:tcBorders>
              <w:top w:val="single" w:sz="4" w:space="0" w:color="000000"/>
              <w:left w:val="single" w:sz="4" w:space="0" w:color="000000"/>
              <w:bottom w:val="single" w:sz="4" w:space="0" w:color="000000"/>
              <w:right w:val="single" w:sz="4" w:space="0" w:color="000000"/>
            </w:tcBorders>
          </w:tcPr>
          <w:p w14:paraId="159749D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Bármilyen vérzés</w:t>
            </w:r>
          </w:p>
        </w:tc>
        <w:tc>
          <w:tcPr>
            <w:tcW w:w="2302" w:type="dxa"/>
            <w:tcBorders>
              <w:top w:val="single" w:sz="4" w:space="0" w:color="000000"/>
              <w:left w:val="single" w:sz="4" w:space="0" w:color="000000"/>
              <w:bottom w:val="single" w:sz="4" w:space="0" w:color="000000"/>
              <w:right w:val="single" w:sz="4" w:space="0" w:color="000000"/>
            </w:tcBorders>
          </w:tcPr>
          <w:p w14:paraId="67F7D2C8" w14:textId="77777777" w:rsidR="00536CD0" w:rsidRPr="00617FC7" w:rsidRDefault="00536CD0" w:rsidP="00536CD0">
            <w:pPr>
              <w:ind w:left="5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258 (13,8)</w:t>
            </w:r>
          </w:p>
        </w:tc>
        <w:tc>
          <w:tcPr>
            <w:tcW w:w="2299" w:type="dxa"/>
            <w:tcBorders>
              <w:top w:val="single" w:sz="4" w:space="0" w:color="000000"/>
              <w:left w:val="single" w:sz="4" w:space="0" w:color="000000"/>
              <w:bottom w:val="single" w:sz="4" w:space="0" w:color="000000"/>
              <w:right w:val="single" w:sz="4" w:space="0" w:color="000000"/>
            </w:tcBorders>
          </w:tcPr>
          <w:p w14:paraId="295E262A" w14:textId="77777777" w:rsidR="00536CD0" w:rsidRPr="00617FC7" w:rsidRDefault="00536CD0" w:rsidP="00536CD0">
            <w:pPr>
              <w:ind w:left="5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251 (13,8)</w:t>
            </w:r>
          </w:p>
        </w:tc>
        <w:tc>
          <w:tcPr>
            <w:tcW w:w="2302" w:type="dxa"/>
            <w:tcBorders>
              <w:top w:val="single" w:sz="4" w:space="0" w:color="000000"/>
              <w:left w:val="single" w:sz="4" w:space="0" w:color="000000"/>
              <w:bottom w:val="single" w:sz="4" w:space="0" w:color="000000"/>
              <w:right w:val="single" w:sz="4" w:space="0" w:color="000000"/>
            </w:tcBorders>
          </w:tcPr>
          <w:p w14:paraId="1BEAD521" w14:textId="77777777" w:rsidR="00536CD0" w:rsidRPr="00617FC7" w:rsidRDefault="00536CD0" w:rsidP="00536CD0">
            <w:pPr>
              <w:ind w:left="5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247 (13,4)</w:t>
            </w:r>
          </w:p>
        </w:tc>
      </w:tr>
    </w:tbl>
    <w:p w14:paraId="45686C3D"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520D31F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A stroke és a szisztémás embolisatio prevenciója nem billentyű eredetű pitvarfibrillációban szenvedő, egy vagy több rizikótényezővel rendelkező felnőtt betegeknél</w:t>
      </w:r>
    </w:p>
    <w:p w14:paraId="5F43518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49AD4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14. táblázat a vérzéses eseményeket jelentős és bármilyen vérzésre lebontva mutatja a pitvarfibrilláló betegek thromboemboliás stroke és a szisztémás embolisatio prevencióját vizsgáló kulcsfontosságú vizsgálatban.</w:t>
      </w:r>
    </w:p>
    <w:p w14:paraId="32D9D7E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A3CA437" w14:textId="77777777" w:rsidR="00536CD0" w:rsidRPr="00617FC7" w:rsidRDefault="00536CD0" w:rsidP="00536CD0">
      <w:pPr>
        <w:keepNext/>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14. táblázat. Vérzéses események előfordulása a pitvarfibrilláló betegek thromboemboliás stroke és szisztémás embolisatio prevencióját vizsgáló vizsgálatban</w:t>
      </w:r>
    </w:p>
    <w:p w14:paraId="3374B004" w14:textId="77777777" w:rsidR="00536CD0" w:rsidRPr="00617FC7" w:rsidRDefault="00536CD0" w:rsidP="00536CD0">
      <w:pPr>
        <w:keepNext/>
        <w:spacing w:after="0" w:line="240" w:lineRule="auto"/>
        <w:ind w:left="1270" w:hanging="1276"/>
        <w:rPr>
          <w:rFonts w:ascii="Times New Roman" w:eastAsia="Times New Roman" w:hAnsi="Times New Roman" w:cs="Times New Roman"/>
          <w:bCs/>
          <w:noProof w:val="0"/>
          <w:color w:val="000000"/>
          <w:kern w:val="0"/>
          <w:lang w:val="hu-HU" w:eastAsia="hu-HU"/>
          <w14:ligatures w14:val="none"/>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2828"/>
        <w:gridCol w:w="2162"/>
        <w:gridCol w:w="2160"/>
        <w:gridCol w:w="1922"/>
      </w:tblGrid>
      <w:tr w:rsidR="00536CD0" w:rsidRPr="00617FC7" w14:paraId="09F5E754"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1E9161B9" w14:textId="77777777" w:rsidR="00536CD0" w:rsidRPr="00617FC7" w:rsidRDefault="00536CD0" w:rsidP="00536CD0">
            <w:pPr>
              <w:rPr>
                <w:rFonts w:ascii="Times New Roman" w:eastAsia="Times New Roman" w:hAnsi="Times New Roman" w:cs="Times New Roman"/>
                <w:noProof w:val="0"/>
                <w:color w:val="000000"/>
                <w:lang w:val="hu-HU"/>
              </w:rPr>
            </w:pPr>
          </w:p>
        </w:tc>
        <w:tc>
          <w:tcPr>
            <w:tcW w:w="2162" w:type="dxa"/>
            <w:tcBorders>
              <w:top w:val="single" w:sz="4" w:space="0" w:color="000000"/>
              <w:left w:val="single" w:sz="4" w:space="0" w:color="000000"/>
              <w:bottom w:val="single" w:sz="4" w:space="0" w:color="000000"/>
              <w:right w:val="single" w:sz="4" w:space="0" w:color="000000"/>
            </w:tcBorders>
          </w:tcPr>
          <w:p w14:paraId="4A5EA8A2" w14:textId="77777777"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Dabigatrán-etexilát naponta kétszer </w:t>
            </w:r>
          </w:p>
          <w:p w14:paraId="2C78320F"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 mg</w:t>
            </w:r>
          </w:p>
        </w:tc>
        <w:tc>
          <w:tcPr>
            <w:tcW w:w="2160" w:type="dxa"/>
            <w:tcBorders>
              <w:top w:val="single" w:sz="4" w:space="0" w:color="000000"/>
              <w:left w:val="single" w:sz="4" w:space="0" w:color="000000"/>
              <w:bottom w:val="single" w:sz="4" w:space="0" w:color="000000"/>
              <w:right w:val="single" w:sz="4" w:space="0" w:color="000000"/>
            </w:tcBorders>
          </w:tcPr>
          <w:p w14:paraId="1A252FCF" w14:textId="77777777"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Dabigatrán-etexilát naponta kétszer </w:t>
            </w:r>
          </w:p>
          <w:p w14:paraId="1FA7E12F"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w:t>
            </w:r>
          </w:p>
        </w:tc>
        <w:tc>
          <w:tcPr>
            <w:tcW w:w="1922" w:type="dxa"/>
            <w:tcBorders>
              <w:top w:val="single" w:sz="4" w:space="0" w:color="000000"/>
              <w:left w:val="single" w:sz="4" w:space="0" w:color="000000"/>
              <w:bottom w:val="single" w:sz="4" w:space="0" w:color="000000"/>
              <w:right w:val="single" w:sz="4" w:space="0" w:color="000000"/>
            </w:tcBorders>
          </w:tcPr>
          <w:p w14:paraId="06767868"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Warfarin </w:t>
            </w:r>
          </w:p>
        </w:tc>
      </w:tr>
      <w:tr w:rsidR="00536CD0" w:rsidRPr="00617FC7" w14:paraId="6CA40279"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39B8482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Randomizált betegszám</w:t>
            </w:r>
          </w:p>
        </w:tc>
        <w:tc>
          <w:tcPr>
            <w:tcW w:w="2162" w:type="dxa"/>
            <w:tcBorders>
              <w:top w:val="single" w:sz="4" w:space="0" w:color="000000"/>
              <w:left w:val="single" w:sz="4" w:space="0" w:color="000000"/>
              <w:bottom w:val="single" w:sz="4" w:space="0" w:color="000000"/>
              <w:right w:val="single" w:sz="4" w:space="0" w:color="000000"/>
            </w:tcBorders>
          </w:tcPr>
          <w:p w14:paraId="6DB5A4D6" w14:textId="77777777" w:rsidR="00536CD0" w:rsidRPr="00617FC7" w:rsidRDefault="00536CD0" w:rsidP="00F45A82">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6015</w:t>
            </w:r>
          </w:p>
        </w:tc>
        <w:tc>
          <w:tcPr>
            <w:tcW w:w="2160" w:type="dxa"/>
            <w:tcBorders>
              <w:top w:val="single" w:sz="4" w:space="0" w:color="000000"/>
              <w:left w:val="single" w:sz="4" w:space="0" w:color="000000"/>
              <w:bottom w:val="single" w:sz="4" w:space="0" w:color="000000"/>
              <w:right w:val="single" w:sz="4" w:space="0" w:color="000000"/>
            </w:tcBorders>
          </w:tcPr>
          <w:p w14:paraId="6C819250" w14:textId="6108ACAF" w:rsidR="00536CD0" w:rsidRPr="00617FC7" w:rsidRDefault="00536CD0" w:rsidP="00F45A82">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6076</w:t>
            </w:r>
          </w:p>
        </w:tc>
        <w:tc>
          <w:tcPr>
            <w:tcW w:w="1922" w:type="dxa"/>
            <w:tcBorders>
              <w:top w:val="single" w:sz="4" w:space="0" w:color="000000"/>
              <w:left w:val="single" w:sz="4" w:space="0" w:color="000000"/>
              <w:bottom w:val="single" w:sz="4" w:space="0" w:color="000000"/>
              <w:right w:val="single" w:sz="4" w:space="0" w:color="000000"/>
            </w:tcBorders>
          </w:tcPr>
          <w:p w14:paraId="41D6E88B" w14:textId="77777777" w:rsidR="00536CD0" w:rsidRPr="00617FC7" w:rsidRDefault="00536CD0" w:rsidP="00F45A82">
            <w:pPr>
              <w:ind w:left="1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6022</w:t>
            </w:r>
          </w:p>
        </w:tc>
      </w:tr>
      <w:tr w:rsidR="00536CD0" w:rsidRPr="00617FC7" w14:paraId="5D81CB3A"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6AFFBDF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14:paraId="702776AF" w14:textId="384745DF" w:rsidR="00536CD0" w:rsidRPr="00617FC7" w:rsidRDefault="00536CD0" w:rsidP="00CF66F9">
            <w:pPr>
              <w:tabs>
                <w:tab w:val="center" w:pos="427"/>
                <w:tab w:val="center" w:pos="1328"/>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347</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(2,92%)</w:t>
            </w:r>
          </w:p>
        </w:tc>
        <w:tc>
          <w:tcPr>
            <w:tcW w:w="2160" w:type="dxa"/>
            <w:tcBorders>
              <w:top w:val="single" w:sz="4" w:space="0" w:color="000000"/>
              <w:left w:val="single" w:sz="4" w:space="0" w:color="000000"/>
              <w:bottom w:val="single" w:sz="4" w:space="0" w:color="000000"/>
              <w:right w:val="single" w:sz="4" w:space="0" w:color="000000"/>
            </w:tcBorders>
          </w:tcPr>
          <w:p w14:paraId="3500FC34" w14:textId="215060DE" w:rsidR="00536CD0" w:rsidRPr="00617FC7" w:rsidRDefault="00536CD0" w:rsidP="00CF66F9">
            <w:pPr>
              <w:tabs>
                <w:tab w:val="center" w:pos="425"/>
                <w:tab w:val="center" w:pos="1326"/>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409</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(3,40%)</w:t>
            </w:r>
          </w:p>
        </w:tc>
        <w:tc>
          <w:tcPr>
            <w:tcW w:w="1922" w:type="dxa"/>
            <w:tcBorders>
              <w:top w:val="single" w:sz="4" w:space="0" w:color="000000"/>
              <w:left w:val="single" w:sz="4" w:space="0" w:color="000000"/>
              <w:bottom w:val="single" w:sz="4" w:space="0" w:color="000000"/>
              <w:right w:val="single" w:sz="4" w:space="0" w:color="000000"/>
            </w:tcBorders>
          </w:tcPr>
          <w:p w14:paraId="01D82EA3" w14:textId="23A0EADC" w:rsidR="00536CD0" w:rsidRPr="00617FC7" w:rsidRDefault="00536CD0" w:rsidP="00CF66F9">
            <w:pPr>
              <w:tabs>
                <w:tab w:val="right" w:pos="1699"/>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426</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(3,61%)</w:t>
            </w:r>
          </w:p>
        </w:tc>
      </w:tr>
      <w:tr w:rsidR="00536CD0" w:rsidRPr="00617FC7" w14:paraId="54EDE46E"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575E49C3" w14:textId="77777777" w:rsidR="00536CD0" w:rsidRPr="00617FC7" w:rsidRDefault="00536CD0" w:rsidP="00536CD0">
            <w:pPr>
              <w:ind w:left="28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Intracranialis vérzés</w:t>
            </w:r>
          </w:p>
        </w:tc>
        <w:tc>
          <w:tcPr>
            <w:tcW w:w="2162" w:type="dxa"/>
            <w:tcBorders>
              <w:top w:val="single" w:sz="4" w:space="0" w:color="000000"/>
              <w:left w:val="single" w:sz="4" w:space="0" w:color="000000"/>
              <w:bottom w:val="single" w:sz="4" w:space="0" w:color="000000"/>
              <w:right w:val="single" w:sz="4" w:space="0" w:color="000000"/>
            </w:tcBorders>
          </w:tcPr>
          <w:p w14:paraId="57409894" w14:textId="77777777" w:rsidR="00536CD0" w:rsidRPr="00617FC7" w:rsidRDefault="00536CD0" w:rsidP="00F45A82">
            <w:pPr>
              <w:ind w:lef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27(0,23%)</w:t>
            </w:r>
          </w:p>
        </w:tc>
        <w:tc>
          <w:tcPr>
            <w:tcW w:w="2160" w:type="dxa"/>
            <w:tcBorders>
              <w:top w:val="single" w:sz="4" w:space="0" w:color="000000"/>
              <w:left w:val="single" w:sz="4" w:space="0" w:color="000000"/>
              <w:bottom w:val="single" w:sz="4" w:space="0" w:color="000000"/>
              <w:right w:val="single" w:sz="4" w:space="0" w:color="000000"/>
            </w:tcBorders>
          </w:tcPr>
          <w:p w14:paraId="642A3E54" w14:textId="77777777" w:rsidR="00536CD0" w:rsidRPr="00617FC7" w:rsidRDefault="00536CD0" w:rsidP="00F45A82">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39(0,32%)</w:t>
            </w:r>
          </w:p>
        </w:tc>
        <w:tc>
          <w:tcPr>
            <w:tcW w:w="1922" w:type="dxa"/>
            <w:tcBorders>
              <w:top w:val="single" w:sz="4" w:space="0" w:color="000000"/>
              <w:left w:val="single" w:sz="4" w:space="0" w:color="000000"/>
              <w:bottom w:val="single" w:sz="4" w:space="0" w:color="000000"/>
              <w:right w:val="single" w:sz="4" w:space="0" w:color="000000"/>
            </w:tcBorders>
          </w:tcPr>
          <w:p w14:paraId="43A6112E" w14:textId="77777777" w:rsidR="00536CD0" w:rsidRPr="00617FC7" w:rsidRDefault="00536CD0" w:rsidP="00F45A82">
            <w:pPr>
              <w:ind w:lef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91(0,77%)</w:t>
            </w:r>
          </w:p>
        </w:tc>
      </w:tr>
      <w:tr w:rsidR="00536CD0" w:rsidRPr="00617FC7" w14:paraId="3F7DBE6E"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45613E2E" w14:textId="77777777" w:rsidR="00536CD0" w:rsidRPr="00617FC7" w:rsidRDefault="00536CD0" w:rsidP="00536CD0">
            <w:pPr>
              <w:ind w:left="28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GI vérzés</w:t>
            </w:r>
          </w:p>
        </w:tc>
        <w:tc>
          <w:tcPr>
            <w:tcW w:w="2162" w:type="dxa"/>
            <w:tcBorders>
              <w:top w:val="single" w:sz="4" w:space="0" w:color="000000"/>
              <w:left w:val="single" w:sz="4" w:space="0" w:color="000000"/>
              <w:bottom w:val="single" w:sz="4" w:space="0" w:color="000000"/>
              <w:right w:val="single" w:sz="4" w:space="0" w:color="000000"/>
            </w:tcBorders>
          </w:tcPr>
          <w:p w14:paraId="3E9B4BF8" w14:textId="65A72FD4" w:rsidR="00536CD0" w:rsidRPr="00617FC7" w:rsidRDefault="00536CD0" w:rsidP="00F45A82">
            <w:pPr>
              <w:ind w:lef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134</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(1,13%)</w:t>
            </w:r>
          </w:p>
        </w:tc>
        <w:tc>
          <w:tcPr>
            <w:tcW w:w="2160" w:type="dxa"/>
            <w:tcBorders>
              <w:top w:val="single" w:sz="4" w:space="0" w:color="000000"/>
              <w:left w:val="single" w:sz="4" w:space="0" w:color="000000"/>
              <w:bottom w:val="single" w:sz="4" w:space="0" w:color="000000"/>
              <w:right w:val="single" w:sz="4" w:space="0" w:color="000000"/>
            </w:tcBorders>
          </w:tcPr>
          <w:p w14:paraId="66BE3A17" w14:textId="757CB289" w:rsidR="00536CD0" w:rsidRPr="00617FC7" w:rsidRDefault="00536CD0" w:rsidP="00F45A82">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192</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(1,60%)</w:t>
            </w:r>
          </w:p>
        </w:tc>
        <w:tc>
          <w:tcPr>
            <w:tcW w:w="1922" w:type="dxa"/>
            <w:tcBorders>
              <w:top w:val="single" w:sz="4" w:space="0" w:color="000000"/>
              <w:left w:val="single" w:sz="4" w:space="0" w:color="000000"/>
              <w:bottom w:val="single" w:sz="4" w:space="0" w:color="000000"/>
              <w:right w:val="single" w:sz="4" w:space="0" w:color="000000"/>
            </w:tcBorders>
          </w:tcPr>
          <w:p w14:paraId="2AC76BC2" w14:textId="6F5EB4F6" w:rsidR="00536CD0" w:rsidRPr="00617FC7" w:rsidRDefault="00536CD0" w:rsidP="00CF66F9">
            <w:pPr>
              <w:tabs>
                <w:tab w:val="right" w:pos="1699"/>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128</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(1,09%)</w:t>
            </w:r>
          </w:p>
        </w:tc>
      </w:tr>
      <w:tr w:rsidR="00536CD0" w:rsidRPr="00617FC7" w14:paraId="2379B717"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55FF4A57" w14:textId="77777777" w:rsidR="00536CD0" w:rsidRPr="00617FC7" w:rsidRDefault="00536CD0" w:rsidP="00536CD0">
            <w:pPr>
              <w:ind w:left="28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Fatális vérzés</w:t>
            </w:r>
          </w:p>
        </w:tc>
        <w:tc>
          <w:tcPr>
            <w:tcW w:w="2162" w:type="dxa"/>
            <w:tcBorders>
              <w:top w:val="single" w:sz="4" w:space="0" w:color="000000"/>
              <w:left w:val="single" w:sz="4" w:space="0" w:color="000000"/>
              <w:bottom w:val="single" w:sz="4" w:space="0" w:color="000000"/>
              <w:right w:val="single" w:sz="4" w:space="0" w:color="000000"/>
            </w:tcBorders>
          </w:tcPr>
          <w:p w14:paraId="3DD3D747" w14:textId="16F98EC2" w:rsidR="00536CD0" w:rsidRPr="00617FC7" w:rsidRDefault="00536CD0" w:rsidP="00F45A82">
            <w:pPr>
              <w:ind w:lef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(0,22%)</w:t>
            </w:r>
          </w:p>
        </w:tc>
        <w:tc>
          <w:tcPr>
            <w:tcW w:w="2160" w:type="dxa"/>
            <w:tcBorders>
              <w:top w:val="single" w:sz="4" w:space="0" w:color="000000"/>
              <w:left w:val="single" w:sz="4" w:space="0" w:color="000000"/>
              <w:bottom w:val="single" w:sz="4" w:space="0" w:color="000000"/>
              <w:right w:val="single" w:sz="4" w:space="0" w:color="000000"/>
            </w:tcBorders>
          </w:tcPr>
          <w:p w14:paraId="02F6994F" w14:textId="68F2C32F" w:rsidR="00536CD0" w:rsidRPr="00617FC7" w:rsidRDefault="00536CD0" w:rsidP="00F45A82">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(0,25%)</w:t>
            </w:r>
          </w:p>
        </w:tc>
        <w:tc>
          <w:tcPr>
            <w:tcW w:w="1922" w:type="dxa"/>
            <w:tcBorders>
              <w:top w:val="single" w:sz="4" w:space="0" w:color="000000"/>
              <w:left w:val="single" w:sz="4" w:space="0" w:color="000000"/>
              <w:bottom w:val="single" w:sz="4" w:space="0" w:color="000000"/>
              <w:right w:val="single" w:sz="4" w:space="0" w:color="000000"/>
            </w:tcBorders>
          </w:tcPr>
          <w:p w14:paraId="49642F5C" w14:textId="1F5146AB" w:rsidR="00536CD0" w:rsidRPr="00617FC7" w:rsidRDefault="00536CD0" w:rsidP="00CF66F9">
            <w:pPr>
              <w:tabs>
                <w:tab w:val="right" w:pos="1699"/>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42</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(0,36%)</w:t>
            </w:r>
          </w:p>
        </w:tc>
      </w:tr>
      <w:tr w:rsidR="00536CD0" w:rsidRPr="00617FC7" w14:paraId="0AB40B4A"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0F71AF9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Kisebb vérzés</w:t>
            </w:r>
          </w:p>
        </w:tc>
        <w:tc>
          <w:tcPr>
            <w:tcW w:w="2162" w:type="dxa"/>
            <w:tcBorders>
              <w:top w:val="single" w:sz="4" w:space="0" w:color="000000"/>
              <w:left w:val="single" w:sz="4" w:space="0" w:color="000000"/>
              <w:bottom w:val="single" w:sz="4" w:space="0" w:color="000000"/>
              <w:right w:val="single" w:sz="4" w:space="0" w:color="000000"/>
            </w:tcBorders>
          </w:tcPr>
          <w:p w14:paraId="176A2394" w14:textId="189024BB" w:rsidR="00536CD0" w:rsidRPr="00617FC7" w:rsidRDefault="00536CD0" w:rsidP="00F45A82">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1566</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(13,16%)</w:t>
            </w:r>
          </w:p>
        </w:tc>
        <w:tc>
          <w:tcPr>
            <w:tcW w:w="2160" w:type="dxa"/>
            <w:tcBorders>
              <w:top w:val="single" w:sz="4" w:space="0" w:color="000000"/>
              <w:left w:val="single" w:sz="4" w:space="0" w:color="000000"/>
              <w:bottom w:val="single" w:sz="4" w:space="0" w:color="000000"/>
              <w:right w:val="single" w:sz="4" w:space="0" w:color="000000"/>
            </w:tcBorders>
          </w:tcPr>
          <w:p w14:paraId="5DE39192" w14:textId="24523043" w:rsidR="00536CD0" w:rsidRPr="00617FC7" w:rsidRDefault="00536CD0" w:rsidP="00F45A82">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1787</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(14,85%)</w:t>
            </w:r>
          </w:p>
        </w:tc>
        <w:tc>
          <w:tcPr>
            <w:tcW w:w="1922" w:type="dxa"/>
            <w:tcBorders>
              <w:top w:val="single" w:sz="4" w:space="0" w:color="000000"/>
              <w:left w:val="single" w:sz="4" w:space="0" w:color="000000"/>
              <w:bottom w:val="single" w:sz="4" w:space="0" w:color="000000"/>
              <w:right w:val="single" w:sz="4" w:space="0" w:color="000000"/>
            </w:tcBorders>
          </w:tcPr>
          <w:p w14:paraId="7E547FB4" w14:textId="0C10C6FF" w:rsidR="00536CD0" w:rsidRPr="00617FC7" w:rsidRDefault="00536CD0" w:rsidP="00CF66F9">
            <w:pPr>
              <w:tabs>
                <w:tab w:val="right" w:pos="1699"/>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1931</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(16,37%)</w:t>
            </w:r>
          </w:p>
        </w:tc>
      </w:tr>
      <w:tr w:rsidR="00536CD0" w:rsidRPr="00617FC7" w14:paraId="3E23C56A" w14:textId="77777777" w:rsidTr="00CF66F9">
        <w:trPr>
          <w:trHeight w:val="113"/>
        </w:trPr>
        <w:tc>
          <w:tcPr>
            <w:tcW w:w="2827" w:type="dxa"/>
            <w:tcBorders>
              <w:top w:val="single" w:sz="4" w:space="0" w:color="000000"/>
              <w:left w:val="single" w:sz="4" w:space="0" w:color="000000"/>
              <w:bottom w:val="single" w:sz="4" w:space="0" w:color="000000"/>
              <w:right w:val="single" w:sz="4" w:space="0" w:color="000000"/>
            </w:tcBorders>
          </w:tcPr>
          <w:p w14:paraId="3821C2C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Bármilyen vérzés</w:t>
            </w:r>
          </w:p>
        </w:tc>
        <w:tc>
          <w:tcPr>
            <w:tcW w:w="2162" w:type="dxa"/>
            <w:tcBorders>
              <w:top w:val="single" w:sz="4" w:space="0" w:color="000000"/>
              <w:left w:val="single" w:sz="4" w:space="0" w:color="000000"/>
              <w:bottom w:val="single" w:sz="4" w:space="0" w:color="000000"/>
              <w:right w:val="single" w:sz="4" w:space="0" w:color="000000"/>
            </w:tcBorders>
          </w:tcPr>
          <w:p w14:paraId="0239AB7A" w14:textId="5B66B7AB" w:rsidR="00536CD0" w:rsidRPr="00617FC7" w:rsidRDefault="00536CD0" w:rsidP="00F45A82">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1759</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(14,78%)</w:t>
            </w:r>
          </w:p>
        </w:tc>
        <w:tc>
          <w:tcPr>
            <w:tcW w:w="2160" w:type="dxa"/>
            <w:tcBorders>
              <w:top w:val="single" w:sz="4" w:space="0" w:color="000000"/>
              <w:left w:val="single" w:sz="4" w:space="0" w:color="000000"/>
              <w:bottom w:val="single" w:sz="4" w:space="0" w:color="000000"/>
              <w:right w:val="single" w:sz="4" w:space="0" w:color="000000"/>
            </w:tcBorders>
          </w:tcPr>
          <w:p w14:paraId="79742BBA" w14:textId="6E2E6207" w:rsidR="00536CD0" w:rsidRPr="00617FC7" w:rsidRDefault="00536CD0" w:rsidP="00F45A82">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1997</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(16,60%)</w:t>
            </w:r>
          </w:p>
        </w:tc>
        <w:tc>
          <w:tcPr>
            <w:tcW w:w="1922" w:type="dxa"/>
            <w:tcBorders>
              <w:top w:val="single" w:sz="4" w:space="0" w:color="000000"/>
              <w:left w:val="single" w:sz="4" w:space="0" w:color="000000"/>
              <w:bottom w:val="single" w:sz="4" w:space="0" w:color="000000"/>
              <w:right w:val="single" w:sz="4" w:space="0" w:color="000000"/>
            </w:tcBorders>
          </w:tcPr>
          <w:p w14:paraId="78BE788E" w14:textId="7AAED2F0" w:rsidR="00536CD0" w:rsidRPr="00617FC7" w:rsidRDefault="00536CD0" w:rsidP="00CF66F9">
            <w:pPr>
              <w:tabs>
                <w:tab w:val="right" w:pos="1699"/>
              </w:tabs>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2169</w:t>
            </w:r>
            <w:r w:rsidR="00F45A82">
              <w:rPr>
                <w:rFonts w:ascii="Times New Roman" w:eastAsia="Times New Roman" w:hAnsi="Times New Roman" w:cs="Times New Roman"/>
                <w:noProof w:val="0"/>
                <w:color w:val="000000"/>
                <w:lang w:val="hu-HU"/>
              </w:rPr>
              <w:t xml:space="preserve"> </w:t>
            </w:r>
            <w:r w:rsidRPr="00617FC7">
              <w:rPr>
                <w:rFonts w:ascii="Times New Roman" w:eastAsia="Times New Roman" w:hAnsi="Times New Roman" w:cs="Times New Roman"/>
                <w:noProof w:val="0"/>
                <w:color w:val="000000"/>
                <w:lang w:val="hu-HU"/>
              </w:rPr>
              <w:t>(18,39%)</w:t>
            </w:r>
          </w:p>
        </w:tc>
      </w:tr>
    </w:tbl>
    <w:p w14:paraId="7D5947A6" w14:textId="77777777" w:rsidR="00536CD0" w:rsidRPr="00617FC7" w:rsidRDefault="00536CD0" w:rsidP="00536CD0">
      <w:pPr>
        <w:spacing w:after="0" w:line="240" w:lineRule="auto"/>
        <w:ind w:left="7" w:right="222" w:hanging="10"/>
        <w:rPr>
          <w:rFonts w:ascii="Times New Roman" w:eastAsia="Times New Roman" w:hAnsi="Times New Roman" w:cs="Times New Roman"/>
          <w:noProof w:val="0"/>
          <w:color w:val="000000"/>
          <w:kern w:val="0"/>
          <w:lang w:val="hu-HU" w:eastAsia="hu-HU"/>
          <w14:ligatures w14:val="none"/>
        </w:rPr>
      </w:pPr>
    </w:p>
    <w:p w14:paraId="651EAAD5" w14:textId="50DB93F3" w:rsidR="00536CD0" w:rsidRPr="00617FC7" w:rsidRDefault="00536CD0" w:rsidP="00536CD0">
      <w:pPr>
        <w:spacing w:after="0" w:line="240" w:lineRule="auto"/>
        <w:ind w:left="7" w:right="2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randomizáció alapján napi kétszer 110 mg vagy 150 mg dabigatrán-etexilátot kapó betegeknél szignifikánsan alacsonyabb volt az életveszélyes vérzések és intracranialis vérzés kockázata, mint a warfarin esetében [p &lt; 0,05]. A dabigatrán-etexilát mindkét dóziserőssége esetében statisztikailag szignifikáns mértékben kisebb volt az összes vérzés aránya is. A randomizáció alapján napi kétszer 110 mg dabigatrán-etexilátot kapó betegeknél szignifikánsan alacsonyabb volt a jelentős vérzés kockázata, mint a warfarin esetében (relatív hazárd [hazard ratio] 0,81 [p</w:t>
      </w:r>
      <w:r w:rsidR="00F45A82">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F45A82">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0,0027]). A randomizáció alapján napi kétszer 150 mg dabigatrán-etexilátot kapó betegeknél szignifikánsan magasabb volt a jelentős gastrointestinalis vérzések kockázata, mint a warfarin esetében (relatív hazárd [hazard ratio] 1,48 [p</w:t>
      </w:r>
      <w:r w:rsidR="00F45A82">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F45A82">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0,0005]). Ezt a hatást elsősorban 75 éves vagy annál idősebb betegeknél észlelték.</w:t>
      </w:r>
    </w:p>
    <w:p w14:paraId="648C8D36" w14:textId="6CC65E0B" w:rsidR="00536CD0" w:rsidRPr="00617FC7" w:rsidRDefault="00536CD0" w:rsidP="00536CD0">
      <w:pPr>
        <w:spacing w:after="0" w:line="240" w:lineRule="auto"/>
        <w:ind w:left="7" w:right="2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 klinikai haszna a stroke és a szisztémás embolisatio prevenciója vonatkozásában, valamint az ICH kisebb kockázata a warfarinnal összehasonlítva megmarad az egyes alcsoportok esetén is,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károsodott veseműködés, életkor, egyidejűleg alkalmazott gyógyszer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thrombocytaaggregáció-gátlókkal vagy P-gp-inhibitorokkal. Míg bizonyos betegcsoportokban fokozott a jelentős vérzés kockázata antikoaguláns-kezelés esetén, dabigatrán esetében a vérzésveszély többletét döntően a GI vérzés adja, ami jellemzően a dabigatrán-etexilát-kezelés elkezdését követő első 3</w:t>
      </w:r>
      <w:r w:rsidR="001641F3"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6 hónapon belül észlelhető.</w:t>
      </w:r>
    </w:p>
    <w:p w14:paraId="7F1236AA"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78C82718"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MVT és PE kezelése, és az MVT és PE kiújulásának megelőzése felnőtt betegeknél</w:t>
      </w:r>
    </w:p>
    <w:p w14:paraId="3190AFF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6BC68E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15.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warfarin esetében (névleges alfa-érték 5%).</w:t>
      </w:r>
    </w:p>
    <w:p w14:paraId="5510762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3908329" w14:textId="77777777" w:rsidR="00536CD0" w:rsidRPr="00617FC7" w:rsidRDefault="00536CD0" w:rsidP="00536CD0">
      <w:pPr>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lastRenderedPageBreak/>
        <w:t>15. táblázat. A RE-COVER és RE-COVER II vizsgálatokban az MVT és PE kezelése során észlelt vérzéses események.</w:t>
      </w:r>
    </w:p>
    <w:p w14:paraId="0A04BE6C" w14:textId="77777777" w:rsidR="00536CD0" w:rsidRPr="00617FC7" w:rsidRDefault="00536CD0" w:rsidP="00536CD0">
      <w:pPr>
        <w:spacing w:after="0" w:line="240" w:lineRule="auto"/>
        <w:rPr>
          <w:rFonts w:ascii="Times New Roman" w:eastAsia="Times New Roman" w:hAnsi="Times New Roman" w:cs="Times New Roman"/>
          <w:bCs/>
          <w:noProof w:val="0"/>
          <w:color w:val="000000"/>
          <w:kern w:val="0"/>
          <w:lang w:val="hu-HU" w:eastAsia="hu-HU"/>
          <w14:ligatures w14:val="none"/>
        </w:rPr>
      </w:pPr>
    </w:p>
    <w:tbl>
      <w:tblPr>
        <w:tblStyle w:val="TableGrid"/>
        <w:tblW w:w="9214" w:type="dxa"/>
        <w:tblInd w:w="-60" w:type="dxa"/>
        <w:tblCellMar>
          <w:top w:w="51" w:type="dxa"/>
          <w:left w:w="108" w:type="dxa"/>
          <w:right w:w="69" w:type="dxa"/>
        </w:tblCellMar>
        <w:tblLook w:val="04A0" w:firstRow="1" w:lastRow="0" w:firstColumn="1" w:lastColumn="0" w:noHBand="0" w:noVBand="1"/>
      </w:tblPr>
      <w:tblGrid>
        <w:gridCol w:w="2813"/>
        <w:gridCol w:w="2062"/>
        <w:gridCol w:w="1701"/>
        <w:gridCol w:w="2638"/>
      </w:tblGrid>
      <w:tr w:rsidR="00536CD0" w:rsidRPr="00617FC7" w14:paraId="2DE0254D"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7309F8E4" w14:textId="77777777" w:rsidR="00536CD0" w:rsidRPr="00617FC7" w:rsidRDefault="00536CD0" w:rsidP="00536CD0">
            <w:pPr>
              <w:rPr>
                <w:rFonts w:ascii="Times New Roman" w:eastAsia="Times New Roman" w:hAnsi="Times New Roman" w:cs="Times New Roman"/>
                <w:noProof w:val="0"/>
                <w:color w:val="000000"/>
                <w:lang w:val="hu-HU"/>
              </w:rPr>
            </w:pPr>
          </w:p>
        </w:tc>
        <w:tc>
          <w:tcPr>
            <w:tcW w:w="2062" w:type="dxa"/>
            <w:tcBorders>
              <w:top w:val="single" w:sz="4" w:space="0" w:color="000000"/>
              <w:left w:val="single" w:sz="4" w:space="0" w:color="000000"/>
              <w:bottom w:val="single" w:sz="4" w:space="0" w:color="000000"/>
              <w:right w:val="single" w:sz="4" w:space="0" w:color="000000"/>
            </w:tcBorders>
          </w:tcPr>
          <w:p w14:paraId="609E43DA" w14:textId="77777777"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Dabigatrán-etexilát naponta kétszer </w:t>
            </w:r>
          </w:p>
          <w:p w14:paraId="329DFA4E"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w:t>
            </w:r>
          </w:p>
        </w:tc>
        <w:tc>
          <w:tcPr>
            <w:tcW w:w="1701" w:type="dxa"/>
            <w:tcBorders>
              <w:top w:val="single" w:sz="4" w:space="0" w:color="000000"/>
              <w:left w:val="single" w:sz="4" w:space="0" w:color="000000"/>
              <w:bottom w:val="single" w:sz="4" w:space="0" w:color="000000"/>
              <w:right w:val="single" w:sz="4" w:space="0" w:color="000000"/>
            </w:tcBorders>
          </w:tcPr>
          <w:p w14:paraId="719862B1" w14:textId="77777777" w:rsidR="00536CD0" w:rsidRPr="00617FC7" w:rsidRDefault="00536CD0" w:rsidP="00536CD0">
            <w:pPr>
              <w:ind w:righ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Warfarin </w:t>
            </w:r>
          </w:p>
        </w:tc>
        <w:tc>
          <w:tcPr>
            <w:tcW w:w="2638" w:type="dxa"/>
            <w:tcBorders>
              <w:top w:val="single" w:sz="4" w:space="0" w:color="000000"/>
              <w:left w:val="single" w:sz="4" w:space="0" w:color="000000"/>
              <w:bottom w:val="single" w:sz="4" w:space="0" w:color="000000"/>
              <w:right w:val="single" w:sz="4" w:space="0" w:color="000000"/>
            </w:tcBorders>
          </w:tcPr>
          <w:p w14:paraId="230321C5" w14:textId="1112C6CF" w:rsidR="00536CD0" w:rsidRPr="00617FC7" w:rsidRDefault="00536CD0" w:rsidP="00CF66F9">
            <w:pPr>
              <w:ind w:righ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w:t>
            </w:r>
          </w:p>
          <w:p w14:paraId="4A335211" w14:textId="77777777"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r>
      <w:tr w:rsidR="00536CD0" w:rsidRPr="00617FC7" w14:paraId="2EC3F917"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0B03CD9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A biztonságossági elemzésbe bevont betegek száma </w:t>
            </w:r>
          </w:p>
        </w:tc>
        <w:tc>
          <w:tcPr>
            <w:tcW w:w="2062" w:type="dxa"/>
            <w:tcBorders>
              <w:top w:val="single" w:sz="4" w:space="0" w:color="000000"/>
              <w:left w:val="single" w:sz="4" w:space="0" w:color="000000"/>
              <w:bottom w:val="single" w:sz="4" w:space="0" w:color="000000"/>
              <w:right w:val="single" w:sz="4" w:space="0" w:color="000000"/>
            </w:tcBorders>
          </w:tcPr>
          <w:p w14:paraId="2BF40DA7"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2456 </w:t>
            </w:r>
          </w:p>
        </w:tc>
        <w:tc>
          <w:tcPr>
            <w:tcW w:w="1701" w:type="dxa"/>
            <w:tcBorders>
              <w:top w:val="single" w:sz="4" w:space="0" w:color="000000"/>
              <w:left w:val="single" w:sz="4" w:space="0" w:color="000000"/>
              <w:bottom w:val="single" w:sz="4" w:space="0" w:color="000000"/>
              <w:right w:val="single" w:sz="4" w:space="0" w:color="000000"/>
            </w:tcBorders>
          </w:tcPr>
          <w:p w14:paraId="4CBC7EAF" w14:textId="77777777" w:rsidR="00536CD0" w:rsidRPr="00617FC7" w:rsidRDefault="00536CD0" w:rsidP="00536CD0">
            <w:pPr>
              <w:ind w:righ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2462 </w:t>
            </w:r>
          </w:p>
        </w:tc>
        <w:tc>
          <w:tcPr>
            <w:tcW w:w="2638" w:type="dxa"/>
            <w:tcBorders>
              <w:top w:val="single" w:sz="4" w:space="0" w:color="000000"/>
              <w:left w:val="single" w:sz="4" w:space="0" w:color="000000"/>
              <w:bottom w:val="single" w:sz="4" w:space="0" w:color="000000"/>
              <w:right w:val="single" w:sz="4" w:space="0" w:color="000000"/>
            </w:tcBorders>
          </w:tcPr>
          <w:p w14:paraId="7654D032"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A7CE7F7"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2F37A2A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Major vérzéses esemény </w:t>
            </w:r>
          </w:p>
        </w:tc>
        <w:tc>
          <w:tcPr>
            <w:tcW w:w="2062" w:type="dxa"/>
            <w:tcBorders>
              <w:top w:val="single" w:sz="4" w:space="0" w:color="000000"/>
              <w:left w:val="single" w:sz="4" w:space="0" w:color="000000"/>
              <w:bottom w:val="single" w:sz="4" w:space="0" w:color="000000"/>
              <w:right w:val="single" w:sz="4" w:space="0" w:color="000000"/>
            </w:tcBorders>
          </w:tcPr>
          <w:p w14:paraId="0466A19B"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24 (1,0%)</w:t>
            </w:r>
          </w:p>
        </w:tc>
        <w:tc>
          <w:tcPr>
            <w:tcW w:w="1701" w:type="dxa"/>
            <w:tcBorders>
              <w:top w:val="single" w:sz="4" w:space="0" w:color="000000"/>
              <w:left w:val="single" w:sz="4" w:space="0" w:color="000000"/>
              <w:bottom w:val="single" w:sz="4" w:space="0" w:color="000000"/>
              <w:right w:val="single" w:sz="4" w:space="0" w:color="000000"/>
            </w:tcBorders>
          </w:tcPr>
          <w:p w14:paraId="705263BD"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 (1,6%)</w:t>
            </w:r>
          </w:p>
        </w:tc>
        <w:tc>
          <w:tcPr>
            <w:tcW w:w="2638" w:type="dxa"/>
            <w:tcBorders>
              <w:top w:val="single" w:sz="4" w:space="0" w:color="000000"/>
              <w:left w:val="single" w:sz="4" w:space="0" w:color="000000"/>
              <w:bottom w:val="single" w:sz="4" w:space="0" w:color="000000"/>
              <w:right w:val="single" w:sz="4" w:space="0" w:color="000000"/>
            </w:tcBorders>
          </w:tcPr>
          <w:p w14:paraId="23C93EDA"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0,60 (0,36, 0,99)</w:t>
            </w:r>
          </w:p>
        </w:tc>
      </w:tr>
      <w:tr w:rsidR="00536CD0" w:rsidRPr="00617FC7" w14:paraId="0BFE1888"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24DBE678" w14:textId="77777777" w:rsidR="00536CD0" w:rsidRPr="00617FC7" w:rsidRDefault="00536CD0" w:rsidP="00CF66F9">
            <w:pPr>
              <w:ind w:left="37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Intracranialis vérzés</w:t>
            </w:r>
          </w:p>
        </w:tc>
        <w:tc>
          <w:tcPr>
            <w:tcW w:w="2062" w:type="dxa"/>
            <w:tcBorders>
              <w:top w:val="single" w:sz="4" w:space="0" w:color="000000"/>
              <w:left w:val="single" w:sz="4" w:space="0" w:color="000000"/>
              <w:bottom w:val="single" w:sz="4" w:space="0" w:color="000000"/>
              <w:right w:val="single" w:sz="4" w:space="0" w:color="000000"/>
            </w:tcBorders>
          </w:tcPr>
          <w:p w14:paraId="23254743"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(0,1%)</w:t>
            </w:r>
          </w:p>
        </w:tc>
        <w:tc>
          <w:tcPr>
            <w:tcW w:w="1701" w:type="dxa"/>
            <w:tcBorders>
              <w:top w:val="single" w:sz="4" w:space="0" w:color="000000"/>
              <w:left w:val="single" w:sz="4" w:space="0" w:color="000000"/>
              <w:bottom w:val="single" w:sz="4" w:space="0" w:color="000000"/>
              <w:right w:val="single" w:sz="4" w:space="0" w:color="000000"/>
            </w:tcBorders>
          </w:tcPr>
          <w:p w14:paraId="682B9B9F"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(0,2%)</w:t>
            </w:r>
          </w:p>
        </w:tc>
        <w:tc>
          <w:tcPr>
            <w:tcW w:w="2638" w:type="dxa"/>
            <w:tcBorders>
              <w:top w:val="single" w:sz="4" w:space="0" w:color="000000"/>
              <w:left w:val="single" w:sz="4" w:space="0" w:color="000000"/>
              <w:bottom w:val="single" w:sz="4" w:space="0" w:color="000000"/>
              <w:right w:val="single" w:sz="4" w:space="0" w:color="000000"/>
            </w:tcBorders>
          </w:tcPr>
          <w:p w14:paraId="6BFE0B22"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0,50 (0,09, 2,74)</w:t>
            </w:r>
          </w:p>
        </w:tc>
      </w:tr>
      <w:tr w:rsidR="00536CD0" w:rsidRPr="00617FC7" w14:paraId="4E997140"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2DFFD294" w14:textId="77777777" w:rsidR="00536CD0" w:rsidRPr="00617FC7" w:rsidRDefault="00536CD0" w:rsidP="00CF66F9">
            <w:pPr>
              <w:ind w:left="37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Major GI vérzés</w:t>
            </w:r>
          </w:p>
        </w:tc>
        <w:tc>
          <w:tcPr>
            <w:tcW w:w="2062" w:type="dxa"/>
            <w:tcBorders>
              <w:top w:val="single" w:sz="4" w:space="0" w:color="000000"/>
              <w:left w:val="single" w:sz="4" w:space="0" w:color="000000"/>
              <w:bottom w:val="single" w:sz="4" w:space="0" w:color="000000"/>
              <w:right w:val="single" w:sz="4" w:space="0" w:color="000000"/>
            </w:tcBorders>
          </w:tcPr>
          <w:p w14:paraId="4A3E41F2"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 (0,4%)</w:t>
            </w:r>
          </w:p>
        </w:tc>
        <w:tc>
          <w:tcPr>
            <w:tcW w:w="1701" w:type="dxa"/>
            <w:tcBorders>
              <w:top w:val="single" w:sz="4" w:space="0" w:color="000000"/>
              <w:left w:val="single" w:sz="4" w:space="0" w:color="000000"/>
              <w:bottom w:val="single" w:sz="4" w:space="0" w:color="000000"/>
              <w:right w:val="single" w:sz="4" w:space="0" w:color="000000"/>
            </w:tcBorders>
          </w:tcPr>
          <w:p w14:paraId="5174B402"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 (0,5%)</w:t>
            </w:r>
          </w:p>
        </w:tc>
        <w:tc>
          <w:tcPr>
            <w:tcW w:w="2638" w:type="dxa"/>
            <w:tcBorders>
              <w:top w:val="single" w:sz="4" w:space="0" w:color="000000"/>
              <w:left w:val="single" w:sz="4" w:space="0" w:color="000000"/>
              <w:bottom w:val="single" w:sz="4" w:space="0" w:color="000000"/>
              <w:right w:val="single" w:sz="4" w:space="0" w:color="000000"/>
            </w:tcBorders>
          </w:tcPr>
          <w:p w14:paraId="052A9B6E"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0,83 (0,36, 1,93)</w:t>
            </w:r>
          </w:p>
        </w:tc>
      </w:tr>
      <w:tr w:rsidR="00536CD0" w:rsidRPr="00617FC7" w14:paraId="6268AD0C"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6F9A771E" w14:textId="77777777" w:rsidR="00536CD0" w:rsidRPr="00617FC7" w:rsidRDefault="00536CD0" w:rsidP="00CF66F9">
            <w:pPr>
              <w:ind w:left="37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Életet veszélyeztető vérzés</w:t>
            </w:r>
          </w:p>
        </w:tc>
        <w:tc>
          <w:tcPr>
            <w:tcW w:w="2062" w:type="dxa"/>
            <w:tcBorders>
              <w:top w:val="single" w:sz="4" w:space="0" w:color="000000"/>
              <w:left w:val="single" w:sz="4" w:space="0" w:color="000000"/>
              <w:bottom w:val="single" w:sz="4" w:space="0" w:color="000000"/>
              <w:right w:val="single" w:sz="4" w:space="0" w:color="000000"/>
            </w:tcBorders>
          </w:tcPr>
          <w:p w14:paraId="13D8B60F"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(0,2 %)</w:t>
            </w:r>
          </w:p>
        </w:tc>
        <w:tc>
          <w:tcPr>
            <w:tcW w:w="1701" w:type="dxa"/>
            <w:tcBorders>
              <w:top w:val="single" w:sz="4" w:space="0" w:color="000000"/>
              <w:left w:val="single" w:sz="4" w:space="0" w:color="000000"/>
              <w:bottom w:val="single" w:sz="4" w:space="0" w:color="000000"/>
              <w:right w:val="single" w:sz="4" w:space="0" w:color="000000"/>
            </w:tcBorders>
          </w:tcPr>
          <w:p w14:paraId="7BCD102C"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 (0,2%)</w:t>
            </w:r>
          </w:p>
        </w:tc>
        <w:tc>
          <w:tcPr>
            <w:tcW w:w="2638" w:type="dxa"/>
            <w:tcBorders>
              <w:top w:val="single" w:sz="4" w:space="0" w:color="000000"/>
              <w:left w:val="single" w:sz="4" w:space="0" w:color="000000"/>
              <w:bottom w:val="single" w:sz="4" w:space="0" w:color="000000"/>
              <w:right w:val="single" w:sz="4" w:space="0" w:color="000000"/>
            </w:tcBorders>
          </w:tcPr>
          <w:p w14:paraId="04F26711"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0,66 (0,19, 2,36)</w:t>
            </w:r>
          </w:p>
        </w:tc>
      </w:tr>
      <w:tr w:rsidR="00536CD0" w:rsidRPr="00617FC7" w14:paraId="7211475D"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3E66117F" w14:textId="18619B97" w:rsidR="00536CD0" w:rsidRPr="00617FC7" w:rsidRDefault="00536CD0" w:rsidP="0075067D">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Major vérzéses esemény /klinikailag releváns vérzés </w:t>
            </w:r>
          </w:p>
        </w:tc>
        <w:tc>
          <w:tcPr>
            <w:tcW w:w="2062" w:type="dxa"/>
            <w:tcBorders>
              <w:top w:val="single" w:sz="4" w:space="0" w:color="000000"/>
              <w:left w:val="single" w:sz="4" w:space="0" w:color="000000"/>
              <w:bottom w:val="single" w:sz="4" w:space="0" w:color="000000"/>
              <w:right w:val="single" w:sz="4" w:space="0" w:color="000000"/>
            </w:tcBorders>
          </w:tcPr>
          <w:p w14:paraId="6CBA0F59"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109 (4,4%)</w:t>
            </w:r>
          </w:p>
        </w:tc>
        <w:tc>
          <w:tcPr>
            <w:tcW w:w="1701" w:type="dxa"/>
            <w:tcBorders>
              <w:top w:val="single" w:sz="4" w:space="0" w:color="000000"/>
              <w:left w:val="single" w:sz="4" w:space="0" w:color="000000"/>
              <w:bottom w:val="single" w:sz="4" w:space="0" w:color="000000"/>
              <w:right w:val="single" w:sz="4" w:space="0" w:color="000000"/>
            </w:tcBorders>
          </w:tcPr>
          <w:p w14:paraId="38EBBDD9"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189 (7,7%)</w:t>
            </w:r>
          </w:p>
        </w:tc>
        <w:tc>
          <w:tcPr>
            <w:tcW w:w="2638" w:type="dxa"/>
            <w:tcBorders>
              <w:top w:val="single" w:sz="4" w:space="0" w:color="000000"/>
              <w:left w:val="single" w:sz="4" w:space="0" w:color="000000"/>
              <w:bottom w:val="single" w:sz="4" w:space="0" w:color="000000"/>
              <w:right w:val="single" w:sz="4" w:space="0" w:color="000000"/>
            </w:tcBorders>
          </w:tcPr>
          <w:p w14:paraId="46DEF2B1"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0,56 (0,45, 0,71)</w:t>
            </w:r>
          </w:p>
        </w:tc>
      </w:tr>
      <w:tr w:rsidR="00536CD0" w:rsidRPr="00617FC7" w14:paraId="3ECCACFF"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1BEBBD8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Bármilyen vérzés </w:t>
            </w:r>
          </w:p>
        </w:tc>
        <w:tc>
          <w:tcPr>
            <w:tcW w:w="2062" w:type="dxa"/>
            <w:tcBorders>
              <w:top w:val="single" w:sz="4" w:space="0" w:color="000000"/>
              <w:left w:val="single" w:sz="4" w:space="0" w:color="000000"/>
              <w:bottom w:val="single" w:sz="4" w:space="0" w:color="000000"/>
              <w:right w:val="single" w:sz="4" w:space="0" w:color="000000"/>
            </w:tcBorders>
          </w:tcPr>
          <w:p w14:paraId="3DD30943"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354 (14,4%)</w:t>
            </w:r>
          </w:p>
        </w:tc>
        <w:tc>
          <w:tcPr>
            <w:tcW w:w="1701" w:type="dxa"/>
            <w:tcBorders>
              <w:top w:val="single" w:sz="4" w:space="0" w:color="000000"/>
              <w:left w:val="single" w:sz="4" w:space="0" w:color="000000"/>
              <w:bottom w:val="single" w:sz="4" w:space="0" w:color="000000"/>
              <w:right w:val="single" w:sz="4" w:space="0" w:color="000000"/>
            </w:tcBorders>
          </w:tcPr>
          <w:p w14:paraId="641716AB"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503 (20,4%)</w:t>
            </w:r>
          </w:p>
        </w:tc>
        <w:tc>
          <w:tcPr>
            <w:tcW w:w="2638" w:type="dxa"/>
            <w:tcBorders>
              <w:top w:val="single" w:sz="4" w:space="0" w:color="000000"/>
              <w:left w:val="single" w:sz="4" w:space="0" w:color="000000"/>
              <w:bottom w:val="single" w:sz="4" w:space="0" w:color="000000"/>
              <w:right w:val="single" w:sz="4" w:space="0" w:color="000000"/>
            </w:tcBorders>
          </w:tcPr>
          <w:p w14:paraId="64CD9B53"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0,67 (0,59, 0,77)</w:t>
            </w:r>
          </w:p>
        </w:tc>
      </w:tr>
      <w:tr w:rsidR="00536CD0" w:rsidRPr="00617FC7" w14:paraId="3E6BE82C"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4D15976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Bármilyen GI vérzés </w:t>
            </w:r>
          </w:p>
        </w:tc>
        <w:tc>
          <w:tcPr>
            <w:tcW w:w="2062" w:type="dxa"/>
            <w:tcBorders>
              <w:top w:val="single" w:sz="4" w:space="0" w:color="000000"/>
              <w:left w:val="single" w:sz="4" w:space="0" w:color="000000"/>
              <w:bottom w:val="single" w:sz="4" w:space="0" w:color="000000"/>
              <w:right w:val="single" w:sz="4" w:space="0" w:color="000000"/>
            </w:tcBorders>
          </w:tcPr>
          <w:p w14:paraId="505EA31C"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70 (2,9%)</w:t>
            </w:r>
          </w:p>
        </w:tc>
        <w:tc>
          <w:tcPr>
            <w:tcW w:w="1701" w:type="dxa"/>
            <w:tcBorders>
              <w:top w:val="single" w:sz="4" w:space="0" w:color="000000"/>
              <w:left w:val="single" w:sz="4" w:space="0" w:color="000000"/>
              <w:bottom w:val="single" w:sz="4" w:space="0" w:color="000000"/>
              <w:right w:val="single" w:sz="4" w:space="0" w:color="000000"/>
            </w:tcBorders>
          </w:tcPr>
          <w:p w14:paraId="59A44EB3" w14:textId="77777777" w:rsidR="00536CD0" w:rsidRPr="00617FC7" w:rsidRDefault="00536CD0" w:rsidP="00536CD0">
            <w:pPr>
              <w:ind w:righ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55 (2,2%)</w:t>
            </w:r>
          </w:p>
        </w:tc>
        <w:tc>
          <w:tcPr>
            <w:tcW w:w="2638" w:type="dxa"/>
            <w:tcBorders>
              <w:top w:val="single" w:sz="4" w:space="0" w:color="000000"/>
              <w:left w:val="single" w:sz="4" w:space="0" w:color="000000"/>
              <w:bottom w:val="single" w:sz="4" w:space="0" w:color="000000"/>
              <w:right w:val="single" w:sz="4" w:space="0" w:color="000000"/>
            </w:tcBorders>
          </w:tcPr>
          <w:p w14:paraId="0F6C0797" w14:textId="77777777" w:rsidR="00536CD0" w:rsidRPr="00617FC7" w:rsidRDefault="00536CD0" w:rsidP="00536CD0">
            <w:pPr>
              <w:ind w:right="3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1,27 (0,90, 1,82)</w:t>
            </w:r>
          </w:p>
        </w:tc>
      </w:tr>
    </w:tbl>
    <w:p w14:paraId="4CB6C24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A4876B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vérzéses eseményeket mindkét kezelés esetében a parenterális kezelés leállítását követően, a dabigatrán-etexilát, illetve a warfarin első bevételétől számolták (csak </w:t>
      </w:r>
      <w:r w:rsidRPr="00617FC7">
        <w:rPr>
          <w:rFonts w:ascii="Times New Roman" w:eastAsia="Times New Roman" w:hAnsi="Times New Roman" w:cs="Times New Roman"/>
          <w:i/>
          <w:iCs/>
          <w:noProof w:val="0"/>
          <w:color w:val="000000"/>
          <w:kern w:val="0"/>
          <w:lang w:val="hu-HU" w:eastAsia="hu-HU"/>
          <w14:ligatures w14:val="none"/>
        </w:rPr>
        <w:t>per os</w:t>
      </w:r>
      <w:r w:rsidRPr="00617FC7">
        <w:rPr>
          <w:rFonts w:ascii="Times New Roman" w:eastAsia="Times New Roman" w:hAnsi="Times New Roman" w:cs="Times New Roman"/>
          <w:noProof w:val="0"/>
          <w:color w:val="000000"/>
          <w:kern w:val="0"/>
          <w:lang w:val="hu-HU" w:eastAsia="hu-HU"/>
          <w14:ligatures w14:val="none"/>
        </w:rPr>
        <w:t xml:space="preserve"> kezelési periódus). Ide tartozik minden, a dabigatrán-etexilát-kezelés alatt előforduló vérzéses esemény. A warfarin-kezelés alatt előforduló összes vérzéses esemény bekerült az összesítésbe, kivéve azokat, amelyek a warfarin és parenterális kezelés átfedő periódusában jelentkeztek.</w:t>
      </w:r>
    </w:p>
    <w:p w14:paraId="68FEF82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8841BA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16. táblázat a kulcsfontosságú RE-MEDY, az MVT és PE prevenciós vizsgálatban észlelt vérzéses eseményeket mutatja. A vérzéses események (mint a major vérzés, major vagy klinikailag releváns vérzéses esemény és bármilyen vérzés) szignifikánsan alacsonyabb gyakorisággal fordultak elő a dabigatrán-etexilát-kezelés mellett, mint a warfarin esetében (névleges alfa-érték 5%).</w:t>
      </w:r>
    </w:p>
    <w:p w14:paraId="1F24F9A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88A79C5" w14:textId="77777777" w:rsidR="00536CD0" w:rsidRPr="00617FC7" w:rsidRDefault="00536CD0" w:rsidP="00536CD0">
      <w:pPr>
        <w:keepNext/>
        <w:tabs>
          <w:tab w:val="center" w:pos="5149"/>
        </w:tabs>
        <w:spacing w:after="0" w:line="240" w:lineRule="auto"/>
        <w:ind w:left="-6"/>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16. táblázat. A RE-MEDY – MVT és PE prevenciós vizsgálatban észlelt vérzéses események.</w:t>
      </w:r>
    </w:p>
    <w:p w14:paraId="236E6F4F" w14:textId="77777777" w:rsidR="00536CD0" w:rsidRPr="00617FC7" w:rsidRDefault="00536CD0" w:rsidP="00536CD0">
      <w:pPr>
        <w:keepNext/>
        <w:tabs>
          <w:tab w:val="center" w:pos="5149"/>
        </w:tabs>
        <w:spacing w:after="0" w:line="240" w:lineRule="auto"/>
        <w:ind w:left="-6"/>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8" w:type="dxa"/>
          <w:right w:w="88" w:type="dxa"/>
        </w:tblCellMar>
        <w:tblLook w:val="04A0" w:firstRow="1" w:lastRow="0" w:firstColumn="1" w:lastColumn="0" w:noHBand="0" w:noVBand="1"/>
      </w:tblPr>
      <w:tblGrid>
        <w:gridCol w:w="2815"/>
        <w:gridCol w:w="2201"/>
        <w:gridCol w:w="1908"/>
        <w:gridCol w:w="2136"/>
      </w:tblGrid>
      <w:tr w:rsidR="00536CD0" w:rsidRPr="00617FC7" w14:paraId="5CCF0A47"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5EB0DD06" w14:textId="77777777" w:rsidR="00536CD0" w:rsidRPr="00617FC7" w:rsidRDefault="00536CD0" w:rsidP="00536CD0">
            <w:pPr>
              <w:rPr>
                <w:rFonts w:ascii="Times New Roman" w:eastAsia="Times New Roman" w:hAnsi="Times New Roman" w:cs="Times New Roman"/>
                <w:noProof w:val="0"/>
                <w:color w:val="000000"/>
                <w:lang w:val="hu-HU"/>
              </w:rPr>
            </w:pPr>
          </w:p>
        </w:tc>
        <w:tc>
          <w:tcPr>
            <w:tcW w:w="2201" w:type="dxa"/>
            <w:tcBorders>
              <w:top w:val="single" w:sz="4" w:space="0" w:color="000000"/>
              <w:left w:val="single" w:sz="4" w:space="0" w:color="000000"/>
              <w:bottom w:val="single" w:sz="4" w:space="0" w:color="000000"/>
              <w:right w:val="single" w:sz="4" w:space="0" w:color="000000"/>
            </w:tcBorders>
          </w:tcPr>
          <w:p w14:paraId="421C1947" w14:textId="77777777" w:rsidR="00536CD0" w:rsidRPr="00617FC7" w:rsidRDefault="00536CD0" w:rsidP="00536CD0">
            <w:pPr>
              <w:ind w:right="1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Dabigatrán-etexilát </w:t>
            </w:r>
          </w:p>
          <w:p w14:paraId="4B029A6D" w14:textId="77777777" w:rsidR="00536CD0" w:rsidRPr="00617FC7" w:rsidRDefault="00536CD0" w:rsidP="00536CD0">
            <w:pPr>
              <w:ind w:right="2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150 mg naponta </w:t>
            </w:r>
          </w:p>
          <w:p w14:paraId="3DEB1513" w14:textId="77777777" w:rsidR="00536CD0" w:rsidRPr="00617FC7" w:rsidRDefault="00536CD0" w:rsidP="00536CD0">
            <w:pPr>
              <w:ind w:right="2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kétszer </w:t>
            </w:r>
          </w:p>
        </w:tc>
        <w:tc>
          <w:tcPr>
            <w:tcW w:w="1908" w:type="dxa"/>
            <w:tcBorders>
              <w:top w:val="single" w:sz="4" w:space="0" w:color="000000"/>
              <w:left w:val="single" w:sz="4" w:space="0" w:color="000000"/>
              <w:bottom w:val="single" w:sz="4" w:space="0" w:color="000000"/>
              <w:right w:val="single" w:sz="4" w:space="0" w:color="000000"/>
            </w:tcBorders>
          </w:tcPr>
          <w:p w14:paraId="7E944CB2" w14:textId="77777777" w:rsidR="00536CD0" w:rsidRPr="00617FC7" w:rsidRDefault="00536CD0" w:rsidP="00536CD0">
            <w:pPr>
              <w:ind w:right="1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Warfarin</w:t>
            </w:r>
          </w:p>
        </w:tc>
        <w:tc>
          <w:tcPr>
            <w:tcW w:w="2136" w:type="dxa"/>
            <w:tcBorders>
              <w:top w:val="single" w:sz="4" w:space="0" w:color="000000"/>
              <w:left w:val="single" w:sz="4" w:space="0" w:color="000000"/>
              <w:bottom w:val="single" w:sz="4" w:space="0" w:color="000000"/>
              <w:right w:val="single" w:sz="4" w:space="0" w:color="000000"/>
            </w:tcBorders>
          </w:tcPr>
          <w:p w14:paraId="6D04B154" w14:textId="739A9FA8" w:rsidR="00536CD0" w:rsidRPr="00617FC7" w:rsidRDefault="00536CD0" w:rsidP="00CF66F9">
            <w:pPr>
              <w:ind w:right="1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Relatív hazárd (hazard ratio) a warfarinhoz képest </w:t>
            </w:r>
          </w:p>
          <w:p w14:paraId="6813DB40" w14:textId="77777777" w:rsidR="00536CD0" w:rsidRPr="00617FC7" w:rsidRDefault="00536CD0" w:rsidP="00536CD0">
            <w:pPr>
              <w:ind w:firstLine="1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r>
      <w:tr w:rsidR="00536CD0" w:rsidRPr="00617FC7" w14:paraId="2A057993"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0DCA327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w:t>
            </w:r>
          </w:p>
        </w:tc>
        <w:tc>
          <w:tcPr>
            <w:tcW w:w="2201" w:type="dxa"/>
            <w:tcBorders>
              <w:top w:val="single" w:sz="4" w:space="0" w:color="000000"/>
              <w:left w:val="single" w:sz="4" w:space="0" w:color="000000"/>
              <w:bottom w:val="single" w:sz="4" w:space="0" w:color="000000"/>
              <w:right w:val="single" w:sz="4" w:space="0" w:color="000000"/>
            </w:tcBorders>
          </w:tcPr>
          <w:p w14:paraId="20FDDB11" w14:textId="77777777" w:rsidR="00536CD0" w:rsidRPr="00617FC7" w:rsidRDefault="00536CD0" w:rsidP="00536CD0">
            <w:pPr>
              <w:ind w:right="2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1430 </w:t>
            </w:r>
          </w:p>
        </w:tc>
        <w:tc>
          <w:tcPr>
            <w:tcW w:w="1908" w:type="dxa"/>
            <w:tcBorders>
              <w:top w:val="single" w:sz="4" w:space="0" w:color="000000"/>
              <w:left w:val="single" w:sz="4" w:space="0" w:color="000000"/>
              <w:bottom w:val="single" w:sz="4" w:space="0" w:color="000000"/>
              <w:right w:val="single" w:sz="4" w:space="0" w:color="000000"/>
            </w:tcBorders>
          </w:tcPr>
          <w:p w14:paraId="45C9CFA0"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1426 </w:t>
            </w:r>
          </w:p>
        </w:tc>
        <w:tc>
          <w:tcPr>
            <w:tcW w:w="2136" w:type="dxa"/>
            <w:tcBorders>
              <w:top w:val="single" w:sz="4" w:space="0" w:color="000000"/>
              <w:left w:val="single" w:sz="4" w:space="0" w:color="000000"/>
              <w:bottom w:val="single" w:sz="4" w:space="0" w:color="000000"/>
              <w:right w:val="single" w:sz="4" w:space="0" w:color="000000"/>
            </w:tcBorders>
          </w:tcPr>
          <w:p w14:paraId="6A2F0CA8"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3C9251FA"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2F15CF8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Major vérzéses esemény</w:t>
            </w:r>
          </w:p>
        </w:tc>
        <w:tc>
          <w:tcPr>
            <w:tcW w:w="2201" w:type="dxa"/>
            <w:tcBorders>
              <w:top w:val="single" w:sz="4" w:space="0" w:color="000000"/>
              <w:left w:val="single" w:sz="4" w:space="0" w:color="000000"/>
              <w:bottom w:val="single" w:sz="4" w:space="0" w:color="000000"/>
              <w:right w:val="single" w:sz="4" w:space="0" w:color="000000"/>
            </w:tcBorders>
          </w:tcPr>
          <w:p w14:paraId="72C625D5"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 (0,9%)</w:t>
            </w:r>
          </w:p>
        </w:tc>
        <w:tc>
          <w:tcPr>
            <w:tcW w:w="1908" w:type="dxa"/>
            <w:tcBorders>
              <w:top w:val="single" w:sz="4" w:space="0" w:color="000000"/>
              <w:left w:val="single" w:sz="4" w:space="0" w:color="000000"/>
              <w:bottom w:val="single" w:sz="4" w:space="0" w:color="000000"/>
              <w:right w:val="single" w:sz="4" w:space="0" w:color="000000"/>
            </w:tcBorders>
          </w:tcPr>
          <w:p w14:paraId="36A64F65"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25 (1,8%)</w:t>
            </w:r>
          </w:p>
        </w:tc>
        <w:tc>
          <w:tcPr>
            <w:tcW w:w="2136" w:type="dxa"/>
            <w:tcBorders>
              <w:top w:val="single" w:sz="4" w:space="0" w:color="000000"/>
              <w:left w:val="single" w:sz="4" w:space="0" w:color="000000"/>
              <w:bottom w:val="single" w:sz="4" w:space="0" w:color="000000"/>
              <w:right w:val="single" w:sz="4" w:space="0" w:color="000000"/>
            </w:tcBorders>
          </w:tcPr>
          <w:p w14:paraId="2540A8A4"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0,54 (0,25, 1,16)</w:t>
            </w:r>
          </w:p>
        </w:tc>
      </w:tr>
      <w:tr w:rsidR="00536CD0" w:rsidRPr="00617FC7" w14:paraId="33F87E30"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545FB8B7"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Intracranialis vérzés</w:t>
            </w:r>
          </w:p>
        </w:tc>
        <w:tc>
          <w:tcPr>
            <w:tcW w:w="2201" w:type="dxa"/>
            <w:tcBorders>
              <w:top w:val="single" w:sz="4" w:space="0" w:color="000000"/>
              <w:left w:val="single" w:sz="4" w:space="0" w:color="000000"/>
              <w:bottom w:val="single" w:sz="4" w:space="0" w:color="000000"/>
              <w:right w:val="single" w:sz="4" w:space="0" w:color="000000"/>
            </w:tcBorders>
          </w:tcPr>
          <w:p w14:paraId="773E1699"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(0,1%)</w:t>
            </w:r>
          </w:p>
        </w:tc>
        <w:tc>
          <w:tcPr>
            <w:tcW w:w="1908" w:type="dxa"/>
            <w:tcBorders>
              <w:top w:val="single" w:sz="4" w:space="0" w:color="000000"/>
              <w:left w:val="single" w:sz="4" w:space="0" w:color="000000"/>
              <w:bottom w:val="single" w:sz="4" w:space="0" w:color="000000"/>
              <w:right w:val="single" w:sz="4" w:space="0" w:color="000000"/>
            </w:tcBorders>
          </w:tcPr>
          <w:p w14:paraId="23F5EEC9"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(0,3%)</w:t>
            </w:r>
          </w:p>
        </w:tc>
        <w:tc>
          <w:tcPr>
            <w:tcW w:w="2136" w:type="dxa"/>
            <w:tcBorders>
              <w:top w:val="single" w:sz="4" w:space="0" w:color="000000"/>
              <w:left w:val="single" w:sz="4" w:space="0" w:color="000000"/>
              <w:bottom w:val="single" w:sz="4" w:space="0" w:color="000000"/>
              <w:right w:val="single" w:sz="4" w:space="0" w:color="000000"/>
            </w:tcBorders>
          </w:tcPr>
          <w:p w14:paraId="2CD64A98" w14:textId="77777777" w:rsidR="00536CD0" w:rsidRPr="00617FC7" w:rsidRDefault="00536CD0" w:rsidP="00536CD0">
            <w:pPr>
              <w:ind w:left="3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 *</w:t>
            </w:r>
          </w:p>
        </w:tc>
      </w:tr>
      <w:tr w:rsidR="00536CD0" w:rsidRPr="00617FC7" w14:paraId="7BE750F8"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5F0DD087"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Major GI vérzés</w:t>
            </w:r>
          </w:p>
        </w:tc>
        <w:tc>
          <w:tcPr>
            <w:tcW w:w="2201" w:type="dxa"/>
            <w:tcBorders>
              <w:top w:val="single" w:sz="4" w:space="0" w:color="000000"/>
              <w:left w:val="single" w:sz="4" w:space="0" w:color="000000"/>
              <w:bottom w:val="single" w:sz="4" w:space="0" w:color="000000"/>
              <w:right w:val="single" w:sz="4" w:space="0" w:color="000000"/>
            </w:tcBorders>
          </w:tcPr>
          <w:p w14:paraId="3005A3C2"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(0,3%)</w:t>
            </w:r>
          </w:p>
        </w:tc>
        <w:tc>
          <w:tcPr>
            <w:tcW w:w="1908" w:type="dxa"/>
            <w:tcBorders>
              <w:top w:val="single" w:sz="4" w:space="0" w:color="000000"/>
              <w:left w:val="single" w:sz="4" w:space="0" w:color="000000"/>
              <w:bottom w:val="single" w:sz="4" w:space="0" w:color="000000"/>
              <w:right w:val="single" w:sz="4" w:space="0" w:color="000000"/>
            </w:tcBorders>
          </w:tcPr>
          <w:p w14:paraId="636825B6"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 (0,5%)</w:t>
            </w:r>
          </w:p>
        </w:tc>
        <w:tc>
          <w:tcPr>
            <w:tcW w:w="2136" w:type="dxa"/>
            <w:tcBorders>
              <w:top w:val="single" w:sz="4" w:space="0" w:color="000000"/>
              <w:left w:val="single" w:sz="4" w:space="0" w:color="000000"/>
              <w:bottom w:val="single" w:sz="4" w:space="0" w:color="000000"/>
              <w:right w:val="single" w:sz="4" w:space="0" w:color="000000"/>
            </w:tcBorders>
          </w:tcPr>
          <w:p w14:paraId="2D7BA7F6" w14:textId="77777777" w:rsidR="00536CD0" w:rsidRPr="00617FC7" w:rsidRDefault="00536CD0" w:rsidP="00536CD0">
            <w:pPr>
              <w:ind w:left="34"/>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Nem számítható * </w:t>
            </w:r>
          </w:p>
        </w:tc>
      </w:tr>
      <w:tr w:rsidR="00536CD0" w:rsidRPr="00617FC7" w14:paraId="161D19A2"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741A3AAB"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14:paraId="2D49A6A3"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(0,1%)</w:t>
            </w:r>
          </w:p>
        </w:tc>
        <w:tc>
          <w:tcPr>
            <w:tcW w:w="1908" w:type="dxa"/>
            <w:tcBorders>
              <w:top w:val="single" w:sz="4" w:space="0" w:color="000000"/>
              <w:left w:val="single" w:sz="4" w:space="0" w:color="000000"/>
              <w:bottom w:val="single" w:sz="4" w:space="0" w:color="000000"/>
              <w:right w:val="single" w:sz="4" w:space="0" w:color="000000"/>
            </w:tcBorders>
          </w:tcPr>
          <w:p w14:paraId="7D8A8012"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 (0,2%)</w:t>
            </w:r>
          </w:p>
        </w:tc>
        <w:tc>
          <w:tcPr>
            <w:tcW w:w="2136" w:type="dxa"/>
            <w:tcBorders>
              <w:top w:val="single" w:sz="4" w:space="0" w:color="000000"/>
              <w:left w:val="single" w:sz="4" w:space="0" w:color="000000"/>
              <w:bottom w:val="single" w:sz="4" w:space="0" w:color="000000"/>
              <w:right w:val="single" w:sz="4" w:space="0" w:color="000000"/>
            </w:tcBorders>
          </w:tcPr>
          <w:p w14:paraId="45602FF8" w14:textId="77777777" w:rsidR="00536CD0" w:rsidRPr="00617FC7" w:rsidRDefault="00536CD0" w:rsidP="00536CD0">
            <w:pPr>
              <w:ind w:left="3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 *</w:t>
            </w:r>
          </w:p>
        </w:tc>
      </w:tr>
      <w:tr w:rsidR="00536CD0" w:rsidRPr="00617FC7" w14:paraId="15F5353E"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75D1E596" w14:textId="0DEBEBE4" w:rsidR="00536CD0" w:rsidRPr="00617FC7" w:rsidRDefault="00536CD0" w:rsidP="00DB67AD">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Major vérzéses esemény /klinikailag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14:paraId="1061ADA5"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80 (5,6%)</w:t>
            </w:r>
          </w:p>
        </w:tc>
        <w:tc>
          <w:tcPr>
            <w:tcW w:w="1908" w:type="dxa"/>
            <w:tcBorders>
              <w:top w:val="single" w:sz="4" w:space="0" w:color="000000"/>
              <w:left w:val="single" w:sz="4" w:space="0" w:color="000000"/>
              <w:bottom w:val="single" w:sz="4" w:space="0" w:color="000000"/>
              <w:right w:val="single" w:sz="4" w:space="0" w:color="000000"/>
            </w:tcBorders>
          </w:tcPr>
          <w:p w14:paraId="0E4F5A0D"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145 (10,2%)</w:t>
            </w:r>
          </w:p>
        </w:tc>
        <w:tc>
          <w:tcPr>
            <w:tcW w:w="2136" w:type="dxa"/>
            <w:tcBorders>
              <w:top w:val="single" w:sz="4" w:space="0" w:color="000000"/>
              <w:left w:val="single" w:sz="4" w:space="0" w:color="000000"/>
              <w:bottom w:val="single" w:sz="4" w:space="0" w:color="000000"/>
              <w:right w:val="single" w:sz="4" w:space="0" w:color="000000"/>
            </w:tcBorders>
          </w:tcPr>
          <w:p w14:paraId="153E66AA"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0,55 (0,41, 0,72)</w:t>
            </w:r>
          </w:p>
        </w:tc>
      </w:tr>
      <w:tr w:rsidR="00536CD0" w:rsidRPr="00617FC7" w14:paraId="15FD5CEE"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7B0848D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14:paraId="07DE43BC"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278 (19,4%)</w:t>
            </w:r>
          </w:p>
        </w:tc>
        <w:tc>
          <w:tcPr>
            <w:tcW w:w="1908" w:type="dxa"/>
            <w:tcBorders>
              <w:top w:val="single" w:sz="4" w:space="0" w:color="000000"/>
              <w:left w:val="single" w:sz="4" w:space="0" w:color="000000"/>
              <w:bottom w:val="single" w:sz="4" w:space="0" w:color="000000"/>
              <w:right w:val="single" w:sz="4" w:space="0" w:color="000000"/>
            </w:tcBorders>
          </w:tcPr>
          <w:p w14:paraId="74D9339F"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373 (26,2%)</w:t>
            </w:r>
          </w:p>
        </w:tc>
        <w:tc>
          <w:tcPr>
            <w:tcW w:w="2136" w:type="dxa"/>
            <w:tcBorders>
              <w:top w:val="single" w:sz="4" w:space="0" w:color="000000"/>
              <w:left w:val="single" w:sz="4" w:space="0" w:color="000000"/>
              <w:bottom w:val="single" w:sz="4" w:space="0" w:color="000000"/>
              <w:right w:val="single" w:sz="4" w:space="0" w:color="000000"/>
            </w:tcBorders>
          </w:tcPr>
          <w:p w14:paraId="4B9E6108"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0,71 (0,61, 0,83)</w:t>
            </w:r>
          </w:p>
        </w:tc>
      </w:tr>
      <w:tr w:rsidR="00536CD0" w:rsidRPr="00617FC7" w14:paraId="401666E1" w14:textId="77777777" w:rsidTr="00CF66F9">
        <w:trPr>
          <w:trHeight w:val="113"/>
        </w:trPr>
        <w:tc>
          <w:tcPr>
            <w:tcW w:w="2815" w:type="dxa"/>
            <w:tcBorders>
              <w:top w:val="single" w:sz="4" w:space="0" w:color="000000"/>
              <w:left w:val="single" w:sz="4" w:space="0" w:color="000000"/>
              <w:bottom w:val="single" w:sz="4" w:space="0" w:color="000000"/>
              <w:right w:val="single" w:sz="4" w:space="0" w:color="000000"/>
            </w:tcBorders>
          </w:tcPr>
          <w:p w14:paraId="33E2D4F4"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Bármilyen GI vérzés</w:t>
            </w:r>
          </w:p>
        </w:tc>
        <w:tc>
          <w:tcPr>
            <w:tcW w:w="2201" w:type="dxa"/>
            <w:tcBorders>
              <w:top w:val="single" w:sz="4" w:space="0" w:color="000000"/>
              <w:left w:val="single" w:sz="4" w:space="0" w:color="000000"/>
              <w:bottom w:val="single" w:sz="4" w:space="0" w:color="000000"/>
              <w:right w:val="single" w:sz="4" w:space="0" w:color="000000"/>
            </w:tcBorders>
          </w:tcPr>
          <w:p w14:paraId="20105ADA"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45 (3,1%)</w:t>
            </w:r>
          </w:p>
        </w:tc>
        <w:tc>
          <w:tcPr>
            <w:tcW w:w="1908" w:type="dxa"/>
            <w:tcBorders>
              <w:top w:val="single" w:sz="4" w:space="0" w:color="000000"/>
              <w:left w:val="single" w:sz="4" w:space="0" w:color="000000"/>
              <w:bottom w:val="single" w:sz="4" w:space="0" w:color="000000"/>
              <w:right w:val="single" w:sz="4" w:space="0" w:color="000000"/>
            </w:tcBorders>
          </w:tcPr>
          <w:p w14:paraId="2E7A183D" w14:textId="77777777" w:rsidR="00536CD0" w:rsidRPr="00617FC7" w:rsidRDefault="00536CD0" w:rsidP="00536CD0">
            <w:pPr>
              <w:ind w:left="3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32 (2,2%)</w:t>
            </w:r>
          </w:p>
        </w:tc>
        <w:tc>
          <w:tcPr>
            <w:tcW w:w="2136" w:type="dxa"/>
            <w:tcBorders>
              <w:top w:val="single" w:sz="4" w:space="0" w:color="000000"/>
              <w:left w:val="single" w:sz="4" w:space="0" w:color="000000"/>
              <w:bottom w:val="single" w:sz="4" w:space="0" w:color="000000"/>
              <w:right w:val="single" w:sz="4" w:space="0" w:color="000000"/>
            </w:tcBorders>
          </w:tcPr>
          <w:p w14:paraId="1D00BB19"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1,39 (0,87, 2,20)</w:t>
            </w:r>
          </w:p>
        </w:tc>
      </w:tr>
    </w:tbl>
    <w:p w14:paraId="3675937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relatív hazárd nem becsülhető meg, mert egyik csoportban/kezelésnél sem volt esemény </w:t>
      </w:r>
    </w:p>
    <w:p w14:paraId="57A6176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DC19C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17. táblázat az MVT és PE prevencióját vizsgáló kulcsfontosságú RE-SONATE vizsgálatban észlelt vérzéses eseményeket mutatja. A major vagy klinikailag releváns vérzéses esemény és bármilyen vérzés szignifikánsan alacsonyabb gyakorisággal fordultak elő a dabigatrán-etexilát-kezelés mellett, mint a placebo esetén (névleges alfa-érték 5%).</w:t>
      </w:r>
    </w:p>
    <w:p w14:paraId="2BD638A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447D8BF" w14:textId="77777777" w:rsidR="00536CD0" w:rsidRPr="00617FC7" w:rsidRDefault="00536CD0" w:rsidP="00536CD0">
      <w:pPr>
        <w:tabs>
          <w:tab w:val="right" w:pos="9084"/>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17. táblázat. A RE-SONATE – MVT és PE prevenciós vizsgálatban észlelt vérzéses események</w:t>
      </w:r>
    </w:p>
    <w:p w14:paraId="63530A2D" w14:textId="77777777" w:rsidR="00536CD0" w:rsidRPr="00617FC7" w:rsidRDefault="00536CD0" w:rsidP="00536CD0">
      <w:pPr>
        <w:tabs>
          <w:tab w:val="right" w:pos="9084"/>
        </w:tabs>
        <w:spacing w:after="0" w:line="240" w:lineRule="auto"/>
        <w:ind w:left="-3"/>
        <w:rPr>
          <w:rFonts w:ascii="Times New Roman" w:eastAsia="Times New Roman" w:hAnsi="Times New Roman" w:cs="Times New Roman"/>
          <w:bCs/>
          <w:noProof w:val="0"/>
          <w:color w:val="000000"/>
          <w:kern w:val="0"/>
          <w:lang w:val="hu-HU" w:eastAsia="hu-HU"/>
          <w14:ligatures w14:val="none"/>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2813"/>
        <w:gridCol w:w="2203"/>
        <w:gridCol w:w="1625"/>
        <w:gridCol w:w="2419"/>
      </w:tblGrid>
      <w:tr w:rsidR="00536CD0" w:rsidRPr="00617FC7" w14:paraId="74BE5493"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03BA44AE" w14:textId="77777777" w:rsidR="00536CD0" w:rsidRPr="00617FC7" w:rsidRDefault="00536CD0" w:rsidP="00536CD0">
            <w:pPr>
              <w:rPr>
                <w:rFonts w:ascii="Times New Roman" w:eastAsia="Times New Roman" w:hAnsi="Times New Roman" w:cs="Times New Roman"/>
                <w:noProof w:val="0"/>
                <w:color w:val="000000"/>
                <w:lang w:val="hu-HU"/>
              </w:rPr>
            </w:pPr>
          </w:p>
        </w:tc>
        <w:tc>
          <w:tcPr>
            <w:tcW w:w="2203" w:type="dxa"/>
            <w:tcBorders>
              <w:top w:val="single" w:sz="4" w:space="0" w:color="000000"/>
              <w:left w:val="single" w:sz="4" w:space="0" w:color="000000"/>
              <w:bottom w:val="single" w:sz="4" w:space="0" w:color="000000"/>
              <w:right w:val="single" w:sz="4" w:space="0" w:color="000000"/>
            </w:tcBorders>
          </w:tcPr>
          <w:p w14:paraId="1BE98302"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68539541" w14:textId="77777777" w:rsidR="00536CD0" w:rsidRPr="00617FC7" w:rsidRDefault="00536CD0" w:rsidP="00536CD0">
            <w:pPr>
              <w:ind w:lef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150 mg naponta </w:t>
            </w:r>
          </w:p>
          <w:p w14:paraId="6991BAEC" w14:textId="77777777" w:rsidR="00536CD0" w:rsidRPr="00617FC7" w:rsidRDefault="00536CD0" w:rsidP="00536CD0">
            <w:pPr>
              <w:ind w:lef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kétszer </w:t>
            </w:r>
          </w:p>
        </w:tc>
        <w:tc>
          <w:tcPr>
            <w:tcW w:w="1625" w:type="dxa"/>
            <w:tcBorders>
              <w:top w:val="single" w:sz="4" w:space="0" w:color="000000"/>
              <w:left w:val="single" w:sz="4" w:space="0" w:color="000000"/>
              <w:bottom w:val="single" w:sz="4" w:space="0" w:color="000000"/>
              <w:right w:val="single" w:sz="4" w:space="0" w:color="000000"/>
            </w:tcBorders>
          </w:tcPr>
          <w:p w14:paraId="16BCE78C"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Placebo</w:t>
            </w:r>
          </w:p>
        </w:tc>
        <w:tc>
          <w:tcPr>
            <w:tcW w:w="2419" w:type="dxa"/>
            <w:tcBorders>
              <w:top w:val="single" w:sz="4" w:space="0" w:color="000000"/>
              <w:left w:val="single" w:sz="4" w:space="0" w:color="000000"/>
              <w:bottom w:val="single" w:sz="4" w:space="0" w:color="000000"/>
              <w:right w:val="single" w:sz="4" w:space="0" w:color="000000"/>
            </w:tcBorders>
          </w:tcPr>
          <w:p w14:paraId="680BAA57" w14:textId="2EC5470C"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vs placebo</w:t>
            </w:r>
          </w:p>
          <w:p w14:paraId="2292CC8F" w14:textId="77777777" w:rsidR="00536CD0" w:rsidRPr="00617FC7" w:rsidRDefault="00536CD0" w:rsidP="00536CD0">
            <w:pPr>
              <w:ind w:firstLine="1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r>
      <w:tr w:rsidR="00536CD0" w:rsidRPr="00617FC7" w14:paraId="7A680835"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44BF884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w:t>
            </w:r>
          </w:p>
        </w:tc>
        <w:tc>
          <w:tcPr>
            <w:tcW w:w="2203" w:type="dxa"/>
            <w:tcBorders>
              <w:top w:val="single" w:sz="4" w:space="0" w:color="000000"/>
              <w:left w:val="single" w:sz="4" w:space="0" w:color="000000"/>
              <w:bottom w:val="single" w:sz="4" w:space="0" w:color="000000"/>
              <w:right w:val="single" w:sz="4" w:space="0" w:color="000000"/>
            </w:tcBorders>
          </w:tcPr>
          <w:p w14:paraId="02DD10C0" w14:textId="7EC03838"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684</w:t>
            </w:r>
          </w:p>
        </w:tc>
        <w:tc>
          <w:tcPr>
            <w:tcW w:w="1625" w:type="dxa"/>
            <w:tcBorders>
              <w:top w:val="single" w:sz="4" w:space="0" w:color="000000"/>
              <w:left w:val="single" w:sz="4" w:space="0" w:color="000000"/>
              <w:bottom w:val="single" w:sz="4" w:space="0" w:color="000000"/>
              <w:right w:val="single" w:sz="4" w:space="0" w:color="000000"/>
            </w:tcBorders>
          </w:tcPr>
          <w:p w14:paraId="75D84540" w14:textId="2F39A6AB"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659</w:t>
            </w:r>
          </w:p>
        </w:tc>
        <w:tc>
          <w:tcPr>
            <w:tcW w:w="2419" w:type="dxa"/>
            <w:tcBorders>
              <w:top w:val="single" w:sz="4" w:space="0" w:color="000000"/>
              <w:left w:val="single" w:sz="4" w:space="0" w:color="000000"/>
              <w:bottom w:val="single" w:sz="4" w:space="0" w:color="000000"/>
              <w:right w:val="single" w:sz="4" w:space="0" w:color="000000"/>
            </w:tcBorders>
          </w:tcPr>
          <w:p w14:paraId="04E5AE9A" w14:textId="77777777" w:rsidR="00536CD0" w:rsidRPr="00617FC7" w:rsidRDefault="00536CD0" w:rsidP="00CF66F9">
            <w:pPr>
              <w:jc w:val="center"/>
              <w:rPr>
                <w:rFonts w:ascii="Times New Roman" w:eastAsia="Times New Roman" w:hAnsi="Times New Roman" w:cs="Times New Roman"/>
                <w:noProof w:val="0"/>
                <w:color w:val="000000"/>
                <w:lang w:val="hu-HU"/>
              </w:rPr>
            </w:pPr>
          </w:p>
        </w:tc>
      </w:tr>
      <w:tr w:rsidR="00536CD0" w:rsidRPr="00617FC7" w14:paraId="7948E4A9"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040FD74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14:paraId="6EC2D313"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c>
          <w:tcPr>
            <w:tcW w:w="1625" w:type="dxa"/>
            <w:tcBorders>
              <w:top w:val="single" w:sz="4" w:space="0" w:color="000000"/>
              <w:left w:val="single" w:sz="4" w:space="0" w:color="000000"/>
              <w:bottom w:val="single" w:sz="4" w:space="0" w:color="000000"/>
              <w:right w:val="single" w:sz="4" w:space="0" w:color="000000"/>
            </w:tcBorders>
          </w:tcPr>
          <w:p w14:paraId="43286BA6"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2419" w:type="dxa"/>
            <w:tcBorders>
              <w:top w:val="single" w:sz="4" w:space="0" w:color="000000"/>
              <w:left w:val="single" w:sz="4" w:space="0" w:color="000000"/>
              <w:bottom w:val="single" w:sz="4" w:space="0" w:color="000000"/>
              <w:right w:val="single" w:sz="4" w:space="0" w:color="000000"/>
            </w:tcBorders>
          </w:tcPr>
          <w:p w14:paraId="00B6A0F1" w14:textId="77777777" w:rsidR="00536CD0" w:rsidRPr="00617FC7" w:rsidRDefault="00536CD0" w:rsidP="00DB67AD">
            <w:pPr>
              <w:ind w:left="16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w:t>
            </w:r>
          </w:p>
        </w:tc>
      </w:tr>
      <w:tr w:rsidR="00536CD0" w:rsidRPr="00617FC7" w14:paraId="1438163F"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7C79208D"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Intracranialis vérzés</w:t>
            </w:r>
          </w:p>
        </w:tc>
        <w:tc>
          <w:tcPr>
            <w:tcW w:w="2203" w:type="dxa"/>
            <w:tcBorders>
              <w:top w:val="single" w:sz="4" w:space="0" w:color="000000"/>
              <w:left w:val="single" w:sz="4" w:space="0" w:color="000000"/>
              <w:bottom w:val="single" w:sz="4" w:space="0" w:color="000000"/>
              <w:right w:val="single" w:sz="4" w:space="0" w:color="000000"/>
            </w:tcBorders>
          </w:tcPr>
          <w:p w14:paraId="4DE2C206"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1625" w:type="dxa"/>
            <w:tcBorders>
              <w:top w:val="single" w:sz="4" w:space="0" w:color="000000"/>
              <w:left w:val="single" w:sz="4" w:space="0" w:color="000000"/>
              <w:bottom w:val="single" w:sz="4" w:space="0" w:color="000000"/>
              <w:right w:val="single" w:sz="4" w:space="0" w:color="000000"/>
            </w:tcBorders>
          </w:tcPr>
          <w:p w14:paraId="0F3A4350"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2419" w:type="dxa"/>
            <w:tcBorders>
              <w:top w:val="single" w:sz="4" w:space="0" w:color="000000"/>
              <w:left w:val="single" w:sz="4" w:space="0" w:color="000000"/>
              <w:bottom w:val="single" w:sz="4" w:space="0" w:color="000000"/>
              <w:right w:val="single" w:sz="4" w:space="0" w:color="000000"/>
            </w:tcBorders>
          </w:tcPr>
          <w:p w14:paraId="49351374" w14:textId="77777777" w:rsidR="00536CD0" w:rsidRPr="00617FC7" w:rsidRDefault="00536CD0" w:rsidP="00DB67AD">
            <w:pPr>
              <w:ind w:left="16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w:t>
            </w:r>
          </w:p>
        </w:tc>
      </w:tr>
      <w:tr w:rsidR="00536CD0" w:rsidRPr="00617FC7" w14:paraId="3CBBFD19"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46BA1ED7"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Major GI vérzés</w:t>
            </w:r>
          </w:p>
        </w:tc>
        <w:tc>
          <w:tcPr>
            <w:tcW w:w="2203" w:type="dxa"/>
            <w:tcBorders>
              <w:top w:val="single" w:sz="4" w:space="0" w:color="000000"/>
              <w:left w:val="single" w:sz="4" w:space="0" w:color="000000"/>
              <w:bottom w:val="single" w:sz="4" w:space="0" w:color="000000"/>
              <w:right w:val="single" w:sz="4" w:space="0" w:color="000000"/>
            </w:tcBorders>
          </w:tcPr>
          <w:p w14:paraId="6D3E0188"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c>
          <w:tcPr>
            <w:tcW w:w="1625" w:type="dxa"/>
            <w:tcBorders>
              <w:top w:val="single" w:sz="4" w:space="0" w:color="000000"/>
              <w:left w:val="single" w:sz="4" w:space="0" w:color="000000"/>
              <w:bottom w:val="single" w:sz="4" w:space="0" w:color="000000"/>
              <w:right w:val="single" w:sz="4" w:space="0" w:color="000000"/>
            </w:tcBorders>
          </w:tcPr>
          <w:p w14:paraId="7ECDC007"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2419" w:type="dxa"/>
            <w:tcBorders>
              <w:top w:val="single" w:sz="4" w:space="0" w:color="000000"/>
              <w:left w:val="single" w:sz="4" w:space="0" w:color="000000"/>
              <w:bottom w:val="single" w:sz="4" w:space="0" w:color="000000"/>
              <w:right w:val="single" w:sz="4" w:space="0" w:color="000000"/>
            </w:tcBorders>
          </w:tcPr>
          <w:p w14:paraId="364CD60A" w14:textId="77777777" w:rsidR="00536CD0" w:rsidRPr="00617FC7" w:rsidRDefault="00536CD0" w:rsidP="00DB67AD">
            <w:pPr>
              <w:ind w:left="16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w:t>
            </w:r>
          </w:p>
        </w:tc>
      </w:tr>
      <w:tr w:rsidR="00536CD0" w:rsidRPr="00617FC7" w14:paraId="595C8D08"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12E97C28"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14:paraId="224CB65E"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1625" w:type="dxa"/>
            <w:tcBorders>
              <w:top w:val="single" w:sz="4" w:space="0" w:color="000000"/>
              <w:left w:val="single" w:sz="4" w:space="0" w:color="000000"/>
              <w:bottom w:val="single" w:sz="4" w:space="0" w:color="000000"/>
              <w:right w:val="single" w:sz="4" w:space="0" w:color="000000"/>
            </w:tcBorders>
          </w:tcPr>
          <w:p w14:paraId="73FCF196" w14:textId="77777777" w:rsidR="00536CD0" w:rsidRPr="00617FC7" w:rsidRDefault="00536CD0" w:rsidP="00DB67AD">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w:t>
            </w:r>
          </w:p>
        </w:tc>
        <w:tc>
          <w:tcPr>
            <w:tcW w:w="2419" w:type="dxa"/>
            <w:tcBorders>
              <w:top w:val="single" w:sz="4" w:space="0" w:color="000000"/>
              <w:left w:val="single" w:sz="4" w:space="0" w:color="000000"/>
              <w:bottom w:val="single" w:sz="4" w:space="0" w:color="000000"/>
              <w:right w:val="single" w:sz="4" w:space="0" w:color="000000"/>
            </w:tcBorders>
          </w:tcPr>
          <w:p w14:paraId="49CD0599" w14:textId="77777777" w:rsidR="00536CD0" w:rsidRPr="00617FC7" w:rsidRDefault="00536CD0" w:rsidP="00DB67AD">
            <w:pPr>
              <w:ind w:left="16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számítható*</w:t>
            </w:r>
          </w:p>
        </w:tc>
      </w:tr>
      <w:tr w:rsidR="00536CD0" w:rsidRPr="00617FC7" w14:paraId="20B4A736"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4E9B4C90" w14:textId="77777777" w:rsidR="00536CD0" w:rsidRPr="00617FC7" w:rsidRDefault="00536CD0" w:rsidP="00536CD0">
            <w:pPr>
              <w:ind w:firstLine="55"/>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14:paraId="36D5164A"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36 (5,3%)</w:t>
            </w:r>
          </w:p>
        </w:tc>
        <w:tc>
          <w:tcPr>
            <w:tcW w:w="1625" w:type="dxa"/>
            <w:tcBorders>
              <w:top w:val="single" w:sz="4" w:space="0" w:color="000000"/>
              <w:left w:val="single" w:sz="4" w:space="0" w:color="000000"/>
              <w:bottom w:val="single" w:sz="4" w:space="0" w:color="000000"/>
              <w:right w:val="single" w:sz="4" w:space="0" w:color="000000"/>
            </w:tcBorders>
          </w:tcPr>
          <w:p w14:paraId="27C4F6E4"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 (2,0%)</w:t>
            </w:r>
          </w:p>
        </w:tc>
        <w:tc>
          <w:tcPr>
            <w:tcW w:w="2419" w:type="dxa"/>
            <w:tcBorders>
              <w:top w:val="single" w:sz="4" w:space="0" w:color="000000"/>
              <w:left w:val="single" w:sz="4" w:space="0" w:color="000000"/>
              <w:bottom w:val="single" w:sz="4" w:space="0" w:color="000000"/>
              <w:right w:val="single" w:sz="4" w:space="0" w:color="000000"/>
            </w:tcBorders>
          </w:tcPr>
          <w:p w14:paraId="4A4052C8" w14:textId="77777777" w:rsidR="00536CD0" w:rsidRPr="00617FC7" w:rsidRDefault="00536CD0" w:rsidP="00CF66F9">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2,69 (1,43, 5,07)</w:t>
            </w:r>
          </w:p>
        </w:tc>
      </w:tr>
      <w:tr w:rsidR="00536CD0" w:rsidRPr="00617FC7" w14:paraId="55EF7A33"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4D7F935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14:paraId="324355F4" w14:textId="77777777" w:rsidR="00536CD0" w:rsidRPr="00617FC7" w:rsidRDefault="00536CD0" w:rsidP="00DB67AD">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72 (10,5%)</w:t>
            </w:r>
          </w:p>
        </w:tc>
        <w:tc>
          <w:tcPr>
            <w:tcW w:w="1625" w:type="dxa"/>
            <w:tcBorders>
              <w:top w:val="single" w:sz="4" w:space="0" w:color="000000"/>
              <w:left w:val="single" w:sz="4" w:space="0" w:color="000000"/>
              <w:bottom w:val="single" w:sz="4" w:space="0" w:color="000000"/>
              <w:right w:val="single" w:sz="4" w:space="0" w:color="000000"/>
            </w:tcBorders>
          </w:tcPr>
          <w:p w14:paraId="5C454F13"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 (6,1%)</w:t>
            </w:r>
          </w:p>
        </w:tc>
        <w:tc>
          <w:tcPr>
            <w:tcW w:w="2419" w:type="dxa"/>
            <w:tcBorders>
              <w:top w:val="single" w:sz="4" w:space="0" w:color="000000"/>
              <w:left w:val="single" w:sz="4" w:space="0" w:color="000000"/>
              <w:bottom w:val="single" w:sz="4" w:space="0" w:color="000000"/>
              <w:right w:val="single" w:sz="4" w:space="0" w:color="000000"/>
            </w:tcBorders>
          </w:tcPr>
          <w:p w14:paraId="69F77925" w14:textId="77777777" w:rsidR="00536CD0" w:rsidRPr="00617FC7" w:rsidRDefault="00536CD0" w:rsidP="00CF66F9">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1,77 (1,20, 2,61)</w:t>
            </w:r>
          </w:p>
        </w:tc>
      </w:tr>
      <w:tr w:rsidR="00536CD0" w:rsidRPr="00617FC7" w14:paraId="515ABFCE" w14:textId="77777777" w:rsidTr="00CF66F9">
        <w:trPr>
          <w:trHeight w:val="113"/>
        </w:trPr>
        <w:tc>
          <w:tcPr>
            <w:tcW w:w="2813" w:type="dxa"/>
            <w:tcBorders>
              <w:top w:val="single" w:sz="4" w:space="0" w:color="000000"/>
              <w:left w:val="single" w:sz="4" w:space="0" w:color="000000"/>
              <w:bottom w:val="single" w:sz="4" w:space="0" w:color="000000"/>
              <w:right w:val="single" w:sz="4" w:space="0" w:color="000000"/>
            </w:tcBorders>
          </w:tcPr>
          <w:p w14:paraId="5F2FD6BC" w14:textId="77777777" w:rsidR="00536CD0" w:rsidRPr="00617FC7" w:rsidRDefault="00536CD0" w:rsidP="00CF66F9">
            <w:pPr>
              <w:ind w:left="29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Bármilyen GI vérzés</w:t>
            </w:r>
          </w:p>
        </w:tc>
        <w:tc>
          <w:tcPr>
            <w:tcW w:w="2203" w:type="dxa"/>
            <w:tcBorders>
              <w:top w:val="single" w:sz="4" w:space="0" w:color="000000"/>
              <w:left w:val="single" w:sz="4" w:space="0" w:color="000000"/>
              <w:bottom w:val="single" w:sz="4" w:space="0" w:color="000000"/>
              <w:right w:val="single" w:sz="4" w:space="0" w:color="000000"/>
            </w:tcBorders>
          </w:tcPr>
          <w:p w14:paraId="494DCCD4"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 (0,7%)</w:t>
            </w:r>
          </w:p>
        </w:tc>
        <w:tc>
          <w:tcPr>
            <w:tcW w:w="1625" w:type="dxa"/>
            <w:tcBorders>
              <w:top w:val="single" w:sz="4" w:space="0" w:color="000000"/>
              <w:left w:val="single" w:sz="4" w:space="0" w:color="000000"/>
              <w:bottom w:val="single" w:sz="4" w:space="0" w:color="000000"/>
              <w:right w:val="single" w:sz="4" w:space="0" w:color="000000"/>
            </w:tcBorders>
          </w:tcPr>
          <w:p w14:paraId="48B7B562" w14:textId="77777777" w:rsidR="00536CD0" w:rsidRPr="00617FC7" w:rsidRDefault="00536CD0" w:rsidP="00DB67AD">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c>
          <w:tcPr>
            <w:tcW w:w="2419" w:type="dxa"/>
            <w:tcBorders>
              <w:top w:val="single" w:sz="4" w:space="0" w:color="000000"/>
              <w:left w:val="single" w:sz="4" w:space="0" w:color="000000"/>
              <w:bottom w:val="single" w:sz="4" w:space="0" w:color="000000"/>
              <w:right w:val="single" w:sz="4" w:space="0" w:color="000000"/>
            </w:tcBorders>
          </w:tcPr>
          <w:p w14:paraId="4AB65EAC" w14:textId="77777777" w:rsidR="00536CD0" w:rsidRPr="00617FC7" w:rsidRDefault="00536CD0" w:rsidP="00CF66F9">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2,38 (0,46, 12,27)</w:t>
            </w:r>
          </w:p>
        </w:tc>
      </w:tr>
    </w:tbl>
    <w:p w14:paraId="217D1B1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relatív hazárd nem becsülhető meg, mert egyik kezelési csoportban sem volt esemény</w:t>
      </w:r>
    </w:p>
    <w:p w14:paraId="57848E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35DB195"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Agranulocytosis és neutropenia</w:t>
      </w:r>
    </w:p>
    <w:p w14:paraId="0C726C5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B3C6F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Agranulocytosist és neutropeniát nagyon ritkán jelentettek a dabigatrán-etexilát engedélyezését követő alkalmazás során. Mivel a forgalomba hozatalt követő megfigyelések során a mellékhatásokat meghatározatlan nagyságú populációból jelentették, nem lehetséges ezek gyakoriságát megbízhatóan értékelni. A becsült jelentési arány az agranulocytosis esetében 7 esemény/1 millió betegév, és a neutropenia esetén 5 esemény/1 millió betegév volt.</w:t>
      </w:r>
    </w:p>
    <w:p w14:paraId="37E588E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BC24AE7"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Gyermekek és serdülők</w:t>
      </w:r>
    </w:p>
    <w:p w14:paraId="67C06E3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C50F5D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biztonságosságát gyermekeknél és serdülőknél VTE kezelésében és VTE kiújulásának megelőzésében két III. fázisú vizsgálatban tanulmányozták (DIVERSITY és 1160.108). Összesen 328 gyermekgyógyászati beteget kezeltek dabigatrán-etexiláttal. A betegek az életkorral és testtömeggel korrigált dózist kaptak az életkornak megfelelő gyógyszerformájú dabigatrán-etexilátból.</w:t>
      </w:r>
    </w:p>
    <w:p w14:paraId="28F42C5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A5613B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Összességében a gyermekeknél és serdülőknél várható biztonságossági profil megegyezik a felnőttek esetén jellemzővel.</w:t>
      </w:r>
    </w:p>
    <w:p w14:paraId="13404FD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542DF1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dabigatrán-etexilátot kapó, VTE miatt és VTE kiújulásának megelőzése érdekében kezelt gyermekeknek és serdülőknek összesen 26%-a tapasztalt mellékhatásokat.</w:t>
      </w:r>
    </w:p>
    <w:p w14:paraId="1174565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721D054"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mellékhatások táblázatos felsorolása</w:t>
      </w:r>
    </w:p>
    <w:p w14:paraId="2741F63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8906631" w14:textId="33F7187C"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18.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w:t>
      </w:r>
      <w:r w:rsidR="00F0608C"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 nem gyakori (≥ 1/1000 </w:t>
      </w:r>
      <w:r w:rsidR="00F0608C"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1/100); ritka (≥ 1/10 000 </w:t>
      </w:r>
      <w:r w:rsidR="00F0608C"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1/1000); nagyon ritka (&lt; 1/10 000), nem ismert (a gyakoriság a rendelkezésre álló adatokból nem állapítható meg).</w:t>
      </w:r>
    </w:p>
    <w:p w14:paraId="46AD2C1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C810A00" w14:textId="77777777" w:rsidR="00536CD0" w:rsidRPr="00617FC7" w:rsidRDefault="00536CD0" w:rsidP="00536CD0">
      <w:pPr>
        <w:tabs>
          <w:tab w:val="center" w:pos="2123"/>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18. táblázat. Mellékhatások</w:t>
      </w:r>
    </w:p>
    <w:p w14:paraId="7D69A32C" w14:textId="77777777" w:rsidR="00536CD0" w:rsidRPr="00617FC7" w:rsidRDefault="00536CD0" w:rsidP="00536CD0">
      <w:pPr>
        <w:tabs>
          <w:tab w:val="center" w:pos="2123"/>
        </w:tabs>
        <w:spacing w:after="0" w:line="240" w:lineRule="auto"/>
        <w:ind w:left="-3"/>
        <w:rPr>
          <w:rFonts w:ascii="Times New Roman" w:eastAsia="Times New Roman" w:hAnsi="Times New Roman" w:cs="Times New Roman"/>
          <w:bCs/>
          <w:noProof w:val="0"/>
          <w:color w:val="000000"/>
          <w:kern w:val="0"/>
          <w:lang w:val="hu-HU" w:eastAsia="hu-HU"/>
          <w14:ligatures w14:val="none"/>
        </w:rPr>
      </w:pPr>
    </w:p>
    <w:tbl>
      <w:tblPr>
        <w:tblStyle w:val="TableGrid"/>
        <w:tblW w:w="9286" w:type="dxa"/>
        <w:tblInd w:w="-96" w:type="dxa"/>
        <w:tblCellMar>
          <w:top w:w="51" w:type="dxa"/>
          <w:right w:w="115" w:type="dxa"/>
        </w:tblCellMar>
        <w:tblLook w:val="04A0" w:firstRow="1" w:lastRow="0" w:firstColumn="1" w:lastColumn="0" w:noHBand="0" w:noVBand="1"/>
      </w:tblPr>
      <w:tblGrid>
        <w:gridCol w:w="4078"/>
        <w:gridCol w:w="2028"/>
        <w:gridCol w:w="3180"/>
      </w:tblGrid>
      <w:tr w:rsidR="00536CD0" w:rsidRPr="00617FC7" w14:paraId="1BB4F92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58A5D4E1" w14:textId="77777777" w:rsidR="00536CD0" w:rsidRPr="00617FC7" w:rsidRDefault="00536CD0" w:rsidP="00536CD0">
            <w:pPr>
              <w:rPr>
                <w:rFonts w:ascii="Times New Roman" w:eastAsia="Times New Roman" w:hAnsi="Times New Roman" w:cs="Times New Roman"/>
                <w:noProof w:val="0"/>
                <w:color w:val="000000"/>
                <w:lang w:val="hu-HU"/>
              </w:rPr>
            </w:pPr>
          </w:p>
        </w:tc>
        <w:tc>
          <w:tcPr>
            <w:tcW w:w="5208" w:type="dxa"/>
            <w:gridSpan w:val="2"/>
            <w:tcBorders>
              <w:top w:val="single" w:sz="4" w:space="0" w:color="000000"/>
              <w:left w:val="single" w:sz="4" w:space="0" w:color="000000"/>
              <w:bottom w:val="single" w:sz="4" w:space="0" w:color="000000"/>
              <w:right w:val="single" w:sz="4" w:space="0" w:color="000000"/>
            </w:tcBorders>
          </w:tcPr>
          <w:p w14:paraId="6CE4AC5A" w14:textId="77777777" w:rsidR="00536CD0" w:rsidRPr="00617FC7" w:rsidRDefault="00536CD0" w:rsidP="00536CD0">
            <w:pPr>
              <w:ind w:right="4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Gyakoriság</w:t>
            </w:r>
          </w:p>
        </w:tc>
      </w:tr>
      <w:tr w:rsidR="00536CD0" w:rsidRPr="00617FC7" w14:paraId="172D8C7C"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08C600FE" w14:textId="77777777" w:rsidR="00536CD0" w:rsidRPr="00617FC7" w:rsidRDefault="00536CD0" w:rsidP="00536CD0">
            <w:pPr>
              <w:ind w:right="85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Szervrendszer/ Preferált kifejezés</w:t>
            </w:r>
          </w:p>
        </w:tc>
        <w:tc>
          <w:tcPr>
            <w:tcW w:w="5208" w:type="dxa"/>
            <w:gridSpan w:val="2"/>
            <w:tcBorders>
              <w:top w:val="single" w:sz="4" w:space="0" w:color="000000"/>
              <w:left w:val="single" w:sz="4" w:space="0" w:color="000000"/>
              <w:bottom w:val="single" w:sz="4" w:space="0" w:color="000000"/>
              <w:right w:val="single" w:sz="4" w:space="0" w:color="000000"/>
            </w:tcBorders>
          </w:tcPr>
          <w:p w14:paraId="2F20C4E0" w14:textId="77777777" w:rsidR="00536CD0" w:rsidRPr="00617FC7" w:rsidRDefault="00536CD0" w:rsidP="00536CD0">
            <w:pPr>
              <w:ind w:left="1186" w:hanging="81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 kezelése és VTE kiújulásának megelőzése gyermekeknél és serdülőknél</w:t>
            </w:r>
          </w:p>
        </w:tc>
      </w:tr>
      <w:tr w:rsidR="00536CD0" w:rsidRPr="003920E0" w14:paraId="6377C164"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497332FC"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Vérképzőszervi és nyirokrendszeri betegségek és tünetek</w:t>
            </w:r>
          </w:p>
        </w:tc>
      </w:tr>
      <w:tr w:rsidR="00536CD0" w:rsidRPr="00617FC7" w14:paraId="4E09685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0442FCFD"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18F0195B"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3878E48F"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59F39E00" w14:textId="77777777" w:rsidR="00536CD0" w:rsidRPr="00617FC7" w:rsidRDefault="00536CD0" w:rsidP="00CF66F9">
            <w:pPr>
              <w:ind w:left="180"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Csökkent haemoglobinszint</w:t>
            </w:r>
          </w:p>
        </w:tc>
        <w:tc>
          <w:tcPr>
            <w:tcW w:w="5208" w:type="dxa"/>
            <w:gridSpan w:val="2"/>
            <w:tcBorders>
              <w:top w:val="single" w:sz="4" w:space="0" w:color="000000"/>
              <w:left w:val="single" w:sz="4" w:space="0" w:color="000000"/>
              <w:bottom w:val="single" w:sz="4" w:space="0" w:color="000000"/>
              <w:right w:val="single" w:sz="4" w:space="0" w:color="000000"/>
            </w:tcBorders>
          </w:tcPr>
          <w:p w14:paraId="72015724"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3E14FBE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0E50BC2" w14:textId="77777777" w:rsidR="00536CD0" w:rsidRPr="00617FC7" w:rsidRDefault="00536CD0" w:rsidP="00CF66F9">
            <w:pPr>
              <w:ind w:left="180"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Thrombocytopenia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3E00C1BB"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9AF1908"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60F8B27" w14:textId="77777777" w:rsidR="00536CD0" w:rsidRPr="00617FC7" w:rsidRDefault="00536CD0" w:rsidP="00CF66F9">
            <w:pPr>
              <w:ind w:left="180"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Csökkent haematocrit</w:t>
            </w:r>
          </w:p>
        </w:tc>
        <w:tc>
          <w:tcPr>
            <w:tcW w:w="5208" w:type="dxa"/>
            <w:gridSpan w:val="2"/>
            <w:tcBorders>
              <w:top w:val="single" w:sz="4" w:space="0" w:color="000000"/>
              <w:left w:val="single" w:sz="4" w:space="0" w:color="000000"/>
              <w:bottom w:val="single" w:sz="4" w:space="0" w:color="000000"/>
              <w:right w:val="single" w:sz="4" w:space="0" w:color="000000"/>
            </w:tcBorders>
          </w:tcPr>
          <w:p w14:paraId="5D5A3BA5"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1F2595E1"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D603DEA" w14:textId="77777777" w:rsidR="00536CD0" w:rsidRPr="00617FC7" w:rsidRDefault="00536CD0" w:rsidP="00CF66F9">
            <w:pPr>
              <w:ind w:left="180"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Neutropenia</w:t>
            </w:r>
          </w:p>
        </w:tc>
        <w:tc>
          <w:tcPr>
            <w:tcW w:w="5208" w:type="dxa"/>
            <w:gridSpan w:val="2"/>
            <w:tcBorders>
              <w:top w:val="single" w:sz="4" w:space="0" w:color="000000"/>
              <w:left w:val="single" w:sz="4" w:space="0" w:color="000000"/>
              <w:bottom w:val="single" w:sz="4" w:space="0" w:color="000000"/>
              <w:right w:val="single" w:sz="4" w:space="0" w:color="000000"/>
            </w:tcBorders>
          </w:tcPr>
          <w:p w14:paraId="70343D6E"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4206C619"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FF3A862" w14:textId="77777777" w:rsidR="00536CD0" w:rsidRPr="00617FC7" w:rsidRDefault="00536CD0" w:rsidP="00CF66F9">
            <w:pPr>
              <w:ind w:left="180"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Agranulocytosis</w:t>
            </w:r>
          </w:p>
        </w:tc>
        <w:tc>
          <w:tcPr>
            <w:tcW w:w="5208" w:type="dxa"/>
            <w:gridSpan w:val="2"/>
            <w:tcBorders>
              <w:top w:val="single" w:sz="4" w:space="0" w:color="000000"/>
              <w:left w:val="single" w:sz="4" w:space="0" w:color="000000"/>
              <w:bottom w:val="single" w:sz="4" w:space="0" w:color="000000"/>
              <w:right w:val="single" w:sz="4" w:space="0" w:color="000000"/>
            </w:tcBorders>
          </w:tcPr>
          <w:p w14:paraId="418FBB07"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3920E0" w14:paraId="76BD0F1F"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18EA7CA9"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Immunrendszeri betegségek és tünetek</w:t>
            </w:r>
          </w:p>
        </w:tc>
      </w:tr>
      <w:tr w:rsidR="00536CD0" w:rsidRPr="00617FC7" w14:paraId="3B8227D1"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DFA0D26"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tcPr>
          <w:p w14:paraId="0CD7526F"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5B6C884C"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0B3E5F4F"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Bőrkiütés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72DB2021"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76D26DD4"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DB5C49E"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Viszketés</w:t>
            </w:r>
          </w:p>
        </w:tc>
        <w:tc>
          <w:tcPr>
            <w:tcW w:w="5208" w:type="dxa"/>
            <w:gridSpan w:val="2"/>
            <w:tcBorders>
              <w:top w:val="single" w:sz="4" w:space="0" w:color="000000"/>
              <w:left w:val="single" w:sz="4" w:space="0" w:color="000000"/>
              <w:bottom w:val="single" w:sz="4" w:space="0" w:color="000000"/>
              <w:right w:val="single" w:sz="4" w:space="0" w:color="000000"/>
            </w:tcBorders>
          </w:tcPr>
          <w:p w14:paraId="7144C8A6"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163F37B9"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01CC6304"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Anafilaxiás reakció</w:t>
            </w:r>
          </w:p>
        </w:tc>
        <w:tc>
          <w:tcPr>
            <w:tcW w:w="5208" w:type="dxa"/>
            <w:gridSpan w:val="2"/>
            <w:tcBorders>
              <w:top w:val="single" w:sz="4" w:space="0" w:color="000000"/>
              <w:left w:val="single" w:sz="4" w:space="0" w:color="000000"/>
              <w:bottom w:val="single" w:sz="4" w:space="0" w:color="000000"/>
              <w:right w:val="single" w:sz="4" w:space="0" w:color="000000"/>
            </w:tcBorders>
          </w:tcPr>
          <w:p w14:paraId="18FF53D1"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3D72DCAA"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2496091"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Angiooedema</w:t>
            </w:r>
          </w:p>
        </w:tc>
        <w:tc>
          <w:tcPr>
            <w:tcW w:w="5208" w:type="dxa"/>
            <w:gridSpan w:val="2"/>
            <w:tcBorders>
              <w:top w:val="single" w:sz="4" w:space="0" w:color="000000"/>
              <w:left w:val="single" w:sz="4" w:space="0" w:color="000000"/>
              <w:bottom w:val="single" w:sz="4" w:space="0" w:color="000000"/>
              <w:right w:val="single" w:sz="4" w:space="0" w:color="000000"/>
            </w:tcBorders>
          </w:tcPr>
          <w:p w14:paraId="240A6289"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3D74A1E8"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A8836C1"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Csalánkiütés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56A97183"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100E5AB1"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3E7409AA"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Hörgőgörcs</w:t>
            </w:r>
          </w:p>
        </w:tc>
        <w:tc>
          <w:tcPr>
            <w:tcW w:w="5208" w:type="dxa"/>
            <w:gridSpan w:val="2"/>
            <w:tcBorders>
              <w:top w:val="single" w:sz="4" w:space="0" w:color="000000"/>
              <w:left w:val="single" w:sz="4" w:space="0" w:color="000000"/>
              <w:bottom w:val="single" w:sz="4" w:space="0" w:color="000000"/>
              <w:right w:val="single" w:sz="4" w:space="0" w:color="000000"/>
            </w:tcBorders>
          </w:tcPr>
          <w:p w14:paraId="04A38412"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3920E0" w14:paraId="2703E708"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11B9FBF7"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Idegrendszeri betegségek és tünetek</w:t>
            </w:r>
          </w:p>
        </w:tc>
      </w:tr>
      <w:tr w:rsidR="00536CD0" w:rsidRPr="00617FC7" w14:paraId="031094DF"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5BC2EF80"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06AFA48"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3920E0" w14:paraId="6271E00B"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2E2BD407"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Érbetegségek és tünetek</w:t>
            </w:r>
          </w:p>
        </w:tc>
      </w:tr>
      <w:tr w:rsidR="00536CD0" w:rsidRPr="00617FC7" w14:paraId="7F971FF6"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5ACEC20"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Haematoma</w:t>
            </w:r>
          </w:p>
        </w:tc>
        <w:tc>
          <w:tcPr>
            <w:tcW w:w="5208" w:type="dxa"/>
            <w:gridSpan w:val="2"/>
            <w:tcBorders>
              <w:top w:val="single" w:sz="4" w:space="0" w:color="000000"/>
              <w:left w:val="single" w:sz="4" w:space="0" w:color="000000"/>
              <w:bottom w:val="single" w:sz="4" w:space="0" w:color="000000"/>
              <w:right w:val="single" w:sz="4" w:space="0" w:color="000000"/>
            </w:tcBorders>
          </w:tcPr>
          <w:p w14:paraId="15EB5135"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2DBF32C8"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3B22C08"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45501EED"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3920E0" w14:paraId="313C5B5A"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1B0BDD7A"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Légzőrendszeri, mellkasi és mediastinalis betegségek és tünetek</w:t>
            </w:r>
          </w:p>
        </w:tc>
      </w:tr>
      <w:tr w:rsidR="00536CD0" w:rsidRPr="00617FC7" w14:paraId="06F840C5"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38950DA"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tcPr>
          <w:p w14:paraId="75EFAE22"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6CDC791A"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CD98720" w14:textId="77777777" w:rsidR="00536CD0" w:rsidRPr="00617FC7" w:rsidRDefault="00536CD0" w:rsidP="00CF66F9">
            <w:pPr>
              <w:ind w:left="237" w:firstLine="14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Haemoptoe</w:t>
            </w:r>
          </w:p>
        </w:tc>
        <w:tc>
          <w:tcPr>
            <w:tcW w:w="5208" w:type="dxa"/>
            <w:gridSpan w:val="2"/>
            <w:tcBorders>
              <w:top w:val="single" w:sz="4" w:space="0" w:color="000000"/>
              <w:left w:val="single" w:sz="4" w:space="0" w:color="000000"/>
              <w:bottom w:val="single" w:sz="4" w:space="0" w:color="000000"/>
              <w:right w:val="single" w:sz="4" w:space="0" w:color="000000"/>
            </w:tcBorders>
          </w:tcPr>
          <w:p w14:paraId="4021D45B"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3920E0" w14:paraId="771E8AFA"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611ED6AD"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Emésztőrendszeri betegségek és tünetek</w:t>
            </w:r>
          </w:p>
        </w:tc>
      </w:tr>
      <w:tr w:rsidR="00536CD0" w:rsidRPr="00617FC7" w14:paraId="338F63D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9C69ABE"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032B6A08"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3C903171"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EF4F12B"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Hasi fájdalom</w:t>
            </w:r>
          </w:p>
        </w:tc>
        <w:tc>
          <w:tcPr>
            <w:tcW w:w="5208" w:type="dxa"/>
            <w:gridSpan w:val="2"/>
            <w:tcBorders>
              <w:top w:val="single" w:sz="4" w:space="0" w:color="000000"/>
              <w:left w:val="single" w:sz="4" w:space="0" w:color="000000"/>
              <w:bottom w:val="single" w:sz="4" w:space="0" w:color="000000"/>
              <w:right w:val="single" w:sz="4" w:space="0" w:color="000000"/>
            </w:tcBorders>
          </w:tcPr>
          <w:p w14:paraId="35D4B77E"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2B7E56AE"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02C59FA2"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tcPr>
          <w:p w14:paraId="7289CCAF"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4FB21F5A"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28D01A6B"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Dyspepsia </w:t>
            </w:r>
          </w:p>
        </w:tc>
        <w:tc>
          <w:tcPr>
            <w:tcW w:w="5208" w:type="dxa"/>
            <w:gridSpan w:val="2"/>
            <w:tcBorders>
              <w:top w:val="single" w:sz="4" w:space="0" w:color="000000"/>
              <w:left w:val="single" w:sz="4" w:space="0" w:color="000000"/>
              <w:bottom w:val="single" w:sz="4" w:space="0" w:color="000000"/>
              <w:right w:val="single" w:sz="4" w:space="0" w:color="000000"/>
            </w:tcBorders>
          </w:tcPr>
          <w:p w14:paraId="5292401B"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4CD956E2"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F69ADD6"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tcPr>
          <w:p w14:paraId="143EEB66"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Gyakori </w:t>
            </w:r>
          </w:p>
        </w:tc>
      </w:tr>
      <w:tr w:rsidR="00536CD0" w:rsidRPr="00617FC7" w14:paraId="2A8AD8B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8E70A19"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Rectalis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27B2D6F"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660CEEF3"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2BA797DA"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Aranyérvérzés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57795DB6"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7035409B"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937C655"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Gastrointestinalis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tcPr>
          <w:p w14:paraId="0BC06D7E"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5A24C466"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5FC5F3D"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Gastrooesophagitis </w:t>
            </w:r>
          </w:p>
        </w:tc>
        <w:tc>
          <w:tcPr>
            <w:tcW w:w="5208" w:type="dxa"/>
            <w:gridSpan w:val="2"/>
            <w:tcBorders>
              <w:top w:val="single" w:sz="4" w:space="0" w:color="000000"/>
              <w:left w:val="single" w:sz="4" w:space="0" w:color="000000"/>
              <w:bottom w:val="single" w:sz="4" w:space="0" w:color="000000"/>
              <w:right w:val="single" w:sz="4" w:space="0" w:color="000000"/>
            </w:tcBorders>
          </w:tcPr>
          <w:p w14:paraId="7DDE7468"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0BE21D7E"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F8F5864"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Gastrooesophagealis refluxbetegség</w:t>
            </w:r>
          </w:p>
        </w:tc>
        <w:tc>
          <w:tcPr>
            <w:tcW w:w="5208" w:type="dxa"/>
            <w:gridSpan w:val="2"/>
            <w:tcBorders>
              <w:top w:val="single" w:sz="4" w:space="0" w:color="000000"/>
              <w:left w:val="single" w:sz="4" w:space="0" w:color="000000"/>
              <w:bottom w:val="single" w:sz="4" w:space="0" w:color="000000"/>
              <w:right w:val="single" w:sz="4" w:space="0" w:color="000000"/>
            </w:tcBorders>
          </w:tcPr>
          <w:p w14:paraId="493EDE47"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2582CD37"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7C921A20"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Hányás</w:t>
            </w:r>
          </w:p>
        </w:tc>
        <w:tc>
          <w:tcPr>
            <w:tcW w:w="5208" w:type="dxa"/>
            <w:gridSpan w:val="2"/>
            <w:tcBorders>
              <w:top w:val="single" w:sz="4" w:space="0" w:color="000000"/>
              <w:left w:val="single" w:sz="4" w:space="0" w:color="000000"/>
              <w:bottom w:val="single" w:sz="4" w:space="0" w:color="000000"/>
              <w:right w:val="single" w:sz="4" w:space="0" w:color="000000"/>
            </w:tcBorders>
          </w:tcPr>
          <w:p w14:paraId="0C01360A"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43ACE69A"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26077792"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Dysphagia </w:t>
            </w:r>
          </w:p>
        </w:tc>
        <w:tc>
          <w:tcPr>
            <w:tcW w:w="5208" w:type="dxa"/>
            <w:gridSpan w:val="2"/>
            <w:tcBorders>
              <w:top w:val="single" w:sz="4" w:space="0" w:color="000000"/>
              <w:left w:val="single" w:sz="4" w:space="0" w:color="000000"/>
              <w:bottom w:val="single" w:sz="4" w:space="0" w:color="000000"/>
              <w:right w:val="single" w:sz="4" w:space="0" w:color="000000"/>
            </w:tcBorders>
          </w:tcPr>
          <w:p w14:paraId="0782E58C"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3920E0" w14:paraId="314A84CB"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5B178B5E"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Máj- és epebetegségek, illetve tünetek</w:t>
            </w:r>
          </w:p>
        </w:tc>
      </w:tr>
      <w:tr w:rsidR="00536CD0" w:rsidRPr="00617FC7" w14:paraId="099D398D"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2D52BF4"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tcPr>
          <w:p w14:paraId="1703D8B4"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244CDBFA"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FB586A0"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Glutamát-piruvát-transzamináz-emelkedés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21FA8F01"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3920E0" w14:paraId="0F217CC3"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339FCBA8"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Glutamát-oxálacetát-transzamináz-emelkedés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1454AA99" w14:textId="77777777" w:rsidR="00536CD0" w:rsidRPr="00617FC7" w:rsidRDefault="00536CD0" w:rsidP="00CF66F9">
            <w:pPr>
              <w:ind w:left="10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7BD45870"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2BBFBC4"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50B64726"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617FC7" w14:paraId="1A30196F"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C51C683"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Hyperbilirubinaemia</w:t>
            </w:r>
          </w:p>
        </w:tc>
        <w:tc>
          <w:tcPr>
            <w:tcW w:w="5208" w:type="dxa"/>
            <w:gridSpan w:val="2"/>
            <w:tcBorders>
              <w:top w:val="single" w:sz="4" w:space="0" w:color="000000"/>
              <w:left w:val="single" w:sz="4" w:space="0" w:color="000000"/>
              <w:bottom w:val="single" w:sz="4" w:space="0" w:color="000000"/>
              <w:right w:val="single" w:sz="4" w:space="0" w:color="000000"/>
            </w:tcBorders>
          </w:tcPr>
          <w:p w14:paraId="083952F4"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3920E0" w14:paraId="09E63DEC"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424C730B"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bőr és a bőr alatti szövet betegségei és tünetei</w:t>
            </w:r>
          </w:p>
        </w:tc>
      </w:tr>
      <w:tr w:rsidR="00536CD0" w:rsidRPr="00617FC7" w14:paraId="50EC85A6"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0E240CD"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Bőrvérzés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2DCEFE8"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Nem gyakori </w:t>
            </w:r>
          </w:p>
        </w:tc>
      </w:tr>
      <w:tr w:rsidR="00536CD0" w:rsidRPr="00617FC7" w14:paraId="5B6680C3"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1CD02080"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Alopecia</w:t>
            </w:r>
          </w:p>
        </w:tc>
        <w:tc>
          <w:tcPr>
            <w:tcW w:w="5208" w:type="dxa"/>
            <w:gridSpan w:val="2"/>
            <w:tcBorders>
              <w:top w:val="single" w:sz="4" w:space="0" w:color="000000"/>
              <w:left w:val="single" w:sz="4" w:space="0" w:color="000000"/>
              <w:bottom w:val="single" w:sz="4" w:space="0" w:color="000000"/>
              <w:right w:val="single" w:sz="4" w:space="0" w:color="000000"/>
            </w:tcBorders>
          </w:tcPr>
          <w:p w14:paraId="777B9741"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Gyakori</w:t>
            </w:r>
          </w:p>
        </w:tc>
      </w:tr>
      <w:tr w:rsidR="00536CD0" w:rsidRPr="003920E0" w14:paraId="2ADECED0" w14:textId="77777777" w:rsidTr="00CF66F9">
        <w:trPr>
          <w:trHeight w:val="113"/>
        </w:trPr>
        <w:tc>
          <w:tcPr>
            <w:tcW w:w="9286" w:type="dxa"/>
            <w:gridSpan w:val="3"/>
            <w:tcBorders>
              <w:top w:val="single" w:sz="4" w:space="0" w:color="000000"/>
              <w:left w:val="single" w:sz="4" w:space="0" w:color="000000"/>
              <w:bottom w:val="single" w:sz="4" w:space="0" w:color="000000"/>
              <w:right w:val="single" w:sz="4" w:space="0" w:color="000000"/>
            </w:tcBorders>
          </w:tcPr>
          <w:p w14:paraId="0666A544" w14:textId="77777777" w:rsidR="00536CD0" w:rsidRPr="00617FC7" w:rsidRDefault="00536CD0" w:rsidP="00CF66F9">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csont- és izomrendszer, valamint a kötőszövet betegségei és tünetei</w:t>
            </w:r>
          </w:p>
        </w:tc>
      </w:tr>
      <w:tr w:rsidR="00536CD0" w:rsidRPr="00617FC7" w14:paraId="07A6B444"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40B0C260"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Haemarthrosis</w:t>
            </w:r>
          </w:p>
        </w:tc>
        <w:tc>
          <w:tcPr>
            <w:tcW w:w="5208" w:type="dxa"/>
            <w:gridSpan w:val="2"/>
            <w:tcBorders>
              <w:top w:val="single" w:sz="4" w:space="0" w:color="000000"/>
              <w:left w:val="single" w:sz="4" w:space="0" w:color="000000"/>
              <w:bottom w:val="single" w:sz="4" w:space="0" w:color="000000"/>
              <w:right w:val="single" w:sz="4" w:space="0" w:color="000000"/>
            </w:tcBorders>
          </w:tcPr>
          <w:p w14:paraId="581DBB49"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73CD6C9B" w14:textId="77777777" w:rsidTr="00CF66F9">
        <w:trPr>
          <w:trHeight w:val="113"/>
        </w:trPr>
        <w:tc>
          <w:tcPr>
            <w:tcW w:w="6106" w:type="dxa"/>
            <w:gridSpan w:val="2"/>
            <w:tcBorders>
              <w:top w:val="single" w:sz="4" w:space="0" w:color="000000"/>
              <w:left w:val="single" w:sz="4" w:space="0" w:color="000000"/>
              <w:bottom w:val="single" w:sz="4" w:space="0" w:color="000000"/>
              <w:right w:val="nil"/>
            </w:tcBorders>
          </w:tcPr>
          <w:p w14:paraId="215E58E4" w14:textId="77777777" w:rsidR="00536CD0" w:rsidRPr="00617FC7" w:rsidRDefault="00536CD0" w:rsidP="00CF66F9">
            <w:pPr>
              <w:ind w:left="108"/>
              <w:jc w:val="both"/>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Vese- és húgyúti betegségek és tünetek</w:t>
            </w:r>
          </w:p>
        </w:tc>
        <w:tc>
          <w:tcPr>
            <w:tcW w:w="3180" w:type="dxa"/>
            <w:tcBorders>
              <w:top w:val="single" w:sz="4" w:space="0" w:color="000000"/>
              <w:left w:val="nil"/>
              <w:bottom w:val="single" w:sz="4" w:space="0" w:color="000000"/>
              <w:right w:val="single" w:sz="4" w:space="0" w:color="000000"/>
            </w:tcBorders>
          </w:tcPr>
          <w:p w14:paraId="3B84E18B"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5ED4113"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2ACC71B8"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Urogenitalis vérzés, a haematuriát is beleértve</w:t>
            </w:r>
          </w:p>
        </w:tc>
        <w:tc>
          <w:tcPr>
            <w:tcW w:w="2028" w:type="dxa"/>
            <w:tcBorders>
              <w:top w:val="single" w:sz="4" w:space="0" w:color="000000"/>
              <w:left w:val="single" w:sz="4" w:space="0" w:color="000000"/>
              <w:bottom w:val="single" w:sz="4" w:space="0" w:color="000000"/>
              <w:right w:val="nil"/>
            </w:tcBorders>
          </w:tcPr>
          <w:p w14:paraId="0033599E" w14:textId="77777777" w:rsidR="00536CD0" w:rsidRPr="00617FC7" w:rsidRDefault="00536CD0" w:rsidP="00536CD0">
            <w:pPr>
              <w:rPr>
                <w:rFonts w:ascii="Times New Roman" w:eastAsia="Times New Roman" w:hAnsi="Times New Roman" w:cs="Times New Roman"/>
                <w:noProof w:val="0"/>
                <w:color w:val="000000"/>
                <w:lang w:val="hu-HU"/>
              </w:rPr>
            </w:pPr>
          </w:p>
        </w:tc>
        <w:tc>
          <w:tcPr>
            <w:tcW w:w="3180" w:type="dxa"/>
            <w:tcBorders>
              <w:top w:val="single" w:sz="4" w:space="0" w:color="000000"/>
              <w:left w:val="nil"/>
              <w:bottom w:val="single" w:sz="4" w:space="0" w:color="000000"/>
              <w:right w:val="single" w:sz="4" w:space="0" w:color="000000"/>
            </w:tcBorders>
          </w:tcPr>
          <w:p w14:paraId="4D01B79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Nem gyakori </w:t>
            </w:r>
          </w:p>
        </w:tc>
      </w:tr>
      <w:tr w:rsidR="00536CD0" w:rsidRPr="00617FC7" w14:paraId="2829AF12" w14:textId="77777777" w:rsidTr="00CF66F9">
        <w:trPr>
          <w:trHeight w:val="113"/>
        </w:trPr>
        <w:tc>
          <w:tcPr>
            <w:tcW w:w="6106" w:type="dxa"/>
            <w:gridSpan w:val="2"/>
            <w:tcBorders>
              <w:top w:val="single" w:sz="4" w:space="0" w:color="000000"/>
              <w:left w:val="single" w:sz="4" w:space="0" w:color="000000"/>
              <w:bottom w:val="single" w:sz="4" w:space="0" w:color="000000"/>
              <w:right w:val="nil"/>
            </w:tcBorders>
          </w:tcPr>
          <w:p w14:paraId="09E64BA0" w14:textId="77777777" w:rsidR="00536CD0" w:rsidRPr="00617FC7" w:rsidRDefault="00536CD0" w:rsidP="00536CD0">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62EFE4CE"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85BE94F"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22DFF28"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az injekció beadásának helyén</w:t>
            </w:r>
          </w:p>
        </w:tc>
        <w:tc>
          <w:tcPr>
            <w:tcW w:w="2028" w:type="dxa"/>
            <w:tcBorders>
              <w:top w:val="single" w:sz="4" w:space="0" w:color="000000"/>
              <w:left w:val="single" w:sz="4" w:space="0" w:color="000000"/>
              <w:bottom w:val="single" w:sz="4" w:space="0" w:color="000000"/>
              <w:right w:val="nil"/>
            </w:tcBorders>
          </w:tcPr>
          <w:p w14:paraId="19A29586" w14:textId="77777777" w:rsidR="00536CD0" w:rsidRPr="00617FC7" w:rsidRDefault="00536CD0" w:rsidP="00536CD0">
            <w:pPr>
              <w:rPr>
                <w:rFonts w:ascii="Times New Roman" w:eastAsia="Times New Roman" w:hAnsi="Times New Roman" w:cs="Times New Roman"/>
                <w:noProof w:val="0"/>
                <w:color w:val="000000"/>
                <w:lang w:val="hu-HU"/>
              </w:rPr>
            </w:pPr>
          </w:p>
        </w:tc>
        <w:tc>
          <w:tcPr>
            <w:tcW w:w="3180" w:type="dxa"/>
            <w:tcBorders>
              <w:top w:val="single" w:sz="4" w:space="0" w:color="000000"/>
              <w:left w:val="nil"/>
              <w:bottom w:val="single" w:sz="4" w:space="0" w:color="000000"/>
              <w:right w:val="single" w:sz="4" w:space="0" w:color="000000"/>
            </w:tcBorders>
          </w:tcPr>
          <w:p w14:paraId="0D4EF00D" w14:textId="77777777" w:rsidR="00536CD0" w:rsidRPr="00617FC7" w:rsidRDefault="00536CD0" w:rsidP="00536CD0">
            <w:pPr>
              <w:ind w:left="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48933A81"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69123338"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 kanül helyén</w:t>
            </w:r>
          </w:p>
        </w:tc>
        <w:tc>
          <w:tcPr>
            <w:tcW w:w="2028" w:type="dxa"/>
            <w:tcBorders>
              <w:top w:val="single" w:sz="4" w:space="0" w:color="000000"/>
              <w:left w:val="single" w:sz="4" w:space="0" w:color="000000"/>
              <w:bottom w:val="single" w:sz="4" w:space="0" w:color="000000"/>
              <w:right w:val="nil"/>
            </w:tcBorders>
          </w:tcPr>
          <w:p w14:paraId="7A43DC08" w14:textId="77777777" w:rsidR="00536CD0" w:rsidRPr="00617FC7" w:rsidRDefault="00536CD0" w:rsidP="00536CD0">
            <w:pPr>
              <w:rPr>
                <w:rFonts w:ascii="Times New Roman" w:eastAsia="Times New Roman" w:hAnsi="Times New Roman" w:cs="Times New Roman"/>
                <w:noProof w:val="0"/>
                <w:color w:val="000000"/>
                <w:lang w:val="hu-HU"/>
              </w:rPr>
            </w:pPr>
          </w:p>
        </w:tc>
        <w:tc>
          <w:tcPr>
            <w:tcW w:w="3180" w:type="dxa"/>
            <w:tcBorders>
              <w:top w:val="single" w:sz="4" w:space="0" w:color="000000"/>
              <w:left w:val="nil"/>
              <w:bottom w:val="single" w:sz="4" w:space="0" w:color="000000"/>
              <w:right w:val="single" w:sz="4" w:space="0" w:color="000000"/>
            </w:tcBorders>
          </w:tcPr>
          <w:p w14:paraId="185D264E" w14:textId="77777777" w:rsidR="00536CD0" w:rsidRPr="00617FC7" w:rsidRDefault="00536CD0" w:rsidP="00536CD0">
            <w:pPr>
              <w:ind w:left="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r w:rsidR="00536CD0" w:rsidRPr="00617FC7" w14:paraId="0CFC0C30" w14:textId="77777777" w:rsidTr="00CF66F9">
        <w:trPr>
          <w:trHeight w:val="113"/>
        </w:trPr>
        <w:tc>
          <w:tcPr>
            <w:tcW w:w="6106" w:type="dxa"/>
            <w:gridSpan w:val="2"/>
            <w:tcBorders>
              <w:top w:val="single" w:sz="4" w:space="0" w:color="000000"/>
              <w:left w:val="single" w:sz="4" w:space="0" w:color="000000"/>
              <w:bottom w:val="single" w:sz="4" w:space="0" w:color="000000"/>
              <w:right w:val="nil"/>
            </w:tcBorders>
          </w:tcPr>
          <w:p w14:paraId="53383B3B" w14:textId="77777777" w:rsidR="00536CD0" w:rsidRPr="00617FC7" w:rsidRDefault="00536CD0" w:rsidP="00536CD0">
            <w:pPr>
              <w:ind w:left="108"/>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2F45348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57CCE8C"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3C6C4050"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Traumás vérzés</w:t>
            </w:r>
          </w:p>
        </w:tc>
        <w:tc>
          <w:tcPr>
            <w:tcW w:w="2028" w:type="dxa"/>
            <w:tcBorders>
              <w:top w:val="single" w:sz="4" w:space="0" w:color="000000"/>
              <w:left w:val="single" w:sz="4" w:space="0" w:color="000000"/>
              <w:bottom w:val="single" w:sz="4" w:space="0" w:color="000000"/>
              <w:right w:val="nil"/>
            </w:tcBorders>
          </w:tcPr>
          <w:p w14:paraId="1FEC23B7" w14:textId="77777777" w:rsidR="00536CD0" w:rsidRPr="00617FC7" w:rsidRDefault="00536CD0" w:rsidP="00536CD0">
            <w:pPr>
              <w:rPr>
                <w:rFonts w:ascii="Times New Roman" w:eastAsia="Times New Roman" w:hAnsi="Times New Roman" w:cs="Times New Roman"/>
                <w:noProof w:val="0"/>
                <w:color w:val="000000"/>
                <w:lang w:val="hu-HU"/>
              </w:rPr>
            </w:pPr>
          </w:p>
        </w:tc>
        <w:tc>
          <w:tcPr>
            <w:tcW w:w="3180" w:type="dxa"/>
            <w:tcBorders>
              <w:top w:val="single" w:sz="4" w:space="0" w:color="000000"/>
              <w:left w:val="nil"/>
              <w:bottom w:val="single" w:sz="4" w:space="0" w:color="000000"/>
              <w:right w:val="single" w:sz="4" w:space="0" w:color="000000"/>
            </w:tcBorders>
          </w:tcPr>
          <w:p w14:paraId="4122F77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gyakori</w:t>
            </w:r>
          </w:p>
        </w:tc>
      </w:tr>
      <w:tr w:rsidR="00536CD0" w:rsidRPr="00617FC7" w14:paraId="3BA2B91C" w14:textId="77777777" w:rsidTr="00CF66F9">
        <w:trPr>
          <w:trHeight w:val="113"/>
        </w:trPr>
        <w:tc>
          <w:tcPr>
            <w:tcW w:w="4078" w:type="dxa"/>
            <w:tcBorders>
              <w:top w:val="single" w:sz="4" w:space="0" w:color="000000"/>
              <w:left w:val="single" w:sz="4" w:space="0" w:color="000000"/>
              <w:bottom w:val="single" w:sz="4" w:space="0" w:color="000000"/>
              <w:right w:val="single" w:sz="4" w:space="0" w:color="000000"/>
            </w:tcBorders>
          </w:tcPr>
          <w:p w14:paraId="500CB8C9" w14:textId="77777777" w:rsidR="00536CD0" w:rsidRPr="00617FC7" w:rsidRDefault="00536CD0" w:rsidP="00CF66F9">
            <w:pPr>
              <w:ind w:left="379"/>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Vérzés a bemetszés helyén</w:t>
            </w:r>
          </w:p>
        </w:tc>
        <w:tc>
          <w:tcPr>
            <w:tcW w:w="2028" w:type="dxa"/>
            <w:tcBorders>
              <w:top w:val="single" w:sz="4" w:space="0" w:color="000000"/>
              <w:left w:val="single" w:sz="4" w:space="0" w:color="000000"/>
              <w:bottom w:val="single" w:sz="4" w:space="0" w:color="000000"/>
              <w:right w:val="nil"/>
            </w:tcBorders>
          </w:tcPr>
          <w:p w14:paraId="1319CE77" w14:textId="77777777" w:rsidR="00536CD0" w:rsidRPr="00617FC7" w:rsidRDefault="00536CD0" w:rsidP="00536CD0">
            <w:pPr>
              <w:rPr>
                <w:rFonts w:ascii="Times New Roman" w:eastAsia="Times New Roman" w:hAnsi="Times New Roman" w:cs="Times New Roman"/>
                <w:noProof w:val="0"/>
                <w:color w:val="000000"/>
                <w:lang w:val="hu-HU"/>
              </w:rPr>
            </w:pPr>
          </w:p>
        </w:tc>
        <w:tc>
          <w:tcPr>
            <w:tcW w:w="3180" w:type="dxa"/>
            <w:tcBorders>
              <w:top w:val="single" w:sz="4" w:space="0" w:color="000000"/>
              <w:left w:val="nil"/>
              <w:bottom w:val="single" w:sz="4" w:space="0" w:color="000000"/>
              <w:right w:val="single" w:sz="4" w:space="0" w:color="000000"/>
            </w:tcBorders>
          </w:tcPr>
          <w:p w14:paraId="60125DBB" w14:textId="77777777" w:rsidR="00536CD0" w:rsidRPr="00617FC7" w:rsidRDefault="00536CD0" w:rsidP="00536CD0">
            <w:pPr>
              <w:ind w:left="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Nem ismert</w:t>
            </w:r>
          </w:p>
        </w:tc>
      </w:tr>
    </w:tbl>
    <w:p w14:paraId="6CA42968"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70D56A7F"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Vérzéses reakciók</w:t>
      </w:r>
    </w:p>
    <w:p w14:paraId="466383BF" w14:textId="3FF2B7CB"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az idősebb korcsoportban (12 – &lt; 18 évesek: 28,6%), mint a fiatalabb korcsoportokban (születés</w:t>
      </w:r>
      <w:r w:rsidR="003920E0">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3920E0">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2 évesek: 23,3%; 2 – &lt; 12 évesek: 16,2%). A major vagy súlyos vérzések lokalizációjuktól függetlenül rokkantsághoz, életet veszélyeztető állapothoz vagy akár halálos kimenetelhez vezethetnek.</w:t>
      </w:r>
    </w:p>
    <w:p w14:paraId="72C208B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8D5DFAD"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Feltételezett mellékhatások bejelentése</w:t>
      </w:r>
    </w:p>
    <w:p w14:paraId="5FF2BF7F" w14:textId="77777777" w:rsidR="00536CD0" w:rsidRPr="00617FC7" w:rsidRDefault="00536CD0" w:rsidP="00536CD0">
      <w:pPr>
        <w:spacing w:after="0" w:line="240" w:lineRule="auto"/>
        <w:ind w:left="7" w:right="-12" w:hanging="10"/>
        <w:jc w:val="both"/>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0">
        <w:r w:rsidRPr="00CF66F9">
          <w:rPr>
            <w:rFonts w:ascii="Times New Roman" w:eastAsia="Times New Roman" w:hAnsi="Times New Roman" w:cs="Times New Roman"/>
            <w:noProof w:val="0"/>
            <w:color w:val="0000FF"/>
            <w:kern w:val="0"/>
            <w:highlight w:val="lightGray"/>
            <w:u w:val="single" w:color="0000FE"/>
            <w:lang w:val="hu-HU" w:eastAsia="hu-HU"/>
            <w14:ligatures w14:val="none"/>
          </w:rPr>
          <w:t>V.</w:t>
        </w:r>
      </w:hyperlink>
      <w:r w:rsidRPr="00CF66F9">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hyperlink r:id="rId11">
        <w:r w:rsidRPr="00CF66F9">
          <w:rPr>
            <w:rFonts w:ascii="Times New Roman" w:eastAsia="Times New Roman" w:hAnsi="Times New Roman" w:cs="Times New Roman"/>
            <w:noProof w:val="0"/>
            <w:color w:val="0000FF"/>
            <w:kern w:val="0"/>
            <w:highlight w:val="lightGray"/>
            <w:u w:val="single" w:color="0000FE"/>
            <w:lang w:val="hu-HU" w:eastAsia="hu-HU"/>
            <w14:ligatures w14:val="none"/>
          </w:rPr>
          <w:t>függelékben</w:t>
        </w:r>
      </w:hyperlink>
      <w:r w:rsidRPr="00CF66F9">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r w:rsidRPr="00CF66F9">
        <w:rPr>
          <w:rFonts w:ascii="Times New Roman" w:eastAsia="Times New Roman" w:hAnsi="Times New Roman" w:cs="Times New Roman"/>
          <w:noProof w:val="0"/>
          <w:color w:val="000000"/>
          <w:kern w:val="0"/>
          <w:highlight w:val="lightGray"/>
          <w:lang w:val="hu-HU" w:eastAsia="hu-HU"/>
          <w14:ligatures w14:val="none"/>
        </w:rPr>
        <w:t>található elérhetőségek valamelyikén keresztül</w:t>
      </w:r>
      <w:r w:rsidRPr="00617FC7">
        <w:rPr>
          <w:rFonts w:ascii="Times New Roman" w:eastAsia="Times New Roman" w:hAnsi="Times New Roman" w:cs="Times New Roman"/>
          <w:noProof w:val="0"/>
          <w:color w:val="000000"/>
          <w:kern w:val="0"/>
          <w:lang w:val="hu-HU" w:eastAsia="hu-HU"/>
          <w14:ligatures w14:val="none"/>
        </w:rPr>
        <w:t>.</w:t>
      </w:r>
    </w:p>
    <w:p w14:paraId="7EA94832" w14:textId="77777777" w:rsidR="00536CD0" w:rsidRPr="00617FC7" w:rsidRDefault="00536CD0" w:rsidP="00536CD0">
      <w:pPr>
        <w:spacing w:after="0" w:line="240" w:lineRule="auto"/>
        <w:ind w:left="7" w:right="-12" w:hanging="10"/>
        <w:jc w:val="both"/>
        <w:rPr>
          <w:rFonts w:ascii="Times New Roman" w:eastAsia="Times New Roman" w:hAnsi="Times New Roman" w:cs="Times New Roman"/>
          <w:noProof w:val="0"/>
          <w:color w:val="000000"/>
          <w:kern w:val="0"/>
          <w:lang w:val="hu-HU" w:eastAsia="hu-HU"/>
          <w14:ligatures w14:val="none"/>
        </w:rPr>
      </w:pPr>
    </w:p>
    <w:p w14:paraId="3F4396EE" w14:textId="77777777" w:rsidR="00536CD0" w:rsidRPr="00617FC7" w:rsidRDefault="00536CD0" w:rsidP="00CF66F9">
      <w:pPr>
        <w:tabs>
          <w:tab w:val="left" w:pos="567"/>
          <w:tab w:val="center" w:pos="1154"/>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4.9</w:t>
      </w:r>
      <w:r w:rsidRPr="00617FC7">
        <w:rPr>
          <w:rFonts w:ascii="Times New Roman" w:eastAsia="Times New Roman" w:hAnsi="Times New Roman" w:cs="Times New Roman"/>
          <w:b/>
          <w:noProof w:val="0"/>
          <w:color w:val="000000"/>
          <w:kern w:val="0"/>
          <w:lang w:val="hu-HU" w:eastAsia="hu-HU"/>
          <w14:ligatures w14:val="none"/>
        </w:rPr>
        <w:tab/>
        <w:t>Túladagolás</w:t>
      </w:r>
    </w:p>
    <w:p w14:paraId="1F02108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D413D1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javasoltnál nagyobb dabigatrán-etexilát-dózisok a beteget fokozott vérzésveszélynek teszik ki.</w:t>
      </w:r>
    </w:p>
    <w:p w14:paraId="3AD0CB8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71DF5A0" w14:textId="5D81CCB9"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Túladagolás gyanúja esetén alvadási vizsgálat segíthet meghatározni a vérzés kockázatát (lásd 4.4 és 5.1 pont). A kalibrált kvantitatív dTT (hTI) vizsgálat vagy ismételt dTT (hTI) mérések lehetővé teszik egy bizonyos dabigatrán-szint kialakulási idejének előjelzését (lásd 5.1 pont) abban az esetben is, ha kiegészítő beavatkozást,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dialízist kezdtek.</w:t>
      </w:r>
    </w:p>
    <w:p w14:paraId="536502A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5244A9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túlzott alvadásgátlás a dabigatrán-etexilát-kezelés megszakítását teheti szükségessé. Mivel a dabigatrán főleg a vesén keresztül választódik ki, fenn kell tartani a megfelelő diuresist. Mivel fehérjekötődése alacsony, a dabigatrán dializálható. Csak korlátozott klinikai tapasztalat áll rendelkezésre e lehetőség használhatóságával kapcsolatban (lásd 5.2 pont).</w:t>
      </w:r>
    </w:p>
    <w:p w14:paraId="3C4E4EF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338E201"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 vérzéses szövődmények kezelése</w:t>
      </w:r>
    </w:p>
    <w:p w14:paraId="58430CA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F48C5F9" w14:textId="5797B736"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Vérzéses szövődmény esetén a dabigatrán-etexilát-kezelést le kell állítani, és a vérzésforrást ki kell deríteni. A klinikai szituációtól függően a gyógyszert elrendelő orvos megítélése szerint megfelelő szupportív kezelést,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sebészi vérzéscsillapítást és vérpótlást kell végezni.</w:t>
      </w:r>
    </w:p>
    <w:p w14:paraId="45DFA57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FDCA9E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Azokban a helyzetekben, amikor felnőtt betegeknél a dabigatrán antikoaguláns hatásának gyors felfüggesztése szükséges, specifikus antidótum (idarucizumab) áll rendelkezésre, mely a dabigatrán farmakodinámiás hatását antagonizálja. Az idarucizumab hatásosságát és biztonságosságát nem határozták meg a gyermekeknél és serdülőknél (lásd 4.4 pont).</w:t>
      </w:r>
    </w:p>
    <w:p w14:paraId="3F6F595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DC4191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Mérlegelni lehet alvadási faktor koncentrátum (aktivált vagy nem aktivált) vagy rekombináns VIIa-faktor adását is. Van olyan kísérletes bizonyíték, ami alátámasztja ezen gyógyszerek szerepét a dabigatrán antikoaguláns hatásának felfüggesztésében. Ezek klinikai használhatóságára és az esetleges rebound thromboembolia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thrombocyta-koncentrátum adása thrombocytopenia, illetve hosszú hatású thrombocytaellenes gyógyszerek alkalmazását követően. A tüneti kezelést a kezelőorvos döntése alapján kell végezni.</w:t>
      </w:r>
    </w:p>
    <w:p w14:paraId="5702FB5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8721C9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Major vérzések esetén megfontolandó egy, a véralvadásban jártas szakemberrel való konzultáció, ha van ilyen az intézményben.</w:t>
      </w:r>
    </w:p>
    <w:p w14:paraId="3CBFA5B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F456E0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59A780E" w14:textId="77777777" w:rsidR="00536CD0" w:rsidRPr="00617FC7" w:rsidRDefault="00536CD0" w:rsidP="0016776B">
      <w:pPr>
        <w:numPr>
          <w:ilvl w:val="0"/>
          <w:numId w:val="7"/>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FARMAKOLÓGIAI TULAJDONSÁGOK</w:t>
      </w:r>
    </w:p>
    <w:p w14:paraId="51FC7A71" w14:textId="77777777" w:rsidR="00536CD0" w:rsidRPr="00617FC7" w:rsidRDefault="00536CD0" w:rsidP="00536CD0">
      <w:pPr>
        <w:tabs>
          <w:tab w:val="center" w:pos="2135"/>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5DF21438" w14:textId="77777777" w:rsidR="00536CD0" w:rsidRPr="00617FC7" w:rsidRDefault="00536CD0" w:rsidP="00536CD0">
      <w:pPr>
        <w:tabs>
          <w:tab w:val="center" w:pos="2135"/>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5.1</w:t>
      </w:r>
      <w:r w:rsidRPr="00617FC7">
        <w:rPr>
          <w:rFonts w:ascii="Times New Roman" w:eastAsia="Times New Roman" w:hAnsi="Times New Roman" w:cs="Times New Roman"/>
          <w:b/>
          <w:noProof w:val="0"/>
          <w:color w:val="000000"/>
          <w:kern w:val="0"/>
          <w:lang w:val="hu-HU" w:eastAsia="hu-HU"/>
          <w14:ligatures w14:val="none"/>
        </w:rPr>
        <w:tab/>
        <w:t>Farmakodinámiás tulajdonságok</w:t>
      </w:r>
    </w:p>
    <w:p w14:paraId="2AFE9A0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672DA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Farmakoterápiás csoport: Antithrombotikus gyógyszerek, direkt thrombininhibitorok, ATC kód: B01AE07.</w:t>
      </w:r>
    </w:p>
    <w:p w14:paraId="054E000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631F00"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Hatásmechanizmus</w:t>
      </w:r>
      <w:r w:rsidRPr="00617FC7">
        <w:rPr>
          <w:rFonts w:ascii="Times New Roman" w:eastAsia="Times New Roman" w:hAnsi="Times New Roman" w:cs="Times New Roman"/>
          <w:noProof w:val="0"/>
          <w:color w:val="000000"/>
          <w:kern w:val="0"/>
          <w:u w:color="000000"/>
          <w:lang w:val="hu-HU" w:eastAsia="hu-HU"/>
          <w14:ligatures w14:val="none"/>
        </w:rPr>
        <w:t xml:space="preserve"> </w:t>
      </w:r>
    </w:p>
    <w:p w14:paraId="21A9076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egy kismolekulájú prodrug, amelynek nincs farmakológiai aktivitása. Orális adást követően a dabigatrán-etexilát gyorsan felszívódik és dabigatránná alakul a plazmában és a májban egy észteráz által katalizált hidrolízisen keresztül. A dabigatrán egy erős, kompetitív, reverzibilis direkt thrombininhibitor, és a legfontosabb aktív forma a plazmában.</w:t>
      </w:r>
    </w:p>
    <w:p w14:paraId="6C8E1AC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Mivel a thrombin (szerinproteáz) teszi lehetővé a fibrinogén fibrinné történő átalakulását az alvadási kaszkád során, annak gátlása megelőzi a thrombus kialakulását. A dabigatrán gátolja a szabad thrombint, a fibrinhez kötött thrombint és a thrombin által kiváltott thrombocytaaggregációt.</w:t>
      </w:r>
    </w:p>
    <w:p w14:paraId="22A59FF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6F629E2"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Farmakodinámiás hatások</w:t>
      </w:r>
    </w:p>
    <w:p w14:paraId="6CB19F9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Az </w:t>
      </w:r>
      <w:r w:rsidRPr="00617FC7">
        <w:rPr>
          <w:rFonts w:ascii="Times New Roman" w:eastAsia="Times New Roman" w:hAnsi="Times New Roman" w:cs="Times New Roman"/>
          <w:i/>
          <w:noProof w:val="0"/>
          <w:color w:val="000000"/>
          <w:kern w:val="0"/>
          <w:lang w:val="hu-HU" w:eastAsia="hu-HU"/>
          <w14:ligatures w14:val="none"/>
        </w:rPr>
        <w:t xml:space="preserve">in vivo </w:t>
      </w:r>
      <w:r w:rsidRPr="00617FC7">
        <w:rPr>
          <w:rFonts w:ascii="Times New Roman" w:eastAsia="Times New Roman" w:hAnsi="Times New Roman" w:cs="Times New Roman"/>
          <w:noProof w:val="0"/>
          <w:color w:val="000000"/>
          <w:kern w:val="0"/>
          <w:lang w:val="hu-HU" w:eastAsia="hu-HU"/>
          <w14:ligatures w14:val="none"/>
        </w:rPr>
        <w:t xml:space="preserve">és </w:t>
      </w:r>
      <w:r w:rsidRPr="00617FC7">
        <w:rPr>
          <w:rFonts w:ascii="Times New Roman" w:eastAsia="Times New Roman" w:hAnsi="Times New Roman" w:cs="Times New Roman"/>
          <w:i/>
          <w:noProof w:val="0"/>
          <w:color w:val="000000"/>
          <w:kern w:val="0"/>
          <w:lang w:val="hu-HU" w:eastAsia="hu-HU"/>
          <w14:ligatures w14:val="none"/>
        </w:rPr>
        <w:t xml:space="preserve">ex vivo </w:t>
      </w:r>
      <w:r w:rsidRPr="00617FC7">
        <w:rPr>
          <w:rFonts w:ascii="Times New Roman" w:eastAsia="Times New Roman" w:hAnsi="Times New Roman" w:cs="Times New Roman"/>
          <w:noProof w:val="0"/>
          <w:color w:val="000000"/>
          <w:kern w:val="0"/>
          <w:lang w:val="hu-HU" w:eastAsia="hu-HU"/>
          <w14:ligatures w14:val="none"/>
        </w:rPr>
        <w:t>állatkísérletekben antithromboticus hatást és antikoaguláns aktivitást mutattak ki a dabigatrán intravénás és a dabigatrán-etexilát orális adását követően számos thrombosisos állatmodellben.</w:t>
      </w:r>
    </w:p>
    <w:p w14:paraId="754336B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E962D5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II. fázisú vizsgálatok alapján egyértelmű összefüggés van a plazma dabigatrán koncentrációja és az antikoaguláns hatás mértéke között. A dabigatrán megnyújtja a thrombinidőt (TT), az ECT-t és az aPTT-t.</w:t>
      </w:r>
    </w:p>
    <w:p w14:paraId="52566B5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8612220" w14:textId="725C82E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kalibrált kvantitatív hígított TT dTT (hTI) vizsgálattal megbecsülhető a dabigatrán plazmakoncentrációja, amit össze lehet hasonlítani a várt dabigatrán plazmakoncentrációkkal. Amikor a kalibrált hígított thrombinidő dTT (hTI) teszttel mért dabigatrán plazmakoncentráció a mennyiségi meghatározás határértékénél vagy az alatt van, megfontolandó további véralvadási próbák,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thrombinidő (TT), ecarin alvadási idő (ECT), aktivált parciális thromboplastinidő (aPTT) elvégzése.</w:t>
      </w:r>
    </w:p>
    <w:p w14:paraId="21671BF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ECT a direkt thrombininhibitorok aktivitásának közvetlen mérését teszi lehetővé.</w:t>
      </w:r>
    </w:p>
    <w:p w14:paraId="0BA798C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79C2AC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aPTT vizsgálat széles körben elérhető és megközelítően jelzi a dabigatránnal elért alvadásgátlás intenzitását. Az aPTT érzékenysége azonban korlátozott és nem alkalmas az antikoaguláns hatás precíz mérésére, különösen magas dabigatrán plazmakoncentrációk esetén. Jóllehet a magas aPTT-értékeket körültekintően kell értelmezni, a magas aPTT-érték azt jelzi, hogy a beteg antikoagulált állapotban van.</w:t>
      </w:r>
    </w:p>
    <w:p w14:paraId="7D213DF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F537011" w14:textId="6217EF60"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Általánosságban feltételezhető, hogy az antikoaguláns aktivitás ezen mérései tükrözhetik a dabigatrán-szinteket és iránymutatók lehetnek a vérzésveszély megbecslésekor,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a dabigatrán mélyponti koncentrációjának 90. percentilisét meghaladó értékek, vagy az aPTT-hez hasonló koagulációs vizsgálatok mélyponton mért értékei (az aPTT küszöbértékeket lásd a 4.4 pont alatt a 6. táblázatban), melyeket a fokozott vérzésveszéllyel összefüggő tényezőkként kell figyelembe venni.</w:t>
      </w:r>
    </w:p>
    <w:p w14:paraId="3EFF2AB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E15C581"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VTE primer prevenciója ortopédiai műtéteknél</w:t>
      </w:r>
    </w:p>
    <w:p w14:paraId="0446D3B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dinamikus egyensúlyi állapotban (3 nap elteltével), 220 mg dabigatrán-etexilát adása után nagyjából 2 órával mért maximális plazmakoncentrációjának geometriai átlaga 70,8 ng/ml, tartománya 35,2</w:t>
      </w:r>
      <w:r w:rsidRPr="00617FC7">
        <w:rPr>
          <w:rFonts w:ascii="Times New Roman" w:eastAsia="Times New Roman" w:hAnsi="Times New Roman" w:cs="Times New Roman"/>
          <w:noProof w:val="0"/>
          <w:color w:val="000000"/>
          <w:kern w:val="0"/>
          <w:lang w:val="hu-HU" w:eastAsia="hu-HU"/>
          <w14:ligatures w14:val="none"/>
        </w:rPr>
        <w:noBreakHyphen/>
        <w:t>162 ng/ml (25-ös és 75-ös közötti percentilis tartomány) volt. A dabigatrán adagolási intervallum végén (azaz 220 mg-os dabigatrán-dózis adása után 24 órával) mért maradék koncentrációjának geometriai átlaga 22,0 ng/ml, tartománya 13,0-35,7 ng/ml (25‑ös és 75‑ös közötti percentilis tartomány) volt.</w:t>
      </w:r>
    </w:p>
    <w:p w14:paraId="2C34AB8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BA56601" w14:textId="77777777" w:rsidR="00536CD0" w:rsidRPr="00617FC7" w:rsidRDefault="00536CD0" w:rsidP="00536CD0">
      <w:pPr>
        <w:spacing w:after="0" w:line="240" w:lineRule="auto"/>
        <w:ind w:left="7" w:right="248"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 célzott, kizárólag közepesen súlyos vesekárosodásban (kreatinin-clearance [CrCl] 30</w:t>
      </w:r>
      <w:r w:rsidRPr="00617FC7">
        <w:rPr>
          <w:rFonts w:ascii="Times New Roman" w:eastAsia="Times New Roman" w:hAnsi="Times New Roman" w:cs="Times New Roman"/>
          <w:noProof w:val="0"/>
          <w:color w:val="000000"/>
          <w:kern w:val="0"/>
          <w:lang w:val="hu-HU" w:eastAsia="hu-HU"/>
          <w14:ligatures w14:val="none"/>
        </w:rPr>
        <w:noBreakHyphen/>
        <w:t>50 ml/perc) szenvedő, 150 mg/nap dabigatrán-etexiláttal kezelt betegeken elvégzett vizsgálatban az adagolási intervallum végén mért mélyponti koncentráció geometriai átlaga átlagosan 47,5 ng/ml volt (tartomány: 29,6</w:t>
      </w:r>
      <w:r w:rsidRPr="00617FC7">
        <w:rPr>
          <w:rFonts w:ascii="Times New Roman" w:eastAsia="Times New Roman" w:hAnsi="Times New Roman" w:cs="Times New Roman"/>
          <w:noProof w:val="0"/>
          <w:color w:val="000000"/>
          <w:kern w:val="0"/>
          <w:lang w:val="hu-HU" w:eastAsia="hu-HU"/>
          <w14:ligatures w14:val="none"/>
        </w:rPr>
        <w:noBreakHyphen/>
        <w:t>72,2 ng/ml [25-75 percentilis tartomány]).</w:t>
      </w:r>
    </w:p>
    <w:p w14:paraId="1347404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F78DC4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Csípő- vagy térdprotézis beültetést követően VTE prevenció miatt naponta egyszer 220 mg dabigatrán-etexiláttal kezelt betegeknél</w:t>
      </w:r>
    </w:p>
    <w:p w14:paraId="4AA64689" w14:textId="77777777" w:rsidR="00536CD0" w:rsidRPr="00617FC7" w:rsidRDefault="00536CD0" w:rsidP="0016776B">
      <w:pPr>
        <w:numPr>
          <w:ilvl w:val="0"/>
          <w:numId w:val="8"/>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dabigatrán-koncentrációk 90 percentilis értéke 67 ng/ml volt a mélyponton mérve </w:t>
      </w:r>
    </w:p>
    <w:p w14:paraId="67ECD3F4" w14:textId="4B472D16" w:rsidR="00536CD0" w:rsidRPr="00617FC7" w:rsidRDefault="00536CD0" w:rsidP="00536CD0">
      <w:pPr>
        <w:spacing w:after="0" w:line="240" w:lineRule="auto"/>
        <w:ind w:left="588"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(20</w:t>
      </w:r>
      <w:r w:rsidR="00C80BB6"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28 órával a megelőző dózis után) (lásd 4.4 és 4.9 pont),</w:t>
      </w:r>
    </w:p>
    <w:p w14:paraId="038C1DD9" w14:textId="04997E76" w:rsidR="00536CD0" w:rsidRPr="00617FC7" w:rsidRDefault="00536CD0" w:rsidP="0016776B">
      <w:pPr>
        <w:numPr>
          <w:ilvl w:val="0"/>
          <w:numId w:val="8"/>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aPTT 90 percentilis értéke a mélyponton (20</w:t>
      </w:r>
      <w:r w:rsidR="00C80BB6"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28 órával a megelőző dózis után) 51 másodperc volt, ami a normálérték felső határának 1,3-szerese.</w:t>
      </w:r>
    </w:p>
    <w:p w14:paraId="3161B80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CDD556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ECT értékét nem mérték a csípő- vagy térdprotézis beültetést követően VTE prevenció miatt naponta egyszer 220 mg dabigatrán-etexiláttal kezelt betegeknél.</w:t>
      </w:r>
    </w:p>
    <w:p w14:paraId="22225C7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B41E101"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stroke és a szisztémás embolisatio prevenciója nem billentyű eredetű pitvarfibrillációban szenvedő,</w:t>
      </w:r>
      <w:r w:rsidRPr="00617FC7">
        <w:rPr>
          <w:rFonts w:ascii="Times New Roman" w:eastAsia="Times New Roman" w:hAnsi="Times New Roman" w:cs="Times New Roman"/>
          <w:i/>
          <w:noProof w:val="0"/>
          <w:color w:val="000000"/>
          <w:kern w:val="0"/>
          <w:lang w:val="hu-HU" w:eastAsia="hu-HU"/>
          <w14:ligatures w14:val="none"/>
        </w:rPr>
        <w:t xml:space="preserve"> </w:t>
      </w:r>
      <w:r w:rsidRPr="00617FC7">
        <w:rPr>
          <w:rFonts w:ascii="Times New Roman" w:eastAsia="Times New Roman" w:hAnsi="Times New Roman" w:cs="Times New Roman"/>
          <w:i/>
          <w:noProof w:val="0"/>
          <w:color w:val="000000"/>
          <w:kern w:val="0"/>
          <w:u w:val="single" w:color="000000"/>
          <w:lang w:val="hu-HU" w:eastAsia="hu-HU"/>
          <w14:ligatures w14:val="none"/>
        </w:rPr>
        <w:t>egy vagy több rizikótényezővel rendelkező felnőtt betegeknél (SPAF)</w:t>
      </w:r>
    </w:p>
    <w:p w14:paraId="4961977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FFB86BE" w14:textId="678751A8"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plazma csúcs koncentrációinak egyensúlyi geometriai átlagértéke a naponta kétszer adott 150 mg dabigatrán adását követően 2 órával mérve 175 ng/ml volt, 117</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275 ng/ml közötti tartománnyal (25 és 75 percentilis tartomány). A dabigatrán mélyponti koncentrációjának geometriai átlagértéke a mélyponton, reggel, az adagolási intervallum végén mérve (azaz 12 órával a 150 mg-os dabigatrán esti dózis után) átlagosan 91,0 ng/ml volt, 61,0</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143 ng/ml közötti tartománnyal (25 és 75 percentilis tartomány).</w:t>
      </w:r>
    </w:p>
    <w:p w14:paraId="2F6D05C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billentyű eredetű pitvarfibrillációban szenvedő betegeknél a stroke és a szisztémás embolisatio prevenciójára adott napi kétszer 150 mg dabigatrán-etexilát esetén</w:t>
      </w:r>
    </w:p>
    <w:p w14:paraId="0484A76D" w14:textId="4D548CBF"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dabigatrán-koncentrációk 90 percentilis értéke a mélyponton mérve (10</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16 órával a megelőző dózis után) 200 ng/ml volt,</w:t>
      </w:r>
    </w:p>
    <w:p w14:paraId="7017B02D" w14:textId="3FA858BF"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ECT esetében a mélyponton (10</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16 órával a megelőző dózis után), a normálérték felső határának háromszorosára emelkedett érték felelt meg az ECT megnyúlás 90 percentilisét jelentő 103 másodpercnek,</w:t>
      </w:r>
    </w:p>
    <w:p w14:paraId="57CE954C" w14:textId="77777777"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aPTT a normálérték felső határának kétszeresére történő megnyúlása (aPTT megnyúlás körülbelül 80 másodperc), a mélyponton (10</w:t>
      </w:r>
      <w:r w:rsidRPr="00617FC7">
        <w:rPr>
          <w:rFonts w:ascii="Times New Roman" w:eastAsia="Times New Roman" w:hAnsi="Times New Roman" w:cs="Times New Roman"/>
          <w:noProof w:val="0"/>
          <w:color w:val="000000"/>
          <w:kern w:val="0"/>
          <w:lang w:val="hu-HU" w:eastAsia="hu-HU"/>
          <w14:ligatures w14:val="none"/>
        </w:rPr>
        <w:noBreakHyphen/>
        <w:t>16 órával a megelőző dózis után) felelt meg a megfigyelt 90 percentilis értéknek.</w:t>
      </w:r>
    </w:p>
    <w:p w14:paraId="2B4274A1" w14:textId="77777777" w:rsidR="00536CD0" w:rsidRPr="00617FC7" w:rsidRDefault="00536CD0" w:rsidP="00536CD0">
      <w:pPr>
        <w:spacing w:after="0" w:line="240" w:lineRule="auto"/>
        <w:ind w:right="9"/>
        <w:rPr>
          <w:rFonts w:ascii="Times New Roman" w:eastAsia="Times New Roman" w:hAnsi="Times New Roman" w:cs="Times New Roman"/>
          <w:noProof w:val="0"/>
          <w:color w:val="000000"/>
          <w:kern w:val="0"/>
          <w:lang w:val="hu-HU" w:eastAsia="hu-HU"/>
          <w14:ligatures w14:val="none"/>
        </w:rPr>
      </w:pPr>
    </w:p>
    <w:p w14:paraId="2F810D2C"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Az MVT és PE kezelése és az MVT és PE kiújulásának megelőzése felnőtt betegeknél (MVT/PE)</w:t>
      </w:r>
    </w:p>
    <w:p w14:paraId="04E30BCF" w14:textId="38617DAA" w:rsidR="00536CD0" w:rsidRPr="00617FC7" w:rsidRDefault="00536CD0" w:rsidP="00536CD0">
      <w:pPr>
        <w:spacing w:after="0" w:line="240" w:lineRule="auto"/>
        <w:ind w:left="7" w:right="23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MVT és PE miatt napi kétszer 150 mg dabigatrán-etexiláttal kezelt betegeknél a dabigatrán adagolás után 10-16 órával, az adagolási intervallum végén mért (azaz 12 órával a 150 mg-os dabigatrán esti dózisa után) mélyponti koncentráció geometriai átlaga 59,7</w:t>
      </w:r>
      <w:r w:rsidR="00135F90">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ng/ml volt, a mért értékek 38,6 és 94,5 ng/ml között voltak (25 és 75 percentilis tartomány). Az MVT és PE kezelése során a napi kétszer 150 mg dabigatrán-etexilát adása esetén,</w:t>
      </w:r>
    </w:p>
    <w:p w14:paraId="1548A7DE" w14:textId="0F1EBA47"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dabigatrán-koncentrációk 90 percentilis értéke a mélyponton mérve (10</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16 órával a megelőző dózis után) 146 ng/ml volt,</w:t>
      </w:r>
    </w:p>
    <w:p w14:paraId="1F5CB4CF" w14:textId="77777777"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ECT esetében a mélyponton (10 16 órával a megelőző dózis után), a normálérték felső határának 2,3-szorosára emelkedett érték felelt meg az ECT megnyúlás 90 percentilisét jelentő 74 másodpercnek,</w:t>
      </w:r>
    </w:p>
    <w:p w14:paraId="429135C7" w14:textId="28DCEF44" w:rsidR="00536CD0" w:rsidRPr="00617FC7" w:rsidRDefault="00536CD0" w:rsidP="0016776B">
      <w:pPr>
        <w:numPr>
          <w:ilvl w:val="0"/>
          <w:numId w:val="9"/>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aPTT a mélyponton (10</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16 órával a megelőző dózis után) mért 90 percentilis értéke 62 másodperc volt, ami a kiindulási érték 1,8-szerese.</w:t>
      </w:r>
    </w:p>
    <w:p w14:paraId="57C8DF32" w14:textId="77777777" w:rsidR="00536CD0" w:rsidRPr="00617FC7" w:rsidRDefault="00536CD0" w:rsidP="00536CD0">
      <w:pPr>
        <w:spacing w:after="0" w:line="240" w:lineRule="auto"/>
        <w:ind w:right="9"/>
        <w:rPr>
          <w:rFonts w:ascii="Times New Roman" w:eastAsia="Times New Roman" w:hAnsi="Times New Roman" w:cs="Times New Roman"/>
          <w:noProof w:val="0"/>
          <w:color w:val="000000"/>
          <w:kern w:val="0"/>
          <w:lang w:val="hu-HU" w:eastAsia="hu-HU"/>
          <w14:ligatures w14:val="none"/>
        </w:rPr>
      </w:pPr>
    </w:p>
    <w:p w14:paraId="50275B1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MVT és PE kiújulásának prevenciója miatt napi kétszer 150 mg dabigatránnal kezelt betegekre vonatkozó farmakokinetikai adatok nem állnak rendelkezésre.</w:t>
      </w:r>
    </w:p>
    <w:p w14:paraId="10DDE6E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BF0278D"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Klinikai hatásosság és biztonságosság</w:t>
      </w:r>
      <w:r w:rsidRPr="00617FC7">
        <w:rPr>
          <w:rFonts w:ascii="Times New Roman" w:eastAsia="Times New Roman" w:hAnsi="Times New Roman" w:cs="Times New Roman"/>
          <w:noProof w:val="0"/>
          <w:color w:val="000000"/>
          <w:kern w:val="0"/>
          <w:u w:color="000000"/>
          <w:lang w:val="hu-HU" w:eastAsia="hu-HU"/>
          <w14:ligatures w14:val="none"/>
        </w:rPr>
        <w:t xml:space="preserve"> </w:t>
      </w:r>
    </w:p>
    <w:p w14:paraId="372A1AD3"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6553D8E2"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Etnikai származás:</w:t>
      </w:r>
    </w:p>
    <w:p w14:paraId="5CB433D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figyeltek meg klinikailag releváns különbséget a kaukázusi, afroamerikai, spanyolajkú, japán vagy kínai betegek között.</w:t>
      </w:r>
    </w:p>
    <w:p w14:paraId="08357B8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6CFA06A"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Klinikai vizsgálatok a nagyízületi endoprotézis-műtéteket követő VTE megelőzésére</w:t>
      </w:r>
    </w:p>
    <w:p w14:paraId="6649BDD9" w14:textId="3ED3C364"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2 nagy, randomizált, parallel csoportos, kettős vak, dózismeghatározó vizsgálatban az elektív ortopédiai nagyműtétre kerülő betegek (az egyikben térd-, a másikban csípőízületi endoprotézis beültetés történt) – miután haemostasisuk biztosítottá vált – 75 mg vagy 110 mg dabigatrán-etexilátot kaptak a műtét után 1</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4 órával, majd azt követően 150 mg-ot vagy 220 mg-ot naponta egyszer, vagy 40 mg enoxaparint a műtét előtti napon, majd azt követően naponta.</w:t>
      </w:r>
    </w:p>
    <w:p w14:paraId="360528A4" w14:textId="4073C22B"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RE-MODEL vizsgálatban (térdprotézis beültetés) a kezelés 6</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10 napig, a RE-NOVATE vizsgálatban (csípőprotézis beültetés) pedig 28</w:t>
      </w:r>
      <w:r w:rsidR="00135F90"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35 napig tartott. Összesen 2076 beteget kezeltek térd-, és 3494-et csípőprotézis beültetést követően.</w:t>
      </w:r>
    </w:p>
    <w:p w14:paraId="7EF4EA4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4CB8ED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Mindkét vizsgálat elsődleges végpontja az összes VTE (beleértve a pulmonális embóliát [PE] és a rutin venographiával kimutatott, akár tünetet okozó, akár tünetmentes, proximális és disztális mélyvénás thrombosist [MVT] is) és az összes mortalitás eredője volt. A másodlagos végpont a jelentős VTE (beleértve a pulmonális embóliát [PE] és a rutin venographiával kimutatott, akár tünetet okozó, akár tünetmentes, proximális MVT-t is) és a VTE-vel kapcsolatos mortalitás eredője volt, és ezt tartják klinikailag relevánsabbnak.</w:t>
      </w:r>
    </w:p>
    <w:p w14:paraId="60329B4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Mindkét vizsgálat eredménye azt mutatta, hogy a 220 mg és a 150 mg dabigatrán-etexilát antithrombotikus hatása statisztikailag nem volt rosszabb az enoxaparinnál az összes VTE és az összes mortalitás tekintetében. A jelentős VTE incidenciájának és a VTE-vel kapcsolatos mortalitás pontbecslésének értéke a 150 mg-os dózis esetében valamivel rosszabb volt, mint az enoxaparin esetében (19. táblázat). Jobbak voltak az eredmények a 220 mg-os dózissal, ahol a jelentős VTE incidenciájának pontbecslés értéke valamivel jobb volt az enoxaparinénál (19. táblázat).</w:t>
      </w:r>
    </w:p>
    <w:p w14:paraId="107AD05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297C7F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klinikai vizsgálatokat 65 év feletti átlagéletkorú betegpopuláción végezték.</w:t>
      </w:r>
    </w:p>
    <w:p w14:paraId="23DF1C3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149F0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III. fázisú klinikai vizsgálatok során a nők és férfiak között nem volt különbség a hatásosságra és biztonságosságra vonatkozó adatok tekintetében.</w:t>
      </w:r>
    </w:p>
    <w:p w14:paraId="4C8AF18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961650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RE-MODEL és a RE-NOVATE vizsgálatokban a betegek (5539 kezelt beteg) 51%-a szenvedett egyidejűleg hipertóniában, 9%-a diabetesben, 9%-a egyidejű koszorúér betegségben, és 20%-uk anamnézisében szerepelt vénás elégtelenség. A felsorolt betegségek egyike sem befolyásolta a dabigatrán VTE prevencióra kifejtett hatását vagy a vérzés gyakoriságát.</w:t>
      </w:r>
    </w:p>
    <w:p w14:paraId="786C5C0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0129C9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súlyos VTE-re és VTE-vel kapcsolatos mortalitási végpontra vonatkozó adatok homogének voltak az elsődleges hatékonysági végpont tekintetében, és az adatok a 19. táblázatban láthatók.</w:t>
      </w:r>
    </w:p>
    <w:p w14:paraId="150EC51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2ABFB0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összes VTE és az összes mortalitás végpontra vonatkozó adatok a 20. táblázatban láthatók.</w:t>
      </w:r>
    </w:p>
    <w:p w14:paraId="4AC9A55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4D9C39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megállapított jelentős vérzéses végpontokra vonatkozó adatok a 21. táblázatban, alább találhatók.</w:t>
      </w:r>
    </w:p>
    <w:p w14:paraId="21324E4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1F1D761" w14:textId="77777777" w:rsidR="00536CD0" w:rsidRPr="00617FC7" w:rsidRDefault="00536CD0" w:rsidP="00536CD0">
      <w:pPr>
        <w:keepNext/>
        <w:spacing w:after="0" w:line="240" w:lineRule="auto"/>
        <w:ind w:left="22" w:hanging="11"/>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19. táblázat. A súlyos VTE és VTE-vel kapcsolatos mortalitás elemzése a RE-MODEL és RE-NOVATE ortopédiai műtéti vizsgálatok kezelési periódusa alatt</w:t>
      </w:r>
    </w:p>
    <w:p w14:paraId="55E0790E"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536CD0" w:rsidRPr="00617FC7" w14:paraId="29853471"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1F90FF9B"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Vizsgálat</w:t>
            </w:r>
          </w:p>
        </w:tc>
        <w:tc>
          <w:tcPr>
            <w:tcW w:w="2136" w:type="dxa"/>
            <w:tcBorders>
              <w:top w:val="single" w:sz="4" w:space="0" w:color="000000"/>
              <w:left w:val="single" w:sz="4" w:space="0" w:color="000000"/>
              <w:bottom w:val="single" w:sz="4" w:space="0" w:color="000000"/>
              <w:right w:val="single" w:sz="4" w:space="0" w:color="000000"/>
            </w:tcBorders>
          </w:tcPr>
          <w:p w14:paraId="18AA97E8"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63925467"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 mg napi egyszer</w:t>
            </w:r>
          </w:p>
        </w:tc>
        <w:tc>
          <w:tcPr>
            <w:tcW w:w="2136" w:type="dxa"/>
            <w:tcBorders>
              <w:top w:val="single" w:sz="4" w:space="0" w:color="000000"/>
              <w:left w:val="single" w:sz="4" w:space="0" w:color="000000"/>
              <w:bottom w:val="single" w:sz="4" w:space="0" w:color="000000"/>
              <w:right w:val="single" w:sz="4" w:space="0" w:color="000000"/>
            </w:tcBorders>
          </w:tcPr>
          <w:p w14:paraId="7FBCEB4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0D9BDAC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egyszer</w:t>
            </w:r>
          </w:p>
        </w:tc>
        <w:tc>
          <w:tcPr>
            <w:tcW w:w="2134" w:type="dxa"/>
            <w:tcBorders>
              <w:top w:val="single" w:sz="4" w:space="0" w:color="000000"/>
              <w:left w:val="single" w:sz="4" w:space="0" w:color="000000"/>
              <w:bottom w:val="single" w:sz="4" w:space="0" w:color="000000"/>
              <w:right w:val="single" w:sz="4" w:space="0" w:color="000000"/>
            </w:tcBorders>
          </w:tcPr>
          <w:p w14:paraId="2F254DED"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Enoxaparin </w:t>
            </w:r>
          </w:p>
          <w:p w14:paraId="452B4F1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 mg</w:t>
            </w:r>
          </w:p>
        </w:tc>
      </w:tr>
      <w:tr w:rsidR="00536CD0" w:rsidRPr="00617FC7" w14:paraId="01251F5C" w14:textId="77777777" w:rsidTr="00CF66F9">
        <w:trPr>
          <w:trHeight w:val="113"/>
        </w:trPr>
        <w:tc>
          <w:tcPr>
            <w:tcW w:w="2666" w:type="dxa"/>
            <w:tcBorders>
              <w:top w:val="single" w:sz="4" w:space="0" w:color="000000"/>
              <w:left w:val="single" w:sz="4" w:space="0" w:color="000000"/>
              <w:bottom w:val="single" w:sz="4" w:space="0" w:color="000000"/>
              <w:right w:val="nil"/>
            </w:tcBorders>
          </w:tcPr>
          <w:p w14:paraId="763990CA"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RE-NOVATE (csípő)</w:t>
            </w:r>
          </w:p>
        </w:tc>
        <w:tc>
          <w:tcPr>
            <w:tcW w:w="2136" w:type="dxa"/>
            <w:tcBorders>
              <w:top w:val="single" w:sz="4" w:space="0" w:color="000000"/>
              <w:left w:val="nil"/>
              <w:bottom w:val="single" w:sz="4" w:space="0" w:color="000000"/>
              <w:right w:val="nil"/>
            </w:tcBorders>
          </w:tcPr>
          <w:p w14:paraId="19748900" w14:textId="77777777" w:rsidR="00536CD0" w:rsidRPr="00617FC7" w:rsidRDefault="00536CD0" w:rsidP="00536CD0">
            <w:pPr>
              <w:rPr>
                <w:rFonts w:ascii="Times New Roman" w:eastAsia="Times New Roman" w:hAnsi="Times New Roman" w:cs="Times New Roman"/>
                <w:noProof w:val="0"/>
                <w:color w:val="000000"/>
                <w:lang w:val="hu-HU"/>
              </w:rPr>
            </w:pPr>
          </w:p>
        </w:tc>
        <w:tc>
          <w:tcPr>
            <w:tcW w:w="2136" w:type="dxa"/>
            <w:tcBorders>
              <w:top w:val="single" w:sz="4" w:space="0" w:color="000000"/>
              <w:left w:val="nil"/>
              <w:bottom w:val="single" w:sz="4" w:space="0" w:color="000000"/>
              <w:right w:val="nil"/>
            </w:tcBorders>
          </w:tcPr>
          <w:p w14:paraId="26B882F8"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single" w:sz="4" w:space="0" w:color="000000"/>
            </w:tcBorders>
          </w:tcPr>
          <w:p w14:paraId="0F851FE4"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70954ED"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0830C260"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N</w:t>
            </w:r>
          </w:p>
        </w:tc>
        <w:tc>
          <w:tcPr>
            <w:tcW w:w="2136" w:type="dxa"/>
            <w:tcBorders>
              <w:top w:val="single" w:sz="4" w:space="0" w:color="000000"/>
              <w:left w:val="single" w:sz="4" w:space="0" w:color="000000"/>
              <w:bottom w:val="single" w:sz="4" w:space="0" w:color="000000"/>
              <w:right w:val="single" w:sz="4" w:space="0" w:color="000000"/>
            </w:tcBorders>
          </w:tcPr>
          <w:p w14:paraId="519D87F6"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909</w:t>
            </w:r>
          </w:p>
        </w:tc>
        <w:tc>
          <w:tcPr>
            <w:tcW w:w="2136" w:type="dxa"/>
            <w:tcBorders>
              <w:top w:val="single" w:sz="4" w:space="0" w:color="000000"/>
              <w:left w:val="single" w:sz="4" w:space="0" w:color="000000"/>
              <w:bottom w:val="single" w:sz="4" w:space="0" w:color="000000"/>
              <w:right w:val="single" w:sz="4" w:space="0" w:color="000000"/>
            </w:tcBorders>
          </w:tcPr>
          <w:p w14:paraId="2375B85B" w14:textId="77777777" w:rsidR="00536CD0" w:rsidRPr="00617FC7" w:rsidRDefault="00536CD0" w:rsidP="00536CD0">
            <w:pPr>
              <w:ind w:lef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888</w:t>
            </w:r>
          </w:p>
        </w:tc>
        <w:tc>
          <w:tcPr>
            <w:tcW w:w="2134" w:type="dxa"/>
            <w:tcBorders>
              <w:top w:val="single" w:sz="4" w:space="0" w:color="000000"/>
              <w:left w:val="single" w:sz="4" w:space="0" w:color="000000"/>
              <w:bottom w:val="single" w:sz="4" w:space="0" w:color="000000"/>
              <w:right w:val="single" w:sz="4" w:space="0" w:color="000000"/>
            </w:tcBorders>
          </w:tcPr>
          <w:p w14:paraId="762E3DE4" w14:textId="77777777" w:rsidR="00536CD0" w:rsidRPr="00617FC7" w:rsidRDefault="00536CD0" w:rsidP="00536CD0">
            <w:pPr>
              <w:ind w:left="4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917</w:t>
            </w:r>
          </w:p>
        </w:tc>
      </w:tr>
      <w:tr w:rsidR="00536CD0" w:rsidRPr="00617FC7" w14:paraId="081D6E71"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6C0C0719"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136" w:type="dxa"/>
            <w:tcBorders>
              <w:top w:val="single" w:sz="4" w:space="0" w:color="000000"/>
              <w:left w:val="single" w:sz="4" w:space="0" w:color="000000"/>
              <w:bottom w:val="single" w:sz="4" w:space="0" w:color="000000"/>
              <w:right w:val="single" w:sz="4" w:space="0" w:color="000000"/>
            </w:tcBorders>
          </w:tcPr>
          <w:p w14:paraId="247945B7" w14:textId="77777777" w:rsidR="00536CD0" w:rsidRPr="00617FC7" w:rsidRDefault="00536CD0" w:rsidP="00536CD0">
            <w:pPr>
              <w:ind w:left="4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28 (3,1)</w:t>
            </w:r>
          </w:p>
        </w:tc>
        <w:tc>
          <w:tcPr>
            <w:tcW w:w="2136" w:type="dxa"/>
            <w:tcBorders>
              <w:top w:val="single" w:sz="4" w:space="0" w:color="000000"/>
              <w:left w:val="single" w:sz="4" w:space="0" w:color="000000"/>
              <w:bottom w:val="single" w:sz="4" w:space="0" w:color="000000"/>
              <w:right w:val="single" w:sz="4" w:space="0" w:color="000000"/>
            </w:tcBorders>
          </w:tcPr>
          <w:p w14:paraId="5B744C3B" w14:textId="77777777" w:rsidR="00536CD0" w:rsidRPr="00617FC7" w:rsidRDefault="00536CD0" w:rsidP="00536CD0">
            <w:pPr>
              <w:ind w:left="4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38 (4,3)</w:t>
            </w:r>
          </w:p>
        </w:tc>
        <w:tc>
          <w:tcPr>
            <w:tcW w:w="2134" w:type="dxa"/>
            <w:tcBorders>
              <w:top w:val="single" w:sz="4" w:space="0" w:color="000000"/>
              <w:left w:val="single" w:sz="4" w:space="0" w:color="000000"/>
              <w:bottom w:val="single" w:sz="4" w:space="0" w:color="000000"/>
              <w:right w:val="single" w:sz="4" w:space="0" w:color="000000"/>
            </w:tcBorders>
          </w:tcPr>
          <w:p w14:paraId="179D499B" w14:textId="77777777" w:rsidR="00536CD0" w:rsidRPr="00617FC7" w:rsidRDefault="00536CD0" w:rsidP="00536CD0">
            <w:pPr>
              <w:ind w:left="4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36 (3,9)</w:t>
            </w:r>
          </w:p>
        </w:tc>
      </w:tr>
      <w:tr w:rsidR="00536CD0" w:rsidRPr="00617FC7" w14:paraId="15A41668"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6C22A231"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07B51409" w14:textId="77777777" w:rsidR="00536CD0" w:rsidRPr="00617FC7" w:rsidRDefault="00536CD0" w:rsidP="00536CD0">
            <w:pPr>
              <w:ind w:left="4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0,78</w:t>
            </w:r>
          </w:p>
        </w:tc>
        <w:tc>
          <w:tcPr>
            <w:tcW w:w="2136" w:type="dxa"/>
            <w:tcBorders>
              <w:top w:val="single" w:sz="4" w:space="0" w:color="000000"/>
              <w:left w:val="single" w:sz="4" w:space="0" w:color="000000"/>
              <w:bottom w:val="single" w:sz="4" w:space="0" w:color="000000"/>
              <w:right w:val="single" w:sz="4" w:space="0" w:color="000000"/>
            </w:tcBorders>
            <w:vAlign w:val="center"/>
          </w:tcPr>
          <w:p w14:paraId="48CE55D7" w14:textId="77777777" w:rsidR="00536CD0" w:rsidRPr="00617FC7" w:rsidRDefault="00536CD0" w:rsidP="00536CD0">
            <w:pPr>
              <w:ind w:left="4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1,09</w:t>
            </w:r>
          </w:p>
        </w:tc>
        <w:tc>
          <w:tcPr>
            <w:tcW w:w="2134" w:type="dxa"/>
            <w:tcBorders>
              <w:top w:val="single" w:sz="4" w:space="0" w:color="000000"/>
              <w:left w:val="single" w:sz="4" w:space="0" w:color="000000"/>
              <w:bottom w:val="single" w:sz="4" w:space="0" w:color="000000"/>
              <w:right w:val="single" w:sz="4" w:space="0" w:color="000000"/>
            </w:tcBorders>
          </w:tcPr>
          <w:p w14:paraId="2EBFF844"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471ACD8"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52FC551E"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 CI</w:t>
            </w:r>
          </w:p>
        </w:tc>
        <w:tc>
          <w:tcPr>
            <w:tcW w:w="2136" w:type="dxa"/>
            <w:tcBorders>
              <w:top w:val="single" w:sz="4" w:space="0" w:color="000000"/>
              <w:left w:val="single" w:sz="4" w:space="0" w:color="000000"/>
              <w:bottom w:val="single" w:sz="4" w:space="0" w:color="000000"/>
              <w:right w:val="single" w:sz="4" w:space="0" w:color="000000"/>
            </w:tcBorders>
          </w:tcPr>
          <w:p w14:paraId="355A48B9" w14:textId="77777777" w:rsidR="00536CD0" w:rsidRPr="00617FC7" w:rsidRDefault="00536CD0" w:rsidP="00536CD0">
            <w:pPr>
              <w:ind w:left="5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0,48, 1,27</w:t>
            </w:r>
          </w:p>
        </w:tc>
        <w:tc>
          <w:tcPr>
            <w:tcW w:w="2136" w:type="dxa"/>
            <w:tcBorders>
              <w:top w:val="single" w:sz="4" w:space="0" w:color="000000"/>
              <w:left w:val="single" w:sz="4" w:space="0" w:color="000000"/>
              <w:bottom w:val="single" w:sz="4" w:space="0" w:color="000000"/>
              <w:right w:val="single" w:sz="4" w:space="0" w:color="000000"/>
            </w:tcBorders>
          </w:tcPr>
          <w:p w14:paraId="63A4BF77"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0,70, 1,70</w:t>
            </w:r>
          </w:p>
        </w:tc>
        <w:tc>
          <w:tcPr>
            <w:tcW w:w="2134" w:type="dxa"/>
            <w:tcBorders>
              <w:top w:val="single" w:sz="4" w:space="0" w:color="000000"/>
              <w:left w:val="single" w:sz="4" w:space="0" w:color="000000"/>
              <w:bottom w:val="single" w:sz="4" w:space="0" w:color="000000"/>
              <w:right w:val="single" w:sz="4" w:space="0" w:color="000000"/>
            </w:tcBorders>
          </w:tcPr>
          <w:p w14:paraId="42522567"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755E7C8" w14:textId="77777777" w:rsidTr="00CF66F9">
        <w:trPr>
          <w:trHeight w:val="113"/>
        </w:trPr>
        <w:tc>
          <w:tcPr>
            <w:tcW w:w="2666" w:type="dxa"/>
            <w:tcBorders>
              <w:top w:val="single" w:sz="4" w:space="0" w:color="000000"/>
              <w:left w:val="single" w:sz="4" w:space="0" w:color="000000"/>
              <w:bottom w:val="single" w:sz="4" w:space="0" w:color="000000"/>
              <w:right w:val="nil"/>
            </w:tcBorders>
          </w:tcPr>
          <w:p w14:paraId="7800BECB"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RE-MODEL (térd)</w:t>
            </w:r>
          </w:p>
        </w:tc>
        <w:tc>
          <w:tcPr>
            <w:tcW w:w="2136" w:type="dxa"/>
            <w:tcBorders>
              <w:top w:val="single" w:sz="4" w:space="0" w:color="000000"/>
              <w:left w:val="nil"/>
              <w:bottom w:val="single" w:sz="4" w:space="0" w:color="000000"/>
              <w:right w:val="nil"/>
            </w:tcBorders>
          </w:tcPr>
          <w:p w14:paraId="4FA47A44" w14:textId="77777777" w:rsidR="00536CD0" w:rsidRPr="00617FC7" w:rsidRDefault="00536CD0" w:rsidP="00536CD0">
            <w:pPr>
              <w:rPr>
                <w:rFonts w:ascii="Times New Roman" w:eastAsia="Times New Roman" w:hAnsi="Times New Roman" w:cs="Times New Roman"/>
                <w:noProof w:val="0"/>
                <w:color w:val="000000"/>
                <w:lang w:val="hu-HU"/>
              </w:rPr>
            </w:pPr>
          </w:p>
        </w:tc>
        <w:tc>
          <w:tcPr>
            <w:tcW w:w="2136" w:type="dxa"/>
            <w:tcBorders>
              <w:top w:val="single" w:sz="4" w:space="0" w:color="000000"/>
              <w:left w:val="nil"/>
              <w:bottom w:val="single" w:sz="4" w:space="0" w:color="000000"/>
              <w:right w:val="nil"/>
            </w:tcBorders>
          </w:tcPr>
          <w:p w14:paraId="73F35ABE"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single" w:sz="4" w:space="0" w:color="000000"/>
            </w:tcBorders>
          </w:tcPr>
          <w:p w14:paraId="59ED1545"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CE299E0"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35A9DD31"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w:t>
            </w:r>
          </w:p>
        </w:tc>
        <w:tc>
          <w:tcPr>
            <w:tcW w:w="2136" w:type="dxa"/>
            <w:tcBorders>
              <w:top w:val="single" w:sz="4" w:space="0" w:color="000000"/>
              <w:left w:val="single" w:sz="4" w:space="0" w:color="000000"/>
              <w:bottom w:val="single" w:sz="4" w:space="0" w:color="000000"/>
              <w:right w:val="single" w:sz="4" w:space="0" w:color="000000"/>
            </w:tcBorders>
          </w:tcPr>
          <w:p w14:paraId="50976C41"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506</w:t>
            </w:r>
          </w:p>
        </w:tc>
        <w:tc>
          <w:tcPr>
            <w:tcW w:w="2136" w:type="dxa"/>
            <w:tcBorders>
              <w:top w:val="single" w:sz="4" w:space="0" w:color="000000"/>
              <w:left w:val="single" w:sz="4" w:space="0" w:color="000000"/>
              <w:bottom w:val="single" w:sz="4" w:space="0" w:color="000000"/>
              <w:right w:val="single" w:sz="4" w:space="0" w:color="000000"/>
            </w:tcBorders>
          </w:tcPr>
          <w:p w14:paraId="5C20D014" w14:textId="77777777" w:rsidR="00536CD0" w:rsidRPr="00617FC7" w:rsidRDefault="00536CD0" w:rsidP="00536CD0">
            <w:pPr>
              <w:ind w:lef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527</w:t>
            </w:r>
          </w:p>
        </w:tc>
        <w:tc>
          <w:tcPr>
            <w:tcW w:w="2134" w:type="dxa"/>
            <w:tcBorders>
              <w:top w:val="single" w:sz="4" w:space="0" w:color="000000"/>
              <w:left w:val="single" w:sz="4" w:space="0" w:color="000000"/>
              <w:bottom w:val="single" w:sz="4" w:space="0" w:color="000000"/>
              <w:right w:val="single" w:sz="4" w:space="0" w:color="000000"/>
            </w:tcBorders>
          </w:tcPr>
          <w:p w14:paraId="71DB80A1" w14:textId="77777777" w:rsidR="00536CD0" w:rsidRPr="00617FC7" w:rsidRDefault="00536CD0" w:rsidP="00536CD0">
            <w:pPr>
              <w:ind w:left="4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511</w:t>
            </w:r>
          </w:p>
        </w:tc>
      </w:tr>
      <w:tr w:rsidR="00536CD0" w:rsidRPr="00617FC7" w14:paraId="02ADC02B"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6C35E3BD"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136" w:type="dxa"/>
            <w:tcBorders>
              <w:top w:val="single" w:sz="4" w:space="0" w:color="000000"/>
              <w:left w:val="single" w:sz="4" w:space="0" w:color="000000"/>
              <w:bottom w:val="single" w:sz="4" w:space="0" w:color="000000"/>
              <w:right w:val="single" w:sz="4" w:space="0" w:color="000000"/>
            </w:tcBorders>
          </w:tcPr>
          <w:p w14:paraId="6A6EC0CB" w14:textId="77777777" w:rsidR="00536CD0" w:rsidRPr="00617FC7" w:rsidRDefault="00536CD0" w:rsidP="00536CD0">
            <w:pPr>
              <w:ind w:left="4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 (2,6)</w:t>
            </w:r>
          </w:p>
        </w:tc>
        <w:tc>
          <w:tcPr>
            <w:tcW w:w="2136" w:type="dxa"/>
            <w:tcBorders>
              <w:top w:val="single" w:sz="4" w:space="0" w:color="000000"/>
              <w:left w:val="single" w:sz="4" w:space="0" w:color="000000"/>
              <w:bottom w:val="single" w:sz="4" w:space="0" w:color="000000"/>
              <w:right w:val="single" w:sz="4" w:space="0" w:color="000000"/>
            </w:tcBorders>
          </w:tcPr>
          <w:p w14:paraId="35E724C2" w14:textId="77777777" w:rsidR="00536CD0" w:rsidRPr="00617FC7" w:rsidRDefault="00536CD0" w:rsidP="00536CD0">
            <w:pPr>
              <w:ind w:left="4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20 (3,8)</w:t>
            </w:r>
          </w:p>
        </w:tc>
        <w:tc>
          <w:tcPr>
            <w:tcW w:w="2134" w:type="dxa"/>
            <w:tcBorders>
              <w:top w:val="single" w:sz="4" w:space="0" w:color="000000"/>
              <w:left w:val="single" w:sz="4" w:space="0" w:color="000000"/>
              <w:bottom w:val="single" w:sz="4" w:space="0" w:color="000000"/>
              <w:right w:val="single" w:sz="4" w:space="0" w:color="000000"/>
            </w:tcBorders>
          </w:tcPr>
          <w:p w14:paraId="7F79E75C" w14:textId="77777777" w:rsidR="00536CD0" w:rsidRPr="00617FC7" w:rsidRDefault="00536CD0" w:rsidP="00536CD0">
            <w:pPr>
              <w:ind w:left="4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 (3,5)</w:t>
            </w:r>
          </w:p>
        </w:tc>
      </w:tr>
      <w:tr w:rsidR="00536CD0" w:rsidRPr="00617FC7" w14:paraId="2027C087"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5EB1DBF4"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68501188" w14:textId="77777777" w:rsidR="00536CD0" w:rsidRPr="00617FC7" w:rsidRDefault="00536CD0" w:rsidP="00536CD0">
            <w:pPr>
              <w:ind w:left="4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0,73</w:t>
            </w:r>
          </w:p>
        </w:tc>
        <w:tc>
          <w:tcPr>
            <w:tcW w:w="2136" w:type="dxa"/>
            <w:tcBorders>
              <w:top w:val="single" w:sz="4" w:space="0" w:color="000000"/>
              <w:left w:val="single" w:sz="4" w:space="0" w:color="000000"/>
              <w:bottom w:val="single" w:sz="4" w:space="0" w:color="000000"/>
              <w:right w:val="single" w:sz="4" w:space="0" w:color="000000"/>
            </w:tcBorders>
            <w:vAlign w:val="center"/>
          </w:tcPr>
          <w:p w14:paraId="62BD82D8" w14:textId="77777777" w:rsidR="00536CD0" w:rsidRPr="00617FC7" w:rsidRDefault="00536CD0" w:rsidP="00536CD0">
            <w:pPr>
              <w:ind w:left="4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1,08</w:t>
            </w:r>
          </w:p>
        </w:tc>
        <w:tc>
          <w:tcPr>
            <w:tcW w:w="2134" w:type="dxa"/>
            <w:tcBorders>
              <w:top w:val="single" w:sz="4" w:space="0" w:color="000000"/>
              <w:left w:val="single" w:sz="4" w:space="0" w:color="000000"/>
              <w:bottom w:val="single" w:sz="4" w:space="0" w:color="000000"/>
              <w:right w:val="single" w:sz="4" w:space="0" w:color="000000"/>
            </w:tcBorders>
          </w:tcPr>
          <w:p w14:paraId="1B517CA7"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33E1F747"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3011B4D0"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 CI</w:t>
            </w:r>
          </w:p>
        </w:tc>
        <w:tc>
          <w:tcPr>
            <w:tcW w:w="2136" w:type="dxa"/>
            <w:tcBorders>
              <w:top w:val="single" w:sz="4" w:space="0" w:color="000000"/>
              <w:left w:val="single" w:sz="4" w:space="0" w:color="000000"/>
              <w:bottom w:val="single" w:sz="4" w:space="0" w:color="000000"/>
              <w:right w:val="single" w:sz="4" w:space="0" w:color="000000"/>
            </w:tcBorders>
          </w:tcPr>
          <w:p w14:paraId="32526B20" w14:textId="77777777" w:rsidR="00536CD0" w:rsidRPr="00617FC7" w:rsidRDefault="00536CD0" w:rsidP="00536CD0">
            <w:pPr>
              <w:ind w:left="5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0,36, 1,47</w:t>
            </w:r>
          </w:p>
        </w:tc>
        <w:tc>
          <w:tcPr>
            <w:tcW w:w="2136" w:type="dxa"/>
            <w:tcBorders>
              <w:top w:val="single" w:sz="4" w:space="0" w:color="000000"/>
              <w:left w:val="single" w:sz="4" w:space="0" w:color="000000"/>
              <w:bottom w:val="single" w:sz="4" w:space="0" w:color="000000"/>
              <w:right w:val="single" w:sz="4" w:space="0" w:color="000000"/>
            </w:tcBorders>
          </w:tcPr>
          <w:p w14:paraId="1EE4831E"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0,58, 2,01</w:t>
            </w:r>
          </w:p>
        </w:tc>
        <w:tc>
          <w:tcPr>
            <w:tcW w:w="2134" w:type="dxa"/>
            <w:tcBorders>
              <w:top w:val="single" w:sz="4" w:space="0" w:color="000000"/>
              <w:left w:val="single" w:sz="4" w:space="0" w:color="000000"/>
              <w:bottom w:val="single" w:sz="4" w:space="0" w:color="000000"/>
              <w:right w:val="single" w:sz="4" w:space="0" w:color="000000"/>
            </w:tcBorders>
          </w:tcPr>
          <w:p w14:paraId="3F86DD3B"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7ED82645"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45413035" w14:textId="77777777" w:rsidR="00536CD0" w:rsidRPr="00617FC7" w:rsidRDefault="00536CD0" w:rsidP="00536CD0">
      <w:pPr>
        <w:keepNext/>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20. táblázat. Az összes VTE és az összes mortalitás elemzése a RE-NOVATE és a RE-MODEL ortopéd sebészeti vizsgálatok kezelési időszaka alatt</w:t>
      </w:r>
    </w:p>
    <w:p w14:paraId="70E346EE" w14:textId="77777777" w:rsidR="00536CD0" w:rsidRPr="00617FC7" w:rsidRDefault="00536CD0" w:rsidP="00536CD0">
      <w:pPr>
        <w:keepNext/>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2664"/>
        <w:gridCol w:w="2136"/>
        <w:gridCol w:w="2134"/>
        <w:gridCol w:w="2138"/>
      </w:tblGrid>
      <w:tr w:rsidR="00536CD0" w:rsidRPr="00617FC7" w14:paraId="150FBCAC"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5A2504F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Vizsgálat</w:t>
            </w:r>
          </w:p>
        </w:tc>
        <w:tc>
          <w:tcPr>
            <w:tcW w:w="2136" w:type="dxa"/>
            <w:tcBorders>
              <w:top w:val="single" w:sz="4" w:space="0" w:color="000000"/>
              <w:left w:val="single" w:sz="4" w:space="0" w:color="000000"/>
              <w:bottom w:val="single" w:sz="4" w:space="0" w:color="000000"/>
              <w:right w:val="single" w:sz="4" w:space="0" w:color="000000"/>
            </w:tcBorders>
          </w:tcPr>
          <w:p w14:paraId="593C057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6EA9A31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 mg napi egyszer</w:t>
            </w:r>
          </w:p>
        </w:tc>
        <w:tc>
          <w:tcPr>
            <w:tcW w:w="2134" w:type="dxa"/>
            <w:tcBorders>
              <w:top w:val="single" w:sz="4" w:space="0" w:color="000000"/>
              <w:left w:val="single" w:sz="4" w:space="0" w:color="000000"/>
              <w:bottom w:val="single" w:sz="4" w:space="0" w:color="000000"/>
              <w:right w:val="single" w:sz="4" w:space="0" w:color="000000"/>
            </w:tcBorders>
          </w:tcPr>
          <w:p w14:paraId="7CE3219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308C958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egyszer</w:t>
            </w:r>
          </w:p>
        </w:tc>
        <w:tc>
          <w:tcPr>
            <w:tcW w:w="2138" w:type="dxa"/>
            <w:tcBorders>
              <w:top w:val="single" w:sz="4" w:space="0" w:color="000000"/>
              <w:left w:val="single" w:sz="4" w:space="0" w:color="000000"/>
              <w:bottom w:val="single" w:sz="4" w:space="0" w:color="000000"/>
              <w:right w:val="single" w:sz="4" w:space="0" w:color="000000"/>
            </w:tcBorders>
          </w:tcPr>
          <w:p w14:paraId="1C50C5F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Enoxaparin </w:t>
            </w:r>
          </w:p>
          <w:p w14:paraId="61C671F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 mg</w:t>
            </w:r>
          </w:p>
        </w:tc>
      </w:tr>
      <w:tr w:rsidR="00536CD0" w:rsidRPr="00617FC7" w14:paraId="51BF2BD4" w14:textId="77777777" w:rsidTr="00CF66F9">
        <w:trPr>
          <w:trHeight w:val="113"/>
        </w:trPr>
        <w:tc>
          <w:tcPr>
            <w:tcW w:w="2664" w:type="dxa"/>
            <w:tcBorders>
              <w:top w:val="single" w:sz="4" w:space="0" w:color="000000"/>
              <w:left w:val="single" w:sz="4" w:space="0" w:color="000000"/>
              <w:bottom w:val="single" w:sz="4" w:space="0" w:color="000000"/>
              <w:right w:val="nil"/>
            </w:tcBorders>
          </w:tcPr>
          <w:p w14:paraId="17C5CA1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RE-NOVATE (csípő)</w:t>
            </w:r>
          </w:p>
        </w:tc>
        <w:tc>
          <w:tcPr>
            <w:tcW w:w="2136" w:type="dxa"/>
            <w:tcBorders>
              <w:top w:val="single" w:sz="4" w:space="0" w:color="000000"/>
              <w:left w:val="nil"/>
              <w:bottom w:val="single" w:sz="4" w:space="0" w:color="000000"/>
              <w:right w:val="nil"/>
            </w:tcBorders>
          </w:tcPr>
          <w:p w14:paraId="19E658EE"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nil"/>
            </w:tcBorders>
          </w:tcPr>
          <w:p w14:paraId="34EE5902" w14:textId="77777777" w:rsidR="00536CD0" w:rsidRPr="00617FC7" w:rsidRDefault="00536CD0" w:rsidP="00536CD0">
            <w:pPr>
              <w:rPr>
                <w:rFonts w:ascii="Times New Roman" w:eastAsia="Times New Roman" w:hAnsi="Times New Roman" w:cs="Times New Roman"/>
                <w:noProof w:val="0"/>
                <w:color w:val="000000"/>
                <w:lang w:val="hu-HU"/>
              </w:rPr>
            </w:pPr>
          </w:p>
        </w:tc>
        <w:tc>
          <w:tcPr>
            <w:tcW w:w="2138" w:type="dxa"/>
            <w:tcBorders>
              <w:top w:val="single" w:sz="4" w:space="0" w:color="000000"/>
              <w:left w:val="nil"/>
              <w:bottom w:val="single" w:sz="4" w:space="0" w:color="000000"/>
              <w:right w:val="single" w:sz="4" w:space="0" w:color="000000"/>
            </w:tcBorders>
          </w:tcPr>
          <w:p w14:paraId="36D9848F"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B850768"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2E01419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w:t>
            </w:r>
          </w:p>
        </w:tc>
        <w:tc>
          <w:tcPr>
            <w:tcW w:w="2136" w:type="dxa"/>
            <w:tcBorders>
              <w:top w:val="single" w:sz="4" w:space="0" w:color="000000"/>
              <w:left w:val="single" w:sz="4" w:space="0" w:color="000000"/>
              <w:bottom w:val="single" w:sz="4" w:space="0" w:color="000000"/>
              <w:right w:val="single" w:sz="4" w:space="0" w:color="000000"/>
            </w:tcBorders>
          </w:tcPr>
          <w:p w14:paraId="013E85C5"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880</w:t>
            </w:r>
          </w:p>
        </w:tc>
        <w:tc>
          <w:tcPr>
            <w:tcW w:w="2134" w:type="dxa"/>
            <w:tcBorders>
              <w:top w:val="single" w:sz="4" w:space="0" w:color="000000"/>
              <w:left w:val="single" w:sz="4" w:space="0" w:color="000000"/>
              <w:bottom w:val="single" w:sz="4" w:space="0" w:color="000000"/>
              <w:right w:val="single" w:sz="4" w:space="0" w:color="000000"/>
            </w:tcBorders>
          </w:tcPr>
          <w:p w14:paraId="569E7B5B"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874</w:t>
            </w:r>
          </w:p>
        </w:tc>
        <w:tc>
          <w:tcPr>
            <w:tcW w:w="2138" w:type="dxa"/>
            <w:tcBorders>
              <w:top w:val="single" w:sz="4" w:space="0" w:color="000000"/>
              <w:left w:val="single" w:sz="4" w:space="0" w:color="000000"/>
              <w:bottom w:val="single" w:sz="4" w:space="0" w:color="000000"/>
              <w:right w:val="single" w:sz="4" w:space="0" w:color="000000"/>
            </w:tcBorders>
          </w:tcPr>
          <w:p w14:paraId="18EF3305"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897</w:t>
            </w:r>
          </w:p>
        </w:tc>
      </w:tr>
      <w:tr w:rsidR="00536CD0" w:rsidRPr="00617FC7" w14:paraId="77287D10"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2979EA4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136" w:type="dxa"/>
            <w:tcBorders>
              <w:top w:val="single" w:sz="4" w:space="0" w:color="000000"/>
              <w:left w:val="single" w:sz="4" w:space="0" w:color="000000"/>
              <w:bottom w:val="single" w:sz="4" w:space="0" w:color="000000"/>
              <w:right w:val="single" w:sz="4" w:space="0" w:color="000000"/>
            </w:tcBorders>
          </w:tcPr>
          <w:p w14:paraId="451DD3A0"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53 (6,0)</w:t>
            </w:r>
          </w:p>
        </w:tc>
        <w:tc>
          <w:tcPr>
            <w:tcW w:w="2134" w:type="dxa"/>
            <w:tcBorders>
              <w:top w:val="single" w:sz="4" w:space="0" w:color="000000"/>
              <w:left w:val="single" w:sz="4" w:space="0" w:color="000000"/>
              <w:bottom w:val="single" w:sz="4" w:space="0" w:color="000000"/>
              <w:right w:val="single" w:sz="4" w:space="0" w:color="000000"/>
            </w:tcBorders>
          </w:tcPr>
          <w:p w14:paraId="244C8A8D"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75 (8,6)</w:t>
            </w:r>
          </w:p>
        </w:tc>
        <w:tc>
          <w:tcPr>
            <w:tcW w:w="2138" w:type="dxa"/>
            <w:tcBorders>
              <w:top w:val="single" w:sz="4" w:space="0" w:color="000000"/>
              <w:left w:val="single" w:sz="4" w:space="0" w:color="000000"/>
              <w:bottom w:val="single" w:sz="4" w:space="0" w:color="000000"/>
              <w:right w:val="single" w:sz="4" w:space="0" w:color="000000"/>
            </w:tcBorders>
          </w:tcPr>
          <w:p w14:paraId="276C0C81"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 (6,7)</w:t>
            </w:r>
          </w:p>
        </w:tc>
      </w:tr>
      <w:tr w:rsidR="00536CD0" w:rsidRPr="00617FC7" w14:paraId="756ABC69"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6752C49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6D4D1019"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w:t>
            </w:r>
          </w:p>
        </w:tc>
        <w:tc>
          <w:tcPr>
            <w:tcW w:w="2134" w:type="dxa"/>
            <w:tcBorders>
              <w:top w:val="single" w:sz="4" w:space="0" w:color="000000"/>
              <w:left w:val="single" w:sz="4" w:space="0" w:color="000000"/>
              <w:bottom w:val="single" w:sz="4" w:space="0" w:color="000000"/>
              <w:right w:val="single" w:sz="4" w:space="0" w:color="000000"/>
            </w:tcBorders>
          </w:tcPr>
          <w:p w14:paraId="406F8C36"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1,28</w:t>
            </w:r>
          </w:p>
        </w:tc>
        <w:tc>
          <w:tcPr>
            <w:tcW w:w="2138" w:type="dxa"/>
            <w:tcBorders>
              <w:top w:val="single" w:sz="4" w:space="0" w:color="000000"/>
              <w:left w:val="single" w:sz="4" w:space="0" w:color="000000"/>
              <w:bottom w:val="single" w:sz="4" w:space="0" w:color="000000"/>
              <w:right w:val="single" w:sz="4" w:space="0" w:color="000000"/>
            </w:tcBorders>
          </w:tcPr>
          <w:p w14:paraId="1262DAA6"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9C1940F"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1ACB0B7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 CI</w:t>
            </w:r>
          </w:p>
        </w:tc>
        <w:tc>
          <w:tcPr>
            <w:tcW w:w="2136" w:type="dxa"/>
            <w:tcBorders>
              <w:top w:val="single" w:sz="4" w:space="0" w:color="000000"/>
              <w:left w:val="single" w:sz="4" w:space="0" w:color="000000"/>
              <w:bottom w:val="single" w:sz="4" w:space="0" w:color="000000"/>
              <w:right w:val="single" w:sz="4" w:space="0" w:color="000000"/>
            </w:tcBorders>
          </w:tcPr>
          <w:p w14:paraId="7A84CAA5"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(0,63, 1,29)</w:t>
            </w:r>
          </w:p>
        </w:tc>
        <w:tc>
          <w:tcPr>
            <w:tcW w:w="2134" w:type="dxa"/>
            <w:tcBorders>
              <w:top w:val="single" w:sz="4" w:space="0" w:color="000000"/>
              <w:left w:val="single" w:sz="4" w:space="0" w:color="000000"/>
              <w:bottom w:val="single" w:sz="4" w:space="0" w:color="000000"/>
              <w:right w:val="single" w:sz="4" w:space="0" w:color="000000"/>
            </w:tcBorders>
          </w:tcPr>
          <w:p w14:paraId="535F0F08"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(0,93, 1,78)</w:t>
            </w:r>
          </w:p>
        </w:tc>
        <w:tc>
          <w:tcPr>
            <w:tcW w:w="2138" w:type="dxa"/>
            <w:tcBorders>
              <w:top w:val="single" w:sz="4" w:space="0" w:color="000000"/>
              <w:left w:val="single" w:sz="4" w:space="0" w:color="000000"/>
              <w:bottom w:val="single" w:sz="4" w:space="0" w:color="000000"/>
              <w:right w:val="single" w:sz="4" w:space="0" w:color="000000"/>
            </w:tcBorders>
          </w:tcPr>
          <w:p w14:paraId="00D07FC0"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11AEAC2" w14:textId="77777777" w:rsidTr="00CF66F9">
        <w:trPr>
          <w:trHeight w:val="113"/>
        </w:trPr>
        <w:tc>
          <w:tcPr>
            <w:tcW w:w="2664" w:type="dxa"/>
            <w:tcBorders>
              <w:top w:val="single" w:sz="4" w:space="0" w:color="000000"/>
              <w:left w:val="single" w:sz="4" w:space="0" w:color="000000"/>
              <w:bottom w:val="single" w:sz="4" w:space="0" w:color="000000"/>
              <w:right w:val="nil"/>
            </w:tcBorders>
          </w:tcPr>
          <w:p w14:paraId="7259DCD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RE-MODEL (térd)</w:t>
            </w:r>
          </w:p>
        </w:tc>
        <w:tc>
          <w:tcPr>
            <w:tcW w:w="2136" w:type="dxa"/>
            <w:tcBorders>
              <w:top w:val="single" w:sz="4" w:space="0" w:color="000000"/>
              <w:left w:val="nil"/>
              <w:bottom w:val="single" w:sz="4" w:space="0" w:color="000000"/>
              <w:right w:val="nil"/>
            </w:tcBorders>
          </w:tcPr>
          <w:p w14:paraId="7C79FDCB"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nil"/>
            </w:tcBorders>
          </w:tcPr>
          <w:p w14:paraId="6F0A3EEB" w14:textId="77777777" w:rsidR="00536CD0" w:rsidRPr="00617FC7" w:rsidRDefault="00536CD0" w:rsidP="00536CD0">
            <w:pPr>
              <w:rPr>
                <w:rFonts w:ascii="Times New Roman" w:eastAsia="Times New Roman" w:hAnsi="Times New Roman" w:cs="Times New Roman"/>
                <w:noProof w:val="0"/>
                <w:color w:val="000000"/>
                <w:lang w:val="hu-HU"/>
              </w:rPr>
            </w:pPr>
          </w:p>
        </w:tc>
        <w:tc>
          <w:tcPr>
            <w:tcW w:w="2138" w:type="dxa"/>
            <w:tcBorders>
              <w:top w:val="single" w:sz="4" w:space="0" w:color="000000"/>
              <w:left w:val="nil"/>
              <w:bottom w:val="single" w:sz="4" w:space="0" w:color="000000"/>
              <w:right w:val="single" w:sz="4" w:space="0" w:color="000000"/>
            </w:tcBorders>
          </w:tcPr>
          <w:p w14:paraId="771CA60B"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09B6562"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20ACEA9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N</w:t>
            </w:r>
          </w:p>
        </w:tc>
        <w:tc>
          <w:tcPr>
            <w:tcW w:w="2136" w:type="dxa"/>
            <w:tcBorders>
              <w:top w:val="single" w:sz="4" w:space="0" w:color="000000"/>
              <w:left w:val="single" w:sz="4" w:space="0" w:color="000000"/>
              <w:bottom w:val="single" w:sz="4" w:space="0" w:color="000000"/>
              <w:right w:val="single" w:sz="4" w:space="0" w:color="000000"/>
            </w:tcBorders>
          </w:tcPr>
          <w:p w14:paraId="24AFB191"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503</w:t>
            </w:r>
          </w:p>
        </w:tc>
        <w:tc>
          <w:tcPr>
            <w:tcW w:w="2134" w:type="dxa"/>
            <w:tcBorders>
              <w:top w:val="single" w:sz="4" w:space="0" w:color="000000"/>
              <w:left w:val="single" w:sz="4" w:space="0" w:color="000000"/>
              <w:bottom w:val="single" w:sz="4" w:space="0" w:color="000000"/>
              <w:right w:val="single" w:sz="4" w:space="0" w:color="000000"/>
            </w:tcBorders>
          </w:tcPr>
          <w:p w14:paraId="033BC8F1"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526</w:t>
            </w:r>
          </w:p>
        </w:tc>
        <w:tc>
          <w:tcPr>
            <w:tcW w:w="2138" w:type="dxa"/>
            <w:tcBorders>
              <w:top w:val="single" w:sz="4" w:space="0" w:color="000000"/>
              <w:left w:val="single" w:sz="4" w:space="0" w:color="000000"/>
              <w:bottom w:val="single" w:sz="4" w:space="0" w:color="000000"/>
              <w:right w:val="single" w:sz="4" w:space="0" w:color="000000"/>
            </w:tcBorders>
          </w:tcPr>
          <w:p w14:paraId="2798810C" w14:textId="77777777" w:rsidR="00536CD0" w:rsidRPr="00617FC7" w:rsidRDefault="00536CD0" w:rsidP="00536CD0">
            <w:pPr>
              <w:ind w:left="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512</w:t>
            </w:r>
          </w:p>
        </w:tc>
      </w:tr>
      <w:tr w:rsidR="00536CD0" w:rsidRPr="00617FC7" w14:paraId="453E20BD"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048D17A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136" w:type="dxa"/>
            <w:tcBorders>
              <w:top w:val="single" w:sz="4" w:space="0" w:color="000000"/>
              <w:left w:val="single" w:sz="4" w:space="0" w:color="000000"/>
              <w:bottom w:val="single" w:sz="4" w:space="0" w:color="000000"/>
              <w:right w:val="single" w:sz="4" w:space="0" w:color="000000"/>
            </w:tcBorders>
          </w:tcPr>
          <w:p w14:paraId="33D20EBB"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183 (36,4)</w:t>
            </w:r>
          </w:p>
        </w:tc>
        <w:tc>
          <w:tcPr>
            <w:tcW w:w="2134" w:type="dxa"/>
            <w:tcBorders>
              <w:top w:val="single" w:sz="4" w:space="0" w:color="000000"/>
              <w:left w:val="single" w:sz="4" w:space="0" w:color="000000"/>
              <w:bottom w:val="single" w:sz="4" w:space="0" w:color="000000"/>
              <w:right w:val="single" w:sz="4" w:space="0" w:color="000000"/>
            </w:tcBorders>
          </w:tcPr>
          <w:p w14:paraId="1C8BEF55"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213 (40,5)</w:t>
            </w:r>
          </w:p>
        </w:tc>
        <w:tc>
          <w:tcPr>
            <w:tcW w:w="2138" w:type="dxa"/>
            <w:tcBorders>
              <w:top w:val="single" w:sz="4" w:space="0" w:color="000000"/>
              <w:left w:val="single" w:sz="4" w:space="0" w:color="000000"/>
              <w:bottom w:val="single" w:sz="4" w:space="0" w:color="000000"/>
              <w:right w:val="single" w:sz="4" w:space="0" w:color="000000"/>
            </w:tcBorders>
          </w:tcPr>
          <w:p w14:paraId="3F6949B9"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193 (37,7)</w:t>
            </w:r>
          </w:p>
        </w:tc>
      </w:tr>
      <w:tr w:rsidR="00536CD0" w:rsidRPr="00617FC7" w14:paraId="3245C327"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7B7AC70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az enoxaparinnal szemben</w:t>
            </w:r>
          </w:p>
        </w:tc>
        <w:tc>
          <w:tcPr>
            <w:tcW w:w="2136" w:type="dxa"/>
            <w:tcBorders>
              <w:top w:val="single" w:sz="4" w:space="0" w:color="000000"/>
              <w:left w:val="single" w:sz="4" w:space="0" w:color="000000"/>
              <w:bottom w:val="single" w:sz="4" w:space="0" w:color="000000"/>
              <w:right w:val="single" w:sz="4" w:space="0" w:color="000000"/>
            </w:tcBorders>
          </w:tcPr>
          <w:p w14:paraId="3032459D" w14:textId="77777777" w:rsidR="00536CD0" w:rsidRPr="00617FC7" w:rsidRDefault="00536CD0" w:rsidP="00536CD0">
            <w:pPr>
              <w:ind w:lef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0,97</w:t>
            </w:r>
          </w:p>
        </w:tc>
        <w:tc>
          <w:tcPr>
            <w:tcW w:w="2134" w:type="dxa"/>
            <w:tcBorders>
              <w:top w:val="single" w:sz="4" w:space="0" w:color="000000"/>
              <w:left w:val="single" w:sz="4" w:space="0" w:color="000000"/>
              <w:bottom w:val="single" w:sz="4" w:space="0" w:color="000000"/>
              <w:right w:val="single" w:sz="4" w:space="0" w:color="000000"/>
            </w:tcBorders>
          </w:tcPr>
          <w:p w14:paraId="13A56B6F"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1,07</w:t>
            </w:r>
          </w:p>
        </w:tc>
        <w:tc>
          <w:tcPr>
            <w:tcW w:w="2138" w:type="dxa"/>
            <w:tcBorders>
              <w:top w:val="single" w:sz="4" w:space="0" w:color="000000"/>
              <w:left w:val="single" w:sz="4" w:space="0" w:color="000000"/>
              <w:bottom w:val="single" w:sz="4" w:space="0" w:color="000000"/>
              <w:right w:val="single" w:sz="4" w:space="0" w:color="000000"/>
            </w:tcBorders>
          </w:tcPr>
          <w:p w14:paraId="4C173B2B"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1D628D66" w14:textId="77777777" w:rsidTr="00CF66F9">
        <w:trPr>
          <w:trHeight w:val="113"/>
        </w:trPr>
        <w:tc>
          <w:tcPr>
            <w:tcW w:w="2664" w:type="dxa"/>
            <w:tcBorders>
              <w:top w:val="single" w:sz="4" w:space="0" w:color="000000"/>
              <w:left w:val="single" w:sz="4" w:space="0" w:color="000000"/>
              <w:bottom w:val="single" w:sz="4" w:space="0" w:color="000000"/>
              <w:right w:val="single" w:sz="4" w:space="0" w:color="000000"/>
            </w:tcBorders>
          </w:tcPr>
          <w:p w14:paraId="395C838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 CI</w:t>
            </w:r>
          </w:p>
        </w:tc>
        <w:tc>
          <w:tcPr>
            <w:tcW w:w="2136" w:type="dxa"/>
            <w:tcBorders>
              <w:top w:val="single" w:sz="4" w:space="0" w:color="000000"/>
              <w:left w:val="single" w:sz="4" w:space="0" w:color="000000"/>
              <w:bottom w:val="single" w:sz="4" w:space="0" w:color="000000"/>
              <w:right w:val="single" w:sz="4" w:space="0" w:color="000000"/>
            </w:tcBorders>
          </w:tcPr>
          <w:p w14:paraId="2D2F0CD7" w14:textId="77777777" w:rsidR="00536CD0" w:rsidRPr="00617FC7" w:rsidRDefault="00536CD0" w:rsidP="00536CD0">
            <w:pPr>
              <w:ind w:left="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(0,82, 1,13)</w:t>
            </w:r>
          </w:p>
        </w:tc>
        <w:tc>
          <w:tcPr>
            <w:tcW w:w="2134" w:type="dxa"/>
            <w:tcBorders>
              <w:top w:val="single" w:sz="4" w:space="0" w:color="000000"/>
              <w:left w:val="single" w:sz="4" w:space="0" w:color="000000"/>
              <w:bottom w:val="single" w:sz="4" w:space="0" w:color="000000"/>
              <w:right w:val="single" w:sz="4" w:space="0" w:color="000000"/>
            </w:tcBorders>
          </w:tcPr>
          <w:p w14:paraId="010C676E"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(0,92, 1,25)</w:t>
            </w:r>
          </w:p>
        </w:tc>
        <w:tc>
          <w:tcPr>
            <w:tcW w:w="2138" w:type="dxa"/>
            <w:tcBorders>
              <w:top w:val="single" w:sz="4" w:space="0" w:color="000000"/>
              <w:left w:val="single" w:sz="4" w:space="0" w:color="000000"/>
              <w:bottom w:val="single" w:sz="4" w:space="0" w:color="000000"/>
              <w:right w:val="single" w:sz="4" w:space="0" w:color="000000"/>
            </w:tcBorders>
          </w:tcPr>
          <w:p w14:paraId="53E899D6"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68D73B26"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24050A61"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21. táblázat. Kezelés mellett jelentkező jelentős vérzéses események (MVE) az egyes REMODEL és RE-NOVATE vizsgálatokban</w:t>
      </w:r>
    </w:p>
    <w:p w14:paraId="706C0274"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536CD0" w:rsidRPr="00617FC7" w14:paraId="482C194A"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7AA70676"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Vizsgálat</w:t>
            </w:r>
          </w:p>
        </w:tc>
        <w:tc>
          <w:tcPr>
            <w:tcW w:w="2136" w:type="dxa"/>
            <w:tcBorders>
              <w:top w:val="single" w:sz="4" w:space="0" w:color="000000"/>
              <w:left w:val="single" w:sz="4" w:space="0" w:color="000000"/>
              <w:bottom w:val="single" w:sz="4" w:space="0" w:color="000000"/>
              <w:right w:val="single" w:sz="4" w:space="0" w:color="000000"/>
            </w:tcBorders>
          </w:tcPr>
          <w:p w14:paraId="74AFD37A"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1850DDD8"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220 mg napi egyszer</w:t>
            </w:r>
          </w:p>
        </w:tc>
        <w:tc>
          <w:tcPr>
            <w:tcW w:w="2136" w:type="dxa"/>
            <w:tcBorders>
              <w:top w:val="single" w:sz="4" w:space="0" w:color="000000"/>
              <w:left w:val="single" w:sz="4" w:space="0" w:color="000000"/>
              <w:bottom w:val="single" w:sz="4" w:space="0" w:color="000000"/>
              <w:right w:val="single" w:sz="4" w:space="0" w:color="000000"/>
            </w:tcBorders>
          </w:tcPr>
          <w:p w14:paraId="715B57F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5849CCC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egyszer</w:t>
            </w:r>
          </w:p>
        </w:tc>
        <w:tc>
          <w:tcPr>
            <w:tcW w:w="2134" w:type="dxa"/>
            <w:tcBorders>
              <w:top w:val="single" w:sz="4" w:space="0" w:color="000000"/>
              <w:left w:val="single" w:sz="4" w:space="0" w:color="000000"/>
              <w:bottom w:val="single" w:sz="4" w:space="0" w:color="000000"/>
              <w:right w:val="single" w:sz="4" w:space="0" w:color="000000"/>
            </w:tcBorders>
          </w:tcPr>
          <w:p w14:paraId="2241136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Enoxaparin</w:t>
            </w:r>
          </w:p>
          <w:p w14:paraId="359249F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40 mg</w:t>
            </w:r>
          </w:p>
        </w:tc>
      </w:tr>
      <w:tr w:rsidR="00536CD0" w:rsidRPr="00617FC7" w14:paraId="4166D3AB" w14:textId="77777777" w:rsidTr="00CF66F9">
        <w:trPr>
          <w:trHeight w:val="113"/>
        </w:trPr>
        <w:tc>
          <w:tcPr>
            <w:tcW w:w="2666" w:type="dxa"/>
            <w:tcBorders>
              <w:top w:val="single" w:sz="4" w:space="0" w:color="000000"/>
              <w:left w:val="single" w:sz="4" w:space="0" w:color="000000"/>
              <w:bottom w:val="single" w:sz="4" w:space="0" w:color="000000"/>
              <w:right w:val="nil"/>
            </w:tcBorders>
          </w:tcPr>
          <w:p w14:paraId="5ED30B31"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RE-NOVATE (csípő)</w:t>
            </w:r>
          </w:p>
        </w:tc>
        <w:tc>
          <w:tcPr>
            <w:tcW w:w="2136" w:type="dxa"/>
            <w:tcBorders>
              <w:top w:val="single" w:sz="4" w:space="0" w:color="000000"/>
              <w:left w:val="nil"/>
              <w:bottom w:val="single" w:sz="4" w:space="0" w:color="000000"/>
              <w:right w:val="nil"/>
            </w:tcBorders>
          </w:tcPr>
          <w:p w14:paraId="61613270" w14:textId="77777777" w:rsidR="00536CD0" w:rsidRPr="00617FC7" w:rsidRDefault="00536CD0" w:rsidP="00536CD0">
            <w:pPr>
              <w:rPr>
                <w:rFonts w:ascii="Times New Roman" w:eastAsia="Times New Roman" w:hAnsi="Times New Roman" w:cs="Times New Roman"/>
                <w:noProof w:val="0"/>
                <w:color w:val="000000"/>
                <w:lang w:val="hu-HU"/>
              </w:rPr>
            </w:pPr>
          </w:p>
        </w:tc>
        <w:tc>
          <w:tcPr>
            <w:tcW w:w="2136" w:type="dxa"/>
            <w:tcBorders>
              <w:top w:val="single" w:sz="4" w:space="0" w:color="000000"/>
              <w:left w:val="nil"/>
              <w:bottom w:val="single" w:sz="4" w:space="0" w:color="000000"/>
              <w:right w:val="nil"/>
            </w:tcBorders>
          </w:tcPr>
          <w:p w14:paraId="68D8D225"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single" w:sz="4" w:space="0" w:color="000000"/>
            </w:tcBorders>
          </w:tcPr>
          <w:p w14:paraId="6102BF04"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3AEE46B7"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20D33172"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 N</w:t>
            </w:r>
          </w:p>
        </w:tc>
        <w:tc>
          <w:tcPr>
            <w:tcW w:w="2136" w:type="dxa"/>
            <w:tcBorders>
              <w:top w:val="single" w:sz="4" w:space="0" w:color="000000"/>
              <w:left w:val="single" w:sz="4" w:space="0" w:color="000000"/>
              <w:bottom w:val="single" w:sz="4" w:space="0" w:color="000000"/>
              <w:right w:val="single" w:sz="4" w:space="0" w:color="000000"/>
            </w:tcBorders>
          </w:tcPr>
          <w:p w14:paraId="611CB296" w14:textId="77777777" w:rsidR="00536CD0" w:rsidRPr="00617FC7" w:rsidRDefault="00536CD0" w:rsidP="00536CD0">
            <w:pPr>
              <w:ind w:left="5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1146</w:t>
            </w:r>
          </w:p>
        </w:tc>
        <w:tc>
          <w:tcPr>
            <w:tcW w:w="2136" w:type="dxa"/>
            <w:tcBorders>
              <w:top w:val="single" w:sz="4" w:space="0" w:color="000000"/>
              <w:left w:val="single" w:sz="4" w:space="0" w:color="000000"/>
              <w:bottom w:val="single" w:sz="4" w:space="0" w:color="000000"/>
              <w:right w:val="single" w:sz="4" w:space="0" w:color="000000"/>
            </w:tcBorders>
          </w:tcPr>
          <w:p w14:paraId="24FC0BF8"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1163</w:t>
            </w:r>
          </w:p>
        </w:tc>
        <w:tc>
          <w:tcPr>
            <w:tcW w:w="2134" w:type="dxa"/>
            <w:tcBorders>
              <w:top w:val="single" w:sz="4" w:space="0" w:color="000000"/>
              <w:left w:val="single" w:sz="4" w:space="0" w:color="000000"/>
              <w:bottom w:val="single" w:sz="4" w:space="0" w:color="000000"/>
              <w:right w:val="single" w:sz="4" w:space="0" w:color="000000"/>
            </w:tcBorders>
          </w:tcPr>
          <w:p w14:paraId="7463FD03" w14:textId="77777777" w:rsidR="00536CD0" w:rsidRPr="00617FC7" w:rsidRDefault="00536CD0" w:rsidP="00536CD0">
            <w:pPr>
              <w:ind w:left="4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1154</w:t>
            </w:r>
          </w:p>
        </w:tc>
      </w:tr>
      <w:tr w:rsidR="00536CD0" w:rsidRPr="00617FC7" w14:paraId="515E0CC1"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621BA03D"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MVE-k száma N (%)</w:t>
            </w:r>
          </w:p>
        </w:tc>
        <w:tc>
          <w:tcPr>
            <w:tcW w:w="2136" w:type="dxa"/>
            <w:tcBorders>
              <w:top w:val="single" w:sz="4" w:space="0" w:color="000000"/>
              <w:left w:val="single" w:sz="4" w:space="0" w:color="000000"/>
              <w:bottom w:val="single" w:sz="4" w:space="0" w:color="000000"/>
              <w:right w:val="single" w:sz="4" w:space="0" w:color="000000"/>
            </w:tcBorders>
          </w:tcPr>
          <w:p w14:paraId="58DF221E" w14:textId="77777777" w:rsidR="00536CD0" w:rsidRPr="00617FC7" w:rsidRDefault="00536CD0" w:rsidP="00536CD0">
            <w:pPr>
              <w:ind w:left="4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23 (2,0)</w:t>
            </w:r>
          </w:p>
        </w:tc>
        <w:tc>
          <w:tcPr>
            <w:tcW w:w="2136" w:type="dxa"/>
            <w:tcBorders>
              <w:top w:val="single" w:sz="4" w:space="0" w:color="000000"/>
              <w:left w:val="single" w:sz="4" w:space="0" w:color="000000"/>
              <w:bottom w:val="single" w:sz="4" w:space="0" w:color="000000"/>
              <w:right w:val="single" w:sz="4" w:space="0" w:color="000000"/>
            </w:tcBorders>
          </w:tcPr>
          <w:p w14:paraId="032CD090" w14:textId="77777777" w:rsidR="00536CD0" w:rsidRPr="00617FC7" w:rsidRDefault="00536CD0" w:rsidP="00536CD0">
            <w:pPr>
              <w:ind w:left="4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 (1,3)</w:t>
            </w:r>
          </w:p>
        </w:tc>
        <w:tc>
          <w:tcPr>
            <w:tcW w:w="2134" w:type="dxa"/>
            <w:tcBorders>
              <w:top w:val="single" w:sz="4" w:space="0" w:color="000000"/>
              <w:left w:val="single" w:sz="4" w:space="0" w:color="000000"/>
              <w:bottom w:val="single" w:sz="4" w:space="0" w:color="000000"/>
              <w:right w:val="single" w:sz="4" w:space="0" w:color="000000"/>
            </w:tcBorders>
          </w:tcPr>
          <w:p w14:paraId="6949DADC" w14:textId="77777777" w:rsidR="00536CD0" w:rsidRPr="00617FC7" w:rsidRDefault="00536CD0" w:rsidP="00536CD0">
            <w:pPr>
              <w:ind w:left="4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 (1,6)</w:t>
            </w:r>
          </w:p>
        </w:tc>
      </w:tr>
      <w:tr w:rsidR="00536CD0" w:rsidRPr="00617FC7" w14:paraId="30872775" w14:textId="77777777" w:rsidTr="00CF66F9">
        <w:trPr>
          <w:trHeight w:val="113"/>
        </w:trPr>
        <w:tc>
          <w:tcPr>
            <w:tcW w:w="2666" w:type="dxa"/>
            <w:tcBorders>
              <w:top w:val="single" w:sz="4" w:space="0" w:color="000000"/>
              <w:left w:val="single" w:sz="4" w:space="0" w:color="000000"/>
              <w:bottom w:val="single" w:sz="4" w:space="0" w:color="000000"/>
              <w:right w:val="nil"/>
            </w:tcBorders>
          </w:tcPr>
          <w:p w14:paraId="201C28FF"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RE-MODEL (térd)</w:t>
            </w:r>
          </w:p>
        </w:tc>
        <w:tc>
          <w:tcPr>
            <w:tcW w:w="2136" w:type="dxa"/>
            <w:tcBorders>
              <w:top w:val="single" w:sz="4" w:space="0" w:color="000000"/>
              <w:left w:val="nil"/>
              <w:bottom w:val="single" w:sz="4" w:space="0" w:color="000000"/>
              <w:right w:val="nil"/>
            </w:tcBorders>
          </w:tcPr>
          <w:p w14:paraId="735D9327" w14:textId="77777777" w:rsidR="00536CD0" w:rsidRPr="00617FC7" w:rsidRDefault="00536CD0" w:rsidP="00536CD0">
            <w:pPr>
              <w:rPr>
                <w:rFonts w:ascii="Times New Roman" w:eastAsia="Times New Roman" w:hAnsi="Times New Roman" w:cs="Times New Roman"/>
                <w:noProof w:val="0"/>
                <w:color w:val="000000"/>
                <w:lang w:val="hu-HU"/>
              </w:rPr>
            </w:pPr>
          </w:p>
        </w:tc>
        <w:tc>
          <w:tcPr>
            <w:tcW w:w="2136" w:type="dxa"/>
            <w:tcBorders>
              <w:top w:val="single" w:sz="4" w:space="0" w:color="000000"/>
              <w:left w:val="nil"/>
              <w:bottom w:val="single" w:sz="4" w:space="0" w:color="000000"/>
              <w:right w:val="nil"/>
            </w:tcBorders>
          </w:tcPr>
          <w:p w14:paraId="67E33B2C" w14:textId="77777777" w:rsidR="00536CD0" w:rsidRPr="00617FC7" w:rsidRDefault="00536CD0" w:rsidP="00536CD0">
            <w:pPr>
              <w:rPr>
                <w:rFonts w:ascii="Times New Roman" w:eastAsia="Times New Roman" w:hAnsi="Times New Roman" w:cs="Times New Roman"/>
                <w:noProof w:val="0"/>
                <w:color w:val="000000"/>
                <w:lang w:val="hu-HU"/>
              </w:rPr>
            </w:pPr>
          </w:p>
        </w:tc>
        <w:tc>
          <w:tcPr>
            <w:tcW w:w="2134" w:type="dxa"/>
            <w:tcBorders>
              <w:top w:val="single" w:sz="4" w:space="0" w:color="000000"/>
              <w:left w:val="nil"/>
              <w:bottom w:val="single" w:sz="4" w:space="0" w:color="000000"/>
              <w:right w:val="single" w:sz="4" w:space="0" w:color="000000"/>
            </w:tcBorders>
          </w:tcPr>
          <w:p w14:paraId="1361F88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64C7D87"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4C018EFE"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 N</w:t>
            </w:r>
          </w:p>
        </w:tc>
        <w:tc>
          <w:tcPr>
            <w:tcW w:w="2136" w:type="dxa"/>
            <w:tcBorders>
              <w:top w:val="single" w:sz="4" w:space="0" w:color="000000"/>
              <w:left w:val="single" w:sz="4" w:space="0" w:color="000000"/>
              <w:bottom w:val="single" w:sz="4" w:space="0" w:color="000000"/>
              <w:right w:val="single" w:sz="4" w:space="0" w:color="000000"/>
            </w:tcBorders>
          </w:tcPr>
          <w:p w14:paraId="72D777CB" w14:textId="77777777" w:rsidR="00536CD0" w:rsidRPr="00617FC7" w:rsidRDefault="00536CD0" w:rsidP="00536CD0">
            <w:pPr>
              <w:ind w:left="4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679</w:t>
            </w:r>
          </w:p>
        </w:tc>
        <w:tc>
          <w:tcPr>
            <w:tcW w:w="2136" w:type="dxa"/>
            <w:tcBorders>
              <w:top w:val="single" w:sz="4" w:space="0" w:color="000000"/>
              <w:left w:val="single" w:sz="4" w:space="0" w:color="000000"/>
              <w:bottom w:val="single" w:sz="4" w:space="0" w:color="000000"/>
              <w:right w:val="single" w:sz="4" w:space="0" w:color="000000"/>
            </w:tcBorders>
          </w:tcPr>
          <w:p w14:paraId="4F1B9890" w14:textId="77777777" w:rsidR="00536CD0" w:rsidRPr="00617FC7" w:rsidRDefault="00536CD0" w:rsidP="00536CD0">
            <w:pPr>
              <w:ind w:left="4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703</w:t>
            </w:r>
          </w:p>
        </w:tc>
        <w:tc>
          <w:tcPr>
            <w:tcW w:w="2134" w:type="dxa"/>
            <w:tcBorders>
              <w:top w:val="single" w:sz="4" w:space="0" w:color="000000"/>
              <w:left w:val="single" w:sz="4" w:space="0" w:color="000000"/>
              <w:bottom w:val="single" w:sz="4" w:space="0" w:color="000000"/>
              <w:right w:val="single" w:sz="4" w:space="0" w:color="000000"/>
            </w:tcBorders>
          </w:tcPr>
          <w:p w14:paraId="70B8A2DA" w14:textId="77777777" w:rsidR="00536CD0" w:rsidRPr="00617FC7" w:rsidRDefault="00536CD0" w:rsidP="00536CD0">
            <w:pPr>
              <w:ind w:left="4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694</w:t>
            </w:r>
          </w:p>
        </w:tc>
      </w:tr>
      <w:tr w:rsidR="00536CD0" w:rsidRPr="00617FC7" w14:paraId="72615F97" w14:textId="77777777" w:rsidTr="00CF66F9">
        <w:trPr>
          <w:trHeight w:val="113"/>
        </w:trPr>
        <w:tc>
          <w:tcPr>
            <w:tcW w:w="2666" w:type="dxa"/>
            <w:tcBorders>
              <w:top w:val="single" w:sz="4" w:space="0" w:color="000000"/>
              <w:left w:val="single" w:sz="4" w:space="0" w:color="000000"/>
              <w:bottom w:val="single" w:sz="4" w:space="0" w:color="000000"/>
              <w:right w:val="single" w:sz="4" w:space="0" w:color="000000"/>
            </w:tcBorders>
          </w:tcPr>
          <w:p w14:paraId="6F789974" w14:textId="77777777" w:rsidR="00536CD0" w:rsidRPr="00617FC7" w:rsidRDefault="00536CD0" w:rsidP="00536CD0">
            <w:pPr>
              <w:ind w:left="2"/>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MVE-k száma N (%)</w:t>
            </w:r>
          </w:p>
        </w:tc>
        <w:tc>
          <w:tcPr>
            <w:tcW w:w="2136" w:type="dxa"/>
            <w:tcBorders>
              <w:top w:val="single" w:sz="4" w:space="0" w:color="000000"/>
              <w:left w:val="single" w:sz="4" w:space="0" w:color="000000"/>
              <w:bottom w:val="single" w:sz="4" w:space="0" w:color="000000"/>
              <w:right w:val="single" w:sz="4" w:space="0" w:color="000000"/>
            </w:tcBorders>
          </w:tcPr>
          <w:p w14:paraId="00A3E943" w14:textId="77777777" w:rsidR="00536CD0" w:rsidRPr="00617FC7" w:rsidRDefault="00536CD0" w:rsidP="00536CD0">
            <w:pPr>
              <w:ind w:left="4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 (1,5)</w:t>
            </w:r>
          </w:p>
        </w:tc>
        <w:tc>
          <w:tcPr>
            <w:tcW w:w="2136" w:type="dxa"/>
            <w:tcBorders>
              <w:top w:val="single" w:sz="4" w:space="0" w:color="000000"/>
              <w:left w:val="single" w:sz="4" w:space="0" w:color="000000"/>
              <w:bottom w:val="single" w:sz="4" w:space="0" w:color="000000"/>
              <w:right w:val="single" w:sz="4" w:space="0" w:color="000000"/>
            </w:tcBorders>
          </w:tcPr>
          <w:p w14:paraId="2B385508" w14:textId="77777777" w:rsidR="00536CD0" w:rsidRPr="00617FC7" w:rsidRDefault="00536CD0" w:rsidP="00536CD0">
            <w:pPr>
              <w:ind w:left="4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 (1,3)</w:t>
            </w:r>
          </w:p>
        </w:tc>
        <w:tc>
          <w:tcPr>
            <w:tcW w:w="2134" w:type="dxa"/>
            <w:tcBorders>
              <w:top w:val="single" w:sz="4" w:space="0" w:color="000000"/>
              <w:left w:val="single" w:sz="4" w:space="0" w:color="000000"/>
              <w:bottom w:val="single" w:sz="4" w:space="0" w:color="000000"/>
              <w:right w:val="single" w:sz="4" w:space="0" w:color="000000"/>
            </w:tcBorders>
          </w:tcPr>
          <w:p w14:paraId="2B22D565" w14:textId="77777777" w:rsidR="00536CD0" w:rsidRPr="00617FC7" w:rsidRDefault="00536CD0" w:rsidP="00536CD0">
            <w:pPr>
              <w:ind w:left="4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 (1,3)</w:t>
            </w:r>
          </w:p>
        </w:tc>
      </w:tr>
    </w:tbl>
    <w:p w14:paraId="1C9D0886"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4F5CC4AF"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stroke és a szisztémás embolisatio prevenciója nem billentyű eredetű pitvarfibrillációban szenvedő,</w:t>
      </w:r>
      <w:r w:rsidRPr="00617FC7">
        <w:rPr>
          <w:rFonts w:ascii="Times New Roman" w:eastAsia="Times New Roman" w:hAnsi="Times New Roman" w:cs="Times New Roman"/>
          <w:i/>
          <w:noProof w:val="0"/>
          <w:color w:val="000000"/>
          <w:kern w:val="0"/>
          <w:lang w:val="hu-HU" w:eastAsia="hu-HU"/>
          <w14:ligatures w14:val="none"/>
        </w:rPr>
        <w:t xml:space="preserve"> </w:t>
      </w:r>
      <w:r w:rsidRPr="00617FC7">
        <w:rPr>
          <w:rFonts w:ascii="Times New Roman" w:eastAsia="Times New Roman" w:hAnsi="Times New Roman" w:cs="Times New Roman"/>
          <w:i/>
          <w:noProof w:val="0"/>
          <w:color w:val="000000"/>
          <w:kern w:val="0"/>
          <w:u w:val="single" w:color="000000"/>
          <w:lang w:val="hu-HU" w:eastAsia="hu-HU"/>
          <w14:ligatures w14:val="none"/>
        </w:rPr>
        <w:t>egy vagy több rizikótényezővel rendelkező felnőtt betegeknél</w:t>
      </w:r>
    </w:p>
    <w:p w14:paraId="34F25CC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0DDBA5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dabigatrán-etexilát hatásosságának klinikai bizonyítéka a RE-LY vizsgálatból (Randomised Evaluation of Long-term anticoagulant therapY) származik, ami egy multicentrikus, nemzetközi, randomizált, paralell vizsgálati csoportos, kettős vak vizsgálat volt, amelyben a dabigatrán-etexilát két dózisát (110 mg és 150 mg naponta kétszer) hasonlították össze a nyílt módon adott warfarinnal olyan pitvarfibrilláló betegeknél, akiknél közepes vagy magas volt a stroke és a szisztémás embolisatio </w:t>
      </w:r>
      <w:r w:rsidRPr="00617FC7">
        <w:rPr>
          <w:rFonts w:ascii="Times New Roman" w:eastAsia="Times New Roman" w:hAnsi="Times New Roman" w:cs="Times New Roman"/>
          <w:noProof w:val="0"/>
          <w:color w:val="000000"/>
          <w:kern w:val="0"/>
          <w:lang w:val="hu-HU" w:eastAsia="hu-HU"/>
          <w14:ligatures w14:val="none"/>
        </w:rPr>
        <w:lastRenderedPageBreak/>
        <w:t>kockázata. A vizsgálat elsődleges célja az volt, hogy bizonyítsa, a dabigatrán-etexilát nem rosszabb (non-inferioritás) a warfarinnál a stroke és a szisztémás embolisatio mint összetett végpont előfordulásának csökkentésében. A statisztikai szuperioritást szintén elemezték.</w:t>
      </w:r>
    </w:p>
    <w:p w14:paraId="6541C3F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706BA76" w14:textId="1F097E6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RE-LY vizsgálatban összesen 18 113 beteget randomizáltak a dabigatrán-etexilát csoportba, az átlagéletkor 71,5 év és az átlagos CHADS</w:t>
      </w:r>
      <w:r w:rsidRPr="00617FC7">
        <w:rPr>
          <w:rFonts w:ascii="Times New Roman" w:eastAsia="Times New Roman" w:hAnsi="Times New Roman" w:cs="Times New Roman"/>
          <w:noProof w:val="0"/>
          <w:color w:val="000000"/>
          <w:kern w:val="0"/>
          <w:vertAlign w:val="subscript"/>
          <w:lang w:val="hu-HU" w:eastAsia="hu-HU"/>
          <w14:ligatures w14:val="none"/>
        </w:rPr>
        <w:t xml:space="preserve">2 </w:t>
      </w:r>
      <w:r w:rsidRPr="00617FC7">
        <w:rPr>
          <w:rFonts w:ascii="Times New Roman" w:eastAsia="Times New Roman" w:hAnsi="Times New Roman" w:cs="Times New Roman"/>
          <w:noProof w:val="0"/>
          <w:color w:val="000000"/>
          <w:kern w:val="0"/>
          <w:lang w:val="hu-HU" w:eastAsia="hu-HU"/>
          <w14:ligatures w14:val="none"/>
        </w:rPr>
        <w:t>pontszám 2,1 volt. A betegpopuláció 64%-a volt férfi, 70%-a fehér és 16%-a ázsiai. A warfarin csoportba randomizált betegek között a terápiás tartomány eléréshez szükséges idő (time to therapeutic range [TTR] [INR</w:t>
      </w:r>
      <w:r w:rsidR="00D444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2</w:t>
      </w:r>
      <w:r w:rsidR="00D444AE"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 százalékos aránya 64,4% volt (átlagos TTR 67%).</w:t>
      </w:r>
    </w:p>
    <w:p w14:paraId="482C066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FE6679" w14:textId="7EA3C68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RE-LY vizsgálat kimutatta, hogy a dabigatrán-etexilát napi kétszer 110 mg-os dózisban nem rosszabb (non-inferiority) a warfarinnál a stroke és a szisztémás embolisatio prevenciójában pitvarfibrilláló betegeken, és alkalmazása csökkent ICH, összvérzés és jelentős vérzés kockázattal jár. A napi kétszer 150 mg-os dózis szignifikáns mértékben csökkenti az ischaemiás és vérzéses stroke, éreredetű halál, ICH és összes vérzés kockázatát a warfarinhoz viszonyítva. A jelentős vérzések aránya ezzel a dózissal a warfarin esetében észlelthez hasonló volt. A myocardialis infarctus előfordulási aránya kissé nagyobb volt a dabigatrán-etexilát napi kétszeri 110 mg-os (relatív hazárd 1,29; p</w:t>
      </w:r>
      <w:r w:rsidR="00D444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D444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0,0929), vagy 150 mg-os dózisa (relatív hazárd 1,27; p</w:t>
      </w:r>
      <w:r w:rsidR="00D444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D444A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0,1240) esetén a warfarinhoz képest. Az INR gyakoribb monitorozásával a dabigatrán-etexilátnak warfarinhoz hasonlított előnyei csökkennek.</w:t>
      </w:r>
    </w:p>
    <w:p w14:paraId="49AE0D9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54D423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22-24. táblázatok a kulcsfontosságú eredmények részleteit mutatják a teljes populációban:</w:t>
      </w:r>
    </w:p>
    <w:p w14:paraId="6FF0F27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992C6EE"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22. táblázat. A stroke vagy a szisztémás embolisatio első megjelenésének elemzése (primer végpont) a RE-LY vizsgálat vizsgálati periódusában</w:t>
      </w:r>
    </w:p>
    <w:p w14:paraId="5EE64A23"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72" w:type="dxa"/>
          <w:right w:w="50" w:type="dxa"/>
        </w:tblCellMar>
        <w:tblLook w:val="04A0" w:firstRow="1" w:lastRow="0" w:firstColumn="1" w:lastColumn="0" w:noHBand="0" w:noVBand="1"/>
      </w:tblPr>
      <w:tblGrid>
        <w:gridCol w:w="2474"/>
        <w:gridCol w:w="2376"/>
        <w:gridCol w:w="2242"/>
        <w:gridCol w:w="1980"/>
      </w:tblGrid>
      <w:tr w:rsidR="00536CD0" w:rsidRPr="00617FC7" w14:paraId="1BDE3C71"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43B70AF7" w14:textId="77777777" w:rsidR="00536CD0" w:rsidRPr="00617FC7" w:rsidRDefault="00536CD0" w:rsidP="00536CD0">
            <w:pPr>
              <w:rPr>
                <w:rFonts w:ascii="Times New Roman" w:eastAsia="Times New Roman" w:hAnsi="Times New Roman" w:cs="Times New Roman"/>
                <w:noProof w:val="0"/>
                <w:color w:val="000000"/>
                <w:lang w:val="hu-HU"/>
              </w:rPr>
            </w:pPr>
          </w:p>
        </w:tc>
        <w:tc>
          <w:tcPr>
            <w:tcW w:w="2376" w:type="dxa"/>
            <w:tcBorders>
              <w:top w:val="single" w:sz="4" w:space="0" w:color="000000"/>
              <w:left w:val="single" w:sz="4" w:space="0" w:color="000000"/>
              <w:bottom w:val="single" w:sz="4" w:space="0" w:color="000000"/>
              <w:right w:val="single" w:sz="4" w:space="0" w:color="000000"/>
            </w:tcBorders>
          </w:tcPr>
          <w:p w14:paraId="602C6EEF" w14:textId="77777777" w:rsidR="00536CD0" w:rsidRPr="00617FC7" w:rsidRDefault="00536CD0" w:rsidP="00536CD0">
            <w:pPr>
              <w:ind w:left="110" w:right="13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110 mg napi kétszer</w:t>
            </w:r>
          </w:p>
        </w:tc>
        <w:tc>
          <w:tcPr>
            <w:tcW w:w="2242" w:type="dxa"/>
            <w:tcBorders>
              <w:top w:val="single" w:sz="4" w:space="0" w:color="000000"/>
              <w:left w:val="single" w:sz="4" w:space="0" w:color="000000"/>
              <w:bottom w:val="single" w:sz="4" w:space="0" w:color="000000"/>
              <w:right w:val="single" w:sz="4" w:space="0" w:color="000000"/>
            </w:tcBorders>
          </w:tcPr>
          <w:p w14:paraId="23A8B26C" w14:textId="77777777" w:rsidR="00536CD0" w:rsidRPr="00617FC7" w:rsidRDefault="00536CD0" w:rsidP="00536CD0">
            <w:pPr>
              <w:ind w:left="43" w:right="6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150 mg napi kétszer</w:t>
            </w:r>
          </w:p>
        </w:tc>
        <w:tc>
          <w:tcPr>
            <w:tcW w:w="1980" w:type="dxa"/>
            <w:tcBorders>
              <w:top w:val="single" w:sz="4" w:space="0" w:color="000000"/>
              <w:left w:val="single" w:sz="4" w:space="0" w:color="000000"/>
              <w:bottom w:val="single" w:sz="4" w:space="0" w:color="000000"/>
              <w:right w:val="single" w:sz="4" w:space="0" w:color="000000"/>
            </w:tcBorders>
          </w:tcPr>
          <w:p w14:paraId="19D1ACC8"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Warfarin </w:t>
            </w:r>
          </w:p>
        </w:tc>
      </w:tr>
      <w:tr w:rsidR="00536CD0" w:rsidRPr="00617FC7" w14:paraId="5CDCE820"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37C16EF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Randomizált vizsgálati személyek</w:t>
            </w:r>
          </w:p>
        </w:tc>
        <w:tc>
          <w:tcPr>
            <w:tcW w:w="2376" w:type="dxa"/>
            <w:tcBorders>
              <w:top w:val="single" w:sz="4" w:space="0" w:color="000000"/>
              <w:left w:val="single" w:sz="4" w:space="0" w:color="000000"/>
              <w:bottom w:val="single" w:sz="4" w:space="0" w:color="000000"/>
              <w:right w:val="single" w:sz="4" w:space="0" w:color="000000"/>
            </w:tcBorders>
          </w:tcPr>
          <w:p w14:paraId="12CB41F1" w14:textId="77777777" w:rsidR="00536CD0" w:rsidRPr="00617FC7" w:rsidRDefault="00536CD0" w:rsidP="00536CD0">
            <w:pPr>
              <w:ind w:right="1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6015</w:t>
            </w:r>
          </w:p>
        </w:tc>
        <w:tc>
          <w:tcPr>
            <w:tcW w:w="2242" w:type="dxa"/>
            <w:tcBorders>
              <w:top w:val="single" w:sz="4" w:space="0" w:color="000000"/>
              <w:left w:val="single" w:sz="4" w:space="0" w:color="000000"/>
              <w:bottom w:val="single" w:sz="4" w:space="0" w:color="000000"/>
              <w:right w:val="single" w:sz="4" w:space="0" w:color="000000"/>
            </w:tcBorders>
          </w:tcPr>
          <w:p w14:paraId="1AAD7B37" w14:textId="77777777" w:rsidR="00536CD0" w:rsidRPr="00617FC7" w:rsidRDefault="00536CD0" w:rsidP="00536CD0">
            <w:pPr>
              <w:ind w:right="2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6076</w:t>
            </w:r>
          </w:p>
        </w:tc>
        <w:tc>
          <w:tcPr>
            <w:tcW w:w="1980" w:type="dxa"/>
            <w:tcBorders>
              <w:top w:val="single" w:sz="4" w:space="0" w:color="000000"/>
              <w:left w:val="single" w:sz="4" w:space="0" w:color="000000"/>
              <w:bottom w:val="single" w:sz="4" w:space="0" w:color="000000"/>
              <w:right w:val="single" w:sz="4" w:space="0" w:color="000000"/>
            </w:tcBorders>
          </w:tcPr>
          <w:p w14:paraId="0C5CBD75" w14:textId="77777777" w:rsidR="00536CD0" w:rsidRPr="00617FC7" w:rsidRDefault="00536CD0" w:rsidP="00536CD0">
            <w:pPr>
              <w:ind w:right="1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6022</w:t>
            </w:r>
          </w:p>
        </w:tc>
      </w:tr>
      <w:tr w:rsidR="00536CD0" w:rsidRPr="00617FC7" w14:paraId="4C653F72"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21C1FD6D" w14:textId="77777777" w:rsidR="00536CD0" w:rsidRPr="00617FC7" w:rsidRDefault="00536CD0" w:rsidP="00CF66F9">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Stroke és/vagy szisztémás embolisatio</w:t>
            </w:r>
          </w:p>
        </w:tc>
        <w:tc>
          <w:tcPr>
            <w:tcW w:w="2376" w:type="dxa"/>
            <w:tcBorders>
              <w:top w:val="single" w:sz="4" w:space="0" w:color="000000"/>
              <w:left w:val="single" w:sz="4" w:space="0" w:color="000000"/>
              <w:bottom w:val="single" w:sz="4" w:space="0" w:color="000000"/>
              <w:right w:val="single" w:sz="4" w:space="0" w:color="000000"/>
            </w:tcBorders>
          </w:tcPr>
          <w:p w14:paraId="2A24045C" w14:textId="77777777" w:rsidR="00536CD0" w:rsidRPr="00617FC7" w:rsidRDefault="00536CD0" w:rsidP="00536CD0">
            <w:pPr>
              <w:rPr>
                <w:rFonts w:ascii="Times New Roman" w:eastAsia="Times New Roman" w:hAnsi="Times New Roman" w:cs="Times New Roman"/>
                <w:noProof w:val="0"/>
                <w:color w:val="000000"/>
                <w:lang w:val="hu-HU"/>
              </w:rPr>
            </w:pPr>
          </w:p>
        </w:tc>
        <w:tc>
          <w:tcPr>
            <w:tcW w:w="2242" w:type="dxa"/>
            <w:tcBorders>
              <w:top w:val="single" w:sz="4" w:space="0" w:color="000000"/>
              <w:left w:val="single" w:sz="4" w:space="0" w:color="000000"/>
              <w:bottom w:val="single" w:sz="4" w:space="0" w:color="000000"/>
              <w:right w:val="single" w:sz="4" w:space="0" w:color="000000"/>
            </w:tcBorders>
          </w:tcPr>
          <w:p w14:paraId="42C7F505" w14:textId="77777777" w:rsidR="00536CD0" w:rsidRPr="00617FC7" w:rsidRDefault="00536CD0" w:rsidP="00536CD0">
            <w:pPr>
              <w:rPr>
                <w:rFonts w:ascii="Times New Roman" w:eastAsia="Times New Roman" w:hAnsi="Times New Roman" w:cs="Times New Roman"/>
                <w:noProof w:val="0"/>
                <w:color w:val="000000"/>
                <w:lang w:val="hu-HU"/>
              </w:rPr>
            </w:pPr>
          </w:p>
        </w:tc>
        <w:tc>
          <w:tcPr>
            <w:tcW w:w="1980" w:type="dxa"/>
            <w:tcBorders>
              <w:top w:val="single" w:sz="4" w:space="0" w:color="000000"/>
              <w:left w:val="single" w:sz="4" w:space="0" w:color="000000"/>
              <w:bottom w:val="single" w:sz="4" w:space="0" w:color="000000"/>
              <w:right w:val="single" w:sz="4" w:space="0" w:color="000000"/>
            </w:tcBorders>
          </w:tcPr>
          <w:p w14:paraId="0C0F921E"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10C110B"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633FDB3E" w14:textId="77777777" w:rsidR="00536CD0" w:rsidRPr="00617FC7" w:rsidRDefault="00536CD0" w:rsidP="00536CD0">
            <w:pPr>
              <w:ind w:left="3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76" w:type="dxa"/>
            <w:tcBorders>
              <w:top w:val="single" w:sz="4" w:space="0" w:color="000000"/>
              <w:left w:val="single" w:sz="4" w:space="0" w:color="000000"/>
              <w:bottom w:val="single" w:sz="4" w:space="0" w:color="000000"/>
              <w:right w:val="single" w:sz="4" w:space="0" w:color="000000"/>
            </w:tcBorders>
          </w:tcPr>
          <w:p w14:paraId="23CAC9C5" w14:textId="77777777" w:rsidR="00536CD0" w:rsidRPr="00617FC7" w:rsidRDefault="00536CD0" w:rsidP="00536CD0">
            <w:pPr>
              <w:ind w:right="2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183 (1,54)</w:t>
            </w:r>
          </w:p>
        </w:tc>
        <w:tc>
          <w:tcPr>
            <w:tcW w:w="2242" w:type="dxa"/>
            <w:tcBorders>
              <w:top w:val="single" w:sz="4" w:space="0" w:color="000000"/>
              <w:left w:val="single" w:sz="4" w:space="0" w:color="000000"/>
              <w:bottom w:val="single" w:sz="4" w:space="0" w:color="000000"/>
              <w:right w:val="single" w:sz="4" w:space="0" w:color="000000"/>
            </w:tcBorders>
          </w:tcPr>
          <w:p w14:paraId="35AB41CA" w14:textId="77777777" w:rsidR="00536CD0" w:rsidRPr="00617FC7" w:rsidRDefault="00536CD0" w:rsidP="00536CD0">
            <w:pPr>
              <w:ind w:right="2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135 (1,12)</w:t>
            </w:r>
          </w:p>
        </w:tc>
        <w:tc>
          <w:tcPr>
            <w:tcW w:w="1980" w:type="dxa"/>
            <w:tcBorders>
              <w:top w:val="single" w:sz="4" w:space="0" w:color="000000"/>
              <w:left w:val="single" w:sz="4" w:space="0" w:color="000000"/>
              <w:bottom w:val="single" w:sz="4" w:space="0" w:color="000000"/>
              <w:right w:val="single" w:sz="4" w:space="0" w:color="000000"/>
            </w:tcBorders>
          </w:tcPr>
          <w:p w14:paraId="0607B735" w14:textId="77777777" w:rsidR="00536CD0" w:rsidRPr="00617FC7" w:rsidRDefault="00536CD0" w:rsidP="00536CD0">
            <w:pPr>
              <w:ind w:right="1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203 (1,72)</w:t>
            </w:r>
          </w:p>
        </w:tc>
      </w:tr>
      <w:tr w:rsidR="00536CD0" w:rsidRPr="00617FC7" w14:paraId="7F9359A0"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76F6B3F3" w14:textId="77777777" w:rsidR="00536CD0" w:rsidRPr="00617FC7" w:rsidRDefault="00536CD0" w:rsidP="00536CD0">
            <w:pPr>
              <w:ind w:left="3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 CI)</w:t>
            </w:r>
          </w:p>
        </w:tc>
        <w:tc>
          <w:tcPr>
            <w:tcW w:w="2376" w:type="dxa"/>
            <w:tcBorders>
              <w:top w:val="single" w:sz="4" w:space="0" w:color="000000"/>
              <w:left w:val="single" w:sz="4" w:space="0" w:color="000000"/>
              <w:bottom w:val="single" w:sz="4" w:space="0" w:color="000000"/>
              <w:right w:val="single" w:sz="4" w:space="0" w:color="000000"/>
            </w:tcBorders>
          </w:tcPr>
          <w:p w14:paraId="71627346"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0,89 (0,73; 1,09)</w:t>
            </w:r>
          </w:p>
        </w:tc>
        <w:tc>
          <w:tcPr>
            <w:tcW w:w="2242" w:type="dxa"/>
            <w:tcBorders>
              <w:top w:val="single" w:sz="4" w:space="0" w:color="000000"/>
              <w:left w:val="single" w:sz="4" w:space="0" w:color="000000"/>
              <w:bottom w:val="single" w:sz="4" w:space="0" w:color="000000"/>
              <w:right w:val="single" w:sz="4" w:space="0" w:color="000000"/>
            </w:tcBorders>
          </w:tcPr>
          <w:p w14:paraId="68ED4A53" w14:textId="77777777"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0,65 (0,52; 0,81)</w:t>
            </w:r>
          </w:p>
        </w:tc>
        <w:tc>
          <w:tcPr>
            <w:tcW w:w="1980" w:type="dxa"/>
            <w:tcBorders>
              <w:top w:val="single" w:sz="4" w:space="0" w:color="000000"/>
              <w:left w:val="single" w:sz="4" w:space="0" w:color="000000"/>
              <w:bottom w:val="single" w:sz="4" w:space="0" w:color="000000"/>
              <w:right w:val="single" w:sz="4" w:space="0" w:color="000000"/>
            </w:tcBorders>
          </w:tcPr>
          <w:p w14:paraId="724942C4"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44DEE1F2" w14:textId="77777777" w:rsidTr="00CF66F9">
        <w:trPr>
          <w:trHeight w:val="113"/>
        </w:trPr>
        <w:tc>
          <w:tcPr>
            <w:tcW w:w="2474" w:type="dxa"/>
            <w:tcBorders>
              <w:top w:val="single" w:sz="4" w:space="0" w:color="000000"/>
              <w:left w:val="single" w:sz="4" w:space="0" w:color="000000"/>
              <w:bottom w:val="single" w:sz="4" w:space="0" w:color="000000"/>
              <w:right w:val="single" w:sz="4" w:space="0" w:color="000000"/>
            </w:tcBorders>
          </w:tcPr>
          <w:p w14:paraId="52E25C37" w14:textId="77777777" w:rsidR="00536CD0" w:rsidRPr="00617FC7" w:rsidRDefault="00536CD0" w:rsidP="00536CD0">
            <w:pPr>
              <w:ind w:left="3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 szuperioritás</w:t>
            </w:r>
          </w:p>
        </w:tc>
        <w:tc>
          <w:tcPr>
            <w:tcW w:w="2376" w:type="dxa"/>
            <w:tcBorders>
              <w:top w:val="single" w:sz="4" w:space="0" w:color="000000"/>
              <w:left w:val="single" w:sz="4" w:space="0" w:color="000000"/>
              <w:bottom w:val="single" w:sz="4" w:space="0" w:color="000000"/>
              <w:right w:val="single" w:sz="4" w:space="0" w:color="000000"/>
            </w:tcBorders>
          </w:tcPr>
          <w:p w14:paraId="50F88505" w14:textId="211BD946"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w:t>
            </w:r>
            <w:r w:rsidR="00D444A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w:t>
            </w:r>
            <w:r w:rsidR="00D444A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0,2721</w:t>
            </w:r>
          </w:p>
        </w:tc>
        <w:tc>
          <w:tcPr>
            <w:tcW w:w="2242" w:type="dxa"/>
            <w:tcBorders>
              <w:top w:val="single" w:sz="4" w:space="0" w:color="000000"/>
              <w:left w:val="single" w:sz="4" w:space="0" w:color="000000"/>
              <w:bottom w:val="single" w:sz="4" w:space="0" w:color="000000"/>
              <w:right w:val="single" w:sz="4" w:space="0" w:color="000000"/>
            </w:tcBorders>
          </w:tcPr>
          <w:p w14:paraId="6913DEE4" w14:textId="277C5AA3" w:rsidR="00536CD0" w:rsidRPr="00617FC7" w:rsidRDefault="00536CD0" w:rsidP="00536CD0">
            <w:pPr>
              <w:ind w:right="2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w:t>
            </w:r>
            <w:r w:rsidR="00D444A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w:t>
            </w:r>
            <w:r w:rsidR="00D444A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0,0001</w:t>
            </w:r>
          </w:p>
        </w:tc>
        <w:tc>
          <w:tcPr>
            <w:tcW w:w="1980" w:type="dxa"/>
            <w:tcBorders>
              <w:top w:val="single" w:sz="4" w:space="0" w:color="000000"/>
              <w:left w:val="single" w:sz="4" w:space="0" w:color="000000"/>
              <w:bottom w:val="single" w:sz="4" w:space="0" w:color="000000"/>
              <w:right w:val="single" w:sz="4" w:space="0" w:color="000000"/>
            </w:tcBorders>
          </w:tcPr>
          <w:p w14:paraId="3A5AB502"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358EE10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 az éves esemény gyakoriságra vonatkozik </w:t>
      </w:r>
    </w:p>
    <w:p w14:paraId="455C64EC"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04988A3B"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23. táblázat. Az ischaemiás vagy vérzéses stroke első megjelenésének elemzése a RE-LY vizsgálat vizsgálati periódusában</w:t>
      </w:r>
    </w:p>
    <w:p w14:paraId="6AFB9A66"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72" w:type="dxa"/>
          <w:right w:w="60" w:type="dxa"/>
        </w:tblCellMar>
        <w:tblLook w:val="04A0" w:firstRow="1" w:lastRow="0" w:firstColumn="1" w:lastColumn="0" w:noHBand="0" w:noVBand="1"/>
      </w:tblPr>
      <w:tblGrid>
        <w:gridCol w:w="2436"/>
        <w:gridCol w:w="2335"/>
        <w:gridCol w:w="2335"/>
        <w:gridCol w:w="1966"/>
      </w:tblGrid>
      <w:tr w:rsidR="00536CD0" w:rsidRPr="00617FC7" w14:paraId="1355E707"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515F3842"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4CFE29E5" w14:textId="77777777" w:rsidR="00536CD0" w:rsidRPr="00617FC7" w:rsidRDefault="00536CD0" w:rsidP="00536CD0">
            <w:pPr>
              <w:ind w:left="89" w:right="10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110 mg napi kétszer</w:t>
            </w:r>
          </w:p>
        </w:tc>
        <w:tc>
          <w:tcPr>
            <w:tcW w:w="2335" w:type="dxa"/>
            <w:tcBorders>
              <w:top w:val="single" w:sz="4" w:space="0" w:color="000000"/>
              <w:left w:val="single" w:sz="4" w:space="0" w:color="000000"/>
              <w:bottom w:val="single" w:sz="4" w:space="0" w:color="000000"/>
              <w:right w:val="single" w:sz="4" w:space="0" w:color="000000"/>
            </w:tcBorders>
          </w:tcPr>
          <w:p w14:paraId="4D9A21F0" w14:textId="77777777" w:rsidR="00536CD0" w:rsidRPr="00617FC7" w:rsidRDefault="00536CD0" w:rsidP="00536CD0">
            <w:pPr>
              <w:ind w:left="89" w:right="10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150 mg napi kétszer</w:t>
            </w:r>
          </w:p>
        </w:tc>
        <w:tc>
          <w:tcPr>
            <w:tcW w:w="1966" w:type="dxa"/>
            <w:tcBorders>
              <w:top w:val="single" w:sz="4" w:space="0" w:color="000000"/>
              <w:left w:val="single" w:sz="4" w:space="0" w:color="000000"/>
              <w:bottom w:val="single" w:sz="4" w:space="0" w:color="000000"/>
              <w:right w:val="single" w:sz="4" w:space="0" w:color="000000"/>
            </w:tcBorders>
          </w:tcPr>
          <w:p w14:paraId="2D14D5AC" w14:textId="77777777" w:rsidR="00536CD0" w:rsidRPr="00617FC7" w:rsidRDefault="00536CD0" w:rsidP="00536CD0">
            <w:pPr>
              <w:ind w:righ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Warfarin</w:t>
            </w:r>
          </w:p>
        </w:tc>
      </w:tr>
      <w:tr w:rsidR="00536CD0" w:rsidRPr="00617FC7" w14:paraId="222B468E"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618CAC3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6CB7AE6B" w14:textId="77777777" w:rsidR="00536CD0" w:rsidRPr="00617FC7" w:rsidRDefault="00536CD0" w:rsidP="00536CD0">
            <w:pPr>
              <w:ind w:righ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6015</w:t>
            </w:r>
          </w:p>
        </w:tc>
        <w:tc>
          <w:tcPr>
            <w:tcW w:w="2335" w:type="dxa"/>
            <w:tcBorders>
              <w:top w:val="single" w:sz="4" w:space="0" w:color="000000"/>
              <w:left w:val="single" w:sz="4" w:space="0" w:color="000000"/>
              <w:bottom w:val="single" w:sz="4" w:space="0" w:color="000000"/>
              <w:right w:val="single" w:sz="4" w:space="0" w:color="000000"/>
            </w:tcBorders>
          </w:tcPr>
          <w:p w14:paraId="5DAB230C" w14:textId="77777777" w:rsidR="00536CD0" w:rsidRPr="00617FC7" w:rsidRDefault="00536CD0" w:rsidP="00536CD0">
            <w:pPr>
              <w:ind w:righ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6076</w:t>
            </w:r>
          </w:p>
        </w:tc>
        <w:tc>
          <w:tcPr>
            <w:tcW w:w="1966" w:type="dxa"/>
            <w:tcBorders>
              <w:top w:val="single" w:sz="4" w:space="0" w:color="000000"/>
              <w:left w:val="single" w:sz="4" w:space="0" w:color="000000"/>
              <w:bottom w:val="single" w:sz="4" w:space="0" w:color="000000"/>
              <w:right w:val="single" w:sz="4" w:space="0" w:color="000000"/>
            </w:tcBorders>
          </w:tcPr>
          <w:p w14:paraId="096C7E05" w14:textId="77777777" w:rsidR="00536CD0" w:rsidRPr="00617FC7" w:rsidRDefault="00536CD0" w:rsidP="00536CD0">
            <w:pPr>
              <w:ind w:righ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6022</w:t>
            </w:r>
          </w:p>
        </w:tc>
      </w:tr>
      <w:tr w:rsidR="00536CD0" w:rsidRPr="00617FC7" w14:paraId="24AE29A9"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713E8D0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Stroke</w:t>
            </w:r>
          </w:p>
        </w:tc>
        <w:tc>
          <w:tcPr>
            <w:tcW w:w="2335" w:type="dxa"/>
            <w:tcBorders>
              <w:top w:val="single" w:sz="4" w:space="0" w:color="000000"/>
              <w:left w:val="single" w:sz="4" w:space="0" w:color="000000"/>
              <w:bottom w:val="single" w:sz="4" w:space="0" w:color="000000"/>
              <w:right w:val="single" w:sz="4" w:space="0" w:color="000000"/>
            </w:tcBorders>
          </w:tcPr>
          <w:p w14:paraId="07B51E69"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4A5C661B"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55C5E9FB"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39E7DF88"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48810C50"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19C243B0"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171 (1,44)</w:t>
            </w:r>
          </w:p>
        </w:tc>
        <w:tc>
          <w:tcPr>
            <w:tcW w:w="2335" w:type="dxa"/>
            <w:tcBorders>
              <w:top w:val="single" w:sz="4" w:space="0" w:color="000000"/>
              <w:left w:val="single" w:sz="4" w:space="0" w:color="000000"/>
              <w:bottom w:val="single" w:sz="4" w:space="0" w:color="000000"/>
              <w:right w:val="single" w:sz="4" w:space="0" w:color="000000"/>
            </w:tcBorders>
          </w:tcPr>
          <w:p w14:paraId="4CAB7C9F"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123 (1,01)</w:t>
            </w:r>
          </w:p>
        </w:tc>
        <w:tc>
          <w:tcPr>
            <w:tcW w:w="1966" w:type="dxa"/>
            <w:tcBorders>
              <w:top w:val="single" w:sz="4" w:space="0" w:color="000000"/>
              <w:left w:val="single" w:sz="4" w:space="0" w:color="000000"/>
              <w:bottom w:val="single" w:sz="4" w:space="0" w:color="000000"/>
              <w:right w:val="single" w:sz="4" w:space="0" w:color="000000"/>
            </w:tcBorders>
          </w:tcPr>
          <w:p w14:paraId="69D8B6C0" w14:textId="77777777" w:rsidR="00536CD0" w:rsidRPr="00617FC7" w:rsidRDefault="00536CD0" w:rsidP="00536CD0">
            <w:pPr>
              <w:ind w:righ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187 (1,59)</w:t>
            </w:r>
          </w:p>
        </w:tc>
      </w:tr>
      <w:tr w:rsidR="00536CD0" w:rsidRPr="00617FC7" w14:paraId="78BAA248"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0F7740F2"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6D0343E7"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0,91 (0,74, 1,12)</w:t>
            </w:r>
          </w:p>
        </w:tc>
        <w:tc>
          <w:tcPr>
            <w:tcW w:w="2335" w:type="dxa"/>
            <w:tcBorders>
              <w:top w:val="single" w:sz="4" w:space="0" w:color="000000"/>
              <w:left w:val="single" w:sz="4" w:space="0" w:color="000000"/>
              <w:bottom w:val="single" w:sz="4" w:space="0" w:color="000000"/>
              <w:right w:val="single" w:sz="4" w:space="0" w:color="000000"/>
            </w:tcBorders>
          </w:tcPr>
          <w:p w14:paraId="3150D367"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0,64 (0,51, 0,81)</w:t>
            </w:r>
          </w:p>
        </w:tc>
        <w:tc>
          <w:tcPr>
            <w:tcW w:w="1966" w:type="dxa"/>
            <w:tcBorders>
              <w:top w:val="single" w:sz="4" w:space="0" w:color="000000"/>
              <w:left w:val="single" w:sz="4" w:space="0" w:color="000000"/>
              <w:bottom w:val="single" w:sz="4" w:space="0" w:color="000000"/>
              <w:right w:val="single" w:sz="4" w:space="0" w:color="000000"/>
            </w:tcBorders>
          </w:tcPr>
          <w:p w14:paraId="04CAF236"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7491B2A6"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2AF0ABDA"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6DFDA23C"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0,3553</w:t>
            </w:r>
          </w:p>
        </w:tc>
        <w:tc>
          <w:tcPr>
            <w:tcW w:w="2335" w:type="dxa"/>
            <w:tcBorders>
              <w:top w:val="single" w:sz="4" w:space="0" w:color="000000"/>
              <w:left w:val="single" w:sz="4" w:space="0" w:color="000000"/>
              <w:bottom w:val="single" w:sz="4" w:space="0" w:color="000000"/>
              <w:right w:val="single" w:sz="4" w:space="0" w:color="000000"/>
            </w:tcBorders>
          </w:tcPr>
          <w:p w14:paraId="3645C20C"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0.0001</w:t>
            </w:r>
          </w:p>
        </w:tc>
        <w:tc>
          <w:tcPr>
            <w:tcW w:w="1966" w:type="dxa"/>
            <w:tcBorders>
              <w:top w:val="single" w:sz="4" w:space="0" w:color="000000"/>
              <w:left w:val="single" w:sz="4" w:space="0" w:color="000000"/>
              <w:bottom w:val="single" w:sz="4" w:space="0" w:color="000000"/>
              <w:right w:val="single" w:sz="4" w:space="0" w:color="000000"/>
            </w:tcBorders>
          </w:tcPr>
          <w:p w14:paraId="2D320FB7"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BD7CB72"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147F7BF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Szisztémás embolisatio</w:t>
            </w:r>
          </w:p>
        </w:tc>
        <w:tc>
          <w:tcPr>
            <w:tcW w:w="2335" w:type="dxa"/>
            <w:tcBorders>
              <w:top w:val="single" w:sz="4" w:space="0" w:color="000000"/>
              <w:left w:val="single" w:sz="4" w:space="0" w:color="000000"/>
              <w:bottom w:val="single" w:sz="4" w:space="0" w:color="000000"/>
              <w:right w:val="single" w:sz="4" w:space="0" w:color="000000"/>
            </w:tcBorders>
          </w:tcPr>
          <w:p w14:paraId="79C3C80F"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66DEE806"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107822B2"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0D067ED"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50A4CAE0"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5D07D3F5"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 (0,13)</w:t>
            </w:r>
          </w:p>
        </w:tc>
        <w:tc>
          <w:tcPr>
            <w:tcW w:w="2335" w:type="dxa"/>
            <w:tcBorders>
              <w:top w:val="single" w:sz="4" w:space="0" w:color="000000"/>
              <w:left w:val="single" w:sz="4" w:space="0" w:color="000000"/>
              <w:bottom w:val="single" w:sz="4" w:space="0" w:color="000000"/>
              <w:right w:val="single" w:sz="4" w:space="0" w:color="000000"/>
            </w:tcBorders>
          </w:tcPr>
          <w:p w14:paraId="105B3D04"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 (0,11)</w:t>
            </w:r>
          </w:p>
        </w:tc>
        <w:tc>
          <w:tcPr>
            <w:tcW w:w="1966" w:type="dxa"/>
            <w:tcBorders>
              <w:top w:val="single" w:sz="4" w:space="0" w:color="000000"/>
              <w:left w:val="single" w:sz="4" w:space="0" w:color="000000"/>
              <w:bottom w:val="single" w:sz="4" w:space="0" w:color="000000"/>
              <w:right w:val="single" w:sz="4" w:space="0" w:color="000000"/>
            </w:tcBorders>
          </w:tcPr>
          <w:p w14:paraId="17408238" w14:textId="77777777" w:rsidR="00536CD0" w:rsidRPr="00617FC7" w:rsidRDefault="00536CD0" w:rsidP="00536CD0">
            <w:pPr>
              <w:ind w:righ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21 (0,18)</w:t>
            </w:r>
          </w:p>
        </w:tc>
      </w:tr>
      <w:tr w:rsidR="00536CD0" w:rsidRPr="00617FC7" w14:paraId="16E105D2"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762FB0CF"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1E9EDA81"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0,71 (0,37, 1,38)</w:t>
            </w:r>
          </w:p>
        </w:tc>
        <w:tc>
          <w:tcPr>
            <w:tcW w:w="2335" w:type="dxa"/>
            <w:tcBorders>
              <w:top w:val="single" w:sz="4" w:space="0" w:color="000000"/>
              <w:left w:val="single" w:sz="4" w:space="0" w:color="000000"/>
              <w:bottom w:val="single" w:sz="4" w:space="0" w:color="000000"/>
              <w:right w:val="single" w:sz="4" w:space="0" w:color="000000"/>
            </w:tcBorders>
          </w:tcPr>
          <w:p w14:paraId="4F315084"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0,61 (0,30, 1,21)</w:t>
            </w:r>
          </w:p>
        </w:tc>
        <w:tc>
          <w:tcPr>
            <w:tcW w:w="1966" w:type="dxa"/>
            <w:tcBorders>
              <w:top w:val="single" w:sz="4" w:space="0" w:color="000000"/>
              <w:left w:val="single" w:sz="4" w:space="0" w:color="000000"/>
              <w:bottom w:val="single" w:sz="4" w:space="0" w:color="000000"/>
              <w:right w:val="single" w:sz="4" w:space="0" w:color="000000"/>
            </w:tcBorders>
          </w:tcPr>
          <w:p w14:paraId="31EAC6FF"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E9AC0C7"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51A91351"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5E56F5F2"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0,3099</w:t>
            </w:r>
          </w:p>
        </w:tc>
        <w:tc>
          <w:tcPr>
            <w:tcW w:w="2335" w:type="dxa"/>
            <w:tcBorders>
              <w:top w:val="single" w:sz="4" w:space="0" w:color="000000"/>
              <w:left w:val="single" w:sz="4" w:space="0" w:color="000000"/>
              <w:bottom w:val="single" w:sz="4" w:space="0" w:color="000000"/>
              <w:right w:val="single" w:sz="4" w:space="0" w:color="000000"/>
            </w:tcBorders>
          </w:tcPr>
          <w:p w14:paraId="492637DB"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0,1582</w:t>
            </w:r>
          </w:p>
        </w:tc>
        <w:tc>
          <w:tcPr>
            <w:tcW w:w="1966" w:type="dxa"/>
            <w:tcBorders>
              <w:top w:val="single" w:sz="4" w:space="0" w:color="000000"/>
              <w:left w:val="single" w:sz="4" w:space="0" w:color="000000"/>
              <w:bottom w:val="single" w:sz="4" w:space="0" w:color="000000"/>
              <w:right w:val="single" w:sz="4" w:space="0" w:color="000000"/>
            </w:tcBorders>
          </w:tcPr>
          <w:p w14:paraId="5A399876"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3DDDBAF"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41E2914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Ischaemiás stroke</w:t>
            </w:r>
          </w:p>
        </w:tc>
        <w:tc>
          <w:tcPr>
            <w:tcW w:w="2335" w:type="dxa"/>
            <w:tcBorders>
              <w:top w:val="single" w:sz="4" w:space="0" w:color="000000"/>
              <w:left w:val="single" w:sz="4" w:space="0" w:color="000000"/>
              <w:bottom w:val="single" w:sz="4" w:space="0" w:color="000000"/>
              <w:right w:val="single" w:sz="4" w:space="0" w:color="000000"/>
            </w:tcBorders>
          </w:tcPr>
          <w:p w14:paraId="2BECE5F4"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3A3E9736"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0E3BB6BB"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D1062E1"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11418173"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190FC716"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152 (1,28)</w:t>
            </w:r>
          </w:p>
        </w:tc>
        <w:tc>
          <w:tcPr>
            <w:tcW w:w="2335" w:type="dxa"/>
            <w:tcBorders>
              <w:top w:val="single" w:sz="4" w:space="0" w:color="000000"/>
              <w:left w:val="single" w:sz="4" w:space="0" w:color="000000"/>
              <w:bottom w:val="single" w:sz="4" w:space="0" w:color="000000"/>
              <w:right w:val="single" w:sz="4" w:space="0" w:color="000000"/>
            </w:tcBorders>
          </w:tcPr>
          <w:p w14:paraId="0D555436"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104 (0,86)</w:t>
            </w:r>
          </w:p>
        </w:tc>
        <w:tc>
          <w:tcPr>
            <w:tcW w:w="1966" w:type="dxa"/>
            <w:tcBorders>
              <w:top w:val="single" w:sz="4" w:space="0" w:color="000000"/>
              <w:left w:val="single" w:sz="4" w:space="0" w:color="000000"/>
              <w:bottom w:val="single" w:sz="4" w:space="0" w:color="000000"/>
              <w:right w:val="single" w:sz="4" w:space="0" w:color="000000"/>
            </w:tcBorders>
          </w:tcPr>
          <w:p w14:paraId="1D8C5E75" w14:textId="77777777" w:rsidR="00536CD0" w:rsidRPr="00617FC7" w:rsidRDefault="00536CD0" w:rsidP="00536CD0">
            <w:pPr>
              <w:ind w:righ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134 (1,14)</w:t>
            </w:r>
          </w:p>
        </w:tc>
      </w:tr>
      <w:tr w:rsidR="00536CD0" w:rsidRPr="00617FC7" w14:paraId="55E02141"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68AE2A4D"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Relatív hazárd (hazard ratio) a warfarinhoz képest (95% CI) </w:t>
            </w:r>
          </w:p>
        </w:tc>
        <w:tc>
          <w:tcPr>
            <w:tcW w:w="2335" w:type="dxa"/>
            <w:tcBorders>
              <w:top w:val="single" w:sz="4" w:space="0" w:color="000000"/>
              <w:left w:val="single" w:sz="4" w:space="0" w:color="000000"/>
              <w:bottom w:val="single" w:sz="4" w:space="0" w:color="000000"/>
              <w:right w:val="single" w:sz="4" w:space="0" w:color="000000"/>
            </w:tcBorders>
          </w:tcPr>
          <w:p w14:paraId="7C99C0A2"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1,13 (0,89, 1,42)</w:t>
            </w:r>
          </w:p>
        </w:tc>
        <w:tc>
          <w:tcPr>
            <w:tcW w:w="2335" w:type="dxa"/>
            <w:tcBorders>
              <w:top w:val="single" w:sz="4" w:space="0" w:color="000000"/>
              <w:left w:val="single" w:sz="4" w:space="0" w:color="000000"/>
              <w:bottom w:val="single" w:sz="4" w:space="0" w:color="000000"/>
              <w:right w:val="single" w:sz="4" w:space="0" w:color="000000"/>
            </w:tcBorders>
          </w:tcPr>
          <w:p w14:paraId="317FFFF0"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0,76 (0,59, 0,98)</w:t>
            </w:r>
          </w:p>
        </w:tc>
        <w:tc>
          <w:tcPr>
            <w:tcW w:w="1966" w:type="dxa"/>
            <w:tcBorders>
              <w:top w:val="single" w:sz="4" w:space="0" w:color="000000"/>
              <w:left w:val="single" w:sz="4" w:space="0" w:color="000000"/>
              <w:bottom w:val="single" w:sz="4" w:space="0" w:color="000000"/>
              <w:right w:val="single" w:sz="4" w:space="0" w:color="000000"/>
            </w:tcBorders>
          </w:tcPr>
          <w:p w14:paraId="168A620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5CCE7DC"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12688B9D"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4FC0C713"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0,3138</w:t>
            </w:r>
          </w:p>
        </w:tc>
        <w:tc>
          <w:tcPr>
            <w:tcW w:w="2335" w:type="dxa"/>
            <w:tcBorders>
              <w:top w:val="single" w:sz="4" w:space="0" w:color="000000"/>
              <w:left w:val="single" w:sz="4" w:space="0" w:color="000000"/>
              <w:bottom w:val="single" w:sz="4" w:space="0" w:color="000000"/>
              <w:right w:val="single" w:sz="4" w:space="0" w:color="000000"/>
            </w:tcBorders>
          </w:tcPr>
          <w:p w14:paraId="31A1F0DB"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0,0351</w:t>
            </w:r>
          </w:p>
        </w:tc>
        <w:tc>
          <w:tcPr>
            <w:tcW w:w="1966" w:type="dxa"/>
            <w:tcBorders>
              <w:top w:val="single" w:sz="4" w:space="0" w:color="000000"/>
              <w:left w:val="single" w:sz="4" w:space="0" w:color="000000"/>
              <w:bottom w:val="single" w:sz="4" w:space="0" w:color="000000"/>
              <w:right w:val="single" w:sz="4" w:space="0" w:color="000000"/>
            </w:tcBorders>
          </w:tcPr>
          <w:p w14:paraId="2CA1C9F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47FF7138"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30E7BD7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Haemorrhagiás stroke</w:t>
            </w:r>
          </w:p>
        </w:tc>
        <w:tc>
          <w:tcPr>
            <w:tcW w:w="2335" w:type="dxa"/>
            <w:tcBorders>
              <w:top w:val="single" w:sz="4" w:space="0" w:color="000000"/>
              <w:left w:val="single" w:sz="4" w:space="0" w:color="000000"/>
              <w:bottom w:val="single" w:sz="4" w:space="0" w:color="000000"/>
              <w:right w:val="single" w:sz="4" w:space="0" w:color="000000"/>
            </w:tcBorders>
          </w:tcPr>
          <w:p w14:paraId="455B3559"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571A71FF"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2C94153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3B4782C"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2DA743B1"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04DCA8AF"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 (0,12)</w:t>
            </w:r>
          </w:p>
        </w:tc>
        <w:tc>
          <w:tcPr>
            <w:tcW w:w="2335" w:type="dxa"/>
            <w:tcBorders>
              <w:top w:val="single" w:sz="4" w:space="0" w:color="000000"/>
              <w:left w:val="single" w:sz="4" w:space="0" w:color="000000"/>
              <w:bottom w:val="single" w:sz="4" w:space="0" w:color="000000"/>
              <w:right w:val="single" w:sz="4" w:space="0" w:color="000000"/>
            </w:tcBorders>
          </w:tcPr>
          <w:p w14:paraId="203FEAB6" w14:textId="77777777" w:rsidR="00536CD0" w:rsidRPr="00617FC7" w:rsidRDefault="00536CD0" w:rsidP="00536CD0">
            <w:pPr>
              <w:ind w:right="1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 (0,10)</w:t>
            </w:r>
          </w:p>
        </w:tc>
        <w:tc>
          <w:tcPr>
            <w:tcW w:w="1966" w:type="dxa"/>
            <w:tcBorders>
              <w:top w:val="single" w:sz="4" w:space="0" w:color="000000"/>
              <w:left w:val="single" w:sz="4" w:space="0" w:color="000000"/>
              <w:bottom w:val="single" w:sz="4" w:space="0" w:color="000000"/>
              <w:right w:val="single" w:sz="4" w:space="0" w:color="000000"/>
            </w:tcBorders>
          </w:tcPr>
          <w:p w14:paraId="4F1C173E" w14:textId="77777777" w:rsidR="00536CD0" w:rsidRPr="00617FC7" w:rsidRDefault="00536CD0" w:rsidP="00536CD0">
            <w:pPr>
              <w:ind w:right="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45 (0,38)</w:t>
            </w:r>
          </w:p>
        </w:tc>
      </w:tr>
      <w:tr w:rsidR="00536CD0" w:rsidRPr="00617FC7" w14:paraId="60DB1315"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3D72F0DF"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7D8F8063"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0,31 (0,17, 0,56)</w:t>
            </w:r>
          </w:p>
        </w:tc>
        <w:tc>
          <w:tcPr>
            <w:tcW w:w="2335" w:type="dxa"/>
            <w:tcBorders>
              <w:top w:val="single" w:sz="4" w:space="0" w:color="000000"/>
              <w:left w:val="single" w:sz="4" w:space="0" w:color="000000"/>
              <w:bottom w:val="single" w:sz="4" w:space="0" w:color="000000"/>
              <w:right w:val="single" w:sz="4" w:space="0" w:color="000000"/>
            </w:tcBorders>
          </w:tcPr>
          <w:p w14:paraId="053D4CF4" w14:textId="77777777" w:rsidR="00536CD0" w:rsidRPr="00617FC7" w:rsidRDefault="00536CD0" w:rsidP="00536CD0">
            <w:pPr>
              <w:ind w:right="1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0,26 (0,14, 0,49)</w:t>
            </w:r>
          </w:p>
        </w:tc>
        <w:tc>
          <w:tcPr>
            <w:tcW w:w="1966" w:type="dxa"/>
            <w:tcBorders>
              <w:top w:val="single" w:sz="4" w:space="0" w:color="000000"/>
              <w:left w:val="single" w:sz="4" w:space="0" w:color="000000"/>
              <w:bottom w:val="single" w:sz="4" w:space="0" w:color="000000"/>
              <w:right w:val="single" w:sz="4" w:space="0" w:color="000000"/>
            </w:tcBorders>
          </w:tcPr>
          <w:p w14:paraId="1BBDF134"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1D876E8B"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4F77F980" w14:textId="77777777" w:rsidR="00536CD0" w:rsidRPr="00617FC7" w:rsidRDefault="00536CD0" w:rsidP="00CF66F9">
            <w:pPr>
              <w:ind w:left="13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48AB7A6B" w14:textId="77777777" w:rsidR="00536CD0" w:rsidRPr="00617FC7" w:rsidRDefault="00536CD0" w:rsidP="00536CD0">
            <w:pPr>
              <w:ind w:right="1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0,0001</w:t>
            </w:r>
          </w:p>
        </w:tc>
        <w:tc>
          <w:tcPr>
            <w:tcW w:w="2335" w:type="dxa"/>
            <w:tcBorders>
              <w:top w:val="single" w:sz="4" w:space="0" w:color="000000"/>
              <w:left w:val="single" w:sz="4" w:space="0" w:color="000000"/>
              <w:bottom w:val="single" w:sz="4" w:space="0" w:color="000000"/>
              <w:right w:val="single" w:sz="4" w:space="0" w:color="000000"/>
            </w:tcBorders>
          </w:tcPr>
          <w:p w14:paraId="75842951" w14:textId="4A42EC57" w:rsidR="00536CD0" w:rsidRPr="00617FC7" w:rsidRDefault="00536CD0" w:rsidP="00536CD0">
            <w:pPr>
              <w:ind w:right="1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w:t>
            </w:r>
            <w:r w:rsidR="000F589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0,0001</w:t>
            </w:r>
          </w:p>
        </w:tc>
        <w:tc>
          <w:tcPr>
            <w:tcW w:w="1966" w:type="dxa"/>
            <w:tcBorders>
              <w:top w:val="single" w:sz="4" w:space="0" w:color="000000"/>
              <w:left w:val="single" w:sz="4" w:space="0" w:color="000000"/>
              <w:bottom w:val="single" w:sz="4" w:space="0" w:color="000000"/>
              <w:right w:val="single" w:sz="4" w:space="0" w:color="000000"/>
            </w:tcBorders>
          </w:tcPr>
          <w:p w14:paraId="6A320F72"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6FA8941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 az éves esemény gyakoriságra vonatkozik </w:t>
      </w:r>
    </w:p>
    <w:p w14:paraId="314584F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30B5033" w14:textId="77777777" w:rsidR="00536CD0" w:rsidRPr="00617FC7" w:rsidRDefault="00536CD0" w:rsidP="00536CD0">
      <w:pPr>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24. táblázat. A bármely okú és cardiovascularis túlélés elemzése a RE-LY vizsgálat vizsgálati periódusában</w:t>
      </w:r>
    </w:p>
    <w:p w14:paraId="74108526"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51" w:type="dxa"/>
          <w:left w:w="72" w:type="dxa"/>
          <w:right w:w="45" w:type="dxa"/>
        </w:tblCellMar>
        <w:tblLook w:val="04A0" w:firstRow="1" w:lastRow="0" w:firstColumn="1" w:lastColumn="0" w:noHBand="0" w:noVBand="1"/>
      </w:tblPr>
      <w:tblGrid>
        <w:gridCol w:w="2436"/>
        <w:gridCol w:w="2335"/>
        <w:gridCol w:w="2335"/>
        <w:gridCol w:w="1966"/>
      </w:tblGrid>
      <w:tr w:rsidR="00536CD0" w:rsidRPr="00617FC7" w14:paraId="554AF4BD"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38D0EDBA"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423CDA34" w14:textId="77777777" w:rsidR="00536CD0" w:rsidRPr="00617FC7" w:rsidRDefault="00536CD0" w:rsidP="00536CD0">
            <w:pPr>
              <w:ind w:left="89"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110 mg napi kétszer</w:t>
            </w:r>
          </w:p>
        </w:tc>
        <w:tc>
          <w:tcPr>
            <w:tcW w:w="2335" w:type="dxa"/>
            <w:tcBorders>
              <w:top w:val="single" w:sz="4" w:space="0" w:color="000000"/>
              <w:left w:val="single" w:sz="4" w:space="0" w:color="000000"/>
              <w:bottom w:val="single" w:sz="4" w:space="0" w:color="000000"/>
              <w:right w:val="single" w:sz="4" w:space="0" w:color="000000"/>
            </w:tcBorders>
          </w:tcPr>
          <w:p w14:paraId="338BCA5E" w14:textId="77777777" w:rsidR="00536CD0" w:rsidRPr="00617FC7" w:rsidRDefault="00536CD0" w:rsidP="00536CD0">
            <w:pPr>
              <w:ind w:left="89"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150 mg napi kétszer</w:t>
            </w:r>
          </w:p>
        </w:tc>
        <w:tc>
          <w:tcPr>
            <w:tcW w:w="1966" w:type="dxa"/>
            <w:tcBorders>
              <w:top w:val="single" w:sz="4" w:space="0" w:color="000000"/>
              <w:left w:val="single" w:sz="4" w:space="0" w:color="000000"/>
              <w:bottom w:val="single" w:sz="4" w:space="0" w:color="000000"/>
              <w:right w:val="single" w:sz="4" w:space="0" w:color="000000"/>
            </w:tcBorders>
          </w:tcPr>
          <w:p w14:paraId="14DF4AF2" w14:textId="77777777" w:rsidR="00536CD0" w:rsidRPr="00617FC7" w:rsidRDefault="00536CD0" w:rsidP="00536CD0">
            <w:pPr>
              <w:ind w:right="2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Warfarin</w:t>
            </w:r>
          </w:p>
        </w:tc>
      </w:tr>
      <w:tr w:rsidR="00536CD0" w:rsidRPr="00617FC7" w14:paraId="2B14EB4E"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379BD3C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Randomizált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70190A7B" w14:textId="77777777" w:rsidR="00536CD0" w:rsidRPr="00617FC7" w:rsidRDefault="00536CD0" w:rsidP="00536CD0">
            <w:pPr>
              <w:ind w:right="29"/>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6015 </w:t>
            </w:r>
          </w:p>
        </w:tc>
        <w:tc>
          <w:tcPr>
            <w:tcW w:w="2335" w:type="dxa"/>
            <w:tcBorders>
              <w:top w:val="single" w:sz="4" w:space="0" w:color="000000"/>
              <w:left w:val="single" w:sz="4" w:space="0" w:color="000000"/>
              <w:bottom w:val="single" w:sz="4" w:space="0" w:color="000000"/>
              <w:right w:val="single" w:sz="4" w:space="0" w:color="000000"/>
            </w:tcBorders>
          </w:tcPr>
          <w:p w14:paraId="0BB3F491" w14:textId="77777777" w:rsidR="00536CD0" w:rsidRPr="00617FC7" w:rsidRDefault="00536CD0" w:rsidP="00536CD0">
            <w:pPr>
              <w:ind w:right="2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6076</w:t>
            </w:r>
          </w:p>
        </w:tc>
        <w:tc>
          <w:tcPr>
            <w:tcW w:w="1966" w:type="dxa"/>
            <w:tcBorders>
              <w:top w:val="single" w:sz="4" w:space="0" w:color="000000"/>
              <w:left w:val="single" w:sz="4" w:space="0" w:color="000000"/>
              <w:bottom w:val="single" w:sz="4" w:space="0" w:color="000000"/>
              <w:right w:val="single" w:sz="4" w:space="0" w:color="000000"/>
            </w:tcBorders>
          </w:tcPr>
          <w:p w14:paraId="11BA171A" w14:textId="77777777" w:rsidR="00536CD0" w:rsidRPr="00617FC7" w:rsidRDefault="00536CD0" w:rsidP="00536CD0">
            <w:pPr>
              <w:ind w:right="2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6022 </w:t>
            </w:r>
          </w:p>
        </w:tc>
      </w:tr>
      <w:tr w:rsidR="00536CD0" w:rsidRPr="00617FC7" w14:paraId="535B083F"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5C93E54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Összhalálozás</w:t>
            </w:r>
          </w:p>
        </w:tc>
        <w:tc>
          <w:tcPr>
            <w:tcW w:w="2335" w:type="dxa"/>
            <w:tcBorders>
              <w:top w:val="single" w:sz="4" w:space="0" w:color="000000"/>
              <w:left w:val="single" w:sz="4" w:space="0" w:color="000000"/>
              <w:bottom w:val="single" w:sz="4" w:space="0" w:color="000000"/>
              <w:right w:val="single" w:sz="4" w:space="0" w:color="000000"/>
            </w:tcBorders>
          </w:tcPr>
          <w:p w14:paraId="30CFBBBF"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2C6257E5"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53D2A6EF"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7D35EED"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66584887"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63E3559B" w14:textId="77777777" w:rsidR="00536CD0" w:rsidRPr="00617FC7" w:rsidRDefault="00536CD0" w:rsidP="00536CD0">
            <w:pPr>
              <w:ind w:right="2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446 (3,75)</w:t>
            </w:r>
          </w:p>
        </w:tc>
        <w:tc>
          <w:tcPr>
            <w:tcW w:w="2335" w:type="dxa"/>
            <w:tcBorders>
              <w:top w:val="single" w:sz="4" w:space="0" w:color="000000"/>
              <w:left w:val="single" w:sz="4" w:space="0" w:color="000000"/>
              <w:bottom w:val="single" w:sz="4" w:space="0" w:color="000000"/>
              <w:right w:val="single" w:sz="4" w:space="0" w:color="000000"/>
            </w:tcBorders>
          </w:tcPr>
          <w:p w14:paraId="23581119" w14:textId="77777777" w:rsidR="00536CD0" w:rsidRPr="00617FC7" w:rsidRDefault="00536CD0" w:rsidP="00536CD0">
            <w:pPr>
              <w:ind w:right="2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438 (3,64)</w:t>
            </w:r>
          </w:p>
        </w:tc>
        <w:tc>
          <w:tcPr>
            <w:tcW w:w="1966" w:type="dxa"/>
            <w:tcBorders>
              <w:top w:val="single" w:sz="4" w:space="0" w:color="000000"/>
              <w:left w:val="single" w:sz="4" w:space="0" w:color="000000"/>
              <w:bottom w:val="single" w:sz="4" w:space="0" w:color="000000"/>
              <w:right w:val="single" w:sz="4" w:space="0" w:color="000000"/>
            </w:tcBorders>
          </w:tcPr>
          <w:p w14:paraId="0494B43E" w14:textId="77777777" w:rsidR="00536CD0" w:rsidRPr="00617FC7" w:rsidRDefault="00536CD0" w:rsidP="00536CD0">
            <w:pPr>
              <w:ind w:right="2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487 (4,13)</w:t>
            </w:r>
          </w:p>
        </w:tc>
      </w:tr>
      <w:tr w:rsidR="00536CD0" w:rsidRPr="00617FC7" w14:paraId="6BA4F7FD"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62ED90F9"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4EDF895B" w14:textId="77777777" w:rsidR="00536CD0" w:rsidRPr="00617FC7" w:rsidRDefault="00536CD0" w:rsidP="00536CD0">
            <w:pPr>
              <w:ind w:right="2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0,91 (0,80, 1,03)</w:t>
            </w:r>
          </w:p>
        </w:tc>
        <w:tc>
          <w:tcPr>
            <w:tcW w:w="2335" w:type="dxa"/>
            <w:tcBorders>
              <w:top w:val="single" w:sz="4" w:space="0" w:color="000000"/>
              <w:left w:val="single" w:sz="4" w:space="0" w:color="000000"/>
              <w:bottom w:val="single" w:sz="4" w:space="0" w:color="000000"/>
              <w:right w:val="single" w:sz="4" w:space="0" w:color="000000"/>
            </w:tcBorders>
          </w:tcPr>
          <w:p w14:paraId="70A54D49" w14:textId="77777777" w:rsidR="00536CD0" w:rsidRPr="00617FC7" w:rsidRDefault="00536CD0" w:rsidP="00536CD0">
            <w:pPr>
              <w:ind w:right="2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0,88 (0,77, 1,00)</w:t>
            </w:r>
          </w:p>
        </w:tc>
        <w:tc>
          <w:tcPr>
            <w:tcW w:w="1966" w:type="dxa"/>
            <w:tcBorders>
              <w:top w:val="single" w:sz="4" w:space="0" w:color="000000"/>
              <w:left w:val="single" w:sz="4" w:space="0" w:color="000000"/>
              <w:bottom w:val="single" w:sz="4" w:space="0" w:color="000000"/>
              <w:right w:val="single" w:sz="4" w:space="0" w:color="000000"/>
            </w:tcBorders>
          </w:tcPr>
          <w:p w14:paraId="1092D292"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88861CF"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32CA93A8"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208F597E" w14:textId="77777777" w:rsidR="00536CD0" w:rsidRPr="00617FC7" w:rsidRDefault="00536CD0" w:rsidP="00536CD0">
            <w:pPr>
              <w:ind w:right="2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0,1308</w:t>
            </w:r>
          </w:p>
        </w:tc>
        <w:tc>
          <w:tcPr>
            <w:tcW w:w="2335" w:type="dxa"/>
            <w:tcBorders>
              <w:top w:val="single" w:sz="4" w:space="0" w:color="000000"/>
              <w:left w:val="single" w:sz="4" w:space="0" w:color="000000"/>
              <w:bottom w:val="single" w:sz="4" w:space="0" w:color="000000"/>
              <w:right w:val="single" w:sz="4" w:space="0" w:color="000000"/>
            </w:tcBorders>
          </w:tcPr>
          <w:p w14:paraId="3668F8DC" w14:textId="77777777" w:rsidR="00536CD0" w:rsidRPr="00617FC7" w:rsidRDefault="00536CD0" w:rsidP="00536CD0">
            <w:pPr>
              <w:ind w:right="2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0,0517</w:t>
            </w:r>
          </w:p>
        </w:tc>
        <w:tc>
          <w:tcPr>
            <w:tcW w:w="1966" w:type="dxa"/>
            <w:tcBorders>
              <w:top w:val="single" w:sz="4" w:space="0" w:color="000000"/>
              <w:left w:val="single" w:sz="4" w:space="0" w:color="000000"/>
              <w:bottom w:val="single" w:sz="4" w:space="0" w:color="000000"/>
              <w:right w:val="single" w:sz="4" w:space="0" w:color="000000"/>
            </w:tcBorders>
          </w:tcPr>
          <w:p w14:paraId="741FF1B3"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1A52B072"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731CE66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Éreredetű halálozás</w:t>
            </w:r>
          </w:p>
        </w:tc>
        <w:tc>
          <w:tcPr>
            <w:tcW w:w="2335" w:type="dxa"/>
            <w:tcBorders>
              <w:top w:val="single" w:sz="4" w:space="0" w:color="000000"/>
              <w:left w:val="single" w:sz="4" w:space="0" w:color="000000"/>
              <w:bottom w:val="single" w:sz="4" w:space="0" w:color="000000"/>
              <w:right w:val="single" w:sz="4" w:space="0" w:color="000000"/>
            </w:tcBorders>
          </w:tcPr>
          <w:p w14:paraId="36BF59E7" w14:textId="77777777" w:rsidR="00536CD0" w:rsidRPr="00617FC7" w:rsidRDefault="00536CD0" w:rsidP="00536CD0">
            <w:pPr>
              <w:rPr>
                <w:rFonts w:ascii="Times New Roman" w:eastAsia="Times New Roman" w:hAnsi="Times New Roman" w:cs="Times New Roman"/>
                <w:noProof w:val="0"/>
                <w:color w:val="000000"/>
                <w:lang w:val="hu-HU"/>
              </w:rPr>
            </w:pPr>
          </w:p>
        </w:tc>
        <w:tc>
          <w:tcPr>
            <w:tcW w:w="2335" w:type="dxa"/>
            <w:tcBorders>
              <w:top w:val="single" w:sz="4" w:space="0" w:color="000000"/>
              <w:left w:val="single" w:sz="4" w:space="0" w:color="000000"/>
              <w:bottom w:val="single" w:sz="4" w:space="0" w:color="000000"/>
              <w:right w:val="single" w:sz="4" w:space="0" w:color="000000"/>
            </w:tcBorders>
          </w:tcPr>
          <w:p w14:paraId="65E8C929" w14:textId="77777777" w:rsidR="00536CD0" w:rsidRPr="00617FC7" w:rsidRDefault="00536CD0" w:rsidP="00536CD0">
            <w:pPr>
              <w:rPr>
                <w:rFonts w:ascii="Times New Roman" w:eastAsia="Times New Roman" w:hAnsi="Times New Roman" w:cs="Times New Roman"/>
                <w:noProof w:val="0"/>
                <w:color w:val="000000"/>
                <w:lang w:val="hu-HU"/>
              </w:rPr>
            </w:pPr>
          </w:p>
        </w:tc>
        <w:tc>
          <w:tcPr>
            <w:tcW w:w="1966" w:type="dxa"/>
            <w:tcBorders>
              <w:top w:val="single" w:sz="4" w:space="0" w:color="000000"/>
              <w:left w:val="single" w:sz="4" w:space="0" w:color="000000"/>
              <w:bottom w:val="single" w:sz="4" w:space="0" w:color="000000"/>
              <w:right w:val="single" w:sz="4" w:space="0" w:color="000000"/>
            </w:tcBorders>
          </w:tcPr>
          <w:p w14:paraId="2E7A065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5B8ED4E6"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7147C1A7"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Incidencia (%)</w:t>
            </w:r>
          </w:p>
        </w:tc>
        <w:tc>
          <w:tcPr>
            <w:tcW w:w="2335" w:type="dxa"/>
            <w:tcBorders>
              <w:top w:val="single" w:sz="4" w:space="0" w:color="000000"/>
              <w:left w:val="single" w:sz="4" w:space="0" w:color="000000"/>
              <w:bottom w:val="single" w:sz="4" w:space="0" w:color="000000"/>
              <w:right w:val="single" w:sz="4" w:space="0" w:color="000000"/>
            </w:tcBorders>
          </w:tcPr>
          <w:p w14:paraId="68DD255E" w14:textId="77777777" w:rsidR="00536CD0" w:rsidRPr="00617FC7" w:rsidRDefault="00536CD0" w:rsidP="00536CD0">
            <w:pPr>
              <w:ind w:right="2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289 (2,43)</w:t>
            </w:r>
          </w:p>
        </w:tc>
        <w:tc>
          <w:tcPr>
            <w:tcW w:w="2335" w:type="dxa"/>
            <w:tcBorders>
              <w:top w:val="single" w:sz="4" w:space="0" w:color="000000"/>
              <w:left w:val="single" w:sz="4" w:space="0" w:color="000000"/>
              <w:bottom w:val="single" w:sz="4" w:space="0" w:color="000000"/>
              <w:right w:val="single" w:sz="4" w:space="0" w:color="000000"/>
            </w:tcBorders>
          </w:tcPr>
          <w:p w14:paraId="06EF712D" w14:textId="77777777" w:rsidR="00536CD0" w:rsidRPr="00617FC7" w:rsidRDefault="00536CD0" w:rsidP="00536CD0">
            <w:pPr>
              <w:ind w:right="28"/>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274 (2,28)</w:t>
            </w:r>
          </w:p>
        </w:tc>
        <w:tc>
          <w:tcPr>
            <w:tcW w:w="1966" w:type="dxa"/>
            <w:tcBorders>
              <w:top w:val="single" w:sz="4" w:space="0" w:color="000000"/>
              <w:left w:val="single" w:sz="4" w:space="0" w:color="000000"/>
              <w:bottom w:val="single" w:sz="4" w:space="0" w:color="000000"/>
              <w:right w:val="single" w:sz="4" w:space="0" w:color="000000"/>
            </w:tcBorders>
          </w:tcPr>
          <w:p w14:paraId="2AD57FA6" w14:textId="77777777" w:rsidR="00536CD0" w:rsidRPr="00617FC7" w:rsidRDefault="00536CD0" w:rsidP="00536CD0">
            <w:pPr>
              <w:ind w:right="23"/>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317 (2,69)</w:t>
            </w:r>
          </w:p>
        </w:tc>
      </w:tr>
      <w:tr w:rsidR="00536CD0" w:rsidRPr="00617FC7" w14:paraId="233B1C8D"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118A7458"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 CI)</w:t>
            </w:r>
          </w:p>
        </w:tc>
        <w:tc>
          <w:tcPr>
            <w:tcW w:w="2335" w:type="dxa"/>
            <w:tcBorders>
              <w:top w:val="single" w:sz="4" w:space="0" w:color="000000"/>
              <w:left w:val="single" w:sz="4" w:space="0" w:color="000000"/>
              <w:bottom w:val="single" w:sz="4" w:space="0" w:color="000000"/>
              <w:right w:val="single" w:sz="4" w:space="0" w:color="000000"/>
            </w:tcBorders>
          </w:tcPr>
          <w:p w14:paraId="079DFFF5" w14:textId="77777777" w:rsidR="00536CD0" w:rsidRPr="00617FC7" w:rsidRDefault="00536CD0" w:rsidP="00536CD0">
            <w:pPr>
              <w:ind w:right="2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0,90 (0,77, 1,06)</w:t>
            </w:r>
          </w:p>
        </w:tc>
        <w:tc>
          <w:tcPr>
            <w:tcW w:w="2335" w:type="dxa"/>
            <w:tcBorders>
              <w:top w:val="single" w:sz="4" w:space="0" w:color="000000"/>
              <w:left w:val="single" w:sz="4" w:space="0" w:color="000000"/>
              <w:bottom w:val="single" w:sz="4" w:space="0" w:color="000000"/>
              <w:right w:val="single" w:sz="4" w:space="0" w:color="000000"/>
            </w:tcBorders>
          </w:tcPr>
          <w:p w14:paraId="5370FF05" w14:textId="77777777" w:rsidR="00536CD0" w:rsidRPr="00617FC7" w:rsidRDefault="00536CD0" w:rsidP="00536CD0">
            <w:pPr>
              <w:ind w:right="2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0,85 (0,72, 0,99)</w:t>
            </w:r>
          </w:p>
        </w:tc>
        <w:tc>
          <w:tcPr>
            <w:tcW w:w="1966" w:type="dxa"/>
            <w:tcBorders>
              <w:top w:val="single" w:sz="4" w:space="0" w:color="000000"/>
              <w:left w:val="single" w:sz="4" w:space="0" w:color="000000"/>
              <w:bottom w:val="single" w:sz="4" w:space="0" w:color="000000"/>
              <w:right w:val="single" w:sz="4" w:space="0" w:color="000000"/>
            </w:tcBorders>
          </w:tcPr>
          <w:p w14:paraId="30F4325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6F0DDF56" w14:textId="77777777" w:rsidTr="00CF66F9">
        <w:trPr>
          <w:trHeight w:val="113"/>
        </w:trPr>
        <w:tc>
          <w:tcPr>
            <w:tcW w:w="2436" w:type="dxa"/>
            <w:tcBorders>
              <w:top w:val="single" w:sz="4" w:space="0" w:color="000000"/>
              <w:left w:val="single" w:sz="4" w:space="0" w:color="000000"/>
              <w:bottom w:val="single" w:sz="4" w:space="0" w:color="000000"/>
              <w:right w:val="single" w:sz="4" w:space="0" w:color="000000"/>
            </w:tcBorders>
          </w:tcPr>
          <w:p w14:paraId="2DC31FDF" w14:textId="77777777" w:rsidR="00536CD0" w:rsidRPr="00617FC7" w:rsidRDefault="00536CD0" w:rsidP="00CF66F9">
            <w:pPr>
              <w:ind w:left="160"/>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p-érték</w:t>
            </w:r>
          </w:p>
        </w:tc>
        <w:tc>
          <w:tcPr>
            <w:tcW w:w="2335" w:type="dxa"/>
            <w:tcBorders>
              <w:top w:val="single" w:sz="4" w:space="0" w:color="000000"/>
              <w:left w:val="single" w:sz="4" w:space="0" w:color="000000"/>
              <w:bottom w:val="single" w:sz="4" w:space="0" w:color="000000"/>
              <w:right w:val="single" w:sz="4" w:space="0" w:color="000000"/>
            </w:tcBorders>
          </w:tcPr>
          <w:p w14:paraId="31AA6EE7" w14:textId="77777777" w:rsidR="00536CD0" w:rsidRPr="00617FC7" w:rsidRDefault="00536CD0" w:rsidP="00536CD0">
            <w:pPr>
              <w:ind w:right="2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0,2081</w:t>
            </w:r>
          </w:p>
        </w:tc>
        <w:tc>
          <w:tcPr>
            <w:tcW w:w="2335" w:type="dxa"/>
            <w:tcBorders>
              <w:top w:val="single" w:sz="4" w:space="0" w:color="000000"/>
              <w:left w:val="single" w:sz="4" w:space="0" w:color="000000"/>
              <w:bottom w:val="single" w:sz="4" w:space="0" w:color="000000"/>
              <w:right w:val="single" w:sz="4" w:space="0" w:color="000000"/>
            </w:tcBorders>
          </w:tcPr>
          <w:p w14:paraId="726D52EE" w14:textId="77777777" w:rsidR="00536CD0" w:rsidRPr="00617FC7" w:rsidRDefault="00536CD0" w:rsidP="00536CD0">
            <w:pPr>
              <w:ind w:right="2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0,0430</w:t>
            </w:r>
          </w:p>
        </w:tc>
        <w:tc>
          <w:tcPr>
            <w:tcW w:w="1966" w:type="dxa"/>
            <w:tcBorders>
              <w:top w:val="single" w:sz="4" w:space="0" w:color="000000"/>
              <w:left w:val="single" w:sz="4" w:space="0" w:color="000000"/>
              <w:bottom w:val="single" w:sz="4" w:space="0" w:color="000000"/>
              <w:right w:val="single" w:sz="4" w:space="0" w:color="000000"/>
            </w:tcBorders>
          </w:tcPr>
          <w:p w14:paraId="67136B72" w14:textId="77777777" w:rsidR="00536CD0" w:rsidRPr="00617FC7" w:rsidRDefault="00536CD0" w:rsidP="00536CD0">
            <w:pPr>
              <w:rPr>
                <w:rFonts w:ascii="Times New Roman" w:eastAsia="Times New Roman" w:hAnsi="Times New Roman" w:cs="Times New Roman"/>
                <w:noProof w:val="0"/>
                <w:color w:val="000000"/>
                <w:lang w:val="hu-HU"/>
              </w:rPr>
            </w:pPr>
          </w:p>
        </w:tc>
      </w:tr>
    </w:tbl>
    <w:p w14:paraId="023DC7C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 az éves esemény gyakoriságra vonatkozik. </w:t>
      </w:r>
    </w:p>
    <w:p w14:paraId="1726CA2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62538D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25-26. táblázatok az elsődleges hatásossági és biztonságossági végpont eredményeit mutatják:</w:t>
      </w:r>
    </w:p>
    <w:p w14:paraId="1D0293AF" w14:textId="0471A4EB"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elsődleges végpont, a stroke és a szisztémás embolisatio esetén nem találtak alcsoportonként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életkor, testtömeg, nem, vesefunkció, etnikai származás, stb.) eltérő relatív hazárdokat a warfarinhoz hasonlítva.</w:t>
      </w:r>
    </w:p>
    <w:p w14:paraId="06E852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9B3CAFC" w14:textId="77777777" w:rsidR="00536CD0" w:rsidRPr="00617FC7" w:rsidRDefault="00536CD0" w:rsidP="00536CD0">
      <w:pPr>
        <w:tabs>
          <w:tab w:val="center" w:pos="5080"/>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25. táblázat. A stroke/szisztémás embolisatio relatív hazárd és 95% CI alcsoportok szerint</w:t>
      </w:r>
    </w:p>
    <w:p w14:paraId="217EDE45" w14:textId="77777777" w:rsidR="00536CD0" w:rsidRPr="00617FC7" w:rsidRDefault="00536CD0" w:rsidP="00536CD0">
      <w:pPr>
        <w:tabs>
          <w:tab w:val="center" w:pos="5080"/>
        </w:tabs>
        <w:spacing w:after="0" w:line="240" w:lineRule="auto"/>
        <w:ind w:left="-3"/>
        <w:rPr>
          <w:rFonts w:ascii="Times New Roman" w:eastAsia="Times New Roman" w:hAnsi="Times New Roman" w:cs="Times New Roman"/>
          <w:noProof w:val="0"/>
          <w:color w:val="000000"/>
          <w:kern w:val="0"/>
          <w:lang w:val="hu-HU" w:eastAsia="hu-HU"/>
          <w14:ligatures w14:val="none"/>
        </w:rPr>
      </w:pPr>
    </w:p>
    <w:tbl>
      <w:tblPr>
        <w:tblStyle w:val="TableGrid"/>
        <w:tblW w:w="9060" w:type="dxa"/>
        <w:tblInd w:w="5" w:type="dxa"/>
        <w:tblCellMar>
          <w:top w:w="14" w:type="dxa"/>
          <w:left w:w="5" w:type="dxa"/>
          <w:right w:w="5" w:type="dxa"/>
        </w:tblCellMar>
        <w:tblLook w:val="04A0" w:firstRow="1" w:lastRow="0" w:firstColumn="1" w:lastColumn="0" w:noHBand="0" w:noVBand="1"/>
      </w:tblPr>
      <w:tblGrid>
        <w:gridCol w:w="2117"/>
        <w:gridCol w:w="3471"/>
        <w:gridCol w:w="3472"/>
      </w:tblGrid>
      <w:tr w:rsidR="00536CD0" w:rsidRPr="00617FC7" w14:paraId="0DE2786E"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1B21C3CD"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Végpont</w:t>
            </w:r>
          </w:p>
        </w:tc>
        <w:tc>
          <w:tcPr>
            <w:tcW w:w="3471" w:type="dxa"/>
            <w:tcBorders>
              <w:top w:val="single" w:sz="4" w:space="0" w:color="000000"/>
              <w:left w:val="single" w:sz="4" w:space="0" w:color="000000"/>
              <w:bottom w:val="single" w:sz="4" w:space="0" w:color="000000"/>
              <w:right w:val="single" w:sz="4" w:space="0" w:color="000000"/>
            </w:tcBorders>
          </w:tcPr>
          <w:p w14:paraId="796154EE" w14:textId="77777777" w:rsidR="00536CD0" w:rsidRPr="00617FC7" w:rsidRDefault="00536CD0" w:rsidP="00536CD0">
            <w:pPr>
              <w:ind w:left="10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260416EA" w14:textId="77777777" w:rsidR="00536CD0" w:rsidRPr="00617FC7" w:rsidRDefault="00536CD0" w:rsidP="00536CD0">
            <w:pPr>
              <w:ind w:left="101"/>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 mg napi kétszer vs. warfarin</w:t>
            </w:r>
          </w:p>
        </w:tc>
        <w:tc>
          <w:tcPr>
            <w:tcW w:w="3472" w:type="dxa"/>
            <w:tcBorders>
              <w:top w:val="single" w:sz="4" w:space="0" w:color="000000"/>
              <w:left w:val="single" w:sz="4" w:space="0" w:color="000000"/>
              <w:bottom w:val="single" w:sz="4" w:space="0" w:color="000000"/>
              <w:right w:val="single" w:sz="4" w:space="0" w:color="000000"/>
            </w:tcBorders>
          </w:tcPr>
          <w:p w14:paraId="05EFCA94"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5B3B52C0"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kétszer vs. warfarin</w:t>
            </w:r>
          </w:p>
        </w:tc>
      </w:tr>
      <w:tr w:rsidR="00536CD0" w:rsidRPr="00617FC7" w14:paraId="556ED709"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4432BDEC"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Életkor (év)</w:t>
            </w:r>
          </w:p>
        </w:tc>
        <w:tc>
          <w:tcPr>
            <w:tcW w:w="3471" w:type="dxa"/>
            <w:tcBorders>
              <w:top w:val="single" w:sz="4" w:space="0" w:color="000000"/>
              <w:left w:val="single" w:sz="4" w:space="0" w:color="000000"/>
              <w:bottom w:val="single" w:sz="4" w:space="0" w:color="000000"/>
              <w:right w:val="single" w:sz="4" w:space="0" w:color="000000"/>
            </w:tcBorders>
          </w:tcPr>
          <w:p w14:paraId="69ACD5C8" w14:textId="77777777" w:rsidR="00536CD0" w:rsidRPr="00617FC7" w:rsidRDefault="00536CD0" w:rsidP="00536CD0">
            <w:pPr>
              <w:rPr>
                <w:rFonts w:ascii="Times New Roman" w:eastAsia="Times New Roman" w:hAnsi="Times New Roman" w:cs="Times New Roman"/>
                <w:noProof w:val="0"/>
                <w:color w:val="000000"/>
                <w:lang w:val="hu-HU"/>
              </w:rPr>
            </w:pPr>
          </w:p>
        </w:tc>
        <w:tc>
          <w:tcPr>
            <w:tcW w:w="3472" w:type="dxa"/>
            <w:tcBorders>
              <w:top w:val="single" w:sz="4" w:space="0" w:color="000000"/>
              <w:left w:val="single" w:sz="4" w:space="0" w:color="000000"/>
              <w:bottom w:val="single" w:sz="4" w:space="0" w:color="000000"/>
              <w:right w:val="single" w:sz="4" w:space="0" w:color="000000"/>
            </w:tcBorders>
          </w:tcPr>
          <w:p w14:paraId="26924BB3"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8DF505D"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183C5947" w14:textId="51708348"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65</w:t>
            </w:r>
          </w:p>
        </w:tc>
        <w:tc>
          <w:tcPr>
            <w:tcW w:w="3471" w:type="dxa"/>
            <w:tcBorders>
              <w:top w:val="single" w:sz="4" w:space="0" w:color="000000"/>
              <w:left w:val="single" w:sz="4" w:space="0" w:color="000000"/>
              <w:bottom w:val="single" w:sz="4" w:space="0" w:color="000000"/>
              <w:right w:val="single" w:sz="4" w:space="0" w:color="000000"/>
            </w:tcBorders>
          </w:tcPr>
          <w:p w14:paraId="5E39A693"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 (0,64, 1,87)</w:t>
            </w:r>
          </w:p>
        </w:tc>
        <w:tc>
          <w:tcPr>
            <w:tcW w:w="3472" w:type="dxa"/>
            <w:tcBorders>
              <w:top w:val="single" w:sz="4" w:space="0" w:color="000000"/>
              <w:left w:val="single" w:sz="4" w:space="0" w:color="000000"/>
              <w:bottom w:val="single" w:sz="4" w:space="0" w:color="000000"/>
              <w:right w:val="single" w:sz="4" w:space="0" w:color="000000"/>
            </w:tcBorders>
          </w:tcPr>
          <w:p w14:paraId="64B82E91"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0,51 (0,26, 0,98)</w:t>
            </w:r>
          </w:p>
        </w:tc>
      </w:tr>
      <w:tr w:rsidR="00536CD0" w:rsidRPr="00617FC7" w14:paraId="2D1FBF31" w14:textId="77777777" w:rsidTr="00CF66F9">
        <w:trPr>
          <w:trHeight w:val="113"/>
        </w:trPr>
        <w:tc>
          <w:tcPr>
            <w:tcW w:w="2117" w:type="dxa"/>
            <w:tcBorders>
              <w:top w:val="single" w:sz="4" w:space="0" w:color="000000"/>
              <w:left w:val="single" w:sz="4" w:space="0" w:color="000000"/>
              <w:bottom w:val="single" w:sz="4" w:space="0" w:color="auto"/>
              <w:right w:val="single" w:sz="4" w:space="0" w:color="000000"/>
            </w:tcBorders>
          </w:tcPr>
          <w:p w14:paraId="7A1AB189" w14:textId="6386ACC6"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65</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75</w:t>
            </w:r>
          </w:p>
        </w:tc>
        <w:tc>
          <w:tcPr>
            <w:tcW w:w="3471" w:type="dxa"/>
            <w:tcBorders>
              <w:top w:val="single" w:sz="4" w:space="0" w:color="000000"/>
              <w:left w:val="single" w:sz="4" w:space="0" w:color="000000"/>
              <w:bottom w:val="single" w:sz="4" w:space="0" w:color="000000"/>
              <w:right w:val="single" w:sz="4" w:space="0" w:color="000000"/>
            </w:tcBorders>
          </w:tcPr>
          <w:p w14:paraId="6D19C5FC"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0,86 (0,62, 1,19)</w:t>
            </w:r>
          </w:p>
        </w:tc>
        <w:tc>
          <w:tcPr>
            <w:tcW w:w="3472" w:type="dxa"/>
            <w:tcBorders>
              <w:top w:val="single" w:sz="4" w:space="0" w:color="000000"/>
              <w:left w:val="single" w:sz="4" w:space="0" w:color="000000"/>
              <w:bottom w:val="single" w:sz="4" w:space="0" w:color="000000"/>
              <w:right w:val="single" w:sz="4" w:space="0" w:color="000000"/>
            </w:tcBorders>
          </w:tcPr>
          <w:p w14:paraId="10CD4012"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0,67 (0,47, 0,95)</w:t>
            </w:r>
          </w:p>
        </w:tc>
      </w:tr>
      <w:tr w:rsidR="00536CD0" w:rsidRPr="00617FC7" w14:paraId="08911FF3" w14:textId="77777777" w:rsidTr="00CF66F9">
        <w:trPr>
          <w:trHeight w:val="113"/>
        </w:trPr>
        <w:tc>
          <w:tcPr>
            <w:tcW w:w="2117" w:type="dxa"/>
            <w:tcBorders>
              <w:top w:val="single" w:sz="4" w:space="0" w:color="auto"/>
              <w:left w:val="single" w:sz="4" w:space="0" w:color="000000"/>
              <w:bottom w:val="single" w:sz="4" w:space="0" w:color="000000"/>
              <w:right w:val="single" w:sz="4" w:space="0" w:color="000000"/>
            </w:tcBorders>
          </w:tcPr>
          <w:p w14:paraId="35F68DAC" w14:textId="58332D72"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75</w:t>
            </w:r>
          </w:p>
        </w:tc>
        <w:tc>
          <w:tcPr>
            <w:tcW w:w="3471" w:type="dxa"/>
            <w:tcBorders>
              <w:top w:val="single" w:sz="4" w:space="0" w:color="000000"/>
              <w:left w:val="single" w:sz="4" w:space="0" w:color="000000"/>
              <w:bottom w:val="single" w:sz="4" w:space="0" w:color="000000"/>
              <w:right w:val="single" w:sz="4" w:space="0" w:color="000000"/>
            </w:tcBorders>
          </w:tcPr>
          <w:p w14:paraId="4EA5D547"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0,88 (0,66, 1,17)</w:t>
            </w:r>
          </w:p>
        </w:tc>
        <w:tc>
          <w:tcPr>
            <w:tcW w:w="3472" w:type="dxa"/>
            <w:tcBorders>
              <w:top w:val="single" w:sz="4" w:space="0" w:color="000000"/>
              <w:left w:val="single" w:sz="4" w:space="0" w:color="000000"/>
              <w:bottom w:val="single" w:sz="4" w:space="0" w:color="000000"/>
              <w:right w:val="single" w:sz="4" w:space="0" w:color="000000"/>
            </w:tcBorders>
          </w:tcPr>
          <w:p w14:paraId="4AF3DDCF"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0,68 (0,50, 0,92)</w:t>
            </w:r>
          </w:p>
        </w:tc>
      </w:tr>
      <w:tr w:rsidR="00536CD0" w:rsidRPr="00617FC7" w14:paraId="30572903"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42836746" w14:textId="16D080A6"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lastRenderedPageBreak/>
              <w: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3471" w:type="dxa"/>
            <w:tcBorders>
              <w:top w:val="single" w:sz="4" w:space="0" w:color="000000"/>
              <w:left w:val="single" w:sz="4" w:space="0" w:color="000000"/>
              <w:bottom w:val="single" w:sz="4" w:space="0" w:color="000000"/>
              <w:right w:val="single" w:sz="4" w:space="0" w:color="000000"/>
            </w:tcBorders>
          </w:tcPr>
          <w:p w14:paraId="461DB289"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0,68 (0,44, 1,05)</w:t>
            </w:r>
          </w:p>
        </w:tc>
        <w:tc>
          <w:tcPr>
            <w:tcW w:w="3472" w:type="dxa"/>
            <w:tcBorders>
              <w:top w:val="single" w:sz="4" w:space="0" w:color="000000"/>
              <w:left w:val="single" w:sz="4" w:space="0" w:color="000000"/>
              <w:bottom w:val="single" w:sz="4" w:space="0" w:color="000000"/>
              <w:right w:val="single" w:sz="4" w:space="0" w:color="000000"/>
            </w:tcBorders>
          </w:tcPr>
          <w:p w14:paraId="7C56FDE5"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0,65 (0,44, 1,02)</w:t>
            </w:r>
          </w:p>
        </w:tc>
      </w:tr>
      <w:tr w:rsidR="00536CD0" w:rsidRPr="00617FC7" w14:paraId="28B2C0C1"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1ACD2472"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CrCl (ml/perc)</w:t>
            </w:r>
          </w:p>
        </w:tc>
        <w:tc>
          <w:tcPr>
            <w:tcW w:w="3471" w:type="dxa"/>
            <w:tcBorders>
              <w:top w:val="single" w:sz="4" w:space="0" w:color="000000"/>
              <w:left w:val="single" w:sz="4" w:space="0" w:color="000000"/>
              <w:bottom w:val="single" w:sz="4" w:space="0" w:color="000000"/>
              <w:right w:val="single" w:sz="4" w:space="0" w:color="000000"/>
            </w:tcBorders>
          </w:tcPr>
          <w:p w14:paraId="4AFBE069" w14:textId="77777777" w:rsidR="00536CD0" w:rsidRPr="00617FC7" w:rsidRDefault="00536CD0" w:rsidP="00536CD0">
            <w:pPr>
              <w:rPr>
                <w:rFonts w:ascii="Times New Roman" w:eastAsia="Times New Roman" w:hAnsi="Times New Roman" w:cs="Times New Roman"/>
                <w:noProof w:val="0"/>
                <w:color w:val="000000"/>
                <w:lang w:val="hu-HU"/>
              </w:rPr>
            </w:pPr>
          </w:p>
        </w:tc>
        <w:tc>
          <w:tcPr>
            <w:tcW w:w="3472" w:type="dxa"/>
            <w:tcBorders>
              <w:top w:val="single" w:sz="4" w:space="0" w:color="000000"/>
              <w:left w:val="single" w:sz="4" w:space="0" w:color="000000"/>
              <w:bottom w:val="single" w:sz="4" w:space="0" w:color="000000"/>
              <w:right w:val="single" w:sz="4" w:space="0" w:color="000000"/>
            </w:tcBorders>
          </w:tcPr>
          <w:p w14:paraId="3BDD026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2D2DE183"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6C996595" w14:textId="0D779403"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50</w:t>
            </w:r>
          </w:p>
        </w:tc>
        <w:tc>
          <w:tcPr>
            <w:tcW w:w="3471" w:type="dxa"/>
            <w:tcBorders>
              <w:top w:val="single" w:sz="4" w:space="0" w:color="000000"/>
              <w:left w:val="single" w:sz="4" w:space="0" w:color="000000"/>
              <w:bottom w:val="single" w:sz="4" w:space="0" w:color="000000"/>
              <w:right w:val="single" w:sz="4" w:space="0" w:color="000000"/>
            </w:tcBorders>
          </w:tcPr>
          <w:p w14:paraId="53DAEB2E"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0,89 (0,61, 1,31)</w:t>
            </w:r>
          </w:p>
        </w:tc>
        <w:tc>
          <w:tcPr>
            <w:tcW w:w="3472" w:type="dxa"/>
            <w:tcBorders>
              <w:top w:val="single" w:sz="4" w:space="0" w:color="000000"/>
              <w:left w:val="single" w:sz="4" w:space="0" w:color="000000"/>
              <w:bottom w:val="single" w:sz="4" w:space="0" w:color="000000"/>
              <w:right w:val="single" w:sz="4" w:space="0" w:color="000000"/>
            </w:tcBorders>
          </w:tcPr>
          <w:p w14:paraId="107D2CD7"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0,47 (0,30, 0,74)</w:t>
            </w:r>
          </w:p>
        </w:tc>
      </w:tr>
      <w:tr w:rsidR="00536CD0" w:rsidRPr="00617FC7" w14:paraId="17372D88" w14:textId="77777777" w:rsidTr="00CF66F9">
        <w:trPr>
          <w:trHeight w:val="113"/>
        </w:trPr>
        <w:tc>
          <w:tcPr>
            <w:tcW w:w="2117" w:type="dxa"/>
            <w:tcBorders>
              <w:top w:val="nil"/>
              <w:left w:val="single" w:sz="4" w:space="0" w:color="000000"/>
              <w:bottom w:val="single" w:sz="4" w:space="0" w:color="000000"/>
              <w:right w:val="single" w:sz="4" w:space="0" w:color="000000"/>
            </w:tcBorders>
          </w:tcPr>
          <w:p w14:paraId="54313B46" w14:textId="6A4C71EC"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3471" w:type="dxa"/>
            <w:tcBorders>
              <w:top w:val="single" w:sz="4" w:space="0" w:color="000000"/>
              <w:left w:val="single" w:sz="4" w:space="0" w:color="000000"/>
              <w:bottom w:val="single" w:sz="4" w:space="0" w:color="000000"/>
              <w:right w:val="single" w:sz="4" w:space="0" w:color="000000"/>
            </w:tcBorders>
          </w:tcPr>
          <w:p w14:paraId="7FBBE0B7"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0,91 (0,68, 1,20)</w:t>
            </w:r>
          </w:p>
        </w:tc>
        <w:tc>
          <w:tcPr>
            <w:tcW w:w="3472" w:type="dxa"/>
            <w:tcBorders>
              <w:top w:val="single" w:sz="4" w:space="0" w:color="000000"/>
              <w:left w:val="single" w:sz="4" w:space="0" w:color="000000"/>
              <w:bottom w:val="single" w:sz="4" w:space="0" w:color="000000"/>
              <w:right w:val="single" w:sz="4" w:space="0" w:color="000000"/>
            </w:tcBorders>
          </w:tcPr>
          <w:p w14:paraId="65A8C916"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0,65 (0,47, 0,88)</w:t>
            </w:r>
          </w:p>
        </w:tc>
      </w:tr>
      <w:tr w:rsidR="00536CD0" w:rsidRPr="00617FC7" w14:paraId="725842E0" w14:textId="77777777" w:rsidTr="00CF66F9">
        <w:trPr>
          <w:trHeight w:val="113"/>
        </w:trPr>
        <w:tc>
          <w:tcPr>
            <w:tcW w:w="2117" w:type="dxa"/>
            <w:tcBorders>
              <w:top w:val="single" w:sz="4" w:space="0" w:color="000000"/>
              <w:left w:val="single" w:sz="4" w:space="0" w:color="000000"/>
              <w:bottom w:val="single" w:sz="4" w:space="0" w:color="000000"/>
              <w:right w:val="single" w:sz="4" w:space="0" w:color="000000"/>
            </w:tcBorders>
          </w:tcPr>
          <w:p w14:paraId="3ADA7A65" w14:textId="77777777"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80</w:t>
            </w:r>
          </w:p>
        </w:tc>
        <w:tc>
          <w:tcPr>
            <w:tcW w:w="3471" w:type="dxa"/>
            <w:tcBorders>
              <w:top w:val="single" w:sz="4" w:space="0" w:color="000000"/>
              <w:left w:val="single" w:sz="4" w:space="0" w:color="000000"/>
              <w:bottom w:val="single" w:sz="4" w:space="0" w:color="000000"/>
              <w:right w:val="single" w:sz="4" w:space="0" w:color="000000"/>
            </w:tcBorders>
          </w:tcPr>
          <w:p w14:paraId="6A96532C" w14:textId="77777777" w:rsidR="00536CD0" w:rsidRPr="00617FC7" w:rsidRDefault="00536CD0" w:rsidP="00536CD0">
            <w:pPr>
              <w:ind w:righ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0,81 (0,51, 1,28)</w:t>
            </w:r>
          </w:p>
        </w:tc>
        <w:tc>
          <w:tcPr>
            <w:tcW w:w="3472" w:type="dxa"/>
            <w:tcBorders>
              <w:top w:val="single" w:sz="4" w:space="0" w:color="000000"/>
              <w:left w:val="single" w:sz="4" w:space="0" w:color="000000"/>
              <w:bottom w:val="single" w:sz="4" w:space="0" w:color="000000"/>
              <w:right w:val="single" w:sz="4" w:space="0" w:color="000000"/>
            </w:tcBorders>
          </w:tcPr>
          <w:p w14:paraId="2401C110"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0,69 (0,43, 1,12)</w:t>
            </w:r>
          </w:p>
        </w:tc>
      </w:tr>
    </w:tbl>
    <w:p w14:paraId="3F0A70D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E974CC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jelentős vérzés primer biztonsági végpontja esetében interakció volt a kezelési hatás és az életkor között. A vérzés relatív kockázata dabigatrán esetében a warfarinhoz viszonyítva nőtt az életkorral. A relatív kockázat a 75 év feletti betegeknél volt a legnagyobb. Mind a dabigatrán-etexilát, mind a warfarin véralvadásgátlókkal (ASA vagy klopidogrel) történő egyidejű adása körülbelül megkétszerezte a major vérzések arányát. Nem volt szignifikáns interakció a kezelési hatások és a veseműködés és CHADS</w:t>
      </w:r>
      <w:r w:rsidRPr="00617FC7">
        <w:rPr>
          <w:rFonts w:ascii="Times New Roman" w:eastAsia="Times New Roman" w:hAnsi="Times New Roman" w:cs="Times New Roman"/>
          <w:noProof w:val="0"/>
          <w:color w:val="000000"/>
          <w:kern w:val="0"/>
          <w:vertAlign w:val="subscript"/>
          <w:lang w:val="hu-HU" w:eastAsia="hu-HU"/>
          <w14:ligatures w14:val="none"/>
        </w:rPr>
        <w:t>2</w:t>
      </w:r>
      <w:r w:rsidRPr="00617FC7">
        <w:rPr>
          <w:rFonts w:ascii="Times New Roman" w:eastAsia="Times New Roman" w:hAnsi="Times New Roman" w:cs="Times New Roman"/>
          <w:noProof w:val="0"/>
          <w:color w:val="000000"/>
          <w:kern w:val="0"/>
          <w:lang w:val="hu-HU" w:eastAsia="hu-HU"/>
          <w14:ligatures w14:val="none"/>
        </w:rPr>
        <w:t xml:space="preserve"> pontszám alapján létrehozott alcsoportok között.</w:t>
      </w:r>
    </w:p>
    <w:p w14:paraId="5D687CD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C8A90E3" w14:textId="77777777" w:rsidR="00536CD0" w:rsidRPr="00617FC7" w:rsidRDefault="00536CD0" w:rsidP="00536CD0">
      <w:pPr>
        <w:tabs>
          <w:tab w:val="center" w:pos="4249"/>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26. táblázat. Jelentős vérzés relatív hazárd és 95% CI alcsoportok szerint</w:t>
      </w:r>
    </w:p>
    <w:p w14:paraId="3AE51833" w14:textId="77777777" w:rsidR="00536CD0" w:rsidRPr="00617FC7" w:rsidRDefault="00536CD0" w:rsidP="00536CD0">
      <w:pPr>
        <w:tabs>
          <w:tab w:val="center" w:pos="4249"/>
        </w:tabs>
        <w:spacing w:after="0" w:line="240" w:lineRule="auto"/>
        <w:ind w:left="-3"/>
        <w:rPr>
          <w:rFonts w:ascii="Times New Roman" w:eastAsia="Times New Roman" w:hAnsi="Times New Roman" w:cs="Times New Roman"/>
          <w:noProof w:val="0"/>
          <w:color w:val="000000"/>
          <w:kern w:val="0"/>
          <w:lang w:val="hu-HU" w:eastAsia="hu-HU"/>
          <w14:ligatures w14:val="none"/>
        </w:rPr>
      </w:pPr>
    </w:p>
    <w:tbl>
      <w:tblPr>
        <w:tblStyle w:val="TableGrid"/>
        <w:tblW w:w="9072" w:type="dxa"/>
        <w:tblInd w:w="-2" w:type="dxa"/>
        <w:tblCellMar>
          <w:top w:w="19" w:type="dxa"/>
          <w:left w:w="5" w:type="dxa"/>
          <w:right w:w="5" w:type="dxa"/>
        </w:tblCellMar>
        <w:tblLook w:val="04A0" w:firstRow="1" w:lastRow="0" w:firstColumn="1" w:lastColumn="0" w:noHBand="0" w:noVBand="1"/>
      </w:tblPr>
      <w:tblGrid>
        <w:gridCol w:w="2265"/>
        <w:gridCol w:w="3403"/>
        <w:gridCol w:w="3404"/>
      </w:tblGrid>
      <w:tr w:rsidR="00536CD0" w:rsidRPr="00617FC7" w14:paraId="41E17CBB"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01DE3E2A"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Végpont</w:t>
            </w:r>
          </w:p>
        </w:tc>
        <w:tc>
          <w:tcPr>
            <w:tcW w:w="3403" w:type="dxa"/>
            <w:tcBorders>
              <w:top w:val="single" w:sz="4" w:space="0" w:color="000000"/>
              <w:left w:val="single" w:sz="4" w:space="0" w:color="000000"/>
              <w:bottom w:val="single" w:sz="4" w:space="0" w:color="000000"/>
              <w:right w:val="single" w:sz="4" w:space="0" w:color="000000"/>
            </w:tcBorders>
          </w:tcPr>
          <w:p w14:paraId="4603785F"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0E2DA750"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110 mg napi kétszer vs. warfarin</w:t>
            </w:r>
          </w:p>
        </w:tc>
        <w:tc>
          <w:tcPr>
            <w:tcW w:w="3404" w:type="dxa"/>
            <w:tcBorders>
              <w:top w:val="single" w:sz="4" w:space="0" w:color="000000"/>
              <w:left w:val="single" w:sz="4" w:space="0" w:color="000000"/>
              <w:bottom w:val="single" w:sz="4" w:space="0" w:color="000000"/>
              <w:right w:val="single" w:sz="4" w:space="0" w:color="000000"/>
            </w:tcBorders>
          </w:tcPr>
          <w:p w14:paraId="08786788" w14:textId="77777777" w:rsidR="00536CD0" w:rsidRPr="00617FC7" w:rsidRDefault="00536CD0" w:rsidP="00536CD0">
            <w:pPr>
              <w:ind w:left="10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w:t>
            </w:r>
          </w:p>
          <w:p w14:paraId="0E287A1E" w14:textId="77777777" w:rsidR="00536CD0" w:rsidRPr="00617FC7" w:rsidRDefault="00536CD0" w:rsidP="00536CD0">
            <w:pPr>
              <w:ind w:left="106"/>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150 mg napi kétszer vs. warfarin</w:t>
            </w:r>
          </w:p>
        </w:tc>
      </w:tr>
      <w:tr w:rsidR="00536CD0" w:rsidRPr="00617FC7" w14:paraId="3D9E4870"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027AF5BE"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Életkor (év)</w:t>
            </w:r>
          </w:p>
        </w:tc>
        <w:tc>
          <w:tcPr>
            <w:tcW w:w="3403" w:type="dxa"/>
            <w:tcBorders>
              <w:top w:val="single" w:sz="4" w:space="0" w:color="000000"/>
              <w:left w:val="single" w:sz="4" w:space="0" w:color="000000"/>
              <w:bottom w:val="single" w:sz="4" w:space="0" w:color="000000"/>
              <w:right w:val="single" w:sz="4" w:space="0" w:color="000000"/>
            </w:tcBorders>
          </w:tcPr>
          <w:p w14:paraId="42322B67" w14:textId="77777777" w:rsidR="00536CD0" w:rsidRPr="00617FC7" w:rsidRDefault="00536CD0" w:rsidP="00536CD0">
            <w:pPr>
              <w:rPr>
                <w:rFonts w:ascii="Times New Roman" w:eastAsia="Times New Roman" w:hAnsi="Times New Roman" w:cs="Times New Roman"/>
                <w:noProof w:val="0"/>
                <w:color w:val="000000"/>
                <w:lang w:val="hu-HU"/>
              </w:rPr>
            </w:pPr>
          </w:p>
        </w:tc>
        <w:tc>
          <w:tcPr>
            <w:tcW w:w="3404" w:type="dxa"/>
            <w:tcBorders>
              <w:top w:val="single" w:sz="4" w:space="0" w:color="000000"/>
              <w:left w:val="single" w:sz="4" w:space="0" w:color="000000"/>
              <w:bottom w:val="single" w:sz="4" w:space="0" w:color="000000"/>
              <w:right w:val="single" w:sz="4" w:space="0" w:color="000000"/>
            </w:tcBorders>
          </w:tcPr>
          <w:p w14:paraId="19B7DCCC"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7D47B73"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7C4DD1B7" w14:textId="5E2D19FE"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65</w:t>
            </w:r>
          </w:p>
        </w:tc>
        <w:tc>
          <w:tcPr>
            <w:tcW w:w="3403" w:type="dxa"/>
            <w:tcBorders>
              <w:top w:val="single" w:sz="4" w:space="0" w:color="000000"/>
              <w:left w:val="single" w:sz="4" w:space="0" w:color="000000"/>
              <w:bottom w:val="single" w:sz="4" w:space="0" w:color="000000"/>
              <w:right w:val="single" w:sz="4" w:space="0" w:color="000000"/>
            </w:tcBorders>
          </w:tcPr>
          <w:p w14:paraId="5073624D"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0,32 (0,18, 0,57)</w:t>
            </w:r>
          </w:p>
        </w:tc>
        <w:tc>
          <w:tcPr>
            <w:tcW w:w="3404" w:type="dxa"/>
            <w:tcBorders>
              <w:top w:val="single" w:sz="4" w:space="0" w:color="000000"/>
              <w:left w:val="single" w:sz="4" w:space="0" w:color="000000"/>
              <w:bottom w:val="single" w:sz="4" w:space="0" w:color="000000"/>
              <w:right w:val="single" w:sz="4" w:space="0" w:color="000000"/>
            </w:tcBorders>
          </w:tcPr>
          <w:p w14:paraId="758EF185"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0,35 (0,20, 0,61)</w:t>
            </w:r>
          </w:p>
        </w:tc>
      </w:tr>
      <w:tr w:rsidR="00536CD0" w:rsidRPr="00617FC7" w14:paraId="2D9D320F" w14:textId="77777777" w:rsidTr="00CF66F9">
        <w:trPr>
          <w:trHeight w:val="113"/>
        </w:trPr>
        <w:tc>
          <w:tcPr>
            <w:tcW w:w="2265" w:type="dxa"/>
            <w:tcBorders>
              <w:top w:val="single" w:sz="4" w:space="0" w:color="000000"/>
              <w:left w:val="single" w:sz="4" w:space="0" w:color="000000"/>
              <w:bottom w:val="single" w:sz="4" w:space="0" w:color="auto"/>
              <w:right w:val="single" w:sz="4" w:space="0" w:color="000000"/>
            </w:tcBorders>
          </w:tcPr>
          <w:p w14:paraId="7D908F44" w14:textId="7BCEB1E5"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65</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75</w:t>
            </w:r>
          </w:p>
        </w:tc>
        <w:tc>
          <w:tcPr>
            <w:tcW w:w="3403" w:type="dxa"/>
            <w:tcBorders>
              <w:top w:val="single" w:sz="4" w:space="0" w:color="000000"/>
              <w:left w:val="single" w:sz="4" w:space="0" w:color="000000"/>
              <w:bottom w:val="single" w:sz="4" w:space="0" w:color="000000"/>
              <w:right w:val="single" w:sz="4" w:space="0" w:color="000000"/>
            </w:tcBorders>
          </w:tcPr>
          <w:p w14:paraId="2DD50F27"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0,71 (0,56, 0,89)</w:t>
            </w:r>
          </w:p>
        </w:tc>
        <w:tc>
          <w:tcPr>
            <w:tcW w:w="3404" w:type="dxa"/>
            <w:tcBorders>
              <w:top w:val="single" w:sz="4" w:space="0" w:color="000000"/>
              <w:left w:val="single" w:sz="4" w:space="0" w:color="000000"/>
              <w:bottom w:val="single" w:sz="4" w:space="0" w:color="000000"/>
              <w:right w:val="single" w:sz="4" w:space="0" w:color="000000"/>
            </w:tcBorders>
          </w:tcPr>
          <w:p w14:paraId="61B310ED"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0,82 (0,66, 1,03)</w:t>
            </w:r>
          </w:p>
        </w:tc>
      </w:tr>
      <w:tr w:rsidR="00536CD0" w:rsidRPr="00617FC7" w14:paraId="3DB0BBEF" w14:textId="77777777" w:rsidTr="00CF66F9">
        <w:trPr>
          <w:trHeight w:val="113"/>
        </w:trPr>
        <w:tc>
          <w:tcPr>
            <w:tcW w:w="2265" w:type="dxa"/>
            <w:tcBorders>
              <w:top w:val="single" w:sz="4" w:space="0" w:color="auto"/>
              <w:left w:val="single" w:sz="4" w:space="0" w:color="000000"/>
              <w:bottom w:val="single" w:sz="4" w:space="0" w:color="000000"/>
              <w:right w:val="single" w:sz="4" w:space="0" w:color="000000"/>
            </w:tcBorders>
          </w:tcPr>
          <w:p w14:paraId="02963AC0" w14:textId="587A3DA9"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75</w:t>
            </w:r>
          </w:p>
        </w:tc>
        <w:tc>
          <w:tcPr>
            <w:tcW w:w="3403" w:type="dxa"/>
            <w:tcBorders>
              <w:top w:val="single" w:sz="4" w:space="0" w:color="000000"/>
              <w:left w:val="single" w:sz="4" w:space="0" w:color="000000"/>
              <w:bottom w:val="single" w:sz="4" w:space="0" w:color="000000"/>
              <w:right w:val="single" w:sz="4" w:space="0" w:color="000000"/>
            </w:tcBorders>
          </w:tcPr>
          <w:p w14:paraId="58588E4C"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1,01 (0,84, 1,23)</w:t>
            </w:r>
          </w:p>
        </w:tc>
        <w:tc>
          <w:tcPr>
            <w:tcW w:w="3404" w:type="dxa"/>
            <w:tcBorders>
              <w:top w:val="single" w:sz="4" w:space="0" w:color="000000"/>
              <w:left w:val="single" w:sz="4" w:space="0" w:color="000000"/>
              <w:bottom w:val="single" w:sz="4" w:space="0" w:color="000000"/>
              <w:right w:val="single" w:sz="4" w:space="0" w:color="000000"/>
            </w:tcBorders>
          </w:tcPr>
          <w:p w14:paraId="5857DC71"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1,19 (0,99, 1,43)</w:t>
            </w:r>
          </w:p>
        </w:tc>
      </w:tr>
      <w:tr w:rsidR="00536CD0" w:rsidRPr="00617FC7" w14:paraId="73EECD85"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40269458" w14:textId="57E41966"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3403" w:type="dxa"/>
            <w:tcBorders>
              <w:top w:val="single" w:sz="4" w:space="0" w:color="000000"/>
              <w:left w:val="single" w:sz="4" w:space="0" w:color="000000"/>
              <w:bottom w:val="single" w:sz="4" w:space="0" w:color="000000"/>
              <w:right w:val="single" w:sz="4" w:space="0" w:color="000000"/>
            </w:tcBorders>
          </w:tcPr>
          <w:p w14:paraId="2315C99D"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1,14 (0,86, 1,51)</w:t>
            </w:r>
          </w:p>
        </w:tc>
        <w:tc>
          <w:tcPr>
            <w:tcW w:w="3404" w:type="dxa"/>
            <w:tcBorders>
              <w:top w:val="single" w:sz="4" w:space="0" w:color="000000"/>
              <w:left w:val="single" w:sz="4" w:space="0" w:color="000000"/>
              <w:bottom w:val="single" w:sz="4" w:space="0" w:color="000000"/>
              <w:right w:val="single" w:sz="4" w:space="0" w:color="000000"/>
            </w:tcBorders>
          </w:tcPr>
          <w:p w14:paraId="15E4571E"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1,35 (1,03, 1,76)</w:t>
            </w:r>
          </w:p>
        </w:tc>
      </w:tr>
      <w:tr w:rsidR="00536CD0" w:rsidRPr="00617FC7" w14:paraId="442D48D0"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2B4F6D4A" w14:textId="77777777" w:rsidR="00536CD0" w:rsidRPr="00617FC7" w:rsidRDefault="00536CD0" w:rsidP="00536CD0">
            <w:pPr>
              <w:ind w:left="10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CrCl (ml/perc)</w:t>
            </w:r>
          </w:p>
        </w:tc>
        <w:tc>
          <w:tcPr>
            <w:tcW w:w="3403" w:type="dxa"/>
            <w:tcBorders>
              <w:top w:val="single" w:sz="4" w:space="0" w:color="000000"/>
              <w:left w:val="single" w:sz="4" w:space="0" w:color="000000"/>
              <w:bottom w:val="single" w:sz="4" w:space="0" w:color="000000"/>
              <w:right w:val="single" w:sz="4" w:space="0" w:color="000000"/>
            </w:tcBorders>
          </w:tcPr>
          <w:p w14:paraId="21208108" w14:textId="77777777" w:rsidR="00536CD0" w:rsidRPr="00617FC7" w:rsidRDefault="00536CD0" w:rsidP="00536CD0">
            <w:pPr>
              <w:rPr>
                <w:rFonts w:ascii="Times New Roman" w:eastAsia="Times New Roman" w:hAnsi="Times New Roman" w:cs="Times New Roman"/>
                <w:noProof w:val="0"/>
                <w:color w:val="000000"/>
                <w:lang w:val="hu-HU"/>
              </w:rPr>
            </w:pPr>
          </w:p>
        </w:tc>
        <w:tc>
          <w:tcPr>
            <w:tcW w:w="3404" w:type="dxa"/>
            <w:tcBorders>
              <w:top w:val="single" w:sz="4" w:space="0" w:color="000000"/>
              <w:left w:val="single" w:sz="4" w:space="0" w:color="000000"/>
              <w:bottom w:val="single" w:sz="4" w:space="0" w:color="000000"/>
              <w:right w:val="single" w:sz="4" w:space="0" w:color="000000"/>
            </w:tcBorders>
          </w:tcPr>
          <w:p w14:paraId="7702DEE1" w14:textId="77777777" w:rsidR="00536CD0" w:rsidRPr="00617FC7" w:rsidRDefault="00536CD0" w:rsidP="00536CD0">
            <w:pPr>
              <w:rPr>
                <w:rFonts w:ascii="Times New Roman" w:eastAsia="Times New Roman" w:hAnsi="Times New Roman" w:cs="Times New Roman"/>
                <w:noProof w:val="0"/>
                <w:color w:val="000000"/>
                <w:lang w:val="hu-HU"/>
              </w:rPr>
            </w:pPr>
          </w:p>
        </w:tc>
      </w:tr>
      <w:tr w:rsidR="00536CD0" w:rsidRPr="00617FC7" w14:paraId="0EE9099A"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184F1CC5" w14:textId="03D186ED"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30</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50</w:t>
            </w:r>
          </w:p>
        </w:tc>
        <w:tc>
          <w:tcPr>
            <w:tcW w:w="3403" w:type="dxa"/>
            <w:tcBorders>
              <w:top w:val="single" w:sz="4" w:space="0" w:color="000000"/>
              <w:left w:val="single" w:sz="4" w:space="0" w:color="000000"/>
              <w:bottom w:val="single" w:sz="4" w:space="0" w:color="000000"/>
              <w:right w:val="single" w:sz="4" w:space="0" w:color="000000"/>
            </w:tcBorders>
          </w:tcPr>
          <w:p w14:paraId="2E0F76CD"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1,02 (0,79, 1,32)</w:t>
            </w:r>
          </w:p>
        </w:tc>
        <w:tc>
          <w:tcPr>
            <w:tcW w:w="3404" w:type="dxa"/>
            <w:tcBorders>
              <w:top w:val="single" w:sz="4" w:space="0" w:color="000000"/>
              <w:left w:val="single" w:sz="4" w:space="0" w:color="000000"/>
              <w:bottom w:val="single" w:sz="4" w:space="0" w:color="000000"/>
              <w:right w:val="single" w:sz="4" w:space="0" w:color="000000"/>
            </w:tcBorders>
          </w:tcPr>
          <w:p w14:paraId="224D6A05"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0,94 (0,73, 1,22)</w:t>
            </w:r>
          </w:p>
        </w:tc>
      </w:tr>
      <w:tr w:rsidR="00536CD0" w:rsidRPr="00617FC7" w14:paraId="6259BAED" w14:textId="77777777" w:rsidTr="00CF66F9">
        <w:trPr>
          <w:trHeight w:val="113"/>
        </w:trPr>
        <w:tc>
          <w:tcPr>
            <w:tcW w:w="2265" w:type="dxa"/>
            <w:tcBorders>
              <w:top w:val="single" w:sz="4" w:space="0" w:color="000000"/>
              <w:left w:val="single" w:sz="4" w:space="0" w:color="000000"/>
              <w:bottom w:val="single" w:sz="4" w:space="0" w:color="auto"/>
              <w:right w:val="single" w:sz="4" w:space="0" w:color="000000"/>
            </w:tcBorders>
          </w:tcPr>
          <w:p w14:paraId="1D220CE0" w14:textId="7D792D1F"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50</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 és &lt;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3403" w:type="dxa"/>
            <w:tcBorders>
              <w:top w:val="single" w:sz="4" w:space="0" w:color="000000"/>
              <w:left w:val="single" w:sz="4" w:space="0" w:color="000000"/>
              <w:bottom w:val="single" w:sz="4" w:space="0" w:color="000000"/>
              <w:right w:val="single" w:sz="4" w:space="0" w:color="000000"/>
            </w:tcBorders>
          </w:tcPr>
          <w:p w14:paraId="3E549C21"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0,75 (0,61, 0,92)</w:t>
            </w:r>
          </w:p>
        </w:tc>
        <w:tc>
          <w:tcPr>
            <w:tcW w:w="3404" w:type="dxa"/>
            <w:tcBorders>
              <w:top w:val="single" w:sz="4" w:space="0" w:color="000000"/>
              <w:left w:val="single" w:sz="4" w:space="0" w:color="000000"/>
              <w:bottom w:val="single" w:sz="4" w:space="0" w:color="000000"/>
              <w:right w:val="single" w:sz="4" w:space="0" w:color="000000"/>
            </w:tcBorders>
          </w:tcPr>
          <w:p w14:paraId="4EF68504"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0,90 (0,74, 1,09)</w:t>
            </w:r>
          </w:p>
        </w:tc>
      </w:tr>
      <w:tr w:rsidR="00536CD0" w:rsidRPr="00617FC7" w14:paraId="03EE93CF" w14:textId="77777777" w:rsidTr="00CF66F9">
        <w:trPr>
          <w:trHeight w:val="113"/>
        </w:trPr>
        <w:tc>
          <w:tcPr>
            <w:tcW w:w="2265" w:type="dxa"/>
            <w:tcBorders>
              <w:top w:val="single" w:sz="4" w:space="0" w:color="auto"/>
              <w:left w:val="single" w:sz="4" w:space="0" w:color="000000"/>
              <w:bottom w:val="single" w:sz="4" w:space="0" w:color="000000"/>
              <w:right w:val="single" w:sz="4" w:space="0" w:color="000000"/>
            </w:tcBorders>
          </w:tcPr>
          <w:p w14:paraId="2764F316" w14:textId="034DC350" w:rsidR="00536CD0" w:rsidRPr="00617FC7" w:rsidRDefault="00536CD0" w:rsidP="00536CD0">
            <w:pPr>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2E250E">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3403" w:type="dxa"/>
            <w:tcBorders>
              <w:top w:val="single" w:sz="4" w:space="0" w:color="000000"/>
              <w:left w:val="single" w:sz="4" w:space="0" w:color="000000"/>
              <w:bottom w:val="single" w:sz="4" w:space="0" w:color="000000"/>
              <w:right w:val="single" w:sz="4" w:space="0" w:color="000000"/>
            </w:tcBorders>
          </w:tcPr>
          <w:p w14:paraId="66CE566D"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0,59 (0,43, 0,82)</w:t>
            </w:r>
          </w:p>
        </w:tc>
        <w:tc>
          <w:tcPr>
            <w:tcW w:w="3404" w:type="dxa"/>
            <w:tcBorders>
              <w:top w:val="single" w:sz="4" w:space="0" w:color="000000"/>
              <w:left w:val="single" w:sz="4" w:space="0" w:color="000000"/>
              <w:bottom w:val="single" w:sz="4" w:space="0" w:color="000000"/>
              <w:right w:val="single" w:sz="4" w:space="0" w:color="000000"/>
            </w:tcBorders>
          </w:tcPr>
          <w:p w14:paraId="14D67FB9"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0,87(0,65, 1,17)</w:t>
            </w:r>
          </w:p>
        </w:tc>
      </w:tr>
      <w:tr w:rsidR="00536CD0" w:rsidRPr="00617FC7" w14:paraId="73D54ADC"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72A91721"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ASA használat</w:t>
            </w:r>
          </w:p>
        </w:tc>
        <w:tc>
          <w:tcPr>
            <w:tcW w:w="3403" w:type="dxa"/>
            <w:tcBorders>
              <w:top w:val="single" w:sz="4" w:space="0" w:color="000000"/>
              <w:left w:val="single" w:sz="4" w:space="0" w:color="000000"/>
              <w:bottom w:val="single" w:sz="4" w:space="0" w:color="000000"/>
              <w:right w:val="single" w:sz="4" w:space="0" w:color="000000"/>
            </w:tcBorders>
          </w:tcPr>
          <w:p w14:paraId="5BE95043"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0,84 (0,69, 1,03)</w:t>
            </w:r>
          </w:p>
        </w:tc>
        <w:tc>
          <w:tcPr>
            <w:tcW w:w="3404" w:type="dxa"/>
            <w:tcBorders>
              <w:top w:val="single" w:sz="4" w:space="0" w:color="000000"/>
              <w:left w:val="single" w:sz="4" w:space="0" w:color="000000"/>
              <w:bottom w:val="single" w:sz="4" w:space="0" w:color="000000"/>
              <w:right w:val="single" w:sz="4" w:space="0" w:color="000000"/>
            </w:tcBorders>
          </w:tcPr>
          <w:p w14:paraId="20B8FD2C" w14:textId="77777777" w:rsidR="00536CD0" w:rsidRPr="00617FC7" w:rsidRDefault="00536CD0" w:rsidP="00536CD0">
            <w:pPr>
              <w:ind w:left="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0,97 (0,79, 1,18)</w:t>
            </w:r>
          </w:p>
        </w:tc>
      </w:tr>
      <w:tr w:rsidR="00536CD0" w:rsidRPr="00617FC7" w14:paraId="7F619240" w14:textId="77777777" w:rsidTr="00CF66F9">
        <w:trPr>
          <w:trHeight w:val="113"/>
        </w:trPr>
        <w:tc>
          <w:tcPr>
            <w:tcW w:w="2265" w:type="dxa"/>
            <w:tcBorders>
              <w:top w:val="single" w:sz="4" w:space="0" w:color="000000"/>
              <w:left w:val="single" w:sz="4" w:space="0" w:color="000000"/>
              <w:bottom w:val="single" w:sz="4" w:space="0" w:color="000000"/>
              <w:right w:val="single" w:sz="4" w:space="0" w:color="000000"/>
            </w:tcBorders>
          </w:tcPr>
          <w:p w14:paraId="58A5DDDF" w14:textId="77777777" w:rsidR="00536CD0" w:rsidRPr="00617FC7" w:rsidRDefault="00536CD0" w:rsidP="00536CD0">
            <w:pPr>
              <w:ind w:left="2"/>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Klopidogrel használat</w:t>
            </w:r>
          </w:p>
        </w:tc>
        <w:tc>
          <w:tcPr>
            <w:tcW w:w="3403" w:type="dxa"/>
            <w:tcBorders>
              <w:top w:val="single" w:sz="4" w:space="0" w:color="000000"/>
              <w:left w:val="single" w:sz="4" w:space="0" w:color="000000"/>
              <w:bottom w:val="single" w:sz="4" w:space="0" w:color="000000"/>
              <w:right w:val="single" w:sz="4" w:space="0" w:color="000000"/>
            </w:tcBorders>
          </w:tcPr>
          <w:p w14:paraId="6E3D88E7" w14:textId="77777777" w:rsidR="00536CD0" w:rsidRPr="00617FC7" w:rsidRDefault="00536CD0" w:rsidP="00536CD0">
            <w:pPr>
              <w:ind w:left="4"/>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0,89 (0,55, 1,45)</w:t>
            </w:r>
          </w:p>
        </w:tc>
        <w:tc>
          <w:tcPr>
            <w:tcW w:w="3404" w:type="dxa"/>
            <w:tcBorders>
              <w:top w:val="single" w:sz="4" w:space="0" w:color="000000"/>
              <w:left w:val="single" w:sz="4" w:space="0" w:color="000000"/>
              <w:bottom w:val="single" w:sz="4" w:space="0" w:color="000000"/>
              <w:right w:val="single" w:sz="4" w:space="0" w:color="000000"/>
            </w:tcBorders>
          </w:tcPr>
          <w:p w14:paraId="49B9FE67" w14:textId="77777777" w:rsidR="00536CD0" w:rsidRPr="00617FC7" w:rsidRDefault="00536CD0" w:rsidP="00536CD0">
            <w:pPr>
              <w:ind w:left="7"/>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0,92 (0,57, 1,48</w:t>
            </w:r>
          </w:p>
        </w:tc>
      </w:tr>
    </w:tbl>
    <w:p w14:paraId="5D34A379"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47704D78" w14:textId="77777777" w:rsidR="00536CD0" w:rsidRPr="00617FC7" w:rsidRDefault="00536CD0" w:rsidP="00536CD0">
      <w:pPr>
        <w:spacing w:after="0" w:line="240" w:lineRule="auto"/>
        <w:ind w:left="7" w:hanging="10"/>
        <w:rPr>
          <w:rFonts w:ascii="Times New Roman" w:eastAsia="Times New Roman" w:hAnsi="Times New Roman" w:cs="Times New Roman"/>
          <w:i/>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RELY-ABLE (a RE-LY vizsgálatot befejező, dabigatránnal kezelt pitvarfibrilláló betegek hosszú távú multicentrikus kiterjesztett vizsgálata)</w:t>
      </w:r>
    </w:p>
    <w:p w14:paraId="3A58DFBE"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7E8C4C1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RE-LY kiterjesztett vizsgálata (a RELY-ABLE) további biztonságossági információt szolgáltatott a betegek egy csoportjáról, akik a RE-LY vizsgálatban alkalmazott dózisban folytatták tovább a dabigatrán-etexilát szedését. A betegek akkor kerülhettek a RELY-ABLE vizsgálatba, ha nem hagyták abba végleg a vizsgálati gyógyszer szedését a RE-LY vizsgálat végső vizitjénél. A bevont betegek folytatták ugyanannak a kettős vak dabigatrán-etexilát dózisnak a szedését, amelyet a RE-LY vizsgálatban randomizációt követően szedtek, a RE-LY vizsgálatot követő 43 hónapos követéses időszakban (teljes átlagos követés a RE-LY + RELY-ABLE vizsgálatban 4,5 év). 5897 beteget vontak be, ami a RE-LY vizsgálatban az eredetileg dabigatrán-etexilát csoportba randomizált betegek 49%-át, és a RELY-ABLE vizsgálatra alkalmas betegek 86%-t jelentette.</w:t>
      </w:r>
    </w:p>
    <w:p w14:paraId="675121C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RELY-ABLE vizsgálatban töltött további 2,5 éves kezelés, ami maximálisan 6 éves expozíciót jelentett (összes expozíció a RE-LY és RELY-ABLE vizsgálatokban) a dabigatrán-etexilát hosszú távú biztonsági profilját megerősítette a napi kétszeri 110 mg-os és napi kétszeri 150 mg-os vizsgált dózis esetében is. Új biztonságossági vonatkozást nem találtak.</w:t>
      </w:r>
    </w:p>
    <w:p w14:paraId="2E895A9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kimeneteli események, köztük a major vérzés vagy egyéb vérzéses események gyakorisága megfelelt a RE-LY vizsgálatban észleltnek.</w:t>
      </w:r>
    </w:p>
    <w:p w14:paraId="6665D6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BE4F527"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A beavatkozással nem járó vizsgálatokból származó adatok</w:t>
      </w:r>
    </w:p>
    <w:p w14:paraId="499DC4C4" w14:textId="77777777" w:rsidR="00536CD0" w:rsidRPr="00617FC7" w:rsidRDefault="00536CD0" w:rsidP="00536CD0">
      <w:pPr>
        <w:spacing w:after="0" w:line="240" w:lineRule="auto"/>
        <w:ind w:left="7" w:right="266" w:hanging="10"/>
        <w:rPr>
          <w:rFonts w:ascii="Times New Roman" w:eastAsia="Times New Roman" w:hAnsi="Times New Roman" w:cs="Times New Roman"/>
          <w:noProof w:val="0"/>
          <w:color w:val="000000"/>
          <w:kern w:val="0"/>
          <w:lang w:val="hu-HU" w:eastAsia="hu-HU"/>
          <w14:ligatures w14:val="none"/>
        </w:rPr>
      </w:pPr>
    </w:p>
    <w:p w14:paraId="449266C0" w14:textId="77777777" w:rsidR="00536CD0" w:rsidRPr="00617FC7" w:rsidRDefault="00536CD0" w:rsidP="00536CD0">
      <w:pPr>
        <w:spacing w:after="0" w:line="240" w:lineRule="auto"/>
        <w:ind w:left="7" w:right="266"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Egy beavatkozással nem járó vizsgálatban (GLORIA-AF), prospektíven (a második fázisában) adatokat gyűjtöttek a dabigatrán-etexilát valós körülmények közötti biztonságosságáról és hatásosságáról, újonnan diagnosztizált nem valvularis pitvarfibrillációban szenvedő betegeknél. A vizsgálat 4859 dabigatrán-etexilátot szedő beteget foglalt magába (55%-uk 150 mg-ot kapott napi kétszer, 43%-uk 110 mg-ot napi kétszer, 2%-uk pedig 75 mg-ot napi kétszer). A betegek állapotát </w:t>
      </w:r>
      <w:r w:rsidRPr="00617FC7">
        <w:rPr>
          <w:rFonts w:ascii="Times New Roman" w:eastAsia="Times New Roman" w:hAnsi="Times New Roman" w:cs="Times New Roman"/>
          <w:noProof w:val="0"/>
          <w:color w:val="000000"/>
          <w:kern w:val="0"/>
          <w:lang w:val="hu-HU" w:eastAsia="hu-HU"/>
          <w14:ligatures w14:val="none"/>
        </w:rPr>
        <w:lastRenderedPageBreak/>
        <w:t>2 évig követték nyomon. A CHADS</w:t>
      </w:r>
      <w:r w:rsidRPr="00617FC7">
        <w:rPr>
          <w:rFonts w:ascii="Times New Roman" w:eastAsia="Times New Roman" w:hAnsi="Times New Roman" w:cs="Times New Roman"/>
          <w:noProof w:val="0"/>
          <w:color w:val="000000"/>
          <w:kern w:val="0"/>
          <w:vertAlign w:val="subscript"/>
          <w:lang w:val="hu-HU" w:eastAsia="hu-HU"/>
          <w14:ligatures w14:val="none"/>
        </w:rPr>
        <w:t>2</w:t>
      </w:r>
      <w:r w:rsidRPr="00617FC7">
        <w:rPr>
          <w:rFonts w:ascii="Times New Roman" w:eastAsia="Times New Roman" w:hAnsi="Times New Roman" w:cs="Times New Roman"/>
          <w:noProof w:val="0"/>
          <w:color w:val="000000"/>
          <w:kern w:val="0"/>
          <w:lang w:val="hu-HU" w:eastAsia="hu-HU"/>
          <w14:ligatures w14:val="none"/>
        </w:rPr>
        <w:t xml:space="preserve"> pontszám átlagértéke 1,9, a HAS-BLED pontszám átlagértéke 1,2 volt. A követési idő alatt a kezelés ideje átlagosan 18,3 hónap volt. Major vérzéses 0,97 esemény/100 betegév gyakorisággal fordult elő. Életveszélyes vérzés előfordulása 0,46 esemény/100 betegév, intracranialis vérzésé 0,17 esemény/100 betegév, míg gastrointestinalis vérzésé 0,60 esemény/100 betegév volt. Stroke 0,65 esemény/100 betegév gyakorisággal fordult elő.</w:t>
      </w:r>
    </w:p>
    <w:p w14:paraId="3F7C9B8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A678AB2" w14:textId="64AF47A0"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Továbbá, egy beavatkozással nem járó vizsgálatban [Graham DJ és mtsai., Circulation 2015;131:157</w:t>
      </w:r>
      <w:r w:rsidR="009A3F7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164] az Egyesült Államokban, több mint 134 000 idős, nem billentyű eredetű pitvarfibrillációban szenvedő betegnél (több mint 37 500 betegévnyi terápiás utánkövetési időt szolgáltatva) a warfarinnal összehasonlítva, a dabigatrán-etexilátot (a betegek 84%-a napi 150 mg-ot, 16%-a 75 mg-ot kapott) összefüggésbe hozták az ischaemiás stroke (relatív hazárd: 0,80, 95%-os konfidencia intervallum, [CI] 0,67, 0,96), intracranialis vérzés (relatív hazárd: 0,34, CI 0,26, 0,46) és a mortalitás (relatív hazárd: 0,86, CI 0,77, 0,96) csökkent kockázatával, valamint a gastrointestinalis vérzések kockázatának megnövekedésével (relatív hazárd: 1,28, CI 1,14, 1,44). A főbb vérzéses események számában nem volt különbség (relatív hazárd: 0,97, CI 0,88, 1,07).</w:t>
      </w:r>
    </w:p>
    <w:p w14:paraId="6140A3C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D816B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Ezek a valós körülmények közül származó megfigyelések összhangban állnak a dabigatrán-etexilát RE-LY vizsgálatban meghatározott hatásossági és biztonságossági profiljával ezen indikáció esetében.</w:t>
      </w:r>
    </w:p>
    <w:p w14:paraId="07EB08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EA09158"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lang w:val="hu-HU" w:eastAsia="hu-HU"/>
          <w14:ligatures w14:val="none"/>
        </w:rPr>
        <w:t>Betegek, akiken stent alkalmazásával percutan coronariaintervenciót (PCI) végeztek</w:t>
      </w:r>
    </w:p>
    <w:p w14:paraId="50F4C6C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97A3953" w14:textId="335BC2B5"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 prospektív, randomizált, nyílt, vak végpontú (PROBE) vizsgálatot (IIIb. fázis) 2725 olyan beteg bevonásával végeztek, akiknek nem valvularis pitvarfibrillációjuk volt és akiken stent alkalmazásával percutan coronariaintervenciót (RE-DUAL PCI) alkalmaztak. A vizsgálat célja a kettős terápia és a hármas terápia összehasonlító értékelése volt: kettős terápia dabigatrán-etexilát (napi kétszeri 110 mg vagy 150 mg) klopidogrellel vagy tikagrelorral (P2Y12 antagonista) és a hármas terápia warfarinnal (2,0–3,0-s INR-értékhez igazított dózissal) és klopidogrellel vagy tikagrelorral és ASA-val összehasonlítva. A betegeket az alábbi csoportok egyikébe randomizálták: kettős terápia napi kétszeri 110 mg dabigatrán-etexilát, kettős terápia napi kétszeri 150 mg dabigatrán-etexilát és hármas terápia warfarinnal. Az Amerikai Egyesült Államokon kívüli idős betegeket (Japán esetén 70 év felett, más országok esetén 80 év felett) randomizált módon osztották be vagy a napi kétszeri 110 mg dabigatrán-etexilát kettős terápiás csoportba vagy a warfarinos hármas terápiás csoportba. Az elsődleges végpont egy kombinált végpont volt: az ISTH (International Society on Thrombosis and Haemostasis) definíciója szerinti jelentős vérzések vagy klinikailag releváns, nem jelentős vérzéses események.</w:t>
      </w:r>
    </w:p>
    <w:p w14:paraId="40F6031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8E240D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Az elsődleges végpont incidenciája 15,4% volt (151 beteg) a napi kétszeri 110 mg-os dabigatrán-etexilát kettős terápiás csoportban, ezzel szemben 26,9% (264 beteg) a warfarinos hármas terápiás csoportban (HR 0,52; 95% CI 0,42, 0,63; non-inferior p&lt;0,0001 és szuperior p&lt;0,0001) és 20,2% (154 beteg) a napi 150 mg dabigatrán-etexilát kettős terápiás csoportban, ezzel szemben 25,7% (196 beteg) a megfelelő warfarinos hármas terápiás csoportban (HR 0,72; 95% CI 0,58, 0,88; noninferior p&lt;0,0001 és szuperior p=0,002). A leíró elemzés részeként, a TIMI (Thrombolysis In Myocardial Infarction, Thrombolysis Myocardiális Infarctus esetén) szerinti főbb vérzéses események száma alacsonyabb volt mindkét dabigatrán-etexiláttal kezelt kettős terápiás csoportban, mint a warfarinos hármas terápiás csoportban: 14 esemény (1,4%) a napi kétszeri 110 mg dabigatrán-etexilát kettős terápiás csoportban, ezzel szemben 37 esemény (3,8%) a warfarinos hármas terápiás csoportban (HR 0,37; 95% CI 0,20, 0,68; p=0,002) és 16 esemény (2,1%) a napi kétszeri 150 mg dabigatrán-etexilát kettős terápiás csoportban, ezzel szemben 30 esemény (3,9%) a megfelelő warfarinos hármas terápiás csoportban (HR 0,51; 95% CI 0,28, 0,93; p=0,03). Mindkét dabigatrán-etexilát kettős terápiás csoportban alacsonyabb volt az intracraniális vérzések mint a megfelelő warfarinos hármas terápiás csoportokban: 3 esemény (0,3%) a napi kétszeri 110 mg dabigatrán-etexilát kettős terápiás csoportban ezzel szemben 10 esemény (1,0%) a warfarinos hármas terápiás csoportban (HR 0,30; 95% CI 0,08, 1,07; p=0,06) és 1 esemény (0,1%) a napi kétszeri 150 mg dabigatrán-etexilát kettős terápiás csoportban, ezzel szemben 8 esemény (1,0%) a megfelelő warfarinos hármas terápiás csoportban (HR 0,12; 95% CI 0,02 0,98; p=0,047). Az összetett végpontként megjelölt elhalálozás, thromboemboliás események (myocardialis infarctus, stroke vagy szisztémás embolisatio) vagy nem tervezett revascularisatio a két dabigatrán-etexilát kettős terápiás csoportban együtt nem rosszabb (non-inferior) </w:t>
      </w:r>
      <w:r w:rsidRPr="00617FC7">
        <w:rPr>
          <w:rFonts w:ascii="Times New Roman" w:eastAsia="Times New Roman" w:hAnsi="Times New Roman" w:cs="Times New Roman"/>
          <w:noProof w:val="0"/>
          <w:color w:val="000000"/>
          <w:kern w:val="0"/>
          <w:lang w:val="hu-HU" w:eastAsia="hu-HU"/>
          <w14:ligatures w14:val="none"/>
        </w:rPr>
        <w:lastRenderedPageBreak/>
        <w:t>a warfarinos hármas terápiás csoportnál (13,7% és 13,4% egyenként, HR 1,04; 95% CI 0,84, 1,29; non-interferior p=0,0047). Nincs statisztikai különbség a hatásossági végpontok komponensei között sem a dabigatrán-etexilát kettős terápiás csoportban, sem a warfarinos hármas terápiás csoportban.</w:t>
      </w:r>
    </w:p>
    <w:p w14:paraId="5ADE084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2F0E1B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vizsgálat megmutatta, hogy a kettős terápia, melyben dabigatrán-etexilátot és a P2Y12 antagonistát alkalmaztak, jelentősen csökkenti a vérzések kockázatát (szuperior) a warfarinos hármas terápiás csoporttal szemben, és a thromboemboliás események komponensei esetén nem rosszabb (non-inferior) olyan betegek esetén, akiknek nem valvularis pitvarfibrillációjuk volt és akiken stent alkalmazásával percutan coronariaintervenciót végeztek.</w:t>
      </w:r>
    </w:p>
    <w:p w14:paraId="3E0FF35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F7EE03"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MVT és PE kezelése felnőtt betegeknél (MVT/PE kezelés)</w:t>
      </w:r>
    </w:p>
    <w:p w14:paraId="3672978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52CA103" w14:textId="62495DB6" w:rsidR="00536CD0" w:rsidRPr="00617FC7" w:rsidRDefault="00536CD0" w:rsidP="00536CD0">
      <w:pPr>
        <w:spacing w:after="0" w:line="240" w:lineRule="auto"/>
        <w:ind w:left="-3" w:right="9"/>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hatásosságot két multicentrikus, randomizált, kettős vak, parallel csoportos ismételt vizsgálatban, a RE-COVER és RE-COVER II vizsgálatokban elemezték. Ezek a vizsgálatok a dabigatrán-etexilátot (150 mg naponta kétszer) a warfarinnal hasonlították össze (cél INR 2,0</w:t>
      </w:r>
      <w:r w:rsidR="009A3F7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3,0) akut MVT-ben és/vagy PE-ben szenvedő betegeknél. Ezeknek a vizsgálatoknak az volt az elsődleges célja, hogy igazolják, hogy a dabigatrán-etexilát nem rosszabb (non-inferior) a warfarinnál az elsődleges összetett végpont előfordulásának csökkentésében; ami a tünetekkel járó MVT és/vagy PE ismételt jelentkezése és az ebből eredő halálozás volt a 6 hónapos kezelési periódusban.</w:t>
      </w:r>
    </w:p>
    <w:p w14:paraId="7C29D10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B4594D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RE-COVER és RE-COVER II vizsgálatokban összesen 5153 beteget randomizáltak és 5107 beteget kezeltek.</w:t>
      </w:r>
    </w:p>
    <w:p w14:paraId="676C1A6D" w14:textId="339D05A8"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fix dózisú dabigatrán-kezelés időtartama 174 nap volt, az alvadási státuszt nem monitorozták. A warfarint kapó betegeknél a terápiás tartományban (INR 2,0</w:t>
      </w:r>
      <w:r w:rsidR="009A3F7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3,0) töltött medián időtartam 60,6% volt.</w:t>
      </w:r>
    </w:p>
    <w:p w14:paraId="393EC07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76A21D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Ezek a vizsgálatok kimutatták, hogy a kétszer 150 mg dabigatrán-etexilát-kezelés nem volt rosszabb (non-inferior) a warfarin kezelésnél (a non-inferioritásra vonatkozó határ a RE-COVER és RE-COVER II esetén: 2,75 a relatív hazárd és 3,6 a kockázat különbsége esetén).</w:t>
      </w:r>
    </w:p>
    <w:p w14:paraId="7DA03C8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3F96BD" w14:textId="77777777" w:rsidR="00536CD0" w:rsidRPr="00617FC7" w:rsidRDefault="00536CD0" w:rsidP="00536CD0">
      <w:pPr>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27. táblázat. A primer és szekunder hatásossági végpontok (a VTE az MVT és/vagy PE eredője) a kezelés utáni időszak végéig a RE-COVER és RE-COVER II vizsgálat összesítésében</w:t>
      </w:r>
    </w:p>
    <w:p w14:paraId="2D86760D" w14:textId="77777777" w:rsidR="00536CD0" w:rsidRPr="00617FC7" w:rsidRDefault="00536CD0" w:rsidP="00536CD0">
      <w:pPr>
        <w:spacing w:after="0" w:line="240" w:lineRule="auto"/>
        <w:ind w:left="988" w:hanging="991"/>
        <w:rPr>
          <w:rFonts w:ascii="Times New Roman" w:eastAsia="Times New Roman" w:hAnsi="Times New Roman" w:cs="Times New Roman"/>
          <w:bCs/>
          <w:noProof w:val="0"/>
          <w:color w:val="000000"/>
          <w:kern w:val="0"/>
          <w:lang w:val="hu-HU" w:eastAsia="hu-HU"/>
          <w14:ligatures w14:val="none"/>
        </w:rPr>
      </w:pPr>
    </w:p>
    <w:tbl>
      <w:tblPr>
        <w:tblStyle w:val="TableGrid"/>
        <w:tblW w:w="8960" w:type="dxa"/>
        <w:tblInd w:w="-34" w:type="dxa"/>
        <w:tblCellMar>
          <w:top w:w="51" w:type="dxa"/>
          <w:left w:w="70" w:type="dxa"/>
          <w:right w:w="115" w:type="dxa"/>
        </w:tblCellMar>
        <w:tblLook w:val="04A0" w:firstRow="1" w:lastRow="0" w:firstColumn="1" w:lastColumn="0" w:noHBand="0" w:noVBand="1"/>
      </w:tblPr>
      <w:tblGrid>
        <w:gridCol w:w="3715"/>
        <w:gridCol w:w="2622"/>
        <w:gridCol w:w="2623"/>
      </w:tblGrid>
      <w:tr w:rsidR="00536CD0" w:rsidRPr="00617FC7" w14:paraId="6A121AE6"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1A6B9CB4" w14:textId="77777777" w:rsidR="00536CD0" w:rsidRPr="00617FC7" w:rsidRDefault="00536CD0" w:rsidP="00536CD0">
            <w:pPr>
              <w:rPr>
                <w:rFonts w:ascii="Times New Roman" w:eastAsia="Times New Roman" w:hAnsi="Times New Roman" w:cs="Times New Roman"/>
                <w:noProof w:val="0"/>
                <w:color w:val="000000"/>
                <w:lang w:val="hu-HU"/>
              </w:rPr>
            </w:pPr>
          </w:p>
        </w:tc>
        <w:tc>
          <w:tcPr>
            <w:tcW w:w="2622" w:type="dxa"/>
            <w:tcBorders>
              <w:top w:val="single" w:sz="4" w:space="0" w:color="000000"/>
              <w:left w:val="single" w:sz="4" w:space="0" w:color="000000"/>
              <w:bottom w:val="single" w:sz="4" w:space="0" w:color="000000"/>
              <w:right w:val="single" w:sz="4" w:space="0" w:color="000000"/>
            </w:tcBorders>
          </w:tcPr>
          <w:p w14:paraId="2D675FE9"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Dabigatrán-etexilát 150 mg napi kétszer </w:t>
            </w:r>
          </w:p>
        </w:tc>
        <w:tc>
          <w:tcPr>
            <w:tcW w:w="2623" w:type="dxa"/>
            <w:tcBorders>
              <w:top w:val="single" w:sz="4" w:space="0" w:color="000000"/>
              <w:left w:val="single" w:sz="4" w:space="0" w:color="000000"/>
              <w:bottom w:val="single" w:sz="4" w:space="0" w:color="000000"/>
              <w:right w:val="single" w:sz="4" w:space="0" w:color="000000"/>
            </w:tcBorders>
            <w:vAlign w:val="center"/>
          </w:tcPr>
          <w:p w14:paraId="71D74229"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Warfarin</w:t>
            </w:r>
          </w:p>
        </w:tc>
      </w:tr>
      <w:tr w:rsidR="00536CD0" w:rsidRPr="00617FC7" w14:paraId="5B5FF4A5"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539EDB1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w:t>
            </w:r>
          </w:p>
        </w:tc>
        <w:tc>
          <w:tcPr>
            <w:tcW w:w="2622" w:type="dxa"/>
            <w:tcBorders>
              <w:top w:val="single" w:sz="4" w:space="0" w:color="000000"/>
              <w:left w:val="single" w:sz="4" w:space="0" w:color="000000"/>
              <w:bottom w:val="single" w:sz="4" w:space="0" w:color="000000"/>
              <w:right w:val="single" w:sz="4" w:space="0" w:color="000000"/>
            </w:tcBorders>
          </w:tcPr>
          <w:p w14:paraId="10472280"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2553 </w:t>
            </w:r>
          </w:p>
        </w:tc>
        <w:tc>
          <w:tcPr>
            <w:tcW w:w="2623" w:type="dxa"/>
            <w:tcBorders>
              <w:top w:val="single" w:sz="4" w:space="0" w:color="000000"/>
              <w:left w:val="single" w:sz="4" w:space="0" w:color="000000"/>
              <w:bottom w:val="single" w:sz="4" w:space="0" w:color="000000"/>
              <w:right w:val="single" w:sz="4" w:space="0" w:color="000000"/>
            </w:tcBorders>
          </w:tcPr>
          <w:p w14:paraId="14033DA1"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2554 </w:t>
            </w:r>
          </w:p>
        </w:tc>
      </w:tr>
      <w:tr w:rsidR="00536CD0" w:rsidRPr="00617FC7" w14:paraId="3B1BD364"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0B394FC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VTE-vel összefüggő halál</w:t>
            </w:r>
          </w:p>
        </w:tc>
        <w:tc>
          <w:tcPr>
            <w:tcW w:w="2622" w:type="dxa"/>
            <w:tcBorders>
              <w:top w:val="single" w:sz="4" w:space="0" w:color="000000"/>
              <w:left w:val="single" w:sz="4" w:space="0" w:color="000000"/>
              <w:bottom w:val="single" w:sz="4" w:space="0" w:color="000000"/>
              <w:right w:val="single" w:sz="4" w:space="0" w:color="000000"/>
            </w:tcBorders>
            <w:vAlign w:val="center"/>
          </w:tcPr>
          <w:p w14:paraId="30B59BF2"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68 (2,7%)</w:t>
            </w:r>
          </w:p>
        </w:tc>
        <w:tc>
          <w:tcPr>
            <w:tcW w:w="2623" w:type="dxa"/>
            <w:tcBorders>
              <w:top w:val="single" w:sz="4" w:space="0" w:color="000000"/>
              <w:left w:val="single" w:sz="4" w:space="0" w:color="000000"/>
              <w:bottom w:val="single" w:sz="4" w:space="0" w:color="000000"/>
              <w:right w:val="single" w:sz="4" w:space="0" w:color="000000"/>
            </w:tcBorders>
            <w:vAlign w:val="center"/>
          </w:tcPr>
          <w:p w14:paraId="422C5DEB"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62 (2,4 %)</w:t>
            </w:r>
          </w:p>
        </w:tc>
      </w:tr>
      <w:tr w:rsidR="00536CD0" w:rsidRPr="00617FC7" w14:paraId="2D70A048"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3589870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a warfarinhoz képest (95%-os konfidencia intervallum)</w:t>
            </w:r>
          </w:p>
        </w:tc>
        <w:tc>
          <w:tcPr>
            <w:tcW w:w="2622" w:type="dxa"/>
            <w:tcBorders>
              <w:top w:val="single" w:sz="4" w:space="0" w:color="000000"/>
              <w:left w:val="single" w:sz="4" w:space="0" w:color="000000"/>
              <w:bottom w:val="single" w:sz="4" w:space="0" w:color="000000"/>
              <w:right w:val="single" w:sz="4" w:space="0" w:color="000000"/>
            </w:tcBorders>
            <w:vAlign w:val="center"/>
          </w:tcPr>
          <w:p w14:paraId="780F1B38"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1,09 (0,77, 1,54)</w:t>
            </w:r>
          </w:p>
        </w:tc>
        <w:tc>
          <w:tcPr>
            <w:tcW w:w="2623" w:type="dxa"/>
            <w:tcBorders>
              <w:top w:val="single" w:sz="4" w:space="0" w:color="000000"/>
              <w:left w:val="single" w:sz="4" w:space="0" w:color="000000"/>
              <w:bottom w:val="single" w:sz="4" w:space="0" w:color="000000"/>
              <w:right w:val="single" w:sz="4" w:space="0" w:color="000000"/>
            </w:tcBorders>
          </w:tcPr>
          <w:p w14:paraId="76942C33" w14:textId="77777777" w:rsidR="00536CD0" w:rsidRPr="00617FC7" w:rsidRDefault="00536CD0" w:rsidP="00CF66F9">
            <w:pPr>
              <w:ind w:right="106"/>
              <w:rPr>
                <w:rFonts w:ascii="Times New Roman" w:eastAsia="Times New Roman" w:hAnsi="Times New Roman" w:cs="Times New Roman"/>
                <w:noProof w:val="0"/>
                <w:color w:val="000000"/>
                <w:lang w:val="hu-HU"/>
              </w:rPr>
            </w:pPr>
          </w:p>
        </w:tc>
      </w:tr>
      <w:tr w:rsidR="00536CD0" w:rsidRPr="00617FC7" w14:paraId="625A085A"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54C1B87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Szekunder hatásossági végpontok</w:t>
            </w:r>
          </w:p>
        </w:tc>
        <w:tc>
          <w:tcPr>
            <w:tcW w:w="2622" w:type="dxa"/>
            <w:tcBorders>
              <w:top w:val="single" w:sz="4" w:space="0" w:color="000000"/>
              <w:left w:val="single" w:sz="4" w:space="0" w:color="000000"/>
              <w:bottom w:val="single" w:sz="4" w:space="0" w:color="000000"/>
              <w:right w:val="single" w:sz="4" w:space="0" w:color="000000"/>
            </w:tcBorders>
          </w:tcPr>
          <w:p w14:paraId="26CE333A" w14:textId="77777777" w:rsidR="00536CD0" w:rsidRPr="00617FC7" w:rsidRDefault="00536CD0" w:rsidP="00CF66F9">
            <w:pPr>
              <w:ind w:right="106"/>
              <w:rPr>
                <w:rFonts w:ascii="Times New Roman" w:eastAsia="Times New Roman" w:hAnsi="Times New Roman" w:cs="Times New Roman"/>
                <w:noProof w:val="0"/>
                <w:color w:val="000000"/>
                <w:lang w:val="hu-HU"/>
              </w:rPr>
            </w:pPr>
          </w:p>
        </w:tc>
        <w:tc>
          <w:tcPr>
            <w:tcW w:w="2623" w:type="dxa"/>
            <w:tcBorders>
              <w:top w:val="single" w:sz="4" w:space="0" w:color="000000"/>
              <w:left w:val="single" w:sz="4" w:space="0" w:color="000000"/>
              <w:bottom w:val="single" w:sz="4" w:space="0" w:color="000000"/>
              <w:right w:val="single" w:sz="4" w:space="0" w:color="000000"/>
            </w:tcBorders>
          </w:tcPr>
          <w:p w14:paraId="4F8FFFED" w14:textId="77777777" w:rsidR="00536CD0" w:rsidRPr="00617FC7" w:rsidRDefault="00536CD0" w:rsidP="00CF66F9">
            <w:pPr>
              <w:ind w:right="106"/>
              <w:rPr>
                <w:rFonts w:ascii="Times New Roman" w:eastAsia="Times New Roman" w:hAnsi="Times New Roman" w:cs="Times New Roman"/>
                <w:noProof w:val="0"/>
                <w:color w:val="000000"/>
                <w:lang w:val="hu-HU"/>
              </w:rPr>
            </w:pPr>
          </w:p>
        </w:tc>
      </w:tr>
      <w:tr w:rsidR="00536CD0" w:rsidRPr="00617FC7" w14:paraId="4862EC2A"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32FF5C0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összhalálozás</w:t>
            </w:r>
          </w:p>
        </w:tc>
        <w:tc>
          <w:tcPr>
            <w:tcW w:w="2622" w:type="dxa"/>
            <w:tcBorders>
              <w:top w:val="single" w:sz="4" w:space="0" w:color="000000"/>
              <w:left w:val="single" w:sz="4" w:space="0" w:color="000000"/>
              <w:bottom w:val="single" w:sz="4" w:space="0" w:color="000000"/>
              <w:right w:val="single" w:sz="4" w:space="0" w:color="000000"/>
            </w:tcBorders>
            <w:vAlign w:val="center"/>
          </w:tcPr>
          <w:p w14:paraId="097B6C7E"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109 (4,3%)</w:t>
            </w:r>
          </w:p>
        </w:tc>
        <w:tc>
          <w:tcPr>
            <w:tcW w:w="2623" w:type="dxa"/>
            <w:tcBorders>
              <w:top w:val="single" w:sz="4" w:space="0" w:color="000000"/>
              <w:left w:val="single" w:sz="4" w:space="0" w:color="000000"/>
              <w:bottom w:val="single" w:sz="4" w:space="0" w:color="000000"/>
              <w:right w:val="single" w:sz="4" w:space="0" w:color="000000"/>
            </w:tcBorders>
            <w:vAlign w:val="center"/>
          </w:tcPr>
          <w:p w14:paraId="5EFDC45C"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104 (4,1%)</w:t>
            </w:r>
          </w:p>
        </w:tc>
      </w:tr>
      <w:tr w:rsidR="00536CD0" w:rsidRPr="00617FC7" w14:paraId="08CCB95A"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160AF2E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95%-os konfidencia intervallum </w:t>
            </w:r>
          </w:p>
        </w:tc>
        <w:tc>
          <w:tcPr>
            <w:tcW w:w="2622" w:type="dxa"/>
            <w:tcBorders>
              <w:top w:val="single" w:sz="4" w:space="0" w:color="000000"/>
              <w:left w:val="single" w:sz="4" w:space="0" w:color="000000"/>
              <w:bottom w:val="single" w:sz="4" w:space="0" w:color="000000"/>
              <w:right w:val="single" w:sz="4" w:space="0" w:color="000000"/>
            </w:tcBorders>
            <w:vAlign w:val="center"/>
          </w:tcPr>
          <w:p w14:paraId="3D166EFA"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3,52, 5,13</w:t>
            </w:r>
          </w:p>
        </w:tc>
        <w:tc>
          <w:tcPr>
            <w:tcW w:w="2623" w:type="dxa"/>
            <w:tcBorders>
              <w:top w:val="single" w:sz="4" w:space="0" w:color="000000"/>
              <w:left w:val="single" w:sz="4" w:space="0" w:color="000000"/>
              <w:bottom w:val="single" w:sz="4" w:space="0" w:color="000000"/>
              <w:right w:val="single" w:sz="4" w:space="0" w:color="000000"/>
            </w:tcBorders>
            <w:vAlign w:val="center"/>
          </w:tcPr>
          <w:p w14:paraId="20AC307C"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3,34, 4,91</w:t>
            </w:r>
          </w:p>
        </w:tc>
      </w:tr>
      <w:tr w:rsidR="00536CD0" w:rsidRPr="00617FC7" w14:paraId="5A5E1F27"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30EF5CE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MVT</w:t>
            </w:r>
          </w:p>
        </w:tc>
        <w:tc>
          <w:tcPr>
            <w:tcW w:w="2622" w:type="dxa"/>
            <w:tcBorders>
              <w:top w:val="single" w:sz="4" w:space="0" w:color="000000"/>
              <w:left w:val="single" w:sz="4" w:space="0" w:color="000000"/>
              <w:bottom w:val="single" w:sz="4" w:space="0" w:color="000000"/>
              <w:right w:val="single" w:sz="4" w:space="0" w:color="000000"/>
            </w:tcBorders>
          </w:tcPr>
          <w:p w14:paraId="69CCE8E1"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45 (1,8%)</w:t>
            </w:r>
          </w:p>
        </w:tc>
        <w:tc>
          <w:tcPr>
            <w:tcW w:w="2623" w:type="dxa"/>
            <w:tcBorders>
              <w:top w:val="single" w:sz="4" w:space="0" w:color="000000"/>
              <w:left w:val="single" w:sz="4" w:space="0" w:color="000000"/>
              <w:bottom w:val="single" w:sz="4" w:space="0" w:color="000000"/>
              <w:right w:val="single" w:sz="4" w:space="0" w:color="000000"/>
            </w:tcBorders>
          </w:tcPr>
          <w:p w14:paraId="750EF872"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39 (1,5%)</w:t>
            </w:r>
          </w:p>
        </w:tc>
      </w:tr>
      <w:tr w:rsidR="00536CD0" w:rsidRPr="00617FC7" w14:paraId="25A860E2"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67DE112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622" w:type="dxa"/>
            <w:tcBorders>
              <w:top w:val="single" w:sz="4" w:space="0" w:color="000000"/>
              <w:left w:val="single" w:sz="4" w:space="0" w:color="000000"/>
              <w:bottom w:val="single" w:sz="4" w:space="0" w:color="000000"/>
              <w:right w:val="single" w:sz="4" w:space="0" w:color="000000"/>
            </w:tcBorders>
            <w:vAlign w:val="center"/>
          </w:tcPr>
          <w:p w14:paraId="4D45EEC5"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1,29, 2,35</w:t>
            </w:r>
          </w:p>
        </w:tc>
        <w:tc>
          <w:tcPr>
            <w:tcW w:w="2623" w:type="dxa"/>
            <w:tcBorders>
              <w:top w:val="single" w:sz="4" w:space="0" w:color="000000"/>
              <w:left w:val="single" w:sz="4" w:space="0" w:color="000000"/>
              <w:bottom w:val="single" w:sz="4" w:space="0" w:color="000000"/>
              <w:right w:val="single" w:sz="4" w:space="0" w:color="000000"/>
            </w:tcBorders>
            <w:vAlign w:val="center"/>
          </w:tcPr>
          <w:p w14:paraId="0EE5EC56"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1,09, 2,08</w:t>
            </w:r>
          </w:p>
        </w:tc>
      </w:tr>
      <w:tr w:rsidR="00536CD0" w:rsidRPr="00617FC7" w14:paraId="6FC6DFA7"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4799761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PE</w:t>
            </w:r>
          </w:p>
        </w:tc>
        <w:tc>
          <w:tcPr>
            <w:tcW w:w="2622" w:type="dxa"/>
            <w:tcBorders>
              <w:top w:val="single" w:sz="4" w:space="0" w:color="000000"/>
              <w:left w:val="single" w:sz="4" w:space="0" w:color="000000"/>
              <w:bottom w:val="single" w:sz="4" w:space="0" w:color="000000"/>
              <w:right w:val="single" w:sz="4" w:space="0" w:color="000000"/>
            </w:tcBorders>
          </w:tcPr>
          <w:p w14:paraId="655384AD"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 (1,1%)</w:t>
            </w:r>
          </w:p>
        </w:tc>
        <w:tc>
          <w:tcPr>
            <w:tcW w:w="2623" w:type="dxa"/>
            <w:tcBorders>
              <w:top w:val="single" w:sz="4" w:space="0" w:color="000000"/>
              <w:left w:val="single" w:sz="4" w:space="0" w:color="000000"/>
              <w:bottom w:val="single" w:sz="4" w:space="0" w:color="000000"/>
              <w:right w:val="single" w:sz="4" w:space="0" w:color="000000"/>
            </w:tcBorders>
          </w:tcPr>
          <w:p w14:paraId="5015CF84"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 (1,0%)</w:t>
            </w:r>
          </w:p>
        </w:tc>
      </w:tr>
      <w:tr w:rsidR="00536CD0" w:rsidRPr="00617FC7" w14:paraId="17861BD3"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3B7F0EA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622" w:type="dxa"/>
            <w:tcBorders>
              <w:top w:val="single" w:sz="4" w:space="0" w:color="000000"/>
              <w:left w:val="single" w:sz="4" w:space="0" w:color="000000"/>
              <w:bottom w:val="single" w:sz="4" w:space="0" w:color="000000"/>
              <w:right w:val="single" w:sz="4" w:space="0" w:color="000000"/>
            </w:tcBorders>
            <w:vAlign w:val="center"/>
          </w:tcPr>
          <w:p w14:paraId="1462797C"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0,70, 1,54</w:t>
            </w:r>
          </w:p>
        </w:tc>
        <w:tc>
          <w:tcPr>
            <w:tcW w:w="2623" w:type="dxa"/>
            <w:tcBorders>
              <w:top w:val="single" w:sz="4" w:space="0" w:color="000000"/>
              <w:left w:val="single" w:sz="4" w:space="0" w:color="000000"/>
              <w:bottom w:val="single" w:sz="4" w:space="0" w:color="000000"/>
              <w:right w:val="single" w:sz="4" w:space="0" w:color="000000"/>
            </w:tcBorders>
            <w:vAlign w:val="center"/>
          </w:tcPr>
          <w:p w14:paraId="20DB48D7"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0,67, 1,49</w:t>
            </w:r>
          </w:p>
        </w:tc>
      </w:tr>
      <w:tr w:rsidR="00536CD0" w:rsidRPr="00617FC7" w14:paraId="54E7C8EE"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0EE63E9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VTE-vel összefüggő halál</w:t>
            </w:r>
          </w:p>
        </w:tc>
        <w:tc>
          <w:tcPr>
            <w:tcW w:w="2622" w:type="dxa"/>
            <w:tcBorders>
              <w:top w:val="single" w:sz="4" w:space="0" w:color="000000"/>
              <w:left w:val="single" w:sz="4" w:space="0" w:color="000000"/>
              <w:bottom w:val="single" w:sz="4" w:space="0" w:color="000000"/>
              <w:right w:val="single" w:sz="4" w:space="0" w:color="000000"/>
            </w:tcBorders>
            <w:vAlign w:val="center"/>
          </w:tcPr>
          <w:p w14:paraId="31FB6DD6"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 (0,2%)</w:t>
            </w:r>
          </w:p>
        </w:tc>
        <w:tc>
          <w:tcPr>
            <w:tcW w:w="2623" w:type="dxa"/>
            <w:tcBorders>
              <w:top w:val="single" w:sz="4" w:space="0" w:color="000000"/>
              <w:left w:val="single" w:sz="4" w:space="0" w:color="000000"/>
              <w:bottom w:val="single" w:sz="4" w:space="0" w:color="000000"/>
              <w:right w:val="single" w:sz="4" w:space="0" w:color="000000"/>
            </w:tcBorders>
            <w:vAlign w:val="center"/>
          </w:tcPr>
          <w:p w14:paraId="15B17BD1"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 (0,1%)</w:t>
            </w:r>
          </w:p>
        </w:tc>
      </w:tr>
      <w:tr w:rsidR="00536CD0" w:rsidRPr="00617FC7" w14:paraId="2B9A8AE5"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5B1441A7"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622" w:type="dxa"/>
            <w:tcBorders>
              <w:top w:val="single" w:sz="4" w:space="0" w:color="000000"/>
              <w:left w:val="single" w:sz="4" w:space="0" w:color="000000"/>
              <w:bottom w:val="single" w:sz="4" w:space="0" w:color="000000"/>
              <w:right w:val="single" w:sz="4" w:space="0" w:color="000000"/>
            </w:tcBorders>
            <w:vAlign w:val="center"/>
          </w:tcPr>
          <w:p w14:paraId="332792CA"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0,04, 0,40</w:t>
            </w:r>
          </w:p>
        </w:tc>
        <w:tc>
          <w:tcPr>
            <w:tcW w:w="2623" w:type="dxa"/>
            <w:tcBorders>
              <w:top w:val="single" w:sz="4" w:space="0" w:color="000000"/>
              <w:left w:val="single" w:sz="4" w:space="0" w:color="000000"/>
              <w:bottom w:val="single" w:sz="4" w:space="0" w:color="000000"/>
              <w:right w:val="single" w:sz="4" w:space="0" w:color="000000"/>
            </w:tcBorders>
            <w:vAlign w:val="center"/>
          </w:tcPr>
          <w:p w14:paraId="1037112C"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0,02, 0,34</w:t>
            </w:r>
          </w:p>
        </w:tc>
      </w:tr>
      <w:tr w:rsidR="00536CD0" w:rsidRPr="00617FC7" w14:paraId="183715CF"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62CF38B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Összhalálozás</w:t>
            </w:r>
          </w:p>
        </w:tc>
        <w:tc>
          <w:tcPr>
            <w:tcW w:w="2622" w:type="dxa"/>
            <w:tcBorders>
              <w:top w:val="single" w:sz="4" w:space="0" w:color="000000"/>
              <w:left w:val="single" w:sz="4" w:space="0" w:color="000000"/>
              <w:bottom w:val="single" w:sz="4" w:space="0" w:color="000000"/>
              <w:right w:val="single" w:sz="4" w:space="0" w:color="000000"/>
            </w:tcBorders>
          </w:tcPr>
          <w:p w14:paraId="42C000A0"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51 (2,0%)</w:t>
            </w:r>
          </w:p>
        </w:tc>
        <w:tc>
          <w:tcPr>
            <w:tcW w:w="2623" w:type="dxa"/>
            <w:tcBorders>
              <w:top w:val="single" w:sz="4" w:space="0" w:color="000000"/>
              <w:left w:val="single" w:sz="4" w:space="0" w:color="000000"/>
              <w:bottom w:val="single" w:sz="4" w:space="0" w:color="000000"/>
              <w:right w:val="single" w:sz="4" w:space="0" w:color="000000"/>
            </w:tcBorders>
          </w:tcPr>
          <w:p w14:paraId="5AE4D7C9"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52 (2,0%)</w:t>
            </w:r>
          </w:p>
        </w:tc>
      </w:tr>
      <w:tr w:rsidR="00536CD0" w:rsidRPr="00617FC7" w14:paraId="441EE8E7" w14:textId="77777777" w:rsidTr="00CF66F9">
        <w:trPr>
          <w:trHeight w:val="113"/>
        </w:trPr>
        <w:tc>
          <w:tcPr>
            <w:tcW w:w="3715" w:type="dxa"/>
            <w:tcBorders>
              <w:top w:val="single" w:sz="4" w:space="0" w:color="000000"/>
              <w:left w:val="single" w:sz="4" w:space="0" w:color="000000"/>
              <w:bottom w:val="single" w:sz="4" w:space="0" w:color="000000"/>
              <w:right w:val="single" w:sz="4" w:space="0" w:color="000000"/>
            </w:tcBorders>
          </w:tcPr>
          <w:p w14:paraId="144C6D3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622" w:type="dxa"/>
            <w:tcBorders>
              <w:top w:val="single" w:sz="4" w:space="0" w:color="000000"/>
              <w:left w:val="single" w:sz="4" w:space="0" w:color="000000"/>
              <w:bottom w:val="single" w:sz="4" w:space="0" w:color="000000"/>
              <w:right w:val="single" w:sz="4" w:space="0" w:color="000000"/>
            </w:tcBorders>
            <w:vAlign w:val="center"/>
          </w:tcPr>
          <w:p w14:paraId="530751C4"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1,49, 2,62</w:t>
            </w:r>
          </w:p>
        </w:tc>
        <w:tc>
          <w:tcPr>
            <w:tcW w:w="2623" w:type="dxa"/>
            <w:tcBorders>
              <w:top w:val="single" w:sz="4" w:space="0" w:color="000000"/>
              <w:left w:val="single" w:sz="4" w:space="0" w:color="000000"/>
              <w:bottom w:val="single" w:sz="4" w:space="0" w:color="000000"/>
              <w:right w:val="single" w:sz="4" w:space="0" w:color="000000"/>
            </w:tcBorders>
            <w:vAlign w:val="center"/>
          </w:tcPr>
          <w:p w14:paraId="5AD8A42B" w14:textId="77777777" w:rsidR="00536CD0" w:rsidRPr="00617FC7" w:rsidRDefault="00536CD0" w:rsidP="00CF66F9">
            <w:pPr>
              <w:ind w:right="10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1,52, 2,66</w:t>
            </w:r>
          </w:p>
        </w:tc>
      </w:tr>
    </w:tbl>
    <w:p w14:paraId="70D9B33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6ABE3CB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Az MVT és PE kiújulásának megelőzése felnőtt betegeknél (MVT/PE prevenció)</w:t>
      </w:r>
    </w:p>
    <w:p w14:paraId="1F2D428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65E1866" w14:textId="4727C25C"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Két randomizált, parallel csoportos, kettős vak vizsgálatot végeztek a korábban antikoaguláns-kezelésben részesülő betegeknél. A RE-MEDY warfarin-kontrollos vizsgálatba olyan betegeket vontak be, akiket már 3</w:t>
      </w:r>
      <w:r w:rsidR="00DF78B3"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12 hónapja kezeltek, és további antikoaguláns kezelésre volt szükségük, a RE-SONATE placebokontrollos vizsgálatba pedig olyan betegeket vontak be, akik 6</w:t>
      </w:r>
      <w:r w:rsidR="00DF78B3"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18 hónapja már K-vitamin-antagonista-kezelést kaptak.</w:t>
      </w:r>
    </w:p>
    <w:p w14:paraId="02DAD55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0379E70" w14:textId="60EB480A"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RE-MEDY vizsgálat célja az volt, hogy összehasonlítsa a </w:t>
      </w:r>
      <w:r w:rsidRPr="00617FC7">
        <w:rPr>
          <w:rFonts w:ascii="Times New Roman" w:eastAsia="Times New Roman" w:hAnsi="Times New Roman" w:cs="Times New Roman"/>
          <w:i/>
          <w:iCs/>
          <w:noProof w:val="0"/>
          <w:color w:val="000000"/>
          <w:kern w:val="0"/>
          <w:lang w:val="hu-HU" w:eastAsia="hu-HU"/>
          <w14:ligatures w14:val="none"/>
        </w:rPr>
        <w:t>per os</w:t>
      </w:r>
      <w:r w:rsidRPr="00617FC7">
        <w:rPr>
          <w:rFonts w:ascii="Times New Roman" w:eastAsia="Times New Roman" w:hAnsi="Times New Roman" w:cs="Times New Roman"/>
          <w:noProof w:val="0"/>
          <w:color w:val="000000"/>
          <w:kern w:val="0"/>
          <w:lang w:val="hu-HU" w:eastAsia="hu-HU"/>
          <w14:ligatures w14:val="none"/>
        </w:rPr>
        <w:t xml:space="preserve"> dabigatrán-etexilátnak (150 mg naponta kétszer) és a warfarinnak (INR célérték: 2,0</w:t>
      </w:r>
      <w:r w:rsidR="009A3F7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3,0) a hosszú távú kezelésben és a szimptómás MVT és/vagy PE kiújulásának megelőzésében mutatott biztonságosságát és hatékonyságát. Összesen 2866 beteget randomizáltak és 2856 beteget kezeltek. A dabigatrán-etexilát-kezelés időtartama 6 és 36 hónap között volt (átlagosan 534 nap). A warfarin csoportba randomizált betegeknél a terápiás tartományban (INR érték 2,0</w:t>
      </w:r>
      <w:r w:rsidR="009A3F7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3,0) töltött medián időtartam 64,9%-volt.</w:t>
      </w:r>
    </w:p>
    <w:p w14:paraId="10C5DFC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226521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RE-MEDY vizsgálat kimutatta, hogy a naponta kétszer adott 150 mg dabigatrán-etexilát-kezelés nem volt rosszabb (non-inferior) a warfarinnál (a non-interferitásra vonatkozó határ: 2,85 a relatív hazárd és 2,8 a kockázat különbsége esetén).</w:t>
      </w:r>
    </w:p>
    <w:p w14:paraId="63275DA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8406C5D" w14:textId="77777777" w:rsidR="00536CD0" w:rsidRPr="00617FC7" w:rsidRDefault="00536CD0" w:rsidP="00536CD0">
      <w:pPr>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28. táblázat. A primer és szekunder hatásossági végpontok (a VTE az MVT és/vagy PE együtt) a kezelés utáni időszak végéig a RE-MEDY vizsgálatban</w:t>
      </w:r>
    </w:p>
    <w:p w14:paraId="5A8A1B6D" w14:textId="77777777" w:rsidR="00536CD0" w:rsidRPr="00617FC7" w:rsidRDefault="00536CD0" w:rsidP="00536CD0">
      <w:pPr>
        <w:spacing w:after="0" w:line="240" w:lineRule="auto"/>
        <w:ind w:left="1274" w:hanging="1277"/>
        <w:rPr>
          <w:rFonts w:ascii="Times New Roman" w:eastAsia="Times New Roman" w:hAnsi="Times New Roman" w:cs="Times New Roman"/>
          <w:bCs/>
          <w:noProof w:val="0"/>
          <w:color w:val="000000"/>
          <w:kern w:val="0"/>
          <w:lang w:val="hu-HU" w:eastAsia="hu-HU"/>
          <w14:ligatures w14:val="none"/>
        </w:rPr>
      </w:pPr>
    </w:p>
    <w:tbl>
      <w:tblPr>
        <w:tblStyle w:val="TableGrid"/>
        <w:tblW w:w="8676" w:type="dxa"/>
        <w:tblInd w:w="-34" w:type="dxa"/>
        <w:tblCellMar>
          <w:top w:w="51" w:type="dxa"/>
          <w:left w:w="70" w:type="dxa"/>
          <w:right w:w="115" w:type="dxa"/>
        </w:tblCellMar>
        <w:tblLook w:val="04A0" w:firstRow="1" w:lastRow="0" w:firstColumn="1" w:lastColumn="0" w:noHBand="0" w:noVBand="1"/>
      </w:tblPr>
      <w:tblGrid>
        <w:gridCol w:w="4436"/>
        <w:gridCol w:w="2120"/>
        <w:gridCol w:w="2120"/>
      </w:tblGrid>
      <w:tr w:rsidR="00536CD0" w:rsidRPr="00617FC7" w14:paraId="34141A4C"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7F4B174F" w14:textId="77777777" w:rsidR="00536CD0" w:rsidRPr="00617FC7" w:rsidRDefault="00536CD0" w:rsidP="00536CD0">
            <w:pPr>
              <w:rPr>
                <w:rFonts w:ascii="Times New Roman" w:eastAsia="Times New Roman" w:hAnsi="Times New Roman" w:cs="Times New Roman"/>
                <w:noProof w:val="0"/>
                <w:color w:val="000000"/>
                <w:lang w:val="hu-HU"/>
              </w:rPr>
            </w:pPr>
          </w:p>
        </w:tc>
        <w:tc>
          <w:tcPr>
            <w:tcW w:w="2120" w:type="dxa"/>
            <w:tcBorders>
              <w:top w:val="single" w:sz="4" w:space="0" w:color="000000"/>
              <w:left w:val="single" w:sz="4" w:space="0" w:color="000000"/>
              <w:bottom w:val="single" w:sz="4" w:space="0" w:color="000000"/>
              <w:right w:val="single" w:sz="4" w:space="0" w:color="000000"/>
            </w:tcBorders>
          </w:tcPr>
          <w:p w14:paraId="2E7056AA" w14:textId="3D37A4FD"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naponta kétszer 150 mg</w:t>
            </w:r>
          </w:p>
        </w:tc>
        <w:tc>
          <w:tcPr>
            <w:tcW w:w="2120" w:type="dxa"/>
            <w:tcBorders>
              <w:top w:val="single" w:sz="4" w:space="0" w:color="000000"/>
              <w:left w:val="single" w:sz="4" w:space="0" w:color="000000"/>
              <w:bottom w:val="single" w:sz="4" w:space="0" w:color="000000"/>
              <w:right w:val="single" w:sz="4" w:space="0" w:color="000000"/>
            </w:tcBorders>
          </w:tcPr>
          <w:p w14:paraId="26B976ED"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Warfarin</w:t>
            </w:r>
          </w:p>
        </w:tc>
      </w:tr>
      <w:tr w:rsidR="00536CD0" w:rsidRPr="00617FC7" w14:paraId="1EDD27F6"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024191E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Kezelt betegek</w:t>
            </w:r>
          </w:p>
        </w:tc>
        <w:tc>
          <w:tcPr>
            <w:tcW w:w="2120" w:type="dxa"/>
            <w:tcBorders>
              <w:top w:val="single" w:sz="4" w:space="0" w:color="000000"/>
              <w:left w:val="single" w:sz="4" w:space="0" w:color="000000"/>
              <w:bottom w:val="single" w:sz="4" w:space="0" w:color="000000"/>
              <w:right w:val="single" w:sz="4" w:space="0" w:color="000000"/>
            </w:tcBorders>
          </w:tcPr>
          <w:p w14:paraId="28881368"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1430 </w:t>
            </w:r>
          </w:p>
        </w:tc>
        <w:tc>
          <w:tcPr>
            <w:tcW w:w="2120" w:type="dxa"/>
            <w:tcBorders>
              <w:top w:val="single" w:sz="4" w:space="0" w:color="000000"/>
              <w:left w:val="single" w:sz="4" w:space="0" w:color="000000"/>
              <w:bottom w:val="single" w:sz="4" w:space="0" w:color="000000"/>
              <w:right w:val="single" w:sz="4" w:space="0" w:color="000000"/>
            </w:tcBorders>
          </w:tcPr>
          <w:p w14:paraId="075D3C40"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1426 </w:t>
            </w:r>
          </w:p>
        </w:tc>
      </w:tr>
      <w:tr w:rsidR="00536CD0" w:rsidRPr="00617FC7" w14:paraId="5FBA3191"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552D18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VTE-vel összefüggő halál</w:t>
            </w:r>
          </w:p>
        </w:tc>
        <w:tc>
          <w:tcPr>
            <w:tcW w:w="2120" w:type="dxa"/>
            <w:tcBorders>
              <w:top w:val="single" w:sz="4" w:space="0" w:color="000000"/>
              <w:left w:val="single" w:sz="4" w:space="0" w:color="000000"/>
              <w:bottom w:val="single" w:sz="4" w:space="0" w:color="000000"/>
              <w:right w:val="single" w:sz="4" w:space="0" w:color="000000"/>
            </w:tcBorders>
            <w:vAlign w:val="center"/>
          </w:tcPr>
          <w:p w14:paraId="753BD9C3"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26 (1,8%)</w:t>
            </w:r>
          </w:p>
        </w:tc>
        <w:tc>
          <w:tcPr>
            <w:tcW w:w="2120" w:type="dxa"/>
            <w:tcBorders>
              <w:top w:val="single" w:sz="4" w:space="0" w:color="000000"/>
              <w:left w:val="single" w:sz="4" w:space="0" w:color="000000"/>
              <w:bottom w:val="single" w:sz="4" w:space="0" w:color="000000"/>
              <w:right w:val="single" w:sz="4" w:space="0" w:color="000000"/>
            </w:tcBorders>
            <w:vAlign w:val="center"/>
          </w:tcPr>
          <w:p w14:paraId="141E0BDF"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 (1,3%)</w:t>
            </w:r>
          </w:p>
        </w:tc>
      </w:tr>
      <w:tr w:rsidR="00536CD0" w:rsidRPr="00617FC7" w14:paraId="3D5518A7"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49B4D7B7" w14:textId="1AC15355" w:rsidR="00536CD0" w:rsidRPr="00617FC7" w:rsidRDefault="00536CD0" w:rsidP="00C66BBD">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(hazard ratio) a warfarinhoz képest (95%-os konfidencia intervallum)</w:t>
            </w:r>
          </w:p>
        </w:tc>
        <w:tc>
          <w:tcPr>
            <w:tcW w:w="2120" w:type="dxa"/>
            <w:tcBorders>
              <w:top w:val="single" w:sz="4" w:space="0" w:color="000000"/>
              <w:left w:val="single" w:sz="4" w:space="0" w:color="000000"/>
              <w:bottom w:val="single" w:sz="4" w:space="0" w:color="000000"/>
              <w:right w:val="single" w:sz="4" w:space="0" w:color="000000"/>
            </w:tcBorders>
            <w:vAlign w:val="center"/>
          </w:tcPr>
          <w:p w14:paraId="39C46D62"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1,44 (0,78, 2,64)</w:t>
            </w:r>
          </w:p>
        </w:tc>
        <w:tc>
          <w:tcPr>
            <w:tcW w:w="2120" w:type="dxa"/>
            <w:tcBorders>
              <w:top w:val="single" w:sz="4" w:space="0" w:color="000000"/>
              <w:left w:val="single" w:sz="4" w:space="0" w:color="000000"/>
              <w:bottom w:val="single" w:sz="4" w:space="0" w:color="000000"/>
              <w:right w:val="single" w:sz="4" w:space="0" w:color="000000"/>
            </w:tcBorders>
          </w:tcPr>
          <w:p w14:paraId="3FA523A4"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2EBA0233"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049FA2D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non-inferioritás</w:t>
            </w:r>
          </w:p>
        </w:tc>
        <w:tc>
          <w:tcPr>
            <w:tcW w:w="2120" w:type="dxa"/>
            <w:tcBorders>
              <w:top w:val="single" w:sz="4" w:space="0" w:color="000000"/>
              <w:left w:val="single" w:sz="4" w:space="0" w:color="000000"/>
              <w:bottom w:val="single" w:sz="4" w:space="0" w:color="000000"/>
              <w:right w:val="single" w:sz="4" w:space="0" w:color="000000"/>
            </w:tcBorders>
          </w:tcPr>
          <w:p w14:paraId="7B37330C"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2,85 </w:t>
            </w:r>
          </w:p>
        </w:tc>
        <w:tc>
          <w:tcPr>
            <w:tcW w:w="2120" w:type="dxa"/>
            <w:tcBorders>
              <w:top w:val="single" w:sz="4" w:space="0" w:color="000000"/>
              <w:left w:val="single" w:sz="4" w:space="0" w:color="000000"/>
              <w:bottom w:val="single" w:sz="4" w:space="0" w:color="000000"/>
              <w:right w:val="single" w:sz="4" w:space="0" w:color="000000"/>
            </w:tcBorders>
          </w:tcPr>
          <w:p w14:paraId="0FAE59DC"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0B2BDCD5"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30F317A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 hónapnál valamilyen eseményt jelentő betegek</w:t>
            </w:r>
          </w:p>
        </w:tc>
        <w:tc>
          <w:tcPr>
            <w:tcW w:w="2120" w:type="dxa"/>
            <w:tcBorders>
              <w:top w:val="single" w:sz="4" w:space="0" w:color="000000"/>
              <w:left w:val="single" w:sz="4" w:space="0" w:color="000000"/>
              <w:bottom w:val="single" w:sz="4" w:space="0" w:color="000000"/>
              <w:right w:val="single" w:sz="4" w:space="0" w:color="000000"/>
            </w:tcBorders>
            <w:vAlign w:val="center"/>
          </w:tcPr>
          <w:p w14:paraId="78DE1855"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w:t>
            </w:r>
          </w:p>
        </w:tc>
        <w:tc>
          <w:tcPr>
            <w:tcW w:w="2120" w:type="dxa"/>
            <w:tcBorders>
              <w:top w:val="single" w:sz="4" w:space="0" w:color="000000"/>
              <w:left w:val="single" w:sz="4" w:space="0" w:color="000000"/>
              <w:bottom w:val="single" w:sz="4" w:space="0" w:color="000000"/>
              <w:right w:val="single" w:sz="4" w:space="0" w:color="000000"/>
            </w:tcBorders>
            <w:vAlign w:val="center"/>
          </w:tcPr>
          <w:p w14:paraId="7B587275"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w:t>
            </w:r>
          </w:p>
        </w:tc>
      </w:tr>
      <w:tr w:rsidR="00536CD0" w:rsidRPr="00617FC7" w14:paraId="0AD2EFED"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CC38144" w14:textId="77777777" w:rsidR="00536CD0" w:rsidRPr="00617FC7" w:rsidRDefault="00536CD0" w:rsidP="00536CD0">
            <w:pPr>
              <w:ind w:right="1413"/>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Kumulatív kockázat 18 hónapnál (%)</w:t>
            </w:r>
          </w:p>
        </w:tc>
        <w:tc>
          <w:tcPr>
            <w:tcW w:w="2120" w:type="dxa"/>
            <w:tcBorders>
              <w:top w:val="single" w:sz="4" w:space="0" w:color="000000"/>
              <w:left w:val="single" w:sz="4" w:space="0" w:color="000000"/>
              <w:bottom w:val="single" w:sz="4" w:space="0" w:color="000000"/>
              <w:right w:val="single" w:sz="4" w:space="0" w:color="000000"/>
            </w:tcBorders>
            <w:vAlign w:val="center"/>
          </w:tcPr>
          <w:p w14:paraId="6342D5C8"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w:t>
            </w:r>
          </w:p>
        </w:tc>
        <w:tc>
          <w:tcPr>
            <w:tcW w:w="2120" w:type="dxa"/>
            <w:tcBorders>
              <w:top w:val="single" w:sz="4" w:space="0" w:color="000000"/>
              <w:left w:val="single" w:sz="4" w:space="0" w:color="000000"/>
              <w:bottom w:val="single" w:sz="4" w:space="0" w:color="000000"/>
              <w:right w:val="single" w:sz="4" w:space="0" w:color="000000"/>
            </w:tcBorders>
            <w:vAlign w:val="center"/>
          </w:tcPr>
          <w:p w14:paraId="16104FD2"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w:t>
            </w:r>
          </w:p>
        </w:tc>
      </w:tr>
      <w:tr w:rsidR="00536CD0" w:rsidRPr="00617FC7" w14:paraId="567DB036"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594B194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Kockázat különbség a warfarinhoz képest (%)</w:t>
            </w:r>
          </w:p>
        </w:tc>
        <w:tc>
          <w:tcPr>
            <w:tcW w:w="2120" w:type="dxa"/>
            <w:tcBorders>
              <w:top w:val="single" w:sz="4" w:space="0" w:color="000000"/>
              <w:left w:val="single" w:sz="4" w:space="0" w:color="000000"/>
              <w:bottom w:val="single" w:sz="4" w:space="0" w:color="000000"/>
              <w:right w:val="single" w:sz="4" w:space="0" w:color="000000"/>
            </w:tcBorders>
            <w:vAlign w:val="center"/>
          </w:tcPr>
          <w:p w14:paraId="3114E1BA"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0,4</w:t>
            </w:r>
          </w:p>
        </w:tc>
        <w:tc>
          <w:tcPr>
            <w:tcW w:w="2120" w:type="dxa"/>
            <w:tcBorders>
              <w:top w:val="single" w:sz="4" w:space="0" w:color="000000"/>
              <w:left w:val="single" w:sz="4" w:space="0" w:color="000000"/>
              <w:bottom w:val="single" w:sz="4" w:space="0" w:color="000000"/>
              <w:right w:val="single" w:sz="4" w:space="0" w:color="000000"/>
            </w:tcBorders>
          </w:tcPr>
          <w:p w14:paraId="092473DE"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21DBCD65"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EDDFA0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120" w:type="dxa"/>
            <w:tcBorders>
              <w:top w:val="single" w:sz="4" w:space="0" w:color="000000"/>
              <w:left w:val="single" w:sz="4" w:space="0" w:color="000000"/>
              <w:bottom w:val="single" w:sz="4" w:space="0" w:color="000000"/>
              <w:right w:val="single" w:sz="4" w:space="0" w:color="000000"/>
            </w:tcBorders>
          </w:tcPr>
          <w:p w14:paraId="14CDECC3" w14:textId="77777777" w:rsidR="00536CD0" w:rsidRPr="00617FC7" w:rsidRDefault="00536CD0" w:rsidP="00CF66F9">
            <w:pPr>
              <w:ind w:right="30"/>
              <w:rPr>
                <w:rFonts w:ascii="Times New Roman" w:eastAsia="Times New Roman" w:hAnsi="Times New Roman" w:cs="Times New Roman"/>
                <w:noProof w:val="0"/>
                <w:color w:val="000000"/>
                <w:lang w:val="hu-HU"/>
              </w:rPr>
            </w:pPr>
          </w:p>
        </w:tc>
        <w:tc>
          <w:tcPr>
            <w:tcW w:w="2120" w:type="dxa"/>
            <w:tcBorders>
              <w:top w:val="single" w:sz="4" w:space="0" w:color="000000"/>
              <w:left w:val="single" w:sz="4" w:space="0" w:color="000000"/>
              <w:bottom w:val="single" w:sz="4" w:space="0" w:color="000000"/>
              <w:right w:val="single" w:sz="4" w:space="0" w:color="000000"/>
            </w:tcBorders>
          </w:tcPr>
          <w:p w14:paraId="3B009EE0"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4E4C55C8"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0863634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a non-inferioritás</w:t>
            </w:r>
          </w:p>
        </w:tc>
        <w:tc>
          <w:tcPr>
            <w:tcW w:w="2120" w:type="dxa"/>
            <w:tcBorders>
              <w:top w:val="single" w:sz="4" w:space="0" w:color="000000"/>
              <w:left w:val="single" w:sz="4" w:space="0" w:color="000000"/>
              <w:bottom w:val="single" w:sz="4" w:space="0" w:color="000000"/>
              <w:right w:val="single" w:sz="4" w:space="0" w:color="000000"/>
            </w:tcBorders>
          </w:tcPr>
          <w:p w14:paraId="67E353A2"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2,8</w:t>
            </w:r>
          </w:p>
        </w:tc>
        <w:tc>
          <w:tcPr>
            <w:tcW w:w="2120" w:type="dxa"/>
            <w:tcBorders>
              <w:top w:val="single" w:sz="4" w:space="0" w:color="000000"/>
              <w:left w:val="single" w:sz="4" w:space="0" w:color="000000"/>
              <w:bottom w:val="single" w:sz="4" w:space="0" w:color="000000"/>
              <w:right w:val="single" w:sz="4" w:space="0" w:color="000000"/>
            </w:tcBorders>
          </w:tcPr>
          <w:p w14:paraId="170C4F56"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3C6CF853"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6183B4B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Szekunder hatásossági végpontok</w:t>
            </w:r>
          </w:p>
        </w:tc>
        <w:tc>
          <w:tcPr>
            <w:tcW w:w="2120" w:type="dxa"/>
            <w:tcBorders>
              <w:top w:val="single" w:sz="4" w:space="0" w:color="000000"/>
              <w:left w:val="single" w:sz="4" w:space="0" w:color="000000"/>
              <w:bottom w:val="single" w:sz="4" w:space="0" w:color="000000"/>
              <w:right w:val="single" w:sz="4" w:space="0" w:color="000000"/>
            </w:tcBorders>
          </w:tcPr>
          <w:p w14:paraId="14B7DEBE" w14:textId="77777777" w:rsidR="00536CD0" w:rsidRPr="00617FC7" w:rsidRDefault="00536CD0" w:rsidP="00CF66F9">
            <w:pPr>
              <w:ind w:right="30"/>
              <w:rPr>
                <w:rFonts w:ascii="Times New Roman" w:eastAsia="Times New Roman" w:hAnsi="Times New Roman" w:cs="Times New Roman"/>
                <w:noProof w:val="0"/>
                <w:color w:val="000000"/>
                <w:lang w:val="hu-HU"/>
              </w:rPr>
            </w:pPr>
          </w:p>
        </w:tc>
        <w:tc>
          <w:tcPr>
            <w:tcW w:w="2120" w:type="dxa"/>
            <w:tcBorders>
              <w:top w:val="single" w:sz="4" w:space="0" w:color="000000"/>
              <w:left w:val="single" w:sz="4" w:space="0" w:color="000000"/>
              <w:bottom w:val="single" w:sz="4" w:space="0" w:color="000000"/>
              <w:right w:val="single" w:sz="4" w:space="0" w:color="000000"/>
            </w:tcBorders>
          </w:tcPr>
          <w:p w14:paraId="6CE8DCD6" w14:textId="77777777" w:rsidR="00536CD0" w:rsidRPr="00617FC7" w:rsidRDefault="00536CD0" w:rsidP="00CF66F9">
            <w:pPr>
              <w:ind w:right="30"/>
              <w:rPr>
                <w:rFonts w:ascii="Times New Roman" w:eastAsia="Times New Roman" w:hAnsi="Times New Roman" w:cs="Times New Roman"/>
                <w:noProof w:val="0"/>
                <w:color w:val="000000"/>
                <w:lang w:val="hu-HU"/>
              </w:rPr>
            </w:pPr>
          </w:p>
        </w:tc>
      </w:tr>
      <w:tr w:rsidR="00536CD0" w:rsidRPr="00617FC7" w14:paraId="459CE698"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3B7F6849"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összhalálozás</w:t>
            </w:r>
          </w:p>
        </w:tc>
        <w:tc>
          <w:tcPr>
            <w:tcW w:w="2120" w:type="dxa"/>
            <w:tcBorders>
              <w:top w:val="single" w:sz="4" w:space="0" w:color="000000"/>
              <w:left w:val="single" w:sz="4" w:space="0" w:color="000000"/>
              <w:bottom w:val="single" w:sz="4" w:space="0" w:color="000000"/>
              <w:right w:val="single" w:sz="4" w:space="0" w:color="000000"/>
            </w:tcBorders>
            <w:vAlign w:val="center"/>
          </w:tcPr>
          <w:p w14:paraId="21D09416"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42 (2,9%)</w:t>
            </w:r>
          </w:p>
        </w:tc>
        <w:tc>
          <w:tcPr>
            <w:tcW w:w="2120" w:type="dxa"/>
            <w:tcBorders>
              <w:top w:val="single" w:sz="4" w:space="0" w:color="000000"/>
              <w:left w:val="single" w:sz="4" w:space="0" w:color="000000"/>
              <w:bottom w:val="single" w:sz="4" w:space="0" w:color="000000"/>
              <w:right w:val="single" w:sz="4" w:space="0" w:color="000000"/>
            </w:tcBorders>
            <w:vAlign w:val="center"/>
          </w:tcPr>
          <w:p w14:paraId="59CDC21E"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36 (2,5%)</w:t>
            </w:r>
          </w:p>
        </w:tc>
      </w:tr>
      <w:tr w:rsidR="00536CD0" w:rsidRPr="00617FC7" w14:paraId="58C556C8"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F472C1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95%-os konfidencia intervallum </w:t>
            </w:r>
          </w:p>
        </w:tc>
        <w:tc>
          <w:tcPr>
            <w:tcW w:w="2120" w:type="dxa"/>
            <w:tcBorders>
              <w:top w:val="single" w:sz="4" w:space="0" w:color="000000"/>
              <w:left w:val="single" w:sz="4" w:space="0" w:color="000000"/>
              <w:bottom w:val="single" w:sz="4" w:space="0" w:color="000000"/>
              <w:right w:val="single" w:sz="4" w:space="0" w:color="000000"/>
            </w:tcBorders>
          </w:tcPr>
          <w:p w14:paraId="5872294B"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2,12, 3,95</w:t>
            </w:r>
          </w:p>
        </w:tc>
        <w:tc>
          <w:tcPr>
            <w:tcW w:w="2120" w:type="dxa"/>
            <w:tcBorders>
              <w:top w:val="single" w:sz="4" w:space="0" w:color="000000"/>
              <w:left w:val="single" w:sz="4" w:space="0" w:color="000000"/>
              <w:bottom w:val="single" w:sz="4" w:space="0" w:color="000000"/>
              <w:right w:val="single" w:sz="4" w:space="0" w:color="000000"/>
            </w:tcBorders>
          </w:tcPr>
          <w:p w14:paraId="2EA70707"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1,77, 3,48</w:t>
            </w:r>
          </w:p>
        </w:tc>
      </w:tr>
      <w:tr w:rsidR="00536CD0" w:rsidRPr="00617FC7" w14:paraId="6659A5B6"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59F1C3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MVT</w:t>
            </w:r>
          </w:p>
        </w:tc>
        <w:tc>
          <w:tcPr>
            <w:tcW w:w="2120" w:type="dxa"/>
            <w:tcBorders>
              <w:top w:val="single" w:sz="4" w:space="0" w:color="000000"/>
              <w:left w:val="single" w:sz="4" w:space="0" w:color="000000"/>
              <w:bottom w:val="single" w:sz="4" w:space="0" w:color="000000"/>
              <w:right w:val="single" w:sz="4" w:space="0" w:color="000000"/>
            </w:tcBorders>
          </w:tcPr>
          <w:p w14:paraId="640915A2"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 (1,2%)</w:t>
            </w:r>
          </w:p>
        </w:tc>
        <w:tc>
          <w:tcPr>
            <w:tcW w:w="2120" w:type="dxa"/>
            <w:tcBorders>
              <w:top w:val="single" w:sz="4" w:space="0" w:color="000000"/>
              <w:left w:val="single" w:sz="4" w:space="0" w:color="000000"/>
              <w:bottom w:val="single" w:sz="4" w:space="0" w:color="000000"/>
              <w:right w:val="single" w:sz="4" w:space="0" w:color="000000"/>
            </w:tcBorders>
          </w:tcPr>
          <w:p w14:paraId="4B8FCA88"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 (0,9%)</w:t>
            </w:r>
          </w:p>
        </w:tc>
      </w:tr>
      <w:tr w:rsidR="00536CD0" w:rsidRPr="00617FC7" w14:paraId="5A2118D4"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18371CF3"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120" w:type="dxa"/>
            <w:tcBorders>
              <w:top w:val="single" w:sz="4" w:space="0" w:color="000000"/>
              <w:left w:val="single" w:sz="4" w:space="0" w:color="000000"/>
              <w:bottom w:val="single" w:sz="4" w:space="0" w:color="000000"/>
              <w:right w:val="single" w:sz="4" w:space="0" w:color="000000"/>
            </w:tcBorders>
          </w:tcPr>
          <w:p w14:paraId="155E43FD"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0,69, 1,90</w:t>
            </w:r>
          </w:p>
        </w:tc>
        <w:tc>
          <w:tcPr>
            <w:tcW w:w="2120" w:type="dxa"/>
            <w:tcBorders>
              <w:top w:val="single" w:sz="4" w:space="0" w:color="000000"/>
              <w:left w:val="single" w:sz="4" w:space="0" w:color="000000"/>
              <w:bottom w:val="single" w:sz="4" w:space="0" w:color="000000"/>
              <w:right w:val="single" w:sz="4" w:space="0" w:color="000000"/>
            </w:tcBorders>
          </w:tcPr>
          <w:p w14:paraId="5C62ECBE"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0,49, 1,55</w:t>
            </w:r>
          </w:p>
        </w:tc>
      </w:tr>
      <w:tr w:rsidR="00536CD0" w:rsidRPr="00617FC7" w14:paraId="75FC4032"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42C254C2"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PE</w:t>
            </w:r>
          </w:p>
        </w:tc>
        <w:tc>
          <w:tcPr>
            <w:tcW w:w="2120" w:type="dxa"/>
            <w:tcBorders>
              <w:top w:val="single" w:sz="4" w:space="0" w:color="000000"/>
              <w:left w:val="single" w:sz="4" w:space="0" w:color="000000"/>
              <w:bottom w:val="single" w:sz="4" w:space="0" w:color="000000"/>
              <w:right w:val="single" w:sz="4" w:space="0" w:color="000000"/>
            </w:tcBorders>
          </w:tcPr>
          <w:p w14:paraId="343A64DA"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10 (0,7%)</w:t>
            </w:r>
          </w:p>
        </w:tc>
        <w:tc>
          <w:tcPr>
            <w:tcW w:w="2120" w:type="dxa"/>
            <w:tcBorders>
              <w:top w:val="single" w:sz="4" w:space="0" w:color="000000"/>
              <w:left w:val="single" w:sz="4" w:space="0" w:color="000000"/>
              <w:bottom w:val="single" w:sz="4" w:space="0" w:color="000000"/>
              <w:right w:val="single" w:sz="4" w:space="0" w:color="000000"/>
            </w:tcBorders>
          </w:tcPr>
          <w:p w14:paraId="3F3BD8E3"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5 (0,4%)</w:t>
            </w:r>
          </w:p>
        </w:tc>
      </w:tr>
      <w:tr w:rsidR="00536CD0" w:rsidRPr="00617FC7" w14:paraId="05BE626B"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6937C62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120" w:type="dxa"/>
            <w:tcBorders>
              <w:top w:val="single" w:sz="4" w:space="0" w:color="000000"/>
              <w:left w:val="single" w:sz="4" w:space="0" w:color="000000"/>
              <w:bottom w:val="single" w:sz="4" w:space="0" w:color="000000"/>
              <w:right w:val="single" w:sz="4" w:space="0" w:color="000000"/>
            </w:tcBorders>
          </w:tcPr>
          <w:p w14:paraId="1BB9E073"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0,34, 1,28</w:t>
            </w:r>
          </w:p>
        </w:tc>
        <w:tc>
          <w:tcPr>
            <w:tcW w:w="2120" w:type="dxa"/>
            <w:tcBorders>
              <w:top w:val="single" w:sz="4" w:space="0" w:color="000000"/>
              <w:left w:val="single" w:sz="4" w:space="0" w:color="000000"/>
              <w:bottom w:val="single" w:sz="4" w:space="0" w:color="000000"/>
              <w:right w:val="single" w:sz="4" w:space="0" w:color="000000"/>
            </w:tcBorders>
          </w:tcPr>
          <w:p w14:paraId="44E44F2E"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0,11, 0,82</w:t>
            </w:r>
          </w:p>
        </w:tc>
      </w:tr>
      <w:tr w:rsidR="00536CD0" w:rsidRPr="00617FC7" w14:paraId="65B7AD25"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73D25A0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VTE-vel összefüggő halál</w:t>
            </w:r>
          </w:p>
        </w:tc>
        <w:tc>
          <w:tcPr>
            <w:tcW w:w="2120" w:type="dxa"/>
            <w:tcBorders>
              <w:top w:val="single" w:sz="4" w:space="0" w:color="000000"/>
              <w:left w:val="single" w:sz="4" w:space="0" w:color="000000"/>
              <w:bottom w:val="single" w:sz="4" w:space="0" w:color="000000"/>
              <w:right w:val="single" w:sz="4" w:space="0" w:color="000000"/>
            </w:tcBorders>
          </w:tcPr>
          <w:p w14:paraId="67D43FAA"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(0,1%)</w:t>
            </w:r>
          </w:p>
        </w:tc>
        <w:tc>
          <w:tcPr>
            <w:tcW w:w="2120" w:type="dxa"/>
            <w:tcBorders>
              <w:top w:val="single" w:sz="4" w:space="0" w:color="000000"/>
              <w:left w:val="single" w:sz="4" w:space="0" w:color="000000"/>
              <w:bottom w:val="single" w:sz="4" w:space="0" w:color="000000"/>
              <w:right w:val="single" w:sz="4" w:space="0" w:color="000000"/>
            </w:tcBorders>
          </w:tcPr>
          <w:p w14:paraId="549B5278"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(0,1%)</w:t>
            </w:r>
          </w:p>
        </w:tc>
      </w:tr>
      <w:tr w:rsidR="00536CD0" w:rsidRPr="00617FC7" w14:paraId="56BD15D8"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527A3F5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120" w:type="dxa"/>
            <w:tcBorders>
              <w:top w:val="single" w:sz="4" w:space="0" w:color="000000"/>
              <w:left w:val="single" w:sz="4" w:space="0" w:color="000000"/>
              <w:bottom w:val="single" w:sz="4" w:space="0" w:color="000000"/>
              <w:right w:val="single" w:sz="4" w:space="0" w:color="000000"/>
            </w:tcBorders>
          </w:tcPr>
          <w:p w14:paraId="36DC6005"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0,00, 0,39</w:t>
            </w:r>
          </w:p>
        </w:tc>
        <w:tc>
          <w:tcPr>
            <w:tcW w:w="2120" w:type="dxa"/>
            <w:tcBorders>
              <w:top w:val="single" w:sz="4" w:space="0" w:color="000000"/>
              <w:left w:val="single" w:sz="4" w:space="0" w:color="000000"/>
              <w:bottom w:val="single" w:sz="4" w:space="0" w:color="000000"/>
              <w:right w:val="single" w:sz="4" w:space="0" w:color="000000"/>
            </w:tcBorders>
          </w:tcPr>
          <w:p w14:paraId="3F5C65E0"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0,00, 0,39</w:t>
            </w:r>
          </w:p>
        </w:tc>
      </w:tr>
      <w:tr w:rsidR="00536CD0" w:rsidRPr="00617FC7" w14:paraId="1E0AF63D"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EFBE6A5"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Összhalálozás</w:t>
            </w:r>
          </w:p>
        </w:tc>
        <w:tc>
          <w:tcPr>
            <w:tcW w:w="2120" w:type="dxa"/>
            <w:tcBorders>
              <w:top w:val="single" w:sz="4" w:space="0" w:color="000000"/>
              <w:left w:val="single" w:sz="4" w:space="0" w:color="000000"/>
              <w:bottom w:val="single" w:sz="4" w:space="0" w:color="000000"/>
              <w:right w:val="single" w:sz="4" w:space="0" w:color="000000"/>
            </w:tcBorders>
          </w:tcPr>
          <w:p w14:paraId="10CC265B"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17 (1,2%)</w:t>
            </w:r>
          </w:p>
        </w:tc>
        <w:tc>
          <w:tcPr>
            <w:tcW w:w="2120" w:type="dxa"/>
            <w:tcBorders>
              <w:top w:val="single" w:sz="4" w:space="0" w:color="000000"/>
              <w:left w:val="single" w:sz="4" w:space="0" w:color="000000"/>
              <w:bottom w:val="single" w:sz="4" w:space="0" w:color="000000"/>
              <w:right w:val="single" w:sz="4" w:space="0" w:color="000000"/>
            </w:tcBorders>
          </w:tcPr>
          <w:p w14:paraId="02E81F71"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19 (1,3%)</w:t>
            </w:r>
          </w:p>
        </w:tc>
      </w:tr>
      <w:tr w:rsidR="00536CD0" w:rsidRPr="00617FC7" w14:paraId="2A7F9AA2" w14:textId="77777777" w:rsidTr="00CF66F9">
        <w:trPr>
          <w:trHeight w:val="113"/>
        </w:trPr>
        <w:tc>
          <w:tcPr>
            <w:tcW w:w="4436" w:type="dxa"/>
            <w:tcBorders>
              <w:top w:val="single" w:sz="4" w:space="0" w:color="000000"/>
              <w:left w:val="single" w:sz="4" w:space="0" w:color="000000"/>
              <w:bottom w:val="single" w:sz="4" w:space="0" w:color="000000"/>
              <w:right w:val="single" w:sz="4" w:space="0" w:color="000000"/>
            </w:tcBorders>
          </w:tcPr>
          <w:p w14:paraId="259540E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120" w:type="dxa"/>
            <w:tcBorders>
              <w:top w:val="single" w:sz="4" w:space="0" w:color="000000"/>
              <w:left w:val="single" w:sz="4" w:space="0" w:color="000000"/>
              <w:bottom w:val="single" w:sz="4" w:space="0" w:color="000000"/>
              <w:right w:val="single" w:sz="4" w:space="0" w:color="000000"/>
            </w:tcBorders>
          </w:tcPr>
          <w:p w14:paraId="69E6C37D"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0,69, 1,90</w:t>
            </w:r>
          </w:p>
        </w:tc>
        <w:tc>
          <w:tcPr>
            <w:tcW w:w="2120" w:type="dxa"/>
            <w:tcBorders>
              <w:top w:val="single" w:sz="4" w:space="0" w:color="000000"/>
              <w:left w:val="single" w:sz="4" w:space="0" w:color="000000"/>
              <w:bottom w:val="single" w:sz="4" w:space="0" w:color="000000"/>
              <w:right w:val="single" w:sz="4" w:space="0" w:color="000000"/>
            </w:tcBorders>
          </w:tcPr>
          <w:p w14:paraId="54E684C0" w14:textId="77777777" w:rsidR="00536CD0" w:rsidRPr="00617FC7" w:rsidRDefault="00536CD0" w:rsidP="00CF66F9">
            <w:pPr>
              <w:ind w:right="30"/>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0,80, 2,07</w:t>
            </w:r>
          </w:p>
        </w:tc>
      </w:tr>
    </w:tbl>
    <w:p w14:paraId="7C5C0D5E" w14:textId="77777777" w:rsidR="00536CD0" w:rsidRPr="00617FC7" w:rsidRDefault="00536CD0" w:rsidP="00536CD0">
      <w:pPr>
        <w:spacing w:after="0" w:line="240" w:lineRule="auto"/>
        <w:ind w:left="7" w:right="142" w:hanging="10"/>
        <w:rPr>
          <w:rFonts w:ascii="Times New Roman" w:eastAsia="Times New Roman" w:hAnsi="Times New Roman" w:cs="Times New Roman"/>
          <w:noProof w:val="0"/>
          <w:color w:val="000000"/>
          <w:kern w:val="0"/>
          <w:lang w:val="hu-HU" w:eastAsia="hu-HU"/>
          <w14:ligatures w14:val="none"/>
        </w:rPr>
      </w:pPr>
    </w:p>
    <w:p w14:paraId="7279CB27" w14:textId="05A69A0E" w:rsidR="00536CD0" w:rsidRPr="00617FC7" w:rsidRDefault="00536CD0" w:rsidP="00536CD0">
      <w:pPr>
        <w:spacing w:after="0" w:line="240" w:lineRule="auto"/>
        <w:ind w:left="7" w:right="14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A RE-SONATE vizsgálat célja a dabigatrán-etexilát visszatérő szimptómás MVT és/PE prevenciójában mutatott szuperioritásának értékelése a placebóhoz képest olyan betegeknél, akik már legalább 6</w:t>
      </w:r>
      <w:r w:rsidR="001C046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18 hónapja K-vitamin antagonista kezelésben részesülnek. A tervezett kezelés kétszer 150 mg dabigatrán-etexilát volt 6 hónapon át, monitorozás szükségessége nélkül.</w:t>
      </w:r>
    </w:p>
    <w:p w14:paraId="457388A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RE-SONATE vizsgálat igazolta a dabigatrán-etexilát placebóhoz viszonyított, a visszatérő szimptómás MVT/PE prevenciójában mutatott szuperioritását, beleértve az ismeretlen okú haláleseteket is, a kezelési időszak alatt a kockázat 5,6%-ról 0,4%-ra csökkent (a relatív hazárdon alapuló relatív kockázatcsökkenés 92% (p&lt;0,0001). A primer végpontok szekunder és szenzitivitási elemzése és minden szekunder végpont a dabigatrán-etexilát placebóhoz viszonyított szuperioritását igazolta.</w:t>
      </w:r>
    </w:p>
    <w:p w14:paraId="7C4F829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vizsgálat magában foglalt egy 12 hónapos megfigyeléses utánkövetést a kezelés befejezését követően. A gyógyszerelés leállítását követően a hatás a megfigyelési időszak végéig fennmaradt, ami arra utal, hogy a kezdeti dabigatrán-etexilát-kezelés hatása tartós volt. Rebound hatást nem figyeltek meg. A követés végére a VTE események a dabigatrán-etexiláttal kezelt betegek 6,9%-ánál, míg a placebót kapók 10,7%-ánál voltak észlelhetők (relatív hazárd 0,61 [95% CI 0,42, 0,88], [p=0,0082]).</w:t>
      </w:r>
    </w:p>
    <w:p w14:paraId="115256C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ED76AC2" w14:textId="77777777" w:rsidR="00536CD0" w:rsidRPr="00617FC7" w:rsidRDefault="00536CD0" w:rsidP="00536CD0">
      <w:pPr>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29. táblázat. A primer és szekunder hatásossági végpontok (a VTE az MVT és/vagy PE együtt) a kezelés utáni időszak végéig a RE-SONATE vizsgálatban</w:t>
      </w:r>
    </w:p>
    <w:p w14:paraId="492747E1" w14:textId="77777777" w:rsidR="00536CD0" w:rsidRPr="00617FC7" w:rsidRDefault="00536CD0" w:rsidP="00536CD0">
      <w:pPr>
        <w:spacing w:after="0" w:line="240" w:lineRule="auto"/>
        <w:ind w:left="1274" w:hanging="1277"/>
        <w:rPr>
          <w:rFonts w:ascii="Times New Roman" w:eastAsia="Times New Roman" w:hAnsi="Times New Roman" w:cs="Times New Roman"/>
          <w:bCs/>
          <w:noProof w:val="0"/>
          <w:color w:val="000000"/>
          <w:kern w:val="0"/>
          <w:lang w:val="hu-HU" w:eastAsia="hu-HU"/>
          <w14:ligatures w14:val="none"/>
        </w:rPr>
      </w:pPr>
    </w:p>
    <w:tbl>
      <w:tblPr>
        <w:tblStyle w:val="TableGrid"/>
        <w:tblW w:w="8960" w:type="dxa"/>
        <w:tblInd w:w="-34" w:type="dxa"/>
        <w:tblCellMar>
          <w:top w:w="51" w:type="dxa"/>
          <w:left w:w="70" w:type="dxa"/>
          <w:right w:w="25" w:type="dxa"/>
        </w:tblCellMar>
        <w:tblLook w:val="04A0" w:firstRow="1" w:lastRow="0" w:firstColumn="1" w:lastColumn="0" w:noHBand="0" w:noVBand="1"/>
      </w:tblPr>
      <w:tblGrid>
        <w:gridCol w:w="3973"/>
        <w:gridCol w:w="2493"/>
        <w:gridCol w:w="2494"/>
      </w:tblGrid>
      <w:tr w:rsidR="00536CD0" w:rsidRPr="00617FC7" w14:paraId="79387888"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02FD4D72" w14:textId="77777777" w:rsidR="00536CD0" w:rsidRPr="00617FC7" w:rsidRDefault="00536CD0" w:rsidP="00536CD0">
            <w:pPr>
              <w:rPr>
                <w:rFonts w:ascii="Times New Roman" w:eastAsia="Times New Roman" w:hAnsi="Times New Roman" w:cs="Times New Roman"/>
                <w:noProof w:val="0"/>
                <w:color w:val="000000"/>
                <w:lang w:val="hu-HU"/>
              </w:rPr>
            </w:pPr>
          </w:p>
        </w:tc>
        <w:tc>
          <w:tcPr>
            <w:tcW w:w="2493" w:type="dxa"/>
            <w:tcBorders>
              <w:top w:val="single" w:sz="4" w:space="0" w:color="000000"/>
              <w:left w:val="single" w:sz="4" w:space="0" w:color="000000"/>
              <w:bottom w:val="single" w:sz="4" w:space="0" w:color="000000"/>
              <w:right w:val="single" w:sz="6" w:space="0" w:color="000000"/>
            </w:tcBorders>
          </w:tcPr>
          <w:p w14:paraId="4A90C590" w14:textId="77777777" w:rsidR="00536CD0" w:rsidRPr="00617FC7" w:rsidRDefault="00536CD0" w:rsidP="001C0464">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Dabigatrán-etexilát naponta kétszer 150 mg</w:t>
            </w:r>
          </w:p>
        </w:tc>
        <w:tc>
          <w:tcPr>
            <w:tcW w:w="2494" w:type="dxa"/>
            <w:tcBorders>
              <w:top w:val="single" w:sz="4" w:space="0" w:color="000000"/>
              <w:left w:val="single" w:sz="6" w:space="0" w:color="000000"/>
              <w:bottom w:val="single" w:sz="4" w:space="0" w:color="000000"/>
              <w:right w:val="single" w:sz="4" w:space="0" w:color="000000"/>
            </w:tcBorders>
          </w:tcPr>
          <w:p w14:paraId="2EF7F32B"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Placebo</w:t>
            </w:r>
          </w:p>
        </w:tc>
      </w:tr>
      <w:tr w:rsidR="00536CD0" w:rsidRPr="00617FC7" w14:paraId="7ECE455C"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0674F74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Kezelt betegek </w:t>
            </w:r>
          </w:p>
        </w:tc>
        <w:tc>
          <w:tcPr>
            <w:tcW w:w="2493" w:type="dxa"/>
            <w:tcBorders>
              <w:top w:val="single" w:sz="4" w:space="0" w:color="000000"/>
              <w:left w:val="single" w:sz="4" w:space="0" w:color="000000"/>
              <w:bottom w:val="single" w:sz="4" w:space="0" w:color="000000"/>
              <w:right w:val="single" w:sz="6" w:space="0" w:color="000000"/>
            </w:tcBorders>
          </w:tcPr>
          <w:p w14:paraId="503F8B5A"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681 </w:t>
            </w:r>
          </w:p>
        </w:tc>
        <w:tc>
          <w:tcPr>
            <w:tcW w:w="2494" w:type="dxa"/>
            <w:tcBorders>
              <w:top w:val="single" w:sz="4" w:space="0" w:color="000000"/>
              <w:left w:val="single" w:sz="6" w:space="0" w:color="000000"/>
              <w:bottom w:val="single" w:sz="4" w:space="0" w:color="000000"/>
              <w:right w:val="single" w:sz="4" w:space="0" w:color="000000"/>
            </w:tcBorders>
          </w:tcPr>
          <w:p w14:paraId="30D1E1C0"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662 </w:t>
            </w:r>
          </w:p>
        </w:tc>
      </w:tr>
      <w:tr w:rsidR="00536CD0" w:rsidRPr="00617FC7" w14:paraId="2DA9DA97"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4A47C69E"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azzal összefüggő halál</w:t>
            </w:r>
          </w:p>
        </w:tc>
        <w:tc>
          <w:tcPr>
            <w:tcW w:w="2493" w:type="dxa"/>
            <w:tcBorders>
              <w:top w:val="single" w:sz="4" w:space="0" w:color="000000"/>
              <w:left w:val="single" w:sz="4" w:space="0" w:color="000000"/>
              <w:bottom w:val="single" w:sz="4" w:space="0" w:color="000000"/>
              <w:right w:val="single" w:sz="6" w:space="0" w:color="000000"/>
            </w:tcBorders>
            <w:vAlign w:val="center"/>
          </w:tcPr>
          <w:p w14:paraId="3E9B8054"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 (0,4%)</w:t>
            </w:r>
          </w:p>
        </w:tc>
        <w:tc>
          <w:tcPr>
            <w:tcW w:w="2494" w:type="dxa"/>
            <w:tcBorders>
              <w:top w:val="single" w:sz="4" w:space="0" w:color="000000"/>
              <w:left w:val="single" w:sz="6" w:space="0" w:color="000000"/>
              <w:bottom w:val="single" w:sz="4" w:space="0" w:color="000000"/>
              <w:right w:val="single" w:sz="4" w:space="0" w:color="000000"/>
            </w:tcBorders>
            <w:vAlign w:val="center"/>
          </w:tcPr>
          <w:p w14:paraId="6E96E3B0"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37 (5,6%)</w:t>
            </w:r>
          </w:p>
        </w:tc>
      </w:tr>
      <w:tr w:rsidR="00536CD0" w:rsidRPr="00617FC7" w14:paraId="450F6E8C"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68338BE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Relatív hazárd vs placebo</w:t>
            </w:r>
          </w:p>
          <w:p w14:paraId="1C89F2FC"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733B6285"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0,08 (0,02, 0,25)</w:t>
            </w:r>
          </w:p>
        </w:tc>
        <w:tc>
          <w:tcPr>
            <w:tcW w:w="2494" w:type="dxa"/>
            <w:tcBorders>
              <w:top w:val="single" w:sz="4" w:space="0" w:color="000000"/>
              <w:left w:val="single" w:sz="6" w:space="0" w:color="000000"/>
              <w:bottom w:val="single" w:sz="4" w:space="0" w:color="000000"/>
              <w:right w:val="single" w:sz="4" w:space="0" w:color="000000"/>
            </w:tcBorders>
          </w:tcPr>
          <w:p w14:paraId="483F7244" w14:textId="77777777" w:rsidR="00536CD0" w:rsidRPr="00617FC7" w:rsidRDefault="00536CD0" w:rsidP="00CF66F9">
            <w:pPr>
              <w:ind w:left="75" w:right="116"/>
              <w:rPr>
                <w:rFonts w:ascii="Times New Roman" w:eastAsia="Times New Roman" w:hAnsi="Times New Roman" w:cs="Times New Roman"/>
                <w:noProof w:val="0"/>
                <w:color w:val="000000"/>
                <w:lang w:val="hu-HU"/>
              </w:rPr>
            </w:pPr>
          </w:p>
        </w:tc>
      </w:tr>
      <w:tr w:rsidR="00536CD0" w:rsidRPr="00617FC7" w14:paraId="0675F388"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7C10D483" w14:textId="77777777" w:rsidR="00536CD0" w:rsidRPr="00617FC7" w:rsidRDefault="00536CD0" w:rsidP="00536CD0">
            <w:pPr>
              <w:tabs>
                <w:tab w:val="right" w:pos="2218"/>
              </w:tabs>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A szuperioritásra vonatkozó p-érték </w:t>
            </w:r>
          </w:p>
        </w:tc>
        <w:tc>
          <w:tcPr>
            <w:tcW w:w="2493" w:type="dxa"/>
            <w:tcBorders>
              <w:top w:val="single" w:sz="4" w:space="0" w:color="000000"/>
              <w:left w:val="single" w:sz="4" w:space="0" w:color="000000"/>
              <w:bottom w:val="single" w:sz="4" w:space="0" w:color="000000"/>
              <w:right w:val="single" w:sz="6" w:space="0" w:color="000000"/>
            </w:tcBorders>
            <w:vAlign w:val="center"/>
          </w:tcPr>
          <w:p w14:paraId="2CB595C2" w14:textId="6370CB13"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w:t>
            </w:r>
            <w:r w:rsidR="001C046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0,0001</w:t>
            </w:r>
          </w:p>
        </w:tc>
        <w:tc>
          <w:tcPr>
            <w:tcW w:w="2494" w:type="dxa"/>
            <w:tcBorders>
              <w:top w:val="single" w:sz="4" w:space="0" w:color="000000"/>
              <w:left w:val="single" w:sz="6" w:space="0" w:color="000000"/>
              <w:bottom w:val="single" w:sz="4" w:space="0" w:color="000000"/>
              <w:right w:val="single" w:sz="4" w:space="0" w:color="000000"/>
            </w:tcBorders>
          </w:tcPr>
          <w:p w14:paraId="4D3F0A2B" w14:textId="77777777" w:rsidR="00536CD0" w:rsidRPr="00617FC7" w:rsidRDefault="00536CD0" w:rsidP="00CF66F9">
            <w:pPr>
              <w:ind w:left="75" w:right="116"/>
              <w:rPr>
                <w:rFonts w:ascii="Times New Roman" w:eastAsia="Times New Roman" w:hAnsi="Times New Roman" w:cs="Times New Roman"/>
                <w:noProof w:val="0"/>
                <w:color w:val="000000"/>
                <w:lang w:val="hu-HU"/>
              </w:rPr>
            </w:pPr>
          </w:p>
        </w:tc>
      </w:tr>
      <w:tr w:rsidR="00536CD0" w:rsidRPr="00617FC7" w14:paraId="6BCF8AA9"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760C6F1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Szekunder hatásossági végpontok</w:t>
            </w:r>
          </w:p>
        </w:tc>
        <w:tc>
          <w:tcPr>
            <w:tcW w:w="2493" w:type="dxa"/>
            <w:tcBorders>
              <w:top w:val="single" w:sz="4" w:space="0" w:color="000000"/>
              <w:left w:val="single" w:sz="4" w:space="0" w:color="000000"/>
              <w:bottom w:val="single" w:sz="4" w:space="0" w:color="000000"/>
              <w:right w:val="single" w:sz="6" w:space="0" w:color="000000"/>
            </w:tcBorders>
          </w:tcPr>
          <w:p w14:paraId="560D9DAA" w14:textId="77777777" w:rsidR="00536CD0" w:rsidRPr="00617FC7" w:rsidRDefault="00536CD0" w:rsidP="00CF66F9">
            <w:pPr>
              <w:ind w:left="75" w:right="116"/>
              <w:rPr>
                <w:rFonts w:ascii="Times New Roman" w:eastAsia="Times New Roman" w:hAnsi="Times New Roman" w:cs="Times New Roman"/>
                <w:noProof w:val="0"/>
                <w:color w:val="000000"/>
                <w:lang w:val="hu-HU"/>
              </w:rPr>
            </w:pPr>
          </w:p>
        </w:tc>
        <w:tc>
          <w:tcPr>
            <w:tcW w:w="2494" w:type="dxa"/>
            <w:tcBorders>
              <w:top w:val="single" w:sz="4" w:space="0" w:color="000000"/>
              <w:left w:val="single" w:sz="6" w:space="0" w:color="000000"/>
              <w:bottom w:val="single" w:sz="4" w:space="0" w:color="000000"/>
              <w:right w:val="single" w:sz="4" w:space="0" w:color="000000"/>
            </w:tcBorders>
          </w:tcPr>
          <w:p w14:paraId="63666F7A" w14:textId="77777777" w:rsidR="00536CD0" w:rsidRPr="00617FC7" w:rsidRDefault="00536CD0" w:rsidP="00CF66F9">
            <w:pPr>
              <w:ind w:left="75" w:right="116"/>
              <w:rPr>
                <w:rFonts w:ascii="Times New Roman" w:eastAsia="Times New Roman" w:hAnsi="Times New Roman" w:cs="Times New Roman"/>
                <w:noProof w:val="0"/>
                <w:color w:val="000000"/>
                <w:lang w:val="hu-HU"/>
              </w:rPr>
            </w:pPr>
          </w:p>
        </w:tc>
      </w:tr>
      <w:tr w:rsidR="00536CD0" w:rsidRPr="00617FC7" w14:paraId="0B0E50F7"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1407727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Visszatérő szimptómás VTE és összhalálozás</w:t>
            </w:r>
          </w:p>
        </w:tc>
        <w:tc>
          <w:tcPr>
            <w:tcW w:w="2493" w:type="dxa"/>
            <w:tcBorders>
              <w:top w:val="single" w:sz="4" w:space="0" w:color="000000"/>
              <w:left w:val="single" w:sz="4" w:space="0" w:color="000000"/>
              <w:bottom w:val="single" w:sz="4" w:space="0" w:color="000000"/>
              <w:right w:val="single" w:sz="6" w:space="0" w:color="000000"/>
            </w:tcBorders>
            <w:vAlign w:val="center"/>
          </w:tcPr>
          <w:p w14:paraId="7CBE85C2"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 (0,4%)</w:t>
            </w:r>
          </w:p>
        </w:tc>
        <w:tc>
          <w:tcPr>
            <w:tcW w:w="2494" w:type="dxa"/>
            <w:tcBorders>
              <w:top w:val="single" w:sz="4" w:space="0" w:color="000000"/>
              <w:left w:val="single" w:sz="6" w:space="0" w:color="000000"/>
              <w:bottom w:val="single" w:sz="4" w:space="0" w:color="000000"/>
              <w:right w:val="single" w:sz="4" w:space="0" w:color="000000"/>
            </w:tcBorders>
            <w:vAlign w:val="center"/>
          </w:tcPr>
          <w:p w14:paraId="341E5777"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37 (5,6%)</w:t>
            </w:r>
          </w:p>
        </w:tc>
      </w:tr>
      <w:tr w:rsidR="00536CD0" w:rsidRPr="00617FC7" w14:paraId="43D96B57"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3F44DA50"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95%-os konfidencia intervallum </w:t>
            </w:r>
          </w:p>
        </w:tc>
        <w:tc>
          <w:tcPr>
            <w:tcW w:w="2493" w:type="dxa"/>
            <w:tcBorders>
              <w:top w:val="single" w:sz="4" w:space="0" w:color="000000"/>
              <w:left w:val="single" w:sz="4" w:space="0" w:color="000000"/>
              <w:bottom w:val="single" w:sz="4" w:space="0" w:color="000000"/>
              <w:right w:val="single" w:sz="6" w:space="0" w:color="000000"/>
            </w:tcBorders>
            <w:vAlign w:val="center"/>
          </w:tcPr>
          <w:p w14:paraId="4F780CF2"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0,09, 1,28</w:t>
            </w:r>
          </w:p>
        </w:tc>
        <w:tc>
          <w:tcPr>
            <w:tcW w:w="2494" w:type="dxa"/>
            <w:tcBorders>
              <w:top w:val="single" w:sz="4" w:space="0" w:color="000000"/>
              <w:left w:val="single" w:sz="6" w:space="0" w:color="000000"/>
              <w:bottom w:val="single" w:sz="4" w:space="0" w:color="000000"/>
              <w:right w:val="single" w:sz="4" w:space="0" w:color="000000"/>
            </w:tcBorders>
            <w:vAlign w:val="center"/>
          </w:tcPr>
          <w:p w14:paraId="4B95909B"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3,97, 7,62</w:t>
            </w:r>
          </w:p>
        </w:tc>
      </w:tr>
      <w:tr w:rsidR="00536CD0" w:rsidRPr="00617FC7" w14:paraId="202B1F26"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06F7CB11"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MVT</w:t>
            </w:r>
          </w:p>
        </w:tc>
        <w:tc>
          <w:tcPr>
            <w:tcW w:w="2493" w:type="dxa"/>
            <w:tcBorders>
              <w:top w:val="single" w:sz="4" w:space="0" w:color="000000"/>
              <w:left w:val="single" w:sz="4" w:space="0" w:color="000000"/>
              <w:bottom w:val="single" w:sz="4" w:space="0" w:color="000000"/>
              <w:right w:val="single" w:sz="6" w:space="0" w:color="000000"/>
            </w:tcBorders>
          </w:tcPr>
          <w:p w14:paraId="6B35F236"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c>
          <w:tcPr>
            <w:tcW w:w="2494" w:type="dxa"/>
            <w:tcBorders>
              <w:top w:val="single" w:sz="4" w:space="0" w:color="000000"/>
              <w:left w:val="single" w:sz="6" w:space="0" w:color="000000"/>
              <w:bottom w:val="single" w:sz="4" w:space="0" w:color="000000"/>
              <w:right w:val="single" w:sz="4" w:space="0" w:color="000000"/>
            </w:tcBorders>
          </w:tcPr>
          <w:p w14:paraId="0F99F3D0"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23 (3,5%)</w:t>
            </w:r>
          </w:p>
        </w:tc>
      </w:tr>
      <w:tr w:rsidR="00536CD0" w:rsidRPr="00617FC7" w14:paraId="144EFCEB"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3156AB34"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64F2BEC8"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0,04, 1,06</w:t>
            </w:r>
          </w:p>
        </w:tc>
        <w:tc>
          <w:tcPr>
            <w:tcW w:w="2494" w:type="dxa"/>
            <w:tcBorders>
              <w:top w:val="single" w:sz="4" w:space="0" w:color="000000"/>
              <w:left w:val="single" w:sz="6" w:space="0" w:color="000000"/>
              <w:bottom w:val="single" w:sz="4" w:space="0" w:color="000000"/>
              <w:right w:val="single" w:sz="4" w:space="0" w:color="000000"/>
            </w:tcBorders>
            <w:vAlign w:val="center"/>
          </w:tcPr>
          <w:p w14:paraId="4F8DF724"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2,21, 5,17</w:t>
            </w:r>
          </w:p>
        </w:tc>
      </w:tr>
      <w:tr w:rsidR="00536CD0" w:rsidRPr="00617FC7" w14:paraId="3F5D8B50"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354978DF"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Szimptómás PE</w:t>
            </w:r>
          </w:p>
        </w:tc>
        <w:tc>
          <w:tcPr>
            <w:tcW w:w="2493" w:type="dxa"/>
            <w:tcBorders>
              <w:top w:val="single" w:sz="4" w:space="0" w:color="000000"/>
              <w:left w:val="single" w:sz="4" w:space="0" w:color="000000"/>
              <w:bottom w:val="single" w:sz="4" w:space="0" w:color="000000"/>
              <w:right w:val="single" w:sz="6" w:space="0" w:color="000000"/>
            </w:tcBorders>
          </w:tcPr>
          <w:p w14:paraId="5EAED103"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 (0,1%)</w:t>
            </w:r>
          </w:p>
        </w:tc>
        <w:tc>
          <w:tcPr>
            <w:tcW w:w="2494" w:type="dxa"/>
            <w:tcBorders>
              <w:top w:val="single" w:sz="4" w:space="0" w:color="000000"/>
              <w:left w:val="single" w:sz="6" w:space="0" w:color="000000"/>
              <w:bottom w:val="single" w:sz="4" w:space="0" w:color="000000"/>
              <w:right w:val="single" w:sz="4" w:space="0" w:color="000000"/>
            </w:tcBorders>
          </w:tcPr>
          <w:p w14:paraId="73953D4C"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14 (2,1%)</w:t>
            </w:r>
          </w:p>
        </w:tc>
      </w:tr>
      <w:tr w:rsidR="00536CD0" w:rsidRPr="00617FC7" w14:paraId="00178857"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02B65BE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28F0463F"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0,00, 0,82</w:t>
            </w:r>
          </w:p>
        </w:tc>
        <w:tc>
          <w:tcPr>
            <w:tcW w:w="2494" w:type="dxa"/>
            <w:tcBorders>
              <w:top w:val="single" w:sz="4" w:space="0" w:color="000000"/>
              <w:left w:val="single" w:sz="6" w:space="0" w:color="000000"/>
              <w:bottom w:val="single" w:sz="4" w:space="0" w:color="000000"/>
              <w:right w:val="single" w:sz="4" w:space="0" w:color="000000"/>
            </w:tcBorders>
            <w:vAlign w:val="center"/>
          </w:tcPr>
          <w:p w14:paraId="24C3A181"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1,16, 3,52</w:t>
            </w:r>
          </w:p>
        </w:tc>
      </w:tr>
      <w:tr w:rsidR="00536CD0" w:rsidRPr="00617FC7" w14:paraId="33BAFAF3"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21D6271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VTE-vel összefüggő halál</w:t>
            </w:r>
          </w:p>
        </w:tc>
        <w:tc>
          <w:tcPr>
            <w:tcW w:w="2493" w:type="dxa"/>
            <w:tcBorders>
              <w:top w:val="single" w:sz="4" w:space="0" w:color="000000"/>
              <w:left w:val="single" w:sz="4" w:space="0" w:color="000000"/>
              <w:bottom w:val="single" w:sz="4" w:space="0" w:color="000000"/>
              <w:right w:val="single" w:sz="6" w:space="0" w:color="000000"/>
            </w:tcBorders>
            <w:vAlign w:val="center"/>
          </w:tcPr>
          <w:p w14:paraId="2FA704D0"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 (0)</w:t>
            </w:r>
          </w:p>
        </w:tc>
        <w:tc>
          <w:tcPr>
            <w:tcW w:w="2494" w:type="dxa"/>
            <w:tcBorders>
              <w:top w:val="single" w:sz="4" w:space="0" w:color="000000"/>
              <w:left w:val="single" w:sz="6" w:space="0" w:color="000000"/>
              <w:bottom w:val="single" w:sz="4" w:space="0" w:color="000000"/>
              <w:right w:val="single" w:sz="4" w:space="0" w:color="000000"/>
            </w:tcBorders>
            <w:vAlign w:val="center"/>
          </w:tcPr>
          <w:p w14:paraId="3570640C"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 (0)</w:t>
            </w:r>
          </w:p>
        </w:tc>
      </w:tr>
      <w:tr w:rsidR="00536CD0" w:rsidRPr="00617FC7" w14:paraId="00CD812E"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273A06E8"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7827C8D2"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0,00, 0,54</w:t>
            </w:r>
          </w:p>
        </w:tc>
        <w:tc>
          <w:tcPr>
            <w:tcW w:w="2494" w:type="dxa"/>
            <w:tcBorders>
              <w:top w:val="single" w:sz="4" w:space="0" w:color="000000"/>
              <w:left w:val="single" w:sz="6" w:space="0" w:color="000000"/>
              <w:bottom w:val="single" w:sz="4" w:space="0" w:color="000000"/>
              <w:right w:val="single" w:sz="4" w:space="0" w:color="000000"/>
            </w:tcBorders>
            <w:vAlign w:val="center"/>
          </w:tcPr>
          <w:p w14:paraId="295018A0"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0,00, 0,56</w:t>
            </w:r>
          </w:p>
        </w:tc>
      </w:tr>
      <w:tr w:rsidR="00536CD0" w:rsidRPr="00617FC7" w14:paraId="65129B80"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66E16706"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Ismeretlen okú halál</w:t>
            </w:r>
          </w:p>
        </w:tc>
        <w:tc>
          <w:tcPr>
            <w:tcW w:w="2493" w:type="dxa"/>
            <w:tcBorders>
              <w:top w:val="single" w:sz="4" w:space="0" w:color="000000"/>
              <w:left w:val="single" w:sz="4" w:space="0" w:color="000000"/>
              <w:bottom w:val="single" w:sz="4" w:space="0" w:color="000000"/>
              <w:right w:val="single" w:sz="6" w:space="0" w:color="000000"/>
            </w:tcBorders>
          </w:tcPr>
          <w:p w14:paraId="703A3C8D"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 (0)</w:t>
            </w:r>
          </w:p>
        </w:tc>
        <w:tc>
          <w:tcPr>
            <w:tcW w:w="2494" w:type="dxa"/>
            <w:tcBorders>
              <w:top w:val="single" w:sz="4" w:space="0" w:color="000000"/>
              <w:left w:val="single" w:sz="6" w:space="0" w:color="000000"/>
              <w:bottom w:val="single" w:sz="4" w:space="0" w:color="000000"/>
              <w:right w:val="single" w:sz="4" w:space="0" w:color="000000"/>
            </w:tcBorders>
          </w:tcPr>
          <w:p w14:paraId="0531DDB2"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r>
      <w:tr w:rsidR="00536CD0" w:rsidRPr="00617FC7" w14:paraId="06C4C416"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15E4734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7827A609"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0,00, 0,54</w:t>
            </w:r>
          </w:p>
        </w:tc>
        <w:tc>
          <w:tcPr>
            <w:tcW w:w="2494" w:type="dxa"/>
            <w:tcBorders>
              <w:top w:val="single" w:sz="4" w:space="0" w:color="000000"/>
              <w:left w:val="single" w:sz="6" w:space="0" w:color="000000"/>
              <w:bottom w:val="single" w:sz="4" w:space="0" w:color="000000"/>
              <w:right w:val="single" w:sz="4" w:space="0" w:color="000000"/>
            </w:tcBorders>
            <w:vAlign w:val="center"/>
          </w:tcPr>
          <w:p w14:paraId="2419A467"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0,04, 1,09</w:t>
            </w:r>
          </w:p>
        </w:tc>
      </w:tr>
      <w:tr w:rsidR="00536CD0" w:rsidRPr="00617FC7" w14:paraId="2237D39A"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45A32A1A"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Összhalálozás</w:t>
            </w:r>
          </w:p>
        </w:tc>
        <w:tc>
          <w:tcPr>
            <w:tcW w:w="2493" w:type="dxa"/>
            <w:tcBorders>
              <w:top w:val="single" w:sz="4" w:space="0" w:color="000000"/>
              <w:left w:val="single" w:sz="4" w:space="0" w:color="000000"/>
              <w:bottom w:val="single" w:sz="4" w:space="0" w:color="000000"/>
              <w:right w:val="single" w:sz="6" w:space="0" w:color="000000"/>
            </w:tcBorders>
          </w:tcPr>
          <w:p w14:paraId="1F93046F"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 (0)</w:t>
            </w:r>
          </w:p>
        </w:tc>
        <w:tc>
          <w:tcPr>
            <w:tcW w:w="2494" w:type="dxa"/>
            <w:tcBorders>
              <w:top w:val="single" w:sz="4" w:space="0" w:color="000000"/>
              <w:left w:val="single" w:sz="6" w:space="0" w:color="000000"/>
              <w:bottom w:val="single" w:sz="4" w:space="0" w:color="000000"/>
              <w:right w:val="single" w:sz="4" w:space="0" w:color="000000"/>
            </w:tcBorders>
          </w:tcPr>
          <w:p w14:paraId="661DD9C2"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 (0,3%)</w:t>
            </w:r>
          </w:p>
        </w:tc>
      </w:tr>
      <w:tr w:rsidR="00536CD0" w:rsidRPr="00617FC7" w14:paraId="3A8DFEDD" w14:textId="77777777" w:rsidTr="00CF66F9">
        <w:trPr>
          <w:trHeight w:val="113"/>
        </w:trPr>
        <w:tc>
          <w:tcPr>
            <w:tcW w:w="3973" w:type="dxa"/>
            <w:tcBorders>
              <w:top w:val="single" w:sz="4" w:space="0" w:color="000000"/>
              <w:left w:val="single" w:sz="4" w:space="0" w:color="000000"/>
              <w:bottom w:val="single" w:sz="4" w:space="0" w:color="000000"/>
              <w:right w:val="single" w:sz="4" w:space="0" w:color="000000"/>
            </w:tcBorders>
          </w:tcPr>
          <w:p w14:paraId="52BD728B" w14:textId="77777777" w:rsidR="00536CD0" w:rsidRPr="00617FC7" w:rsidRDefault="00536CD0" w:rsidP="00536CD0">
            <w:pP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95%-os konfidencia intervallum</w:t>
            </w:r>
          </w:p>
        </w:tc>
        <w:tc>
          <w:tcPr>
            <w:tcW w:w="2493" w:type="dxa"/>
            <w:tcBorders>
              <w:top w:val="single" w:sz="4" w:space="0" w:color="000000"/>
              <w:left w:val="single" w:sz="4" w:space="0" w:color="000000"/>
              <w:bottom w:val="single" w:sz="4" w:space="0" w:color="000000"/>
              <w:right w:val="single" w:sz="6" w:space="0" w:color="000000"/>
            </w:tcBorders>
            <w:vAlign w:val="center"/>
          </w:tcPr>
          <w:p w14:paraId="48E00FCB"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0,00, 0,54</w:t>
            </w:r>
          </w:p>
        </w:tc>
        <w:tc>
          <w:tcPr>
            <w:tcW w:w="2494" w:type="dxa"/>
            <w:tcBorders>
              <w:top w:val="single" w:sz="4" w:space="0" w:color="000000"/>
              <w:left w:val="single" w:sz="6" w:space="0" w:color="000000"/>
              <w:bottom w:val="single" w:sz="4" w:space="0" w:color="000000"/>
              <w:right w:val="single" w:sz="4" w:space="0" w:color="000000"/>
            </w:tcBorders>
            <w:vAlign w:val="center"/>
          </w:tcPr>
          <w:p w14:paraId="56CABBA8" w14:textId="77777777" w:rsidR="00536CD0" w:rsidRPr="00617FC7" w:rsidRDefault="00536CD0" w:rsidP="00CF66F9">
            <w:pPr>
              <w:ind w:left="75" w:right="116"/>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0,04, 1,09</w:t>
            </w:r>
          </w:p>
        </w:tc>
      </w:tr>
    </w:tbl>
    <w:p w14:paraId="74772E29"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1B32DED9"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A thromboembolia megelőzésére irányuló klinikai vizsgálatok műbillentyű beültetett betegeknél</w:t>
      </w:r>
    </w:p>
    <w:p w14:paraId="099BD95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AEE96E8" w14:textId="792B7662"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 II. fázisú vizsgálat a dabigatrán-etexilátot és a warfarint vizsgálta összesen 252, a közelmúltban (</w:t>
      </w:r>
      <w:r w:rsidR="00A2754E">
        <w:rPr>
          <w:rFonts w:ascii="Times New Roman" w:eastAsia="Times New Roman" w:hAnsi="Times New Roman" w:cs="Times New Roman"/>
          <w:noProof w:val="0"/>
          <w:color w:val="000000"/>
          <w:kern w:val="0"/>
          <w:lang w:val="hu-HU" w:eastAsia="hu-HU"/>
          <w14:ligatures w14:val="none"/>
        </w:rPr>
        <w:t>például</w:t>
      </w:r>
      <w:r w:rsidRPr="00617FC7">
        <w:rPr>
          <w:rFonts w:ascii="Times New Roman" w:eastAsia="Times New Roman" w:hAnsi="Times New Roman" w:cs="Times New Roman"/>
          <w:noProof w:val="0"/>
          <w:color w:val="000000"/>
          <w:kern w:val="0"/>
          <w:lang w:val="hu-HU" w:eastAsia="hu-HU"/>
          <w14:ligatures w14:val="none"/>
        </w:rPr>
        <w:t xml:space="preserve"> az aktuális kórházi kezelés során) mechanikus műbillentyű beültetésen átesett, valamint mechanikus műbillentyű beültetésen több mint három hónappal korábban átesett betegeknél. Több thromboemboliás eseményt (főként stroke-ot és szimptomatikus/aszimptomatikus műbillentyű-thrombosist) és több vérzéses eseményt figyeltek meg a dabigatrán-etexilátnál, mint a warfarinnál. A korai posztoperatív szakban lévő betegeknél a jelentős vérzéses események döntően véres pericardialis folyadékgyülem formájában jelentkeztek, különösen azoknál a betegeknél, akik a billentyűbeültetés után korán (a 3. napon) megkezdték a dabigatrán-etexilát szedését (lásd 4.3 pont).</w:t>
      </w:r>
    </w:p>
    <w:p w14:paraId="6E201F1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1569DC2"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lastRenderedPageBreak/>
        <w:t>Gyermekek és serdülők</w:t>
      </w:r>
    </w:p>
    <w:p w14:paraId="52EF0FFD" w14:textId="77777777" w:rsidR="00536CD0" w:rsidRPr="00617FC7" w:rsidRDefault="00536CD0" w:rsidP="00536CD0">
      <w:pPr>
        <w:spacing w:after="0" w:line="240" w:lineRule="auto"/>
        <w:ind w:left="7" w:hanging="10"/>
        <w:rPr>
          <w:rFonts w:ascii="Times New Roman" w:eastAsia="Times New Roman" w:hAnsi="Times New Roman" w:cs="Times New Roman"/>
          <w:iCs/>
          <w:noProof w:val="0"/>
          <w:color w:val="000000"/>
          <w:kern w:val="0"/>
          <w:lang w:val="hu-HU" w:eastAsia="hu-HU"/>
          <w14:ligatures w14:val="none"/>
        </w:rPr>
      </w:pPr>
    </w:p>
    <w:p w14:paraId="3845480F"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Klinikai vizsgálatok a nagyízületi endoprotézis-műtéteket követő VTE megelőzésére</w:t>
      </w:r>
    </w:p>
    <w:p w14:paraId="54EA378C"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A stroke és a szisztémás embolisatio prevenciója nem billentyű eredetű pitvarfibrillációban szenvedő,</w:t>
      </w:r>
      <w:r w:rsidRPr="00617FC7">
        <w:rPr>
          <w:rFonts w:ascii="Times New Roman" w:eastAsia="Times New Roman" w:hAnsi="Times New Roman" w:cs="Times New Roman"/>
          <w:i/>
          <w:noProof w:val="0"/>
          <w:color w:val="000000"/>
          <w:kern w:val="0"/>
          <w:lang w:val="hu-HU" w:eastAsia="hu-HU"/>
          <w14:ligatures w14:val="none"/>
        </w:rPr>
        <w:t xml:space="preserve"> </w:t>
      </w:r>
      <w:r w:rsidRPr="00617FC7">
        <w:rPr>
          <w:rFonts w:ascii="Times New Roman" w:eastAsia="Times New Roman" w:hAnsi="Times New Roman" w:cs="Times New Roman"/>
          <w:i/>
          <w:noProof w:val="0"/>
          <w:color w:val="000000"/>
          <w:kern w:val="0"/>
          <w:u w:val="single" w:color="000000"/>
          <w:lang w:val="hu-HU" w:eastAsia="hu-HU"/>
          <w14:ligatures w14:val="none"/>
        </w:rPr>
        <w:t>egy vagy több rizikótényezővel rendelkező felnőtt betegeknél</w:t>
      </w:r>
    </w:p>
    <w:p w14:paraId="3861D65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C69AC3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Európai Gyógyszerügynökség a gyermekek esetén minden korosztálynál eltekint a dabigatrán-etexilát vizsgálati eredményeinek benyújtási kötelezettségétől a VTE primer prevenciója elektív, teljes csípőízületi endoprotézis vagy teljes térdízületi endoprotézis műtéten átesett betegeknél, valamint stroke és a szisztémás embolisatio prevenciója nem billentyű eredetű pitvarfibrillációban szenvedő betegeknél javallatok esetén (lásd 4.2 pont, gyermekgyógyászati alkalmazásra vonatkozó információk).</w:t>
      </w:r>
    </w:p>
    <w:p w14:paraId="1CFF97B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46B0425"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 xml:space="preserve">VTE kezelése és VTE kiújulásának megelőzése gyermekeknél </w:t>
      </w:r>
      <w:r w:rsidRPr="00617FC7">
        <w:rPr>
          <w:rFonts w:ascii="Times New Roman" w:eastAsia="Times New Roman" w:hAnsi="Times New Roman" w:cs="Times New Roman"/>
          <w:i/>
          <w:noProof w:val="0"/>
          <w:color w:val="000000"/>
          <w:kern w:val="0"/>
          <w:lang w:val="hu-HU" w:eastAsia="hu-HU"/>
          <w14:ligatures w14:val="none"/>
        </w:rPr>
        <w:t>és serdülőknél</w:t>
      </w:r>
    </w:p>
    <w:p w14:paraId="688AC4A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EA7F465" w14:textId="77777777" w:rsidR="00536CD0" w:rsidRPr="00617FC7" w:rsidRDefault="00536CD0" w:rsidP="00536CD0">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DIVERSITY vizsgálatot azért végezték, hogy bizonyítsák a </w:t>
      </w:r>
      <w:bookmarkStart w:id="0" w:name="_Hlk108041320"/>
      <w:r w:rsidRPr="00617FC7">
        <w:rPr>
          <w:rFonts w:ascii="Times New Roman" w:eastAsia="Times New Roman" w:hAnsi="Times New Roman" w:cs="Times New Roman"/>
          <w:noProof w:val="0"/>
          <w:color w:val="000000"/>
          <w:kern w:val="0"/>
          <w:lang w:val="hu-HU" w:eastAsia="hu-HU"/>
          <w14:ligatures w14:val="none"/>
        </w:rPr>
        <w:t xml:space="preserve">dabigatrán-etexilát </w:t>
      </w:r>
      <w:bookmarkEnd w:id="0"/>
      <w:r w:rsidRPr="00617FC7">
        <w:rPr>
          <w:rFonts w:ascii="Times New Roman" w:eastAsia="Times New Roman" w:hAnsi="Times New Roman" w:cs="Times New Roman"/>
          <w:noProof w:val="0"/>
          <w:color w:val="000000"/>
          <w:kern w:val="0"/>
          <w:lang w:val="hu-HU" w:eastAsia="hu-HU"/>
          <w14:ligatures w14:val="none"/>
        </w:rPr>
        <w:t>hatásosságát és biztonságosságát a szokásos ellátással összehasonlítva VTE kezelésében gyermekeknél és serdülőknél a születéstől a 18. életév betöltéséig. A vizsgálat nyílt elrendezésű, randomizált, parallel csoportos, non-inferioritási vizsgálat volt. A bevont betegeket 2:1 arányban randomizálták a dabigatrán-etexilát életkornak megfelelő gyógyszerformájára (kapszula, bevont granulátum vagy belsőleges oldat) (a dózist az életkorhoz és a testtömeghez igazították) vagy a szokásos kezelésre, amely alacsony molekulatömegű heparin (LMWH) vagy K-vitamin antagonista (KVA) vagy fondaparinux volt (egy 12 éves betegnél). Az elsődleges végpont egy összetett végpont volt, ami a thrombus teljes megszűnését, a VTE kiújulásának hiányát és a VTE miatti mortalitás hiányát foglalta magában. Az aktív meningitis, encephalitis és intracranialis abscessus kizáró tényezők voltak.</w:t>
      </w:r>
    </w:p>
    <w:p w14:paraId="7C578E78" w14:textId="0943C5B2"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Összesen 267 beteget randomizáltak. Közülük 176 beteget kezeltek dabigatrán-etexiláttal és 90 beteget a szokásos kezeléssel (1 randomizált beteget nem kezeltek). 168 beteg volt 12</w:t>
      </w:r>
      <w:r w:rsidR="001C046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1C046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18 éves, 64 beteg volt 2</w:t>
      </w:r>
      <w:r w:rsidR="001C046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1C0464">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12 éves és 35 beteg volt 2 évesnél fiatalabb.</w:t>
      </w:r>
    </w:p>
    <w:p w14:paraId="4601923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267 randomizált beteg közül a dabigatrán-etexilát csoportból 81 beteg (45,8%) és a szokásos kezelési csoportból 38 beteg (42,2%) felelt meg az összetett elsődleges végpontnak (thrombus teljes megszűnése, VTE kiújulásának hiánya és VTE miatti mortalitás hiánya). A megfelelő arányok különbsége bizonyította a dabigatrán-etexilát non-inferioritását a szokásos kezeléssel szemben. Általánosságban konzisztens eredményeket figyeltek meg az alcsoportokban: nem volt szignifikáns különbség a kezelési hatásosságban az életkor, nem, régió és bizonyos kockázati tényezők megléte szerinti alcsoportokban. A 3, különböző életkor szerinti rétegnél az elsődleges hatásossági végpontot elért betegek aránya a dabigatrán-etexilát és a szokásos kezelés csoportjában sorrendben a következő volt: születéstől &lt; 2 éves korig 13/22 (59,1%) és 7/13 (53,8%) volt, 2 évtől &lt; 12 éves korig 21/43 (48,8%) és 12/21 (57,1%) volt, illetve 12 évtől &lt; 18 éves korig 47/112 (42,0%) és 19/56 (33,9%) volt.</w:t>
      </w:r>
    </w:p>
    <w:p w14:paraId="4554501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Major vérzésnek minősített eseteket 4 betegnél (2,3%) jelentettek a dabigatrán-etexilát csoportban és 2 betegnél (2,2%) a szokásos kezelést kapó csoportban. Nem volt statisztikailag szignifikáns különbség az első major vérzéses eseményig eltelt időben. A dabigatrán-etexilát karon 38 beteg (21,6%) és a szokásos kezelést kapó karon 22 beteg (24,4%) tapasztalt minősített vérzéses eseményt, ezek többségét minornak sorolták be. A minősített major vérzéses események (MVE) vagy a klinikailag releváns nem major (CRNM) vérzések (a kezelésben) összetett végpontját a dabigatrán-etexilát csoportban 6 betegnél (3,4%) és a szokásos kezelést kapó csoportban 3 betegnél (3,3%) jelentették.</w:t>
      </w:r>
    </w:p>
    <w:p w14:paraId="4E90FD4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B50BFB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Egy nyílt elrendezésű, egykaros, biztonságossági prospektív kohorszos, multicentrikus III. fázisú vizsgálatot (1160.108) végeztek a dabigatrán-etexilát biztonságosságának felmérésére a VTE kiújulásának prevenciójában gyermekeknél és serdülőknél a születéstől a 18. életév betöltéséig. Az igazolt VTE elsődleges kezelésének teljesítése után klinikai kockázati tényezők megléte miatt további antikoagulálást (legalább 3 hónapig) igénylő betegek, valamint a DIVERSITY vizsgálatot teljesítő betegek voltak bevonhatók a vizsgálatba. Az alkalmas betegek az életkoruk és testtömegük alapján korrigált dózisban dabigatrán-etexilátot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thromboticus vagy thromboemboliás </w:t>
      </w:r>
      <w:r w:rsidRPr="00617FC7">
        <w:rPr>
          <w:rFonts w:ascii="Times New Roman" w:eastAsia="Times New Roman" w:hAnsi="Times New Roman" w:cs="Times New Roman"/>
          <w:noProof w:val="0"/>
          <w:color w:val="000000"/>
          <w:kern w:val="0"/>
          <w:lang w:val="hu-HU" w:eastAsia="hu-HU"/>
          <w14:ligatures w14:val="none"/>
        </w:rPr>
        <w:lastRenderedPageBreak/>
        <w:t>eseményekkel összefüggő) a 6. és a 12. hónapra. A kimenet eseményeit egy független értékelőbizottság minősítette vak módon.</w:t>
      </w:r>
    </w:p>
    <w:p w14:paraId="53D6C6A9" w14:textId="25ABDA26" w:rsidR="00536CD0" w:rsidRPr="00617FC7" w:rsidRDefault="00536CD0" w:rsidP="00536CD0">
      <w:pPr>
        <w:spacing w:after="0" w:line="240" w:lineRule="auto"/>
        <w:ind w:left="7" w:right="9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Összesen 214 beteg lépett be a vizsgálatba, köztük 162 beteg az életkor szerinti 1. rétegbe (12</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18 éves kor), 43 beteg az életkor szerinti 2. rétegbe (2</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12 éves kor) és 9 beteg az életkor szerinti 3. rétegbe (születés</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E37FDC">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2 éves kor) tartozott. A kezelési időszakban, a kezelés kezdete utáni első 12 hónapban 3 betegnél (1,4%) újult ki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post-thromboticus szindróma (PTS) vagy rosszabbodott a PTS-e az első 12 hónapban.</w:t>
      </w:r>
    </w:p>
    <w:p w14:paraId="719027AB" w14:textId="77777777" w:rsidR="00536CD0" w:rsidRPr="00617FC7" w:rsidRDefault="00536CD0" w:rsidP="00536CD0">
      <w:pPr>
        <w:spacing w:after="0" w:line="240" w:lineRule="auto"/>
        <w:ind w:left="7" w:right="93" w:hanging="10"/>
        <w:rPr>
          <w:rFonts w:ascii="Times New Roman" w:eastAsia="Times New Roman" w:hAnsi="Times New Roman" w:cs="Times New Roman"/>
          <w:noProof w:val="0"/>
          <w:color w:val="000000"/>
          <w:kern w:val="0"/>
          <w:lang w:val="hu-HU" w:eastAsia="hu-HU"/>
          <w14:ligatures w14:val="none"/>
        </w:rPr>
      </w:pPr>
    </w:p>
    <w:p w14:paraId="424EC900" w14:textId="77777777" w:rsidR="00536CD0" w:rsidRPr="00617FC7" w:rsidRDefault="00536CD0" w:rsidP="00536CD0">
      <w:pPr>
        <w:tabs>
          <w:tab w:val="center" w:pos="2111"/>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5.2</w:t>
      </w:r>
      <w:r w:rsidRPr="00617FC7">
        <w:rPr>
          <w:rFonts w:ascii="Times New Roman" w:eastAsia="Times New Roman" w:hAnsi="Times New Roman" w:cs="Times New Roman"/>
          <w:b/>
          <w:noProof w:val="0"/>
          <w:color w:val="000000"/>
          <w:kern w:val="0"/>
          <w:lang w:val="hu-HU" w:eastAsia="hu-HU"/>
          <w14:ligatures w14:val="none"/>
        </w:rPr>
        <w:tab/>
        <w:t>Farmakokinetikai tulajdonságok</w:t>
      </w:r>
    </w:p>
    <w:p w14:paraId="6381E4D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934A56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Orális adást követően a dabigatrán-etexilát gyorsan és teljes mértékben átalakul dabigatránná, ami a plazmában az aktiv forma. Az elsődleges metabolikus út a dabigatrán-etexilát prodrug észteráz által katalizált hidrolízisen keresztüli hasítása aktiv dabigatránná. A dabigatrán-etexilát </w:t>
      </w:r>
      <w:r w:rsidRPr="00617FC7">
        <w:rPr>
          <w:rFonts w:ascii="Times New Roman" w:eastAsia="Times New Roman" w:hAnsi="Times New Roman" w:cs="Times New Roman"/>
          <w:i/>
          <w:iCs/>
          <w:noProof w:val="0"/>
          <w:color w:val="000000"/>
          <w:kern w:val="0"/>
          <w:lang w:val="hu-HU" w:eastAsia="hu-HU"/>
          <w14:ligatures w14:val="none"/>
        </w:rPr>
        <w:t>per os</w:t>
      </w:r>
      <w:r w:rsidRPr="00617FC7">
        <w:rPr>
          <w:rFonts w:ascii="Times New Roman" w:eastAsia="Times New Roman" w:hAnsi="Times New Roman" w:cs="Times New Roman"/>
          <w:noProof w:val="0"/>
          <w:color w:val="000000"/>
          <w:kern w:val="0"/>
          <w:lang w:val="hu-HU" w:eastAsia="hu-HU"/>
          <w14:ligatures w14:val="none"/>
        </w:rPr>
        <w:t xml:space="preserve"> alkalmazását követően a dabigatrán abszolút biohasznosulása körülbelül 6,5%.</w:t>
      </w:r>
    </w:p>
    <w:p w14:paraId="43BB55F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egészséges önkénteseknek történő orális adása után a dabigatrán farmakokinetikai profilját a plazmában a plazmakoncentrációk gyors emelkedése jellemzi, a C</w:t>
      </w:r>
      <w:r w:rsidRPr="00617FC7">
        <w:rPr>
          <w:rFonts w:ascii="Times New Roman" w:eastAsia="Times New Roman" w:hAnsi="Times New Roman" w:cs="Times New Roman"/>
          <w:noProof w:val="0"/>
          <w:color w:val="000000"/>
          <w:kern w:val="0"/>
          <w:vertAlign w:val="subscript"/>
          <w:lang w:val="hu-HU" w:eastAsia="hu-HU"/>
          <w14:ligatures w14:val="none"/>
        </w:rPr>
        <w:t>max</w:t>
      </w:r>
      <w:r w:rsidRPr="00617FC7">
        <w:rPr>
          <w:rFonts w:ascii="Times New Roman" w:eastAsia="Times New Roman" w:hAnsi="Times New Roman" w:cs="Times New Roman"/>
          <w:noProof w:val="0"/>
          <w:color w:val="000000"/>
          <w:kern w:val="0"/>
          <w:lang w:val="hu-HU" w:eastAsia="hu-HU"/>
          <w14:ligatures w14:val="none"/>
        </w:rPr>
        <w:t xml:space="preserve"> 0,5</w:t>
      </w:r>
      <w:r w:rsidRPr="00617FC7">
        <w:rPr>
          <w:rFonts w:ascii="Times New Roman" w:eastAsia="Times New Roman" w:hAnsi="Times New Roman" w:cs="Times New Roman"/>
          <w:noProof w:val="0"/>
          <w:color w:val="000000"/>
          <w:kern w:val="0"/>
          <w:lang w:val="hu-HU" w:eastAsia="hu-HU"/>
          <w14:ligatures w14:val="none"/>
        </w:rPr>
        <w:noBreakHyphen/>
        <w:t>2 órán belül kialakul a bevételt követően.</w:t>
      </w:r>
    </w:p>
    <w:p w14:paraId="04DC9E0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EA70ABF"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Felszívódás</w:t>
      </w:r>
    </w:p>
    <w:p w14:paraId="09540E91" w14:textId="4CDCAF7B" w:rsidR="00536CD0" w:rsidRPr="00617FC7" w:rsidRDefault="00536CD0" w:rsidP="00536CD0">
      <w:pPr>
        <w:spacing w:after="0" w:line="240" w:lineRule="auto"/>
        <w:ind w:left="7" w:right="11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 a dabigatrán-etexilát posztoperatív, a műtét után 1</w:t>
      </w:r>
      <w:r w:rsidR="00E37FDC"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 órával észlelhető felszívódását értékelő vizsgálat viszonylag lassú felszívódást mutatott egészséges önkéntesekkel összehasonlítva, a plazma koncentráció-idő profil egyenletes volt, magas plazma csúcskoncentrációk nélkül. A plazma csúcskoncentrációk - függetlenül az orális gyógyszerformulától - a következő tényezők miatt 6 órával a beadást követően alakultak ki a posztoperatív időszakban: anesztézia, GI paresis és a műtét hatásai. Egy másik vizsgálatban kimutatták, hogy lassú és elhúzódó felszívódás általában csak a műtét napján észlelhető. A további napokon a dabigatrán felszívódása gyors, és a plazma csúcskoncentrációk 2 órával a gyógyszer beadását követően kialakulnak.</w:t>
      </w:r>
    </w:p>
    <w:p w14:paraId="78BF8798" w14:textId="77777777" w:rsidR="00536CD0" w:rsidRPr="00617FC7" w:rsidRDefault="00536CD0" w:rsidP="00536CD0">
      <w:pPr>
        <w:spacing w:after="0" w:line="240" w:lineRule="auto"/>
        <w:ind w:left="7" w:right="112" w:hanging="10"/>
        <w:rPr>
          <w:rFonts w:ascii="Times New Roman" w:eastAsia="Times New Roman" w:hAnsi="Times New Roman" w:cs="Times New Roman"/>
          <w:noProof w:val="0"/>
          <w:color w:val="000000"/>
          <w:kern w:val="0"/>
          <w:lang w:val="hu-HU" w:eastAsia="hu-HU"/>
          <w14:ligatures w14:val="none"/>
        </w:rPr>
      </w:pPr>
    </w:p>
    <w:p w14:paraId="66C1D7E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étkezés nem befolyásolja a dabigatrán-etexilát biohasznosulását, de 2 órával megnyújtja a plazma csúcskoncentráció kialakulásához szükséges időt.</w:t>
      </w:r>
    </w:p>
    <w:p w14:paraId="3584217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904B1B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C</w:t>
      </w:r>
      <w:r w:rsidRPr="00617FC7">
        <w:rPr>
          <w:rFonts w:ascii="Times New Roman" w:eastAsia="Times New Roman" w:hAnsi="Times New Roman" w:cs="Times New Roman"/>
          <w:noProof w:val="0"/>
          <w:color w:val="000000"/>
          <w:kern w:val="0"/>
          <w:vertAlign w:val="subscript"/>
          <w:lang w:val="hu-HU" w:eastAsia="hu-HU"/>
          <w14:ligatures w14:val="none"/>
        </w:rPr>
        <w:t>max</w:t>
      </w:r>
      <w:r w:rsidRPr="00617FC7">
        <w:rPr>
          <w:rFonts w:ascii="Times New Roman" w:eastAsia="Times New Roman" w:hAnsi="Times New Roman" w:cs="Times New Roman"/>
          <w:noProof w:val="0"/>
          <w:color w:val="000000"/>
          <w:kern w:val="0"/>
          <w:lang w:val="hu-HU" w:eastAsia="hu-HU"/>
          <w14:ligatures w14:val="none"/>
        </w:rPr>
        <w:t xml:space="preserve"> és az AUC arányos volt a beadott dózissal.</w:t>
      </w:r>
    </w:p>
    <w:p w14:paraId="3421968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797F6C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referencia kapszulaformához viszonyítva az orális biohasznosulás egyszeri dózis után 75%-kal, dinamikus egyensúlyi állapotban 37%-kal nőhet, ha a pelleteket a hidroxi-propilmetil-cellulóz (HPMC) kapszulahéj nélkül veszik be. Ezért a klinikai alkalmazás során a HPMC kapszulák épségét mindig meg kell őrizni annak érdekében, hogy elkerüljék a dabigatrán-etexilát biohasznosulásának nem tervezett fokozódását (lásd 4.2 pont).</w:t>
      </w:r>
    </w:p>
    <w:p w14:paraId="6BE4272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ABF2012"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Eloszlás</w:t>
      </w:r>
    </w:p>
    <w:p w14:paraId="013E13CE" w14:textId="4944ED0E"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emberi plazmafehérjékhez való alacsony (34-35%) koncentrációjú kötődését figyelték meg. A dabigatrán 60</w:t>
      </w:r>
      <w:r w:rsidR="008D1D3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70 l-es megoszlási térfogata meghaladja a test teljes víztartalmát, ami a dabigatrán közepes mértékű szöveti megoszlására utal.</w:t>
      </w:r>
    </w:p>
    <w:p w14:paraId="458A815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D9055E5"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Biotranszformáció</w:t>
      </w:r>
    </w:p>
    <w:p w14:paraId="553C2A73" w14:textId="74471716"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metabolizmusát és kiválasztódását egy adagos, intravénásan beadott, radioizotóppal jelölt dabigatrán beadását követően vizsgálták egészséges férfiaknál. Egyetlen intravénás adag után a dabigatránból származó radioaktivitás elsősorban a vizelettel ürült (85%). A beadott dózis 6%-a ürült a széklettel. A beadott dózis 88</w:t>
      </w:r>
      <w:r w:rsidR="008D1D3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94%-ának megfelelő teljes radioaktivitás volt kinyerhető a beadást követően 168 órával.</w:t>
      </w:r>
    </w:p>
    <w:p w14:paraId="00356C2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 dabigatrán farmakológiailag aktív acilglükuronidekké konjugálódik. Négy pozicionális izomer, 1-O, 2-O, 3-O, 4-O-acilglükuronid létezik, amelyek az összes dabigatrán kevesebb, mint 10%-át teszik ki a </w:t>
      </w:r>
      <w:r w:rsidRPr="00617FC7">
        <w:rPr>
          <w:rFonts w:ascii="Times New Roman" w:eastAsia="Times New Roman" w:hAnsi="Times New Roman" w:cs="Times New Roman"/>
          <w:noProof w:val="0"/>
          <w:color w:val="000000"/>
          <w:kern w:val="0"/>
          <w:lang w:val="hu-HU" w:eastAsia="hu-HU"/>
          <w14:ligatures w14:val="none"/>
        </w:rPr>
        <w:lastRenderedPageBreak/>
        <w:t>plazmában. Egyéb metabolitok nyomai csak nagyon érzékeny analitikai módszerekkel voltak kimutathatók. A dabigatrán elsősorban változatlan formában ürül a vizelettel, körülbelül 100 ml/perces sebességgel, ami megfelel a glomeruláris filtrációs rátának.</w:t>
      </w:r>
    </w:p>
    <w:p w14:paraId="1C82B6A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DA553F8"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Elimináció</w:t>
      </w:r>
    </w:p>
    <w:p w14:paraId="2A9347A2" w14:textId="664DA17F"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plazmakoncentrációi biexponenciális csökkenést mutattak, az átlagos terminális felezési idő 11 óra volt egészséges, idős vizsgálati személyeknél. Több dózist követően 12</w:t>
      </w:r>
      <w:r w:rsidR="008D1D34"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14 órás terminális felezési időt figyeltek meg. A felezési idő a dózistól független volt. A felezési idő megnyúlt, ha a vesefunkció károsodott, amint azt a 30. táblázat mutatja.</w:t>
      </w:r>
    </w:p>
    <w:p w14:paraId="6F2FD2F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8BD21A7"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Különleges betegcsoportok</w:t>
      </w:r>
    </w:p>
    <w:p w14:paraId="2AC0C7EE" w14:textId="77777777" w:rsidR="00536CD0" w:rsidRPr="00617FC7" w:rsidRDefault="00536CD0" w:rsidP="00536CD0">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40C2BB25"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Vesekárosodás</w:t>
      </w:r>
    </w:p>
    <w:p w14:paraId="09925170" w14:textId="77777777" w:rsidR="00536CD0" w:rsidRPr="00617FC7" w:rsidRDefault="00536CD0" w:rsidP="00536CD0">
      <w:pPr>
        <w:spacing w:after="0" w:line="240" w:lineRule="auto"/>
        <w:ind w:left="7" w:right="276"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I. fázisú vizsgálatokban dabigatrán-expozíció (AUC) a dabigatrán-etexilát orális adását követően körülbelül 2,7-szer nagyobb közepesen súlyos vesekárosodásban (kreatinin-clearance 30</w:t>
      </w:r>
      <w:r w:rsidRPr="00617FC7">
        <w:rPr>
          <w:rFonts w:ascii="Times New Roman" w:eastAsia="Times New Roman" w:hAnsi="Times New Roman" w:cs="Times New Roman"/>
          <w:noProof w:val="0"/>
          <w:color w:val="000000"/>
          <w:kern w:val="0"/>
          <w:lang w:val="hu-HU" w:eastAsia="hu-HU"/>
          <w14:ligatures w14:val="none"/>
        </w:rPr>
        <w:noBreakHyphen/>
        <w:t>50 ml/perc) szenvedő felnőtt önkénteseknél, mint azoknál, akik nem szenvednek vesekárosodásban.</w:t>
      </w:r>
    </w:p>
    <w:p w14:paraId="4D4AE4BE" w14:textId="77777777" w:rsidR="00536CD0" w:rsidRPr="00617FC7" w:rsidRDefault="00536CD0" w:rsidP="00536CD0">
      <w:pPr>
        <w:spacing w:after="0" w:line="240" w:lineRule="auto"/>
        <w:ind w:left="7" w:right="404"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súlyos veseelégtelenségben (kreatinin-clearance 10</w:t>
      </w:r>
      <w:r w:rsidRPr="00617FC7">
        <w:rPr>
          <w:rFonts w:ascii="Times New Roman" w:eastAsia="Times New Roman" w:hAnsi="Times New Roman" w:cs="Times New Roman"/>
          <w:noProof w:val="0"/>
          <w:color w:val="000000"/>
          <w:kern w:val="0"/>
          <w:lang w:val="hu-HU" w:eastAsia="hu-HU"/>
          <w14:ligatures w14:val="none"/>
        </w:rPr>
        <w:noBreakHyphen/>
        <w:t>30 ml/perc) szenvedő felnőtt önkéntesek kis részénél a dabigatrán-expozíció (AUC) körülbelül 6-szor nagyobb, a felezési idő pedig 2-szer hosszabb volt, mint a vesekárosodásban nem szenvedő populációnál megfigyelt értékek (lásd 4.2, 4.3 és 4.4 pont).</w:t>
      </w:r>
    </w:p>
    <w:p w14:paraId="4D36298F" w14:textId="77777777" w:rsidR="00536CD0" w:rsidRPr="00617FC7" w:rsidRDefault="00536CD0" w:rsidP="00536CD0">
      <w:pPr>
        <w:spacing w:after="0" w:line="240" w:lineRule="auto"/>
        <w:rPr>
          <w:rFonts w:ascii="Times New Roman" w:eastAsia="Times New Roman" w:hAnsi="Times New Roman" w:cs="Times New Roman"/>
          <w:noProof w:val="0"/>
          <w:color w:val="000000"/>
          <w:kern w:val="0"/>
          <w:lang w:val="hu-HU" w:eastAsia="hu-HU"/>
          <w14:ligatures w14:val="none"/>
        </w:rPr>
      </w:pPr>
    </w:p>
    <w:p w14:paraId="31E5394D" w14:textId="77777777" w:rsidR="00536CD0" w:rsidRPr="00617FC7" w:rsidRDefault="00536CD0" w:rsidP="00536CD0">
      <w:pPr>
        <w:keepNext/>
        <w:spacing w:after="0" w:line="240" w:lineRule="auto"/>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30. táblázat. Az összdabigatrán felezési ideje egészséges és károsodott veseműködésű vizsgálati személyeknél</w:t>
      </w:r>
    </w:p>
    <w:p w14:paraId="41D41D75" w14:textId="77777777" w:rsidR="00536CD0" w:rsidRPr="00617FC7" w:rsidRDefault="00536CD0" w:rsidP="00536CD0">
      <w:pPr>
        <w:keepNext/>
        <w:spacing w:after="0" w:line="240" w:lineRule="auto"/>
        <w:ind w:left="988" w:hanging="991"/>
        <w:rPr>
          <w:rFonts w:ascii="Times New Roman" w:eastAsia="Times New Roman" w:hAnsi="Times New Roman" w:cs="Times New Roman"/>
          <w:bCs/>
          <w:noProof w:val="0"/>
          <w:color w:val="000000"/>
          <w:kern w:val="0"/>
          <w:lang w:val="hu-HU" w:eastAsia="hu-HU"/>
          <w14:ligatures w14:val="none"/>
        </w:rPr>
      </w:pPr>
    </w:p>
    <w:tbl>
      <w:tblPr>
        <w:tblStyle w:val="TableGrid"/>
        <w:tblW w:w="9072" w:type="dxa"/>
        <w:tblInd w:w="-2" w:type="dxa"/>
        <w:tblCellMar>
          <w:top w:w="5" w:type="dxa"/>
          <w:left w:w="7" w:type="dxa"/>
          <w:right w:w="7" w:type="dxa"/>
        </w:tblCellMar>
        <w:tblLook w:val="04A0" w:firstRow="1" w:lastRow="0" w:firstColumn="1" w:lastColumn="0" w:noHBand="0" w:noVBand="1"/>
      </w:tblPr>
      <w:tblGrid>
        <w:gridCol w:w="3680"/>
        <w:gridCol w:w="5392"/>
      </w:tblGrid>
      <w:tr w:rsidR="00536CD0" w:rsidRPr="00617FC7" w14:paraId="48DE4768" w14:textId="77777777" w:rsidTr="00CF66F9">
        <w:trPr>
          <w:trHeight w:val="113"/>
        </w:trPr>
        <w:tc>
          <w:tcPr>
            <w:tcW w:w="3680" w:type="dxa"/>
            <w:tcBorders>
              <w:top w:val="single" w:sz="6" w:space="0" w:color="000000"/>
              <w:left w:val="single" w:sz="6" w:space="0" w:color="000000"/>
              <w:bottom w:val="single" w:sz="4" w:space="0" w:color="auto"/>
              <w:right w:val="single" w:sz="6" w:space="0" w:color="000000"/>
            </w:tcBorders>
          </w:tcPr>
          <w:p w14:paraId="63EB3D68" w14:textId="4B3984BD"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glomerulus filtrációs ráta (CrCl,)</w:t>
            </w:r>
          </w:p>
          <w:p w14:paraId="529FA43C" w14:textId="77777777"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[ml/perc]</w:t>
            </w:r>
          </w:p>
        </w:tc>
        <w:tc>
          <w:tcPr>
            <w:tcW w:w="5392" w:type="dxa"/>
            <w:tcBorders>
              <w:top w:val="single" w:sz="6" w:space="0" w:color="000000"/>
              <w:left w:val="single" w:sz="6" w:space="0" w:color="000000"/>
              <w:bottom w:val="single" w:sz="6" w:space="0" w:color="000000"/>
              <w:right w:val="single" w:sz="6" w:space="0" w:color="000000"/>
            </w:tcBorders>
          </w:tcPr>
          <w:p w14:paraId="516C74DA" w14:textId="77777777"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gÁtlag (gCV%; tartomány) felezési idő </w:t>
            </w:r>
          </w:p>
          <w:p w14:paraId="48CBADFB" w14:textId="77777777"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 xml:space="preserve">[óra] </w:t>
            </w:r>
          </w:p>
        </w:tc>
      </w:tr>
      <w:tr w:rsidR="00536CD0" w:rsidRPr="00617FC7" w14:paraId="32B37466" w14:textId="77777777" w:rsidTr="00CF66F9">
        <w:trPr>
          <w:trHeight w:val="113"/>
        </w:trPr>
        <w:tc>
          <w:tcPr>
            <w:tcW w:w="3680" w:type="dxa"/>
            <w:tcBorders>
              <w:top w:val="single" w:sz="4" w:space="0" w:color="auto"/>
              <w:left w:val="single" w:sz="4" w:space="0" w:color="auto"/>
              <w:bottom w:val="single" w:sz="4" w:space="0" w:color="auto"/>
              <w:right w:val="single" w:sz="4" w:space="0" w:color="auto"/>
            </w:tcBorders>
          </w:tcPr>
          <w:p w14:paraId="126636BA" w14:textId="25BD3A52"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8D1D34">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80</w:t>
            </w:r>
          </w:p>
        </w:tc>
        <w:tc>
          <w:tcPr>
            <w:tcW w:w="5392" w:type="dxa"/>
            <w:tcBorders>
              <w:top w:val="single" w:sz="6" w:space="0" w:color="000000"/>
              <w:left w:val="single" w:sz="4" w:space="0" w:color="auto"/>
              <w:bottom w:val="single" w:sz="6" w:space="0" w:color="000000"/>
              <w:right w:val="single" w:sz="6" w:space="0" w:color="000000"/>
            </w:tcBorders>
          </w:tcPr>
          <w:p w14:paraId="764E3E28" w14:textId="78A62D4F"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13,4 (25,7%; 11,0</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21,6)</w:t>
            </w:r>
          </w:p>
        </w:tc>
      </w:tr>
      <w:tr w:rsidR="00536CD0" w:rsidRPr="00617FC7" w14:paraId="699FD0F5" w14:textId="77777777" w:rsidTr="00CF66F9">
        <w:trPr>
          <w:trHeight w:val="113"/>
        </w:trPr>
        <w:tc>
          <w:tcPr>
            <w:tcW w:w="3680" w:type="dxa"/>
            <w:tcBorders>
              <w:top w:val="single" w:sz="4" w:space="0" w:color="auto"/>
              <w:left w:val="single" w:sz="4" w:space="0" w:color="auto"/>
              <w:bottom w:val="single" w:sz="4" w:space="0" w:color="auto"/>
              <w:right w:val="single" w:sz="4" w:space="0" w:color="auto"/>
            </w:tcBorders>
          </w:tcPr>
          <w:p w14:paraId="29854E3D" w14:textId="1A252A0F"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786B1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50</w:t>
            </w:r>
            <w:r w:rsidR="00786B15">
              <w:rPr>
                <w:rFonts w:ascii="Times New Roman" w:eastAsia="Times New Roman" w:hAnsi="Times New Roman" w:cs="Times New Roman"/>
                <w:noProof w:val="0"/>
                <w:color w:val="000000"/>
                <w:lang w:val="hu-HU"/>
              </w:rPr>
              <w:t> </w:t>
            </w:r>
            <w:r w:rsidR="00786B15" w:rsidRPr="00617FC7">
              <w:rPr>
                <w:rFonts w:ascii="Times New Roman" w:eastAsia="Times New Roman" w:hAnsi="Times New Roman" w:cs="Times New Roman"/>
                <w:noProof w:val="0"/>
                <w:color w:val="000000"/>
                <w:lang w:val="hu-HU"/>
              </w:rPr>
              <w:t>–</w:t>
            </w:r>
            <w:r w:rsidR="00786B1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&lt;80</w:t>
            </w:r>
          </w:p>
        </w:tc>
        <w:tc>
          <w:tcPr>
            <w:tcW w:w="5392" w:type="dxa"/>
            <w:tcBorders>
              <w:top w:val="single" w:sz="6" w:space="0" w:color="000000"/>
              <w:left w:val="single" w:sz="4" w:space="0" w:color="auto"/>
              <w:bottom w:val="single" w:sz="6" w:space="0" w:color="000000"/>
              <w:right w:val="single" w:sz="6" w:space="0" w:color="000000"/>
            </w:tcBorders>
          </w:tcPr>
          <w:p w14:paraId="7A174430" w14:textId="1ECB4CC1"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15,3 (42,7%;11,7</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 xml:space="preserve">34,1) </w:t>
            </w:r>
          </w:p>
        </w:tc>
      </w:tr>
      <w:tr w:rsidR="00536CD0" w:rsidRPr="00617FC7" w14:paraId="27E0C9BB" w14:textId="77777777" w:rsidTr="00CF66F9">
        <w:trPr>
          <w:trHeight w:val="113"/>
        </w:trPr>
        <w:tc>
          <w:tcPr>
            <w:tcW w:w="3680" w:type="dxa"/>
            <w:tcBorders>
              <w:top w:val="single" w:sz="4" w:space="0" w:color="auto"/>
              <w:left w:val="single" w:sz="4" w:space="0" w:color="auto"/>
              <w:bottom w:val="single" w:sz="4" w:space="0" w:color="auto"/>
              <w:right w:val="single" w:sz="4" w:space="0" w:color="auto"/>
            </w:tcBorders>
          </w:tcPr>
          <w:p w14:paraId="33203A05" w14:textId="784C50A4"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w:t>
            </w:r>
            <w:r w:rsidR="00786B1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3</w:t>
            </w:r>
            <w:r w:rsidR="00786B15">
              <w:rPr>
                <w:lang w:val="hu-HU"/>
              </w:rPr>
              <w:t> </w:t>
            </w:r>
            <w:r w:rsidR="00786B15" w:rsidRPr="00617FC7">
              <w:rPr>
                <w:rFonts w:ascii="Times New Roman" w:eastAsia="Times New Roman" w:hAnsi="Times New Roman" w:cs="Times New Roman"/>
                <w:noProof w:val="0"/>
                <w:color w:val="000000"/>
                <w:lang w:val="hu-HU"/>
              </w:rPr>
              <w:t>–</w:t>
            </w:r>
            <w:r w:rsidR="00786B1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&lt;50</w:t>
            </w:r>
          </w:p>
        </w:tc>
        <w:tc>
          <w:tcPr>
            <w:tcW w:w="5392" w:type="dxa"/>
            <w:tcBorders>
              <w:top w:val="single" w:sz="6" w:space="0" w:color="000000"/>
              <w:left w:val="single" w:sz="4" w:space="0" w:color="auto"/>
              <w:bottom w:val="single" w:sz="6" w:space="0" w:color="000000"/>
              <w:right w:val="single" w:sz="6" w:space="0" w:color="000000"/>
            </w:tcBorders>
          </w:tcPr>
          <w:p w14:paraId="765EA4AF" w14:textId="22BE9D30"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18,4 (18,5 %;13,3</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 xml:space="preserve">23,0) </w:t>
            </w:r>
          </w:p>
        </w:tc>
      </w:tr>
      <w:tr w:rsidR="00536CD0" w:rsidRPr="00617FC7" w14:paraId="6987376D" w14:textId="77777777" w:rsidTr="00CF66F9">
        <w:trPr>
          <w:trHeight w:val="113"/>
        </w:trPr>
        <w:tc>
          <w:tcPr>
            <w:tcW w:w="3680" w:type="dxa"/>
            <w:tcBorders>
              <w:top w:val="single" w:sz="4" w:space="0" w:color="auto"/>
              <w:left w:val="single" w:sz="4" w:space="0" w:color="auto"/>
              <w:bottom w:val="single" w:sz="4" w:space="0" w:color="auto"/>
              <w:right w:val="single" w:sz="4" w:space="0" w:color="auto"/>
            </w:tcBorders>
          </w:tcPr>
          <w:p w14:paraId="75A7E405" w14:textId="16FB0E9E" w:rsidR="00536CD0" w:rsidRPr="00617FC7" w:rsidRDefault="00536CD0" w:rsidP="00CF66F9">
            <w:pPr>
              <w:ind w:left="1"/>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&lt;</w:t>
            </w:r>
            <w:r w:rsidR="00786B15">
              <w:rPr>
                <w:rFonts w:ascii="Times New Roman" w:eastAsia="Times New Roman" w:hAnsi="Times New Roman" w:cs="Times New Roman"/>
                <w:noProof w:val="0"/>
                <w:color w:val="000000"/>
                <w:lang w:val="hu-HU"/>
              </w:rPr>
              <w:t> </w:t>
            </w:r>
            <w:r w:rsidRPr="00617FC7">
              <w:rPr>
                <w:rFonts w:ascii="Times New Roman" w:eastAsia="Times New Roman" w:hAnsi="Times New Roman" w:cs="Times New Roman"/>
                <w:noProof w:val="0"/>
                <w:color w:val="000000"/>
                <w:lang w:val="hu-HU"/>
              </w:rPr>
              <w:t>30</w:t>
            </w:r>
          </w:p>
        </w:tc>
        <w:tc>
          <w:tcPr>
            <w:tcW w:w="5392" w:type="dxa"/>
            <w:tcBorders>
              <w:top w:val="single" w:sz="6" w:space="0" w:color="000000"/>
              <w:left w:val="single" w:sz="4" w:space="0" w:color="auto"/>
              <w:bottom w:val="single" w:sz="6" w:space="0" w:color="000000"/>
              <w:right w:val="single" w:sz="6" w:space="0" w:color="000000"/>
            </w:tcBorders>
          </w:tcPr>
          <w:p w14:paraId="44E392E5" w14:textId="05A10CCA" w:rsidR="00536CD0" w:rsidRPr="00617FC7" w:rsidRDefault="00536CD0" w:rsidP="00CF66F9">
            <w:pPr>
              <w:ind w:left="85"/>
              <w:jc w:val="center"/>
              <w:rPr>
                <w:rFonts w:ascii="Times New Roman" w:eastAsia="Times New Roman" w:hAnsi="Times New Roman" w:cs="Times New Roman"/>
                <w:noProof w:val="0"/>
                <w:color w:val="000000"/>
                <w:lang w:val="hu-HU"/>
              </w:rPr>
            </w:pPr>
            <w:r w:rsidRPr="00617FC7">
              <w:rPr>
                <w:rFonts w:ascii="Times New Roman" w:eastAsia="Times New Roman" w:hAnsi="Times New Roman" w:cs="Times New Roman"/>
                <w:noProof w:val="0"/>
                <w:color w:val="000000"/>
                <w:lang w:val="hu-HU"/>
              </w:rPr>
              <w:t>27,2 (15,3%; 21,6</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lang w:val="hu-HU"/>
              </w:rPr>
              <w:t>35,0)</w:t>
            </w:r>
          </w:p>
        </w:tc>
      </w:tr>
    </w:tbl>
    <w:p w14:paraId="0366417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4E954A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Ezen kívül egy prospektív, nyílt elrendezésű, randomizált farmakokinetikai vizsgálatban értékelték a dabigatrán-expozíciót (mélyponti érték és csúcsérték) nem billentyű eredetű pitvarfibrillációban szenvedő, súlyosan károsodott veseműködésű (meghatározás szerint 15</w:t>
      </w:r>
      <w:r w:rsidRPr="00617FC7">
        <w:rPr>
          <w:rFonts w:ascii="Times New Roman" w:eastAsia="Times New Roman" w:hAnsi="Times New Roman" w:cs="Times New Roman"/>
          <w:noProof w:val="0"/>
          <w:color w:val="000000"/>
          <w:kern w:val="0"/>
          <w:lang w:val="hu-HU" w:eastAsia="hu-HU"/>
          <w14:ligatures w14:val="none"/>
        </w:rPr>
        <w:noBreakHyphen/>
        <w:t>30 ml/perc közötti kreatinin-clearance [CrCl]) betegek bevonásával, akik 75 mg dabigatrán-etexilátot kaptak naponta kétszer.</w:t>
      </w:r>
    </w:p>
    <w:p w14:paraId="06618B4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 a kezelés 155 ng/ml-es (gCV: 76,9%) geometriai átlagú mélyponti koncentrációt eredményezett, amelyet közvetlenül a következő adag beadása előtt mértek, valamint 202 ng/ml-es (gCV: 70,6%) geometriai átlagú csúcskoncentrációt, amelyet az utolsó adag beadása után két órával mértek.</w:t>
      </w:r>
    </w:p>
    <w:p w14:paraId="6727BE0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AB24A6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haemodialízissel történő ürülését 7 végstádiumú vesebetegségben (ESRD) szenvedő, nem pitvarfibrilláló felnőtt betegen vizsgálták. A dialízist 700 ml/perc dializáló oldat áramlási sebességgel végezték 4 órán át és a véráramlás sebessége 200 ml/perc vagy 350</w:t>
      </w:r>
      <w:r w:rsidRPr="00617FC7">
        <w:rPr>
          <w:rFonts w:ascii="Times New Roman" w:eastAsia="Times New Roman" w:hAnsi="Times New Roman" w:cs="Times New Roman"/>
          <w:noProof w:val="0"/>
          <w:color w:val="000000"/>
          <w:kern w:val="0"/>
          <w:lang w:val="hu-HU" w:eastAsia="hu-HU"/>
          <w14:ligatures w14:val="none"/>
        </w:rPr>
        <w:noBreakHyphen/>
        <w:t xml:space="preserve">390 ml/perc volt. </w:t>
      </w:r>
    </w:p>
    <w:p w14:paraId="24DDBAF9" w14:textId="0E74466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 a dabigatrán-koncentrációt 200 ml/perc esetén 50%-kal, 350</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390 ml/perc esetén pedig 60%-kal csökkentette. A dialízissel eltávolított gyógyszer mennyisége 300 ml/perces véráramlási sebességig arányos a véráramlás sebességével. A dabigatrán antikoaguláns aktivitása a plazmakoncentráció csökkenésével csökkent és a PK/PD arányt az eljárás nem befolyásolta.</w:t>
      </w:r>
    </w:p>
    <w:p w14:paraId="695A9CA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43977DB" w14:textId="0ADFC4B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kreatinin-clearance középértéke a RE-LY vizsgálatban 68,4 ml/perc volt. A RE-LY betegeinek csaknem felének (45,8%) volt a kreatinin-clearance-e &gt;</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50 – &lt; 80 ml/perc. A közepesen súlyos vesekárosodásban szenvedő betegeknél (CrCl 30</w:t>
      </w:r>
      <w:r w:rsidRPr="00617FC7">
        <w:rPr>
          <w:rFonts w:ascii="Times New Roman" w:eastAsia="Times New Roman" w:hAnsi="Times New Roman" w:cs="Times New Roman"/>
          <w:noProof w:val="0"/>
          <w:color w:val="000000"/>
          <w:kern w:val="0"/>
          <w:lang w:val="hu-HU" w:eastAsia="hu-HU"/>
          <w14:ligatures w14:val="none"/>
        </w:rPr>
        <w:noBreakHyphen/>
        <w:t>50 ml/perc között) a dabigatrán plazmakoncentrációja az adagolás előtt 2,29-szer, adagolás után pedig 1,81-szer volt magasabb a normális veseműködésű betegekkel összehasonlítva (CrCl</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 80 ml/perc).</w:t>
      </w:r>
    </w:p>
    <w:p w14:paraId="3BB7F2B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AE61385" w14:textId="734083CD"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RE-COVER vizsgálatban a kreatinin-clearance középértéke 100,4 ml/perc volt. A betegek 21,7%-ának volt enyhe (CrCl</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&gt;</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50 </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 &lt; 80 ml/perc), és 4,5%-ának közepesen súlyos (CrCl</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30</w:t>
      </w:r>
      <w:r w:rsidRPr="00617FC7">
        <w:rPr>
          <w:rFonts w:ascii="Times New Roman" w:eastAsia="Times New Roman" w:hAnsi="Times New Roman" w:cs="Times New Roman"/>
          <w:noProof w:val="0"/>
          <w:color w:val="000000"/>
          <w:kern w:val="0"/>
          <w:lang w:val="hu-HU" w:eastAsia="hu-HU"/>
          <w14:ligatures w14:val="none"/>
        </w:rPr>
        <w:noBreakHyphen/>
        <w:t xml:space="preserve">50 ml/perc </w:t>
      </w:r>
      <w:r w:rsidRPr="00617FC7">
        <w:rPr>
          <w:rFonts w:ascii="Times New Roman" w:eastAsia="Times New Roman" w:hAnsi="Times New Roman" w:cs="Times New Roman"/>
          <w:noProof w:val="0"/>
          <w:color w:val="000000"/>
          <w:kern w:val="0"/>
          <w:lang w:val="hu-HU" w:eastAsia="hu-HU"/>
          <w14:ligatures w14:val="none"/>
        </w:rPr>
        <w:lastRenderedPageBreak/>
        <w:t>közötti) vesekárosodása. Az enyhe vesekárosodásban 1,</w:t>
      </w:r>
      <w:r w:rsidR="008176A0">
        <w:rPr>
          <w:rFonts w:ascii="Times New Roman" w:eastAsia="Times New Roman" w:hAnsi="Times New Roman" w:cs="Times New Roman"/>
          <w:noProof w:val="0"/>
          <w:color w:val="000000"/>
          <w:kern w:val="0"/>
          <w:lang w:val="hu-HU" w:eastAsia="hu-HU"/>
          <w14:ligatures w14:val="none"/>
        </w:rPr>
        <w:t>7</w:t>
      </w:r>
      <w:r w:rsidRPr="00617FC7">
        <w:rPr>
          <w:rFonts w:ascii="Times New Roman" w:eastAsia="Times New Roman" w:hAnsi="Times New Roman" w:cs="Times New Roman"/>
          <w:noProof w:val="0"/>
          <w:color w:val="000000"/>
          <w:kern w:val="0"/>
          <w:lang w:val="hu-HU" w:eastAsia="hu-HU"/>
          <w14:ligatures w14:val="none"/>
        </w:rPr>
        <w:t>-szer, a közepesen súlyos vesekárosodásban szenvedő betegeknél pedig 3,</w:t>
      </w:r>
      <w:r w:rsidR="008176A0">
        <w:rPr>
          <w:rFonts w:ascii="Times New Roman" w:eastAsia="Times New Roman" w:hAnsi="Times New Roman" w:cs="Times New Roman"/>
          <w:noProof w:val="0"/>
          <w:color w:val="000000"/>
          <w:kern w:val="0"/>
          <w:lang w:val="hu-HU" w:eastAsia="hu-HU"/>
          <w14:ligatures w14:val="none"/>
        </w:rPr>
        <w:t>4</w:t>
      </w:r>
      <w:r w:rsidRPr="00617FC7">
        <w:rPr>
          <w:rFonts w:ascii="Times New Roman" w:eastAsia="Times New Roman" w:hAnsi="Times New Roman" w:cs="Times New Roman"/>
          <w:noProof w:val="0"/>
          <w:color w:val="000000"/>
          <w:kern w:val="0"/>
          <w:lang w:val="hu-HU" w:eastAsia="hu-HU"/>
          <w14:ligatures w14:val="none"/>
        </w:rPr>
        <w:t>-szer magasabbak voltak a dabigatrán dinamikus egyensúlyi állapotú plazmakoncentrációi, mint azoknál a betegeknél, akiknél 80 ml/percnél magasabb volt a kreatinin-clearance. Hasonló értékeket kaptak a RE-COVER II vizsgálatban is.</w:t>
      </w:r>
    </w:p>
    <w:p w14:paraId="0787970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7B9CCD8" w14:textId="0D0D3C59" w:rsidR="00536CD0" w:rsidRPr="00617FC7" w:rsidRDefault="00536CD0" w:rsidP="00536CD0">
      <w:pPr>
        <w:spacing w:after="0" w:line="240" w:lineRule="auto"/>
        <w:ind w:left="7" w:right="113"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RE-MEDY és RE-SONATE vizsgálatokban az átlagos kreatinin-clearance érték 99,0 ml/perc, illetve 99,7</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ml/perc volt. A kreatinin-clearance a betegek 22,9%-ánál illetve 22,5%-ánál volt 50</w:t>
      </w:r>
      <w:r w:rsidRPr="00617FC7">
        <w:rPr>
          <w:rFonts w:ascii="Times New Roman" w:eastAsia="Times New Roman" w:hAnsi="Times New Roman" w:cs="Times New Roman"/>
          <w:noProof w:val="0"/>
          <w:color w:val="000000"/>
          <w:kern w:val="0"/>
          <w:lang w:val="hu-HU" w:eastAsia="hu-HU"/>
          <w14:ligatures w14:val="none"/>
        </w:rPr>
        <w:noBreakHyphen/>
        <w:t>80 ml/perc között, és 4,1%-ánál illetve 4,8%-ánál volt 30</w:t>
      </w:r>
      <w:r w:rsidRPr="00617FC7">
        <w:rPr>
          <w:rFonts w:ascii="Times New Roman" w:eastAsia="Times New Roman" w:hAnsi="Times New Roman" w:cs="Times New Roman"/>
          <w:noProof w:val="0"/>
          <w:color w:val="000000"/>
          <w:kern w:val="0"/>
          <w:lang w:val="hu-HU" w:eastAsia="hu-HU"/>
          <w14:ligatures w14:val="none"/>
        </w:rPr>
        <w:noBreakHyphen/>
        <w:t>50 ml/perc között a RE-MEDY és a RESONATE vizsgálatoknál.</w:t>
      </w:r>
    </w:p>
    <w:p w14:paraId="2DF46A7D" w14:textId="77777777" w:rsidR="00536CD0" w:rsidRPr="00617FC7" w:rsidRDefault="00536CD0" w:rsidP="00536CD0">
      <w:pPr>
        <w:spacing w:after="0" w:line="240" w:lineRule="auto"/>
        <w:ind w:left="7" w:right="113" w:hanging="10"/>
        <w:rPr>
          <w:rFonts w:ascii="Times New Roman" w:eastAsia="Times New Roman" w:hAnsi="Times New Roman" w:cs="Times New Roman"/>
          <w:noProof w:val="0"/>
          <w:color w:val="000000"/>
          <w:kern w:val="0"/>
          <w:lang w:val="hu-HU" w:eastAsia="hu-HU"/>
          <w14:ligatures w14:val="none"/>
        </w:rPr>
      </w:pPr>
    </w:p>
    <w:p w14:paraId="14A6062B"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Idősek</w:t>
      </w:r>
    </w:p>
    <w:p w14:paraId="40476169" w14:textId="4FD0E9E3"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idős személyeken végzett I. fázisú. specifikus farmakokinetikai vizsgálatok azt mutatták, hogy az AUC 40</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60%-kal, és a C</w:t>
      </w:r>
      <w:r w:rsidRPr="00617FC7">
        <w:rPr>
          <w:rFonts w:ascii="Times New Roman" w:eastAsia="Times New Roman" w:hAnsi="Times New Roman" w:cs="Times New Roman"/>
          <w:noProof w:val="0"/>
          <w:color w:val="000000"/>
          <w:kern w:val="0"/>
          <w:vertAlign w:val="subscript"/>
          <w:lang w:val="hu-HU" w:eastAsia="hu-HU"/>
          <w14:ligatures w14:val="none"/>
        </w:rPr>
        <w:t xml:space="preserve">max </w:t>
      </w:r>
      <w:r w:rsidRPr="00617FC7">
        <w:rPr>
          <w:rFonts w:ascii="Times New Roman" w:eastAsia="Times New Roman" w:hAnsi="Times New Roman" w:cs="Times New Roman"/>
          <w:noProof w:val="0"/>
          <w:color w:val="000000"/>
          <w:kern w:val="0"/>
          <w:lang w:val="hu-HU" w:eastAsia="hu-HU"/>
          <w14:ligatures w14:val="none"/>
        </w:rPr>
        <w:t>több mint 25%-kal növekedett a fiatal személyekhez képest.</w:t>
      </w:r>
    </w:p>
    <w:p w14:paraId="0D70BF0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életkor hatását a dabigatrán-expozícióra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395E419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00839D0"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Májkárosodás</w:t>
      </w:r>
    </w:p>
    <w:p w14:paraId="069EE49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észleltek változást a dabigatrán expozíciójában 12, közepesen súlyos májkárosodásban (Child-Pugh B) szenvedő felnőtt betegnél a 12 kontrollal összehasonlítva (lásd 4.2 és 4.4 pont).</w:t>
      </w:r>
    </w:p>
    <w:p w14:paraId="18B42A6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2CC92EE"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Testtömeg</w:t>
      </w:r>
    </w:p>
    <w:p w14:paraId="0D2D8D8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mélyponti koncentrációi körülbelül 20%-kal alacsonyabbak voltak a 100 kg-nál nagyobb testtömegű felnőtt betegeknél, mint az 50-100kg közöttieknél. A vizsgálati személyek többsége (80,8%) az ≥ 50 kg és &lt; 100 kg kategóriába esett, és egyértelmű különbséget nem mutattak ki (lásd 4.2 és 4.4 pont). Az 50 kg-nál kisebb testtömegű felnőtt betegekre vonatkozó klinikai adatok korlátozottak.</w:t>
      </w:r>
    </w:p>
    <w:p w14:paraId="279C32F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E5AFD6D"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Nem</w:t>
      </w:r>
    </w:p>
    <w:p w14:paraId="73B90913" w14:textId="1CA9953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hatóanyag-expozíció a primer VTE prevenciós vizsgálatokban nőknél körülbelül 40</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50%-kal magasabb, de a dózis módosítása nem javasolt. Pitvarfibrilláló betegeknél a nőkben átlagosan 30%-kal voltak magasabban a mélyponti és poszt-dózis koncentrációk. A dózis módosítása nem szükséges (lásd 4.2 pont).</w:t>
      </w:r>
    </w:p>
    <w:p w14:paraId="1C9E0CE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660A14C"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Etnikai származás:</w:t>
      </w:r>
    </w:p>
    <w:p w14:paraId="7418DC1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figyeltek meg klinikailag releváns különbséget a dabigatrán farmakokinetikáját és farmakodinámiáját illetően a kaukázusi, afroamerikai, spanyolajkú, japán vagy kínai betegek között.</w:t>
      </w:r>
    </w:p>
    <w:p w14:paraId="78C0456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3329127" w14:textId="77777777" w:rsidR="00536CD0" w:rsidRPr="00617FC7" w:rsidRDefault="00536CD0" w:rsidP="00536CD0">
      <w:pPr>
        <w:keepNext/>
        <w:spacing w:after="0" w:line="240" w:lineRule="auto"/>
        <w:ind w:left="5" w:hanging="11"/>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i/>
          <w:noProof w:val="0"/>
          <w:color w:val="000000"/>
          <w:kern w:val="0"/>
          <w:u w:val="single" w:color="000000"/>
          <w:lang w:val="hu-HU" w:eastAsia="hu-HU"/>
          <w14:ligatures w14:val="none"/>
        </w:rPr>
        <w:t>Gyermekek és serdülők</w:t>
      </w:r>
    </w:p>
    <w:p w14:paraId="45F742D5" w14:textId="6DCC16FB"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dabigatrán-etexilát protokollban meghatározott adagolási szabályok szerinti, orális alkalmazása az MVT/PE miatt kezelt felnőtteknél tapasztalt tartománynak megfelelő expozíciót eredményezett. A DIVERSITY és az 1160.108 vizsgálat összesített farmakokinetikai adatainak elemzése alapján a megfigyelt mélyponti expozíció geometriai átlagértéke a 0</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w:t>
      </w:r>
      <w:r w:rsidR="00786B15">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&lt; 2 éveseknél 53,9 ng/ml, a 2 – &lt; 12 éveseknél 63,0 ng/ml és a 12 – &lt; 18 éveseknél 99,1 ng/ml volt a gyermek és serdülőkorú VTE-betegek körében.</w:t>
      </w:r>
    </w:p>
    <w:p w14:paraId="39CBD20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452F8E"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Farmakokinetikai összefüggések</w:t>
      </w:r>
    </w:p>
    <w:p w14:paraId="083E52B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Az </w:t>
      </w:r>
      <w:r w:rsidRPr="00617FC7">
        <w:rPr>
          <w:rFonts w:ascii="Times New Roman" w:eastAsia="Times New Roman" w:hAnsi="Times New Roman" w:cs="Times New Roman"/>
          <w:i/>
          <w:noProof w:val="0"/>
          <w:color w:val="000000"/>
          <w:kern w:val="0"/>
          <w:lang w:val="hu-HU" w:eastAsia="hu-HU"/>
          <w14:ligatures w14:val="none"/>
        </w:rPr>
        <w:t xml:space="preserve">in vitro </w:t>
      </w:r>
      <w:r w:rsidRPr="00617FC7">
        <w:rPr>
          <w:rFonts w:ascii="Times New Roman" w:eastAsia="Times New Roman" w:hAnsi="Times New Roman" w:cs="Times New Roman"/>
          <w:noProof w:val="0"/>
          <w:color w:val="000000"/>
          <w:kern w:val="0"/>
          <w:lang w:val="hu-HU" w:eastAsia="hu-HU"/>
          <w14:ligatures w14:val="none"/>
        </w:rPr>
        <w:t xml:space="preserve">interakciós vizsgálatok nem igazolták a citokróm P450 fő izoenzimeinek gátlását vagy indukcióját. Ezt megerősítették egészséges önkénteseken végzett </w:t>
      </w:r>
      <w:r w:rsidRPr="00617FC7">
        <w:rPr>
          <w:rFonts w:ascii="Times New Roman" w:eastAsia="Times New Roman" w:hAnsi="Times New Roman" w:cs="Times New Roman"/>
          <w:i/>
          <w:noProof w:val="0"/>
          <w:color w:val="000000"/>
          <w:kern w:val="0"/>
          <w:lang w:val="hu-HU" w:eastAsia="hu-HU"/>
          <w14:ligatures w14:val="none"/>
        </w:rPr>
        <w:t xml:space="preserve">in vivo </w:t>
      </w:r>
      <w:r w:rsidRPr="00617FC7">
        <w:rPr>
          <w:rFonts w:ascii="Times New Roman" w:eastAsia="Times New Roman" w:hAnsi="Times New Roman" w:cs="Times New Roman"/>
          <w:noProof w:val="0"/>
          <w:color w:val="000000"/>
          <w:kern w:val="0"/>
          <w:lang w:val="hu-HU" w:eastAsia="hu-HU"/>
          <w14:ligatures w14:val="none"/>
        </w:rPr>
        <w:t>vizsgálatok, amelyekben nem észleltek interakciót a kezelés és a következő hatóanyagok adását követően: atorvasztatin (CYP3A4), digoxin (P-gp-transzporter interakció) és diklofenák (CYP2C9).</w:t>
      </w:r>
    </w:p>
    <w:p w14:paraId="59F7570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0D24B4A" w14:textId="77777777" w:rsidR="00536CD0" w:rsidRPr="00617FC7" w:rsidRDefault="00536CD0" w:rsidP="00CF66F9">
      <w:pPr>
        <w:tabs>
          <w:tab w:val="left" w:pos="567"/>
          <w:tab w:val="center" w:pos="3073"/>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5.3</w:t>
      </w:r>
      <w:r w:rsidRPr="00617FC7">
        <w:rPr>
          <w:rFonts w:ascii="Times New Roman" w:eastAsia="Times New Roman" w:hAnsi="Times New Roman" w:cs="Times New Roman"/>
          <w:b/>
          <w:noProof w:val="0"/>
          <w:color w:val="000000"/>
          <w:kern w:val="0"/>
          <w:lang w:val="hu-HU" w:eastAsia="hu-HU"/>
          <w14:ligatures w14:val="none"/>
        </w:rPr>
        <w:tab/>
        <w:t>A preklinikai biztonságossági vizsgálatok eredményei</w:t>
      </w:r>
    </w:p>
    <w:p w14:paraId="1E9EFBA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428D7C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A hagyományos – farmakológiai biztonságossági, ismételt dózistoxicitási és genotoxicitási – vizsgálatokból származó nem klinikai jellegű adatok azt igazolták, hogy a készítmény alkalmazásakor humán vonatkozásban különleges kockázat nem várható.</w:t>
      </w:r>
    </w:p>
    <w:p w14:paraId="3DEA2B9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B98316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Az ismételt dózistoxicitási vizsgálatokban megfigyelt hatások a dabigatrán felerősödött farmakodinámiás hatásának következtében alakultak ki.</w:t>
      </w:r>
    </w:p>
    <w:p w14:paraId="78AC108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C043D79" w14:textId="499A9C96"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Nőstények termékenységére kifejtett hatást figyeltek meg csökkent implantációs arány és a preimplantációs veszteség növekedésének formájában 70 mg/ttkg-os (a betegeknél észlelhető plazma expozíciós szintnél 5-ször nagyobb értékek) dózisoknál. Anyai toxikus dózisok (a betegeknél észlelhető plazma expozíció 5</w:t>
      </w:r>
      <w:r w:rsidR="00786B15" w:rsidRPr="00617FC7">
        <w:rPr>
          <w:rFonts w:ascii="Times New Roman" w:eastAsia="Times New Roman" w:hAnsi="Times New Roman" w:cs="Times New Roman"/>
          <w:noProof w:val="0"/>
          <w:color w:val="000000"/>
          <w:lang w:val="hu-HU"/>
        </w:rPr>
        <w:t>–</w:t>
      </w:r>
      <w:r w:rsidRPr="00617FC7">
        <w:rPr>
          <w:rFonts w:ascii="Times New Roman" w:eastAsia="Times New Roman" w:hAnsi="Times New Roman" w:cs="Times New Roman"/>
          <w:noProof w:val="0"/>
          <w:color w:val="000000"/>
          <w:kern w:val="0"/>
          <w:lang w:val="hu-HU" w:eastAsia="hu-HU"/>
          <w14:ligatures w14:val="none"/>
        </w:rPr>
        <w:t>10-szerese) esetén patkányoknál és nyulaknál a magzati testtömeg és életképesség csökkenését és a foetalis elváltozások számának növekedését figyelték meg. A pre- és postnatalis vizsgálatban fokozott magzati mortalitást észleltek toxikus anyai dózisok esetén (ez a dózis megfelel a betegeknél megfigyelt dózisoknál 4-szer nagyobb plazma expozíciónak).</w:t>
      </w:r>
    </w:p>
    <w:p w14:paraId="49B7512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Egy juvenilis toxicitási vizsgálatban, amelyet Han Wistar patkányokon végeztek, a mortalitást összefüggésbe hozták azon vérzéses eseményekkel, amelyek ahhoz hasonló expozíciós szinteken történtek, amelyek esetén a felnőtt állatoknál vérzést tapasztaltak. Felnőtt és juvenilis patkányoknál is a mortalitást a dabigatrán felerősödött farmakológiai hatásának tulajdonították, ami a beadással és kezeléssel összefüggő mechanikai erőhatásokkal állt összefüggésben. A juvenilis toxicitási vizsgálatok adatai nem utaltak a toxicitásra való fokozott érzékenységre, sem pedig juvenilis állatokra specifikusan jellemző toxicitásra.</w:t>
      </w:r>
    </w:p>
    <w:p w14:paraId="18B12B4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FD6CC30" w14:textId="77777777" w:rsidR="00536CD0" w:rsidRPr="00617FC7" w:rsidRDefault="00536CD0" w:rsidP="00536CD0">
      <w:pPr>
        <w:spacing w:after="0" w:line="240" w:lineRule="auto"/>
        <w:ind w:left="7" w:right="665"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Patkányokkal és egerekkel végzett élethosszig tartó toxikológiai vizsgálatokban, maximum 200 mg/ttkg-os dózisig nem találtak bizonyítékot a dabigatrán karcinogén potenciáljára.</w:t>
      </w:r>
    </w:p>
    <w:p w14:paraId="4E64358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dabigatrán, a dabigatrán-etexilát mezilát aktív összetevője a környezetben nem bomlik le.</w:t>
      </w:r>
    </w:p>
    <w:p w14:paraId="7565C7E4"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CB265D8"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2F9FE96" w14:textId="77777777" w:rsidR="00536CD0" w:rsidRPr="00617FC7" w:rsidRDefault="00536CD0" w:rsidP="0016776B">
      <w:pPr>
        <w:numPr>
          <w:ilvl w:val="0"/>
          <w:numId w:val="10"/>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GYÓGYSZERÉSZETI JELLEMZŐK</w:t>
      </w:r>
    </w:p>
    <w:p w14:paraId="0BA8A8A5" w14:textId="77777777" w:rsidR="00536CD0" w:rsidRPr="00617FC7" w:rsidRDefault="00536CD0" w:rsidP="00536CD0">
      <w:pPr>
        <w:tabs>
          <w:tab w:val="center" w:pos="1769"/>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605A87D9" w14:textId="77777777" w:rsidR="00536CD0" w:rsidRPr="00617FC7" w:rsidRDefault="00536CD0" w:rsidP="00CF66F9">
      <w:pPr>
        <w:tabs>
          <w:tab w:val="left" w:pos="567"/>
          <w:tab w:val="center" w:pos="1769"/>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6.1</w:t>
      </w:r>
      <w:r w:rsidRPr="00617FC7">
        <w:rPr>
          <w:rFonts w:ascii="Times New Roman" w:eastAsia="Times New Roman" w:hAnsi="Times New Roman" w:cs="Times New Roman"/>
          <w:b/>
          <w:noProof w:val="0"/>
          <w:color w:val="000000"/>
          <w:kern w:val="0"/>
          <w:lang w:val="hu-HU" w:eastAsia="hu-HU"/>
          <w14:ligatures w14:val="none"/>
        </w:rPr>
        <w:tab/>
        <w:t>Segédanyagok felsorolása</w:t>
      </w:r>
    </w:p>
    <w:p w14:paraId="0C1A7BBB" w14:textId="77777777" w:rsidR="00536CD0" w:rsidRPr="00617FC7" w:rsidRDefault="00536CD0" w:rsidP="00536CD0">
      <w:pPr>
        <w:tabs>
          <w:tab w:val="center" w:pos="1769"/>
        </w:tabs>
        <w:spacing w:after="0" w:line="240" w:lineRule="auto"/>
        <w:ind w:left="-3"/>
        <w:rPr>
          <w:rFonts w:ascii="Times New Roman" w:eastAsia="Times New Roman" w:hAnsi="Times New Roman" w:cs="Times New Roman"/>
          <w:bCs/>
          <w:noProof w:val="0"/>
          <w:color w:val="000000"/>
          <w:kern w:val="0"/>
          <w:lang w:val="hu-HU" w:eastAsia="hu-HU"/>
          <w14:ligatures w14:val="none"/>
        </w:rPr>
      </w:pPr>
    </w:p>
    <w:p w14:paraId="6F097DFC"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Kapszulatartalom</w:t>
      </w:r>
    </w:p>
    <w:p w14:paraId="5A33309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Borkősav</w:t>
      </w:r>
    </w:p>
    <w:p w14:paraId="78DB2CF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Hipromellóz</w:t>
      </w:r>
    </w:p>
    <w:p w14:paraId="0B5947C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Dimetikon 350</w:t>
      </w:r>
    </w:p>
    <w:p w14:paraId="7B23E99E"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Talkum</w:t>
      </w:r>
    </w:p>
    <w:p w14:paraId="2BC65F6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Hidroxipropilcellulóz</w:t>
      </w:r>
    </w:p>
    <w:p w14:paraId="744739A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B7B94D5"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Kapszulahéj</w:t>
      </w:r>
    </w:p>
    <w:p w14:paraId="7F098F35" w14:textId="1AC6406C"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Karragén </w:t>
      </w:r>
      <w:r w:rsidRPr="00617FC7">
        <w:rPr>
          <w:rFonts w:ascii="Times New Roman" w:eastAsia="Times New Roman" w:hAnsi="Times New Roman" w:cs="Times New Roman"/>
          <w:noProof w:val="0"/>
          <w:color w:val="000000"/>
          <w:kern w:val="0"/>
          <w:lang w:val="hu-HU" w:eastAsia="hu-HU" w:bidi="en-US"/>
          <w14:ligatures w14:val="none"/>
        </w:rPr>
        <w:t>(E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407)</w:t>
      </w:r>
    </w:p>
    <w:p w14:paraId="2CC7F0B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Kálium-klorid</w:t>
      </w:r>
    </w:p>
    <w:p w14:paraId="0D6B990B" w14:textId="0DD591A2"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Titán-dioxid </w:t>
      </w:r>
      <w:r w:rsidRPr="00617FC7">
        <w:rPr>
          <w:rFonts w:ascii="Times New Roman" w:eastAsia="Times New Roman" w:hAnsi="Times New Roman" w:cs="Times New Roman"/>
          <w:noProof w:val="0"/>
          <w:color w:val="000000"/>
          <w:kern w:val="0"/>
          <w:lang w:val="hu-HU" w:eastAsia="hu-HU" w:bidi="en-US"/>
          <w14:ligatures w14:val="none"/>
        </w:rPr>
        <w:t>(E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171)</w:t>
      </w:r>
    </w:p>
    <w:p w14:paraId="73DB03AC" w14:textId="6457DF52" w:rsidR="00536CD0" w:rsidRPr="00617FC7" w:rsidRDefault="00536CD0" w:rsidP="00536CD0">
      <w:pPr>
        <w:spacing w:after="0" w:line="240" w:lineRule="auto"/>
        <w:ind w:left="7" w:right="6758"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Indigókármin (E</w:t>
      </w:r>
      <w:r w:rsidR="00C82C5E">
        <w:rPr>
          <w:rFonts w:ascii="Times New Roman" w:eastAsia="Times New Roman" w:hAnsi="Times New Roman" w:cs="Times New Roman"/>
          <w:noProof w:val="0"/>
          <w:color w:val="000000"/>
          <w:kern w:val="0"/>
          <w:lang w:val="hu-HU" w:eastAsia="hu-HU"/>
          <w14:ligatures w14:val="none"/>
        </w:rPr>
        <w:t> </w:t>
      </w:r>
      <w:r w:rsidRPr="00617FC7">
        <w:rPr>
          <w:rFonts w:ascii="Times New Roman" w:eastAsia="Times New Roman" w:hAnsi="Times New Roman" w:cs="Times New Roman"/>
          <w:noProof w:val="0"/>
          <w:color w:val="000000"/>
          <w:kern w:val="0"/>
          <w:lang w:val="hu-HU" w:eastAsia="hu-HU"/>
          <w14:ligatures w14:val="none"/>
        </w:rPr>
        <w:t>132)</w:t>
      </w:r>
    </w:p>
    <w:p w14:paraId="3428E508" w14:textId="77777777" w:rsidR="00536CD0" w:rsidRPr="00617FC7" w:rsidRDefault="00536CD0" w:rsidP="00536CD0">
      <w:pPr>
        <w:spacing w:after="0" w:line="240" w:lineRule="auto"/>
        <w:ind w:left="7" w:right="6758"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Hipromellóz</w:t>
      </w:r>
    </w:p>
    <w:p w14:paraId="1FE72E03" w14:textId="77777777" w:rsidR="00536CD0" w:rsidRPr="00617FC7" w:rsidRDefault="00536CD0" w:rsidP="00536CD0">
      <w:pPr>
        <w:spacing w:after="0" w:line="240" w:lineRule="auto"/>
        <w:ind w:left="7" w:right="6758" w:hanging="10"/>
        <w:rPr>
          <w:rFonts w:ascii="Times New Roman" w:eastAsia="Times New Roman" w:hAnsi="Times New Roman" w:cs="Times New Roman"/>
          <w:noProof w:val="0"/>
          <w:color w:val="000000"/>
          <w:kern w:val="0"/>
          <w:lang w:val="hu-HU" w:eastAsia="hu-HU"/>
          <w14:ligatures w14:val="none"/>
        </w:rPr>
      </w:pPr>
    </w:p>
    <w:p w14:paraId="02DCF539"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val="single" w:color="000000"/>
          <w:lang w:val="hu-HU" w:eastAsia="hu-HU"/>
          <w14:ligatures w14:val="none"/>
        </w:rPr>
      </w:pPr>
      <w:r w:rsidRPr="00617FC7">
        <w:rPr>
          <w:rFonts w:ascii="Times New Roman" w:eastAsia="Times New Roman" w:hAnsi="Times New Roman" w:cs="Times New Roman"/>
          <w:noProof w:val="0"/>
          <w:color w:val="000000"/>
          <w:kern w:val="0"/>
          <w:u w:val="single" w:color="000000"/>
          <w:lang w:val="hu-HU" w:eastAsia="hu-HU"/>
          <w14:ligatures w14:val="none"/>
        </w:rPr>
        <w:t>Fekete jelölőfesték</w:t>
      </w:r>
    </w:p>
    <w:p w14:paraId="71B82DCC" w14:textId="049A5781"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bidi="en-US"/>
          <w14:ligatures w14:val="none"/>
        </w:rPr>
      </w:pPr>
      <w:r w:rsidRPr="00617FC7">
        <w:rPr>
          <w:rFonts w:ascii="Times New Roman" w:eastAsia="Times New Roman" w:hAnsi="Times New Roman" w:cs="Times New Roman"/>
          <w:noProof w:val="0"/>
          <w:color w:val="000000"/>
          <w:kern w:val="0"/>
          <w:lang w:val="hu-HU" w:eastAsia="hu-HU"/>
          <w14:ligatures w14:val="none"/>
        </w:rPr>
        <w:t xml:space="preserve">Sellak </w:t>
      </w:r>
      <w:r w:rsidRPr="00617FC7">
        <w:rPr>
          <w:rFonts w:ascii="Times New Roman" w:eastAsia="Times New Roman" w:hAnsi="Times New Roman" w:cs="Times New Roman"/>
          <w:noProof w:val="0"/>
          <w:color w:val="000000"/>
          <w:kern w:val="0"/>
          <w:lang w:val="hu-HU" w:eastAsia="hu-HU" w:bidi="en-US"/>
          <w14:ligatures w14:val="none"/>
        </w:rPr>
        <w:t>(E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904)</w:t>
      </w:r>
    </w:p>
    <w:p w14:paraId="41C1DDC1" w14:textId="6CA73D22"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Fekete vas-oxid </w:t>
      </w:r>
      <w:r w:rsidRPr="00617FC7">
        <w:rPr>
          <w:rFonts w:ascii="Times New Roman" w:eastAsia="Times New Roman" w:hAnsi="Times New Roman" w:cs="Times New Roman"/>
          <w:noProof w:val="0"/>
          <w:color w:val="000000"/>
          <w:kern w:val="0"/>
          <w:lang w:val="hu-HU" w:eastAsia="hu-HU" w:bidi="en-US"/>
          <w14:ligatures w14:val="none"/>
        </w:rPr>
        <w:t>(E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172)</w:t>
      </w:r>
    </w:p>
    <w:p w14:paraId="4564FC38" w14:textId="1D28FAA3" w:rsidR="00536CD0" w:rsidRPr="00617FC7" w:rsidRDefault="00536CD0" w:rsidP="00536CD0">
      <w:pPr>
        <w:widowControl w:val="0"/>
        <w:spacing w:after="0" w:line="240" w:lineRule="auto"/>
        <w:ind w:left="22" w:hanging="10"/>
        <w:rPr>
          <w:rFonts w:ascii="Times New Roman" w:eastAsia="Times New Roman" w:hAnsi="Times New Roman" w:cs="Times New Roman"/>
          <w:noProof w:val="0"/>
          <w:color w:val="000000"/>
          <w:kern w:val="0"/>
          <w:lang w:val="hu-HU" w:eastAsia="hu-HU" w:bidi="en-US"/>
          <w14:ligatures w14:val="none"/>
        </w:rPr>
      </w:pPr>
      <w:r w:rsidRPr="00617FC7">
        <w:rPr>
          <w:rFonts w:ascii="Times New Roman" w:eastAsia="Times New Roman" w:hAnsi="Times New Roman" w:cs="Times New Roman"/>
          <w:noProof w:val="0"/>
          <w:color w:val="000000"/>
          <w:kern w:val="0"/>
          <w:lang w:val="hu-HU" w:eastAsia="hu-HU" w:bidi="en-US"/>
          <w14:ligatures w14:val="none"/>
        </w:rPr>
        <w:t>Propilénglikol (E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1520)</w:t>
      </w:r>
    </w:p>
    <w:p w14:paraId="4E2CD8A5" w14:textId="59B427DD"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bidi="en-US"/>
          <w14:ligatures w14:val="none"/>
        </w:rPr>
      </w:pPr>
      <w:r w:rsidRPr="00617FC7">
        <w:rPr>
          <w:rFonts w:ascii="Times New Roman" w:eastAsia="Times New Roman" w:hAnsi="Times New Roman" w:cs="Times New Roman"/>
          <w:noProof w:val="0"/>
          <w:color w:val="000000"/>
          <w:kern w:val="0"/>
          <w:lang w:val="hu-HU" w:eastAsia="hu-HU" w:bidi="en-US"/>
          <w14:ligatures w14:val="none"/>
        </w:rPr>
        <w:t>Tömény ammónia-oldat (E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527)</w:t>
      </w:r>
    </w:p>
    <w:p w14:paraId="298005CA" w14:textId="1725A271"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Kálium-hidroxid </w:t>
      </w:r>
      <w:r w:rsidRPr="00617FC7">
        <w:rPr>
          <w:rFonts w:ascii="Times New Roman" w:eastAsia="Times New Roman" w:hAnsi="Times New Roman" w:cs="Times New Roman"/>
          <w:noProof w:val="0"/>
          <w:color w:val="000000"/>
          <w:kern w:val="0"/>
          <w:lang w:val="hu-HU" w:eastAsia="hu-HU" w:bidi="en-US"/>
          <w14:ligatures w14:val="none"/>
        </w:rPr>
        <w:t>(E</w:t>
      </w:r>
      <w:r w:rsidR="00C82C5E">
        <w:rPr>
          <w:rFonts w:ascii="Times New Roman" w:eastAsia="Times New Roman" w:hAnsi="Times New Roman" w:cs="Times New Roman"/>
          <w:noProof w:val="0"/>
          <w:color w:val="000000"/>
          <w:kern w:val="0"/>
          <w:lang w:val="hu-HU" w:eastAsia="hu-HU" w:bidi="en-US"/>
          <w14:ligatures w14:val="none"/>
        </w:rPr>
        <w:t> </w:t>
      </w:r>
      <w:r w:rsidRPr="00617FC7">
        <w:rPr>
          <w:rFonts w:ascii="Times New Roman" w:eastAsia="Times New Roman" w:hAnsi="Times New Roman" w:cs="Times New Roman"/>
          <w:noProof w:val="0"/>
          <w:color w:val="000000"/>
          <w:kern w:val="0"/>
          <w:lang w:val="hu-HU" w:eastAsia="hu-HU" w:bidi="en-US"/>
          <w14:ligatures w14:val="none"/>
        </w:rPr>
        <w:t>525)</w:t>
      </w:r>
    </w:p>
    <w:p w14:paraId="2F6AD3A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0475DA7" w14:textId="77777777" w:rsidR="00536CD0" w:rsidRPr="00617FC7" w:rsidRDefault="00536CD0" w:rsidP="00CF66F9">
      <w:pPr>
        <w:tabs>
          <w:tab w:val="left" w:pos="567"/>
        </w:tabs>
        <w:spacing w:after="0" w:line="240" w:lineRule="auto"/>
        <w:ind w:left="7" w:right="6276" w:hanging="10"/>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6.2</w:t>
      </w:r>
      <w:r w:rsidRPr="00617FC7">
        <w:rPr>
          <w:rFonts w:ascii="Times New Roman" w:eastAsia="Times New Roman" w:hAnsi="Times New Roman" w:cs="Times New Roman"/>
          <w:b/>
          <w:noProof w:val="0"/>
          <w:color w:val="000000"/>
          <w:kern w:val="0"/>
          <w:lang w:val="hu-HU" w:eastAsia="hu-HU"/>
          <w14:ligatures w14:val="none"/>
        </w:rPr>
        <w:tab/>
        <w:t>Inkompatibilitások</w:t>
      </w:r>
    </w:p>
    <w:p w14:paraId="3CE0A649" w14:textId="77777777" w:rsidR="00536CD0" w:rsidRPr="00617FC7" w:rsidRDefault="00536CD0" w:rsidP="00536CD0">
      <w:pPr>
        <w:spacing w:after="0" w:line="240" w:lineRule="auto"/>
        <w:ind w:left="7" w:right="6276" w:hanging="10"/>
        <w:rPr>
          <w:rFonts w:ascii="Times New Roman" w:eastAsia="Times New Roman" w:hAnsi="Times New Roman" w:cs="Times New Roman"/>
          <w:noProof w:val="0"/>
          <w:color w:val="000000"/>
          <w:kern w:val="0"/>
          <w:lang w:val="hu-HU" w:eastAsia="hu-HU"/>
          <w14:ligatures w14:val="none"/>
        </w:rPr>
      </w:pPr>
    </w:p>
    <w:p w14:paraId="11581776" w14:textId="77777777" w:rsidR="00536CD0" w:rsidRPr="00617FC7" w:rsidRDefault="00536CD0" w:rsidP="00536CD0">
      <w:pPr>
        <w:spacing w:after="0" w:line="240" w:lineRule="auto"/>
        <w:ind w:left="7" w:right="6276"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értelmezhető.</w:t>
      </w:r>
    </w:p>
    <w:p w14:paraId="7B88D4A4" w14:textId="77777777" w:rsidR="00536CD0" w:rsidRPr="00617FC7" w:rsidRDefault="00536CD0" w:rsidP="00536CD0">
      <w:pPr>
        <w:spacing w:after="0" w:line="240" w:lineRule="auto"/>
        <w:ind w:left="7" w:right="6276" w:hanging="10"/>
        <w:rPr>
          <w:rFonts w:ascii="Times New Roman" w:eastAsia="Times New Roman" w:hAnsi="Times New Roman" w:cs="Times New Roman"/>
          <w:noProof w:val="0"/>
          <w:color w:val="000000"/>
          <w:kern w:val="0"/>
          <w:lang w:val="hu-HU" w:eastAsia="hu-HU"/>
          <w14:ligatures w14:val="none"/>
        </w:rPr>
      </w:pPr>
    </w:p>
    <w:p w14:paraId="4B52A26B" w14:textId="77777777" w:rsidR="00536CD0" w:rsidRPr="00617FC7" w:rsidRDefault="00536CD0" w:rsidP="00CF66F9">
      <w:pPr>
        <w:tabs>
          <w:tab w:val="left" w:pos="567"/>
          <w:tab w:val="center" w:pos="1958"/>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6.3</w:t>
      </w:r>
      <w:r w:rsidRPr="00617FC7">
        <w:rPr>
          <w:rFonts w:ascii="Times New Roman" w:eastAsia="Times New Roman" w:hAnsi="Times New Roman" w:cs="Times New Roman"/>
          <w:b/>
          <w:noProof w:val="0"/>
          <w:color w:val="000000"/>
          <w:kern w:val="0"/>
          <w:lang w:val="hu-HU" w:eastAsia="hu-HU"/>
          <w14:ligatures w14:val="none"/>
        </w:rPr>
        <w:tab/>
        <w:t>Felhasználhatósági időtartam</w:t>
      </w:r>
    </w:p>
    <w:p w14:paraId="3C2DD30A" w14:textId="77777777" w:rsidR="00536CD0" w:rsidRPr="00617FC7" w:rsidRDefault="00536CD0" w:rsidP="00536CD0">
      <w:pPr>
        <w:keepNext/>
        <w:keepLines/>
        <w:spacing w:after="0" w:line="240" w:lineRule="auto"/>
        <w:ind w:left="7" w:hanging="10"/>
        <w:outlineLvl w:val="1"/>
        <w:rPr>
          <w:rFonts w:ascii="Times New Roman" w:eastAsia="Times New Roman" w:hAnsi="Times New Roman" w:cs="Times New Roman"/>
          <w:noProof w:val="0"/>
          <w:color w:val="000000"/>
          <w:kern w:val="0"/>
          <w:u w:color="000000"/>
          <w:lang w:val="hu-HU" w:eastAsia="hu-HU"/>
          <w14:ligatures w14:val="none"/>
        </w:rPr>
      </w:pPr>
    </w:p>
    <w:p w14:paraId="4505FD4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2 év</w:t>
      </w:r>
    </w:p>
    <w:p w14:paraId="11D1593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27577795" w14:textId="77777777" w:rsidR="00536CD0" w:rsidRPr="00617FC7" w:rsidRDefault="00536CD0" w:rsidP="00CF66F9">
      <w:pPr>
        <w:tabs>
          <w:tab w:val="left" w:pos="567"/>
          <w:tab w:val="center" w:pos="1924"/>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6.4</w:t>
      </w:r>
      <w:r w:rsidRPr="00617FC7">
        <w:rPr>
          <w:rFonts w:ascii="Times New Roman" w:eastAsia="Times New Roman" w:hAnsi="Times New Roman" w:cs="Times New Roman"/>
          <w:b/>
          <w:noProof w:val="0"/>
          <w:color w:val="000000"/>
          <w:kern w:val="0"/>
          <w:lang w:val="hu-HU" w:eastAsia="hu-HU"/>
          <w14:ligatures w14:val="none"/>
        </w:rPr>
        <w:tab/>
        <w:t>Különleges tárolási előírások</w:t>
      </w:r>
    </w:p>
    <w:p w14:paraId="61934D3E" w14:textId="77777777" w:rsidR="00536CD0" w:rsidRPr="00617FC7" w:rsidRDefault="00536CD0" w:rsidP="00536CD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6B07339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Ez a gyógyszer nem igényel különleges tárolási hőmérsékletet.</w:t>
      </w:r>
    </w:p>
    <w:p w14:paraId="0E5404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nedvességtől való védelem érdekében az eredeti csomagolásban tárolandó.</w:t>
      </w:r>
    </w:p>
    <w:p w14:paraId="482C1D7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5F746282" w14:textId="77777777" w:rsidR="00536CD0" w:rsidRPr="00617FC7" w:rsidRDefault="00536CD0" w:rsidP="00CF66F9">
      <w:pPr>
        <w:tabs>
          <w:tab w:val="left" w:pos="567"/>
          <w:tab w:val="center" w:pos="2093"/>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6.5</w:t>
      </w:r>
      <w:r w:rsidRPr="00617FC7">
        <w:rPr>
          <w:rFonts w:ascii="Times New Roman" w:eastAsia="Times New Roman" w:hAnsi="Times New Roman" w:cs="Times New Roman"/>
          <w:b/>
          <w:noProof w:val="0"/>
          <w:color w:val="000000"/>
          <w:kern w:val="0"/>
          <w:lang w:val="hu-HU" w:eastAsia="hu-HU"/>
          <w14:ligatures w14:val="none"/>
        </w:rPr>
        <w:tab/>
        <w:t>Csomagolás típusa és kiszerelése</w:t>
      </w:r>
    </w:p>
    <w:p w14:paraId="0EF3F91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0A85F8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10 kemény kapszulát tartalmazó, nedvességmegkötővel ellátott, OPA/AL/PE lágy fóliából és kemény alumíniumfóliából álló Al/Al buborékcsomagolás dobozban. A dobozok 10, 30 vagy 60 kemény kapszulát tartalmaznak.</w:t>
      </w:r>
    </w:p>
    <w:p w14:paraId="16653B9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4AB2A1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Gyűjtőcsomagolás, ami 3 doboz 60 kemény kapszulát (180 kemény kapszulát) tartalmazó doboz. </w:t>
      </w:r>
    </w:p>
    <w:p w14:paraId="757B0E0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gyűjtőcsomagolásban található egyedi dobozok 6 darab, egyenként 10 kemény kapszulát tartalmazó Al/Al buborékcsomagolást tartalmaznak.</w:t>
      </w:r>
    </w:p>
    <w:p w14:paraId="0CD5C936"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094C59B"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10 kemény kapszulát tartalmazó, perforált, nedvességmegkötővel ellátott, OPA/AL/PE lágy fóliából és kemény alumíniumfóliából álló Al/Al buborékcsomagolás dobozban.</w:t>
      </w:r>
    </w:p>
    <w:p w14:paraId="666D8C7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dobozok 10, 30 vagy 60 kemény kapszulát tartalmaznak.</w:t>
      </w:r>
    </w:p>
    <w:p w14:paraId="13B3BF0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1B43B2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Gyűjtőcsomagolás, ami 3 doboz 60 kemény kapszulát (180 kemény kapszulát) tartalmazó doboz. </w:t>
      </w:r>
    </w:p>
    <w:p w14:paraId="2A4DDED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gyűjtőcsomagolásban található egyedi dobozok 6 darab, egyenként 10 kemény kapszulát tartalmazó perforált Al/Al buborékcsomagolást tartalmaznak.</w:t>
      </w:r>
    </w:p>
    <w:p w14:paraId="086AED99" w14:textId="77777777" w:rsidR="00536CD0" w:rsidRPr="00617FC7" w:rsidRDefault="00536CD0" w:rsidP="00536CD0">
      <w:pPr>
        <w:spacing w:after="0" w:line="240" w:lineRule="auto"/>
        <w:ind w:right="9"/>
        <w:rPr>
          <w:rFonts w:ascii="Times New Roman" w:eastAsia="Times New Roman" w:hAnsi="Times New Roman" w:cs="Times New Roman"/>
          <w:noProof w:val="0"/>
          <w:color w:val="000000"/>
          <w:kern w:val="0"/>
          <w:lang w:val="hu-HU" w:eastAsia="hu-HU"/>
          <w14:ligatures w14:val="none"/>
        </w:rPr>
      </w:pPr>
    </w:p>
    <w:p w14:paraId="0929B3FE" w14:textId="77777777" w:rsidR="00536CD0" w:rsidRPr="00617FC7" w:rsidRDefault="00536CD0" w:rsidP="00536CD0">
      <w:pPr>
        <w:spacing w:after="0" w:line="240" w:lineRule="auto"/>
        <w:ind w:left="12" w:right="9"/>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Nem feltétlenül mindegyik kiszerelés kerül kereskedelmi forgalomba.</w:t>
      </w:r>
    </w:p>
    <w:p w14:paraId="1FEACD9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DDE3483" w14:textId="77777777" w:rsidR="00536CD0" w:rsidRPr="00617FC7" w:rsidRDefault="00536CD0" w:rsidP="00536CD0">
      <w:pPr>
        <w:spacing w:after="0" w:line="240" w:lineRule="auto"/>
        <w:ind w:left="563"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6.6</w:t>
      </w:r>
      <w:r w:rsidRPr="00617FC7">
        <w:rPr>
          <w:rFonts w:ascii="Times New Roman" w:eastAsia="Times New Roman" w:hAnsi="Times New Roman" w:cs="Times New Roman"/>
          <w:b/>
          <w:noProof w:val="0"/>
          <w:color w:val="000000"/>
          <w:kern w:val="0"/>
          <w:lang w:val="hu-HU" w:eastAsia="hu-HU"/>
          <w14:ligatures w14:val="none"/>
        </w:rPr>
        <w:tab/>
        <w:t>A megsemmisítésre vonatkozó különleges óvintézkedések és egyéb, a készítmény kezelésével kapcsolatos információk</w:t>
      </w:r>
    </w:p>
    <w:p w14:paraId="2091357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7DBD190D"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Telexer kemény kapszula buborékcsomagolásból történő kivétele során a következő utasításokat kell betartani:</w:t>
      </w:r>
    </w:p>
    <w:p w14:paraId="5A770D78" w14:textId="77777777" w:rsidR="00536CD0" w:rsidRPr="00617FC7" w:rsidRDefault="00536CD0" w:rsidP="0016776B">
      <w:pPr>
        <w:numPr>
          <w:ilvl w:val="0"/>
          <w:numId w:val="11"/>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Perforált buborékcsomagolás esetén: Egy önálló buborékcsomagolás részt le kell tépni a perforált vonal mentén a buborékcsomagolásról.</w:t>
      </w:r>
    </w:p>
    <w:p w14:paraId="244C9747" w14:textId="77777777" w:rsidR="00536CD0" w:rsidRPr="00617FC7" w:rsidRDefault="00536CD0" w:rsidP="0016776B">
      <w:pPr>
        <w:numPr>
          <w:ilvl w:val="0"/>
          <w:numId w:val="11"/>
        </w:numPr>
        <w:spacing w:after="0" w:line="240" w:lineRule="auto"/>
        <w:ind w:right="9"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kapszulát a buborékcsomagolás fóliáján át kell nyomni.</w:t>
      </w:r>
    </w:p>
    <w:p w14:paraId="29543ABD" w14:textId="77777777" w:rsidR="00536CD0" w:rsidRPr="00617FC7" w:rsidRDefault="00536CD0" w:rsidP="00536CD0">
      <w:pPr>
        <w:spacing w:after="0" w:line="240" w:lineRule="auto"/>
        <w:ind w:left="22" w:right="9" w:hanging="10"/>
        <w:rPr>
          <w:rFonts w:ascii="Times New Roman" w:eastAsia="Times New Roman" w:hAnsi="Times New Roman" w:cs="Times New Roman"/>
          <w:noProof w:val="0"/>
          <w:color w:val="000000"/>
          <w:kern w:val="0"/>
          <w:lang w:val="hu-HU" w:eastAsia="hu-HU"/>
          <w14:ligatures w14:val="none"/>
        </w:rPr>
      </w:pPr>
    </w:p>
    <w:p w14:paraId="1F5E2420"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Bármilyen fel nem használt gyógyszer, illetve hulladékanyag megsemmisítését a gyógyszerekre vonatkozó előírások szerint kell végrehajtani.</w:t>
      </w:r>
    </w:p>
    <w:p w14:paraId="799CB3B1"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0BA685DD" w14:textId="77777777" w:rsidR="00536CD0" w:rsidRPr="00617FC7" w:rsidRDefault="00536CD0" w:rsidP="00536CD0">
      <w:pPr>
        <w:widowControl w:val="0"/>
        <w:autoSpaceDE w:val="0"/>
        <w:autoSpaceDN w:val="0"/>
        <w:spacing w:after="0" w:line="240" w:lineRule="auto"/>
        <w:rPr>
          <w:rFonts w:ascii="Times New Roman" w:eastAsia="Times New Roman" w:hAnsi="Times New Roman" w:cs="Times New Roman"/>
          <w:noProof w:val="0"/>
          <w:kern w:val="0"/>
          <w:lang w:val="hu-HU"/>
          <w14:ligatures w14:val="none"/>
        </w:rPr>
      </w:pPr>
    </w:p>
    <w:p w14:paraId="0E6A2CCE" w14:textId="77777777" w:rsidR="00536CD0" w:rsidRPr="00617FC7" w:rsidRDefault="00536CD0" w:rsidP="00536CD0">
      <w:pPr>
        <w:spacing w:after="0" w:line="240" w:lineRule="auto"/>
        <w:rPr>
          <w:rFonts w:ascii="Times New Roman" w:hAnsi="Times New Roman" w:cs="Times New Roman"/>
          <w:b/>
          <w:bCs/>
          <w:noProof w:val="0"/>
          <w:kern w:val="0"/>
          <w:lang w:val="hu-HU"/>
          <w14:ligatures w14:val="none"/>
        </w:rPr>
      </w:pPr>
      <w:r w:rsidRPr="00617FC7">
        <w:rPr>
          <w:rFonts w:ascii="Times New Roman" w:hAnsi="Times New Roman" w:cs="Times New Roman"/>
          <w:noProof w:val="0"/>
          <w:kern w:val="0"/>
          <w:lang w:val="hu-HU"/>
          <w14:ligatures w14:val="none"/>
        </w:rPr>
        <w:t xml:space="preserve">Megjegyzés: </w:t>
      </w:r>
      <w:r w:rsidRPr="00CF66F9">
        <w:rPr>
          <w:rFonts w:ascii="Times New Roman" w:hAnsi="Times New Roman" w:cs="Times New Roman"/>
          <w:b/>
          <w:noProof w:val="0"/>
          <w:kern w:val="0"/>
          <w:lang w:val="hu-HU"/>
          <w14:ligatures w14:val="none"/>
        </w:rPr>
        <w:sym w:font="Wingdings" w:char="F058"/>
      </w:r>
      <w:r w:rsidRPr="00617FC7">
        <w:rPr>
          <w:rFonts w:ascii="Times New Roman" w:hAnsi="Times New Roman" w:cs="Times New Roman"/>
          <w:noProof w:val="0"/>
          <w:kern w:val="0"/>
          <w:lang w:val="hu-HU"/>
          <w14:ligatures w14:val="none"/>
        </w:rPr>
        <w:t xml:space="preserve"> </w:t>
      </w:r>
      <w:r w:rsidRPr="00617FC7">
        <w:rPr>
          <w:rFonts w:ascii="Times New Roman" w:hAnsi="Times New Roman" w:cs="Times New Roman"/>
          <w:b/>
          <w:bCs/>
          <w:noProof w:val="0"/>
          <w:kern w:val="0"/>
          <w:lang w:val="hu-HU"/>
          <w14:ligatures w14:val="none"/>
        </w:rPr>
        <w:t>(egy keresztes)</w:t>
      </w:r>
    </w:p>
    <w:p w14:paraId="1A45932F" w14:textId="77777777" w:rsidR="00536CD0" w:rsidRPr="00617FC7" w:rsidRDefault="00536CD0" w:rsidP="00536CD0">
      <w:pPr>
        <w:spacing w:after="0" w:line="240" w:lineRule="auto"/>
        <w:rPr>
          <w:rFonts w:ascii="Times New Roman" w:hAnsi="Times New Roman" w:cs="Times New Roman"/>
          <w:noProof w:val="0"/>
          <w:kern w:val="0"/>
          <w:lang w:val="hu-HU"/>
          <w14:ligatures w14:val="none"/>
        </w:rPr>
      </w:pPr>
      <w:r w:rsidRPr="00617FC7">
        <w:rPr>
          <w:rFonts w:ascii="Times New Roman" w:hAnsi="Times New Roman" w:cs="Times New Roman"/>
          <w:noProof w:val="0"/>
          <w:kern w:val="0"/>
          <w:lang w:val="hu-HU"/>
          <w14:ligatures w14:val="none"/>
        </w:rPr>
        <w:t xml:space="preserve">Osztályozás: </w:t>
      </w:r>
      <w:r w:rsidRPr="00617FC7">
        <w:rPr>
          <w:rFonts w:ascii="Times New Roman" w:hAnsi="Times New Roman" w:cs="Times New Roman"/>
          <w:b/>
          <w:bCs/>
          <w:noProof w:val="0"/>
          <w:kern w:val="0"/>
          <w:lang w:val="hu-HU"/>
          <w14:ligatures w14:val="none"/>
        </w:rPr>
        <w:t>II./1 csoport</w:t>
      </w:r>
    </w:p>
    <w:p w14:paraId="7A2C3C53" w14:textId="77777777" w:rsidR="00536CD0" w:rsidRPr="00617FC7" w:rsidRDefault="00536CD0" w:rsidP="00536CD0">
      <w:pPr>
        <w:spacing w:after="0" w:line="240" w:lineRule="auto"/>
        <w:rPr>
          <w:rFonts w:ascii="Times New Roman" w:hAnsi="Times New Roman"/>
          <w:noProof w:val="0"/>
          <w:kern w:val="0"/>
          <w:lang w:val="hu-HU"/>
          <w14:ligatures w14:val="none"/>
        </w:rPr>
      </w:pPr>
      <w:r w:rsidRPr="00617FC7">
        <w:rPr>
          <w:rFonts w:ascii="Times New Roman" w:hAnsi="Times New Roman"/>
          <w:noProof w:val="0"/>
          <w:kern w:val="0"/>
          <w:lang w:val="hu-HU"/>
          <w14:ligatures w14:val="none"/>
        </w:rPr>
        <w:t xml:space="preserve">Kizárólag orvosi rendelvényhez kötött gyógyszer osztályba, a (2) ca) pontja szerint </w:t>
      </w:r>
      <w:r w:rsidRPr="00617FC7">
        <w:rPr>
          <w:rFonts w:ascii="Times" w:hAnsi="Times" w:cs="Times"/>
          <w:noProof w:val="0"/>
          <w:kern w:val="0"/>
          <w:lang w:val="hu-HU"/>
          <w14:ligatures w14:val="none"/>
        </w:rPr>
        <w:t>a szakorvosi/kórházi diagnózist követő járóbeteg-ellátásban alkalmazható gyógyszerek (J)</w:t>
      </w:r>
      <w:r w:rsidRPr="00617FC7">
        <w:rPr>
          <w:rFonts w:ascii="Times New Roman" w:hAnsi="Times New Roman" w:cs="Times New Roman"/>
          <w:noProof w:val="0"/>
          <w:kern w:val="0"/>
          <w:lang w:val="hu-HU"/>
          <w14:ligatures w14:val="none"/>
        </w:rPr>
        <w:t>.</w:t>
      </w:r>
    </w:p>
    <w:p w14:paraId="0E133C95"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307E07F"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303C1CBD" w14:textId="77777777" w:rsidR="00536CD0" w:rsidRPr="00617FC7" w:rsidRDefault="00536CD0" w:rsidP="00CF66F9">
      <w:pPr>
        <w:tabs>
          <w:tab w:val="left" w:pos="567"/>
          <w:tab w:val="center" w:pos="3513"/>
        </w:tabs>
        <w:spacing w:after="0" w:line="240" w:lineRule="auto"/>
        <w:ind w:left="-3"/>
        <w:rPr>
          <w:rFonts w:ascii="Times New Roman" w:eastAsia="Times New Roman" w:hAnsi="Times New Roman" w:cs="Times New Roman"/>
          <w:b/>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7.</w:t>
      </w:r>
      <w:r w:rsidRPr="00617FC7">
        <w:rPr>
          <w:rFonts w:ascii="Times New Roman" w:eastAsia="Times New Roman" w:hAnsi="Times New Roman" w:cs="Times New Roman"/>
          <w:b/>
          <w:noProof w:val="0"/>
          <w:color w:val="000000"/>
          <w:kern w:val="0"/>
          <w:lang w:val="hu-HU" w:eastAsia="hu-HU"/>
          <w14:ligatures w14:val="none"/>
        </w:rPr>
        <w:tab/>
        <w:t>A FORGALOMBA HOZATALI ENGEDÉLY JOGOSULTJA</w:t>
      </w:r>
    </w:p>
    <w:p w14:paraId="0D2745C5" w14:textId="77777777" w:rsidR="00536CD0" w:rsidRPr="00617FC7" w:rsidRDefault="00536CD0" w:rsidP="00536CD0">
      <w:pPr>
        <w:tabs>
          <w:tab w:val="center" w:pos="3513"/>
        </w:tabs>
        <w:spacing w:after="0" w:line="240" w:lineRule="auto"/>
        <w:ind w:left="-3"/>
        <w:rPr>
          <w:rFonts w:ascii="Times New Roman" w:eastAsia="Times New Roman" w:hAnsi="Times New Roman" w:cs="Times New Roman"/>
          <w:noProof w:val="0"/>
          <w:color w:val="000000"/>
          <w:kern w:val="0"/>
          <w:lang w:val="hu-HU" w:eastAsia="hu-HU"/>
          <w14:ligatures w14:val="none"/>
        </w:rPr>
      </w:pPr>
    </w:p>
    <w:p w14:paraId="36AC5881" w14:textId="77777777" w:rsidR="00536CD0" w:rsidRPr="00617FC7" w:rsidRDefault="00536CD0" w:rsidP="00536CD0">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Richter Gedeon Nyrt.</w:t>
      </w:r>
    </w:p>
    <w:p w14:paraId="0CCC20B6" w14:textId="77777777" w:rsidR="00536CD0" w:rsidRPr="00617FC7" w:rsidRDefault="00536CD0" w:rsidP="00536CD0">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Gyömrői út 19-21.</w:t>
      </w:r>
    </w:p>
    <w:p w14:paraId="0E0FA369" w14:textId="77777777" w:rsidR="00536CD0" w:rsidRPr="00617FC7" w:rsidRDefault="00536CD0" w:rsidP="00536CD0">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 xml:space="preserve">H-1103 Budapest </w:t>
      </w:r>
    </w:p>
    <w:p w14:paraId="08FCBCF4" w14:textId="77777777" w:rsidR="00536CD0" w:rsidRPr="00617FC7" w:rsidRDefault="00536CD0" w:rsidP="00536CD0">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Magyarország</w:t>
      </w:r>
    </w:p>
    <w:p w14:paraId="62E98CE5" w14:textId="77777777" w:rsidR="00536CD0" w:rsidRPr="00617FC7" w:rsidRDefault="00536CD0" w:rsidP="00536CD0">
      <w:pPr>
        <w:tabs>
          <w:tab w:val="center" w:pos="3513"/>
        </w:tabs>
        <w:spacing w:after="0" w:line="240" w:lineRule="auto"/>
        <w:ind w:left="-3"/>
        <w:rPr>
          <w:rFonts w:ascii="Times New Roman" w:eastAsia="Times New Roman" w:hAnsi="Times New Roman" w:cs="Times New Roman"/>
          <w:noProof w:val="0"/>
          <w:color w:val="000000"/>
          <w:kern w:val="0"/>
          <w:lang w:val="hu-HU" w:eastAsia="hu-HU"/>
          <w14:ligatures w14:val="none"/>
        </w:rPr>
      </w:pPr>
    </w:p>
    <w:p w14:paraId="34CF0622" w14:textId="77777777" w:rsidR="00536CD0" w:rsidRPr="00617FC7" w:rsidRDefault="00536CD0" w:rsidP="00536CD0">
      <w:pPr>
        <w:tabs>
          <w:tab w:val="center" w:pos="3513"/>
        </w:tabs>
        <w:spacing w:after="0" w:line="240" w:lineRule="auto"/>
        <w:ind w:left="-3"/>
        <w:rPr>
          <w:rFonts w:ascii="Times New Roman" w:eastAsia="Times New Roman" w:hAnsi="Times New Roman" w:cs="Times New Roman"/>
          <w:noProof w:val="0"/>
          <w:color w:val="000000"/>
          <w:kern w:val="0"/>
          <w:lang w:val="hu-HU" w:eastAsia="hu-HU"/>
          <w14:ligatures w14:val="none"/>
        </w:rPr>
      </w:pPr>
    </w:p>
    <w:p w14:paraId="052B1122" w14:textId="77777777" w:rsidR="00536CD0" w:rsidRPr="00617FC7" w:rsidRDefault="00536CD0" w:rsidP="0016776B">
      <w:pPr>
        <w:numPr>
          <w:ilvl w:val="0"/>
          <w:numId w:val="12"/>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A FORGALOMBA HOZATALI ENGEDÉLY SZÁMA(I)</w:t>
      </w:r>
    </w:p>
    <w:p w14:paraId="603D0377"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FBADC53" w14:textId="4B75F4A4" w:rsidR="00536CD0" w:rsidRPr="00617FC7" w:rsidRDefault="00536CD0" w:rsidP="00536CD0">
      <w:pPr>
        <w:spacing w:after="0" w:line="240" w:lineRule="auto"/>
        <w:ind w:right="9"/>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lastRenderedPageBreak/>
        <w:t>OGYI-T-24106/01</w:t>
      </w:r>
      <w:r w:rsidRPr="00617FC7">
        <w:rPr>
          <w:rFonts w:ascii="Times New Roman" w:eastAsia="Times New Roman" w:hAnsi="Times New Roman" w:cs="Times New Roman"/>
          <w:noProof w:val="0"/>
          <w:color w:val="000000"/>
          <w:kern w:val="0"/>
          <w:lang w:val="hu-HU" w:eastAsia="hu-HU"/>
          <w14:ligatures w14:val="none"/>
        </w:rPr>
        <w:tab/>
        <w:t>10×</w:t>
      </w:r>
      <w:r w:rsidRPr="00617FC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5EA32BCD" w14:textId="073722BB" w:rsidR="00536CD0" w:rsidRPr="00617FC7" w:rsidRDefault="00536CD0" w:rsidP="00536CD0">
      <w:pPr>
        <w:spacing w:after="0" w:line="240" w:lineRule="auto"/>
        <w:ind w:left="12" w:right="9"/>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OGYI-T-24106/03</w:t>
      </w:r>
      <w:r w:rsidRPr="00617FC7">
        <w:rPr>
          <w:rFonts w:ascii="Times New Roman" w:eastAsia="Times New Roman" w:hAnsi="Times New Roman" w:cs="Times New Roman"/>
          <w:noProof w:val="0"/>
          <w:color w:val="000000"/>
          <w:kern w:val="0"/>
          <w:lang w:val="hu-HU" w:eastAsia="hu-HU"/>
          <w14:ligatures w14:val="none"/>
        </w:rPr>
        <w:tab/>
        <w:t>30×</w:t>
      </w:r>
      <w:r w:rsidRPr="00617FC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34D43489" w14:textId="77777777" w:rsidR="00536CD0" w:rsidRPr="00617FC7" w:rsidRDefault="00536CD0" w:rsidP="00536CD0">
      <w:pPr>
        <w:spacing w:after="0" w:line="240" w:lineRule="auto"/>
        <w:ind w:left="-3" w:right="9"/>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OGYI-T-24106/05</w:t>
      </w:r>
      <w:r w:rsidRPr="00617FC7">
        <w:rPr>
          <w:rFonts w:ascii="Times New Roman" w:eastAsia="Times New Roman" w:hAnsi="Times New Roman" w:cs="Times New Roman"/>
          <w:noProof w:val="0"/>
          <w:color w:val="000000"/>
          <w:kern w:val="0"/>
          <w:lang w:val="hu-HU" w:eastAsia="hu-HU"/>
          <w14:ligatures w14:val="none"/>
        </w:rPr>
        <w:tab/>
        <w:t>60×</w:t>
      </w:r>
      <w:r w:rsidRPr="00617FC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4BF0362C" w14:textId="58E98987" w:rsidR="00536CD0" w:rsidRPr="00617FC7" w:rsidRDefault="00536CD0" w:rsidP="00536CD0">
      <w:pPr>
        <w:spacing w:after="15" w:line="248" w:lineRule="auto"/>
        <w:ind w:left="22" w:hanging="10"/>
        <w:rPr>
          <w:rFonts w:ascii="Times New Roman" w:eastAsia="Times New Roman" w:hAnsi="Times New Roman" w:cs="Times New Roman"/>
          <w:noProof w:val="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OGYI-T-24106/07</w:t>
      </w:r>
      <w:r w:rsidR="00A04ADA">
        <w:rPr>
          <w:rFonts w:ascii="Times New Roman" w:eastAsia="Times New Roman" w:hAnsi="Times New Roman" w:cs="Times New Roman"/>
          <w:noProof w:val="0"/>
          <w:color w:val="000000"/>
          <w:kern w:val="0"/>
          <w:lang w:val="hu-HU" w:eastAsia="hu-HU"/>
          <w14:ligatures w14:val="none"/>
        </w:rPr>
        <w:tab/>
      </w:r>
      <w:r w:rsidRPr="00617FC7">
        <w:rPr>
          <w:rFonts w:ascii="Times New Roman" w:eastAsia="Times New Roman" w:hAnsi="Times New Roman" w:cs="Times New Roman"/>
          <w:noProof w:val="0"/>
          <w:color w:val="000000"/>
          <w:kern w:val="0"/>
          <w:lang w:val="hu-HU" w:eastAsia="hu-HU"/>
          <w14:ligatures w14:val="none"/>
        </w:rPr>
        <w:t>180×(3×60)</w:t>
      </w:r>
      <w:r w:rsidRPr="00617FC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595B1DFC" w14:textId="77777777" w:rsidR="00536CD0" w:rsidRPr="00617FC7" w:rsidRDefault="00536CD0" w:rsidP="00536CD0">
      <w:pPr>
        <w:spacing w:after="0" w:line="240" w:lineRule="auto"/>
        <w:ind w:left="-3" w:right="9"/>
        <w:rPr>
          <w:rFonts w:ascii="Times New Roman" w:eastAsia="Times New Roman" w:hAnsi="Times New Roman" w:cs="Times New Roman"/>
          <w:noProof w:val="0"/>
          <w:color w:val="000000"/>
          <w:kern w:val="0"/>
          <w:lang w:val="hu-HU" w:eastAsia="hu-HU"/>
          <w14:ligatures w14:val="none"/>
        </w:rPr>
      </w:pPr>
    </w:p>
    <w:p w14:paraId="179A2AE2"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06BEDE1" w14:textId="77777777" w:rsidR="00536CD0" w:rsidRPr="00617FC7" w:rsidRDefault="00536CD0" w:rsidP="0016776B">
      <w:pPr>
        <w:numPr>
          <w:ilvl w:val="0"/>
          <w:numId w:val="12"/>
        </w:numPr>
        <w:spacing w:after="0" w:line="240" w:lineRule="auto"/>
        <w:ind w:hanging="566"/>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A FORGALOMBA HOZATALI ENGEDÉLY ELSŐ KIADÁSÁNAK/ MEGÚJÍTÁSÁNAK DÁTUMA</w:t>
      </w:r>
    </w:p>
    <w:p w14:paraId="1791990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47A91FB3"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noProof w:val="0"/>
          <w:color w:val="000000"/>
          <w:kern w:val="0"/>
          <w:lang w:val="hu-HU" w:eastAsia="hu-HU"/>
          <w14:ligatures w14:val="none"/>
        </w:rPr>
        <w:t>A forgalomba hozatali engedély első kiadásának dátuma: 2022. augusztus 9.</w:t>
      </w:r>
    </w:p>
    <w:p w14:paraId="3E31F4AA"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1D83E10C"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75D412E" w14:textId="77777777" w:rsidR="00536CD0" w:rsidRPr="00617FC7" w:rsidRDefault="00536CD0" w:rsidP="00536CD0">
      <w:pPr>
        <w:tabs>
          <w:tab w:val="center" w:pos="2740"/>
        </w:tabs>
        <w:spacing w:after="0" w:line="240" w:lineRule="auto"/>
        <w:ind w:left="-3"/>
        <w:rPr>
          <w:rFonts w:ascii="Times New Roman" w:eastAsia="Times New Roman" w:hAnsi="Times New Roman" w:cs="Times New Roman"/>
          <w:noProof w:val="0"/>
          <w:color w:val="000000"/>
          <w:kern w:val="0"/>
          <w:lang w:val="hu-HU" w:eastAsia="hu-HU"/>
          <w14:ligatures w14:val="none"/>
        </w:rPr>
      </w:pPr>
      <w:r w:rsidRPr="00617FC7">
        <w:rPr>
          <w:rFonts w:ascii="Times New Roman" w:eastAsia="Times New Roman" w:hAnsi="Times New Roman" w:cs="Times New Roman"/>
          <w:b/>
          <w:noProof w:val="0"/>
          <w:color w:val="000000"/>
          <w:kern w:val="0"/>
          <w:lang w:val="hu-HU" w:eastAsia="hu-HU"/>
          <w14:ligatures w14:val="none"/>
        </w:rPr>
        <w:t>10.</w:t>
      </w:r>
      <w:r w:rsidRPr="00617FC7">
        <w:rPr>
          <w:rFonts w:ascii="Times New Roman" w:eastAsia="Times New Roman" w:hAnsi="Times New Roman" w:cs="Times New Roman"/>
          <w:b/>
          <w:noProof w:val="0"/>
          <w:color w:val="000000"/>
          <w:kern w:val="0"/>
          <w:lang w:val="hu-HU" w:eastAsia="hu-HU"/>
          <w14:ligatures w14:val="none"/>
        </w:rPr>
        <w:tab/>
        <w:t>A SZÖVEG ELLENŐRZÉSÉNEK DÁTUMA</w:t>
      </w:r>
    </w:p>
    <w:p w14:paraId="7F9A67E9" w14:textId="77777777" w:rsidR="00536CD0" w:rsidRPr="00617FC7" w:rsidRDefault="00536CD0"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p w14:paraId="61914C8E" w14:textId="124DEA4B" w:rsidR="00536CD0" w:rsidRPr="00617FC7" w:rsidRDefault="00723F82" w:rsidP="00536CD0">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r>
        <w:rPr>
          <w:rFonts w:ascii="Times New Roman" w:eastAsia="Times New Roman" w:hAnsi="Times New Roman" w:cs="Times New Roman"/>
          <w:noProof w:val="0"/>
          <w:color w:val="000000"/>
          <w:kern w:val="0"/>
          <w:lang w:val="hu-HU" w:eastAsia="hu-HU"/>
          <w14:ligatures w14:val="none"/>
        </w:rPr>
        <w:t>2026. július 3.</w:t>
      </w:r>
    </w:p>
    <w:p w14:paraId="1E6A296F" w14:textId="77777777" w:rsidR="00955F00" w:rsidRPr="00CF66F9" w:rsidRDefault="00955F00" w:rsidP="00CF66F9">
      <w:pPr>
        <w:spacing w:after="0" w:line="240" w:lineRule="auto"/>
        <w:ind w:left="7" w:right="9" w:hanging="10"/>
        <w:rPr>
          <w:rFonts w:ascii="Times New Roman" w:eastAsia="Times New Roman" w:hAnsi="Times New Roman" w:cs="Times New Roman"/>
          <w:noProof w:val="0"/>
          <w:color w:val="000000"/>
          <w:kern w:val="0"/>
          <w:lang w:val="hu-HU" w:eastAsia="hu-HU"/>
          <w14:ligatures w14:val="none"/>
        </w:rPr>
      </w:pPr>
    </w:p>
    <w:sectPr w:rsidR="00955F00" w:rsidRPr="00CF66F9" w:rsidSect="005F2F5E">
      <w:headerReference w:type="even" r:id="rId12"/>
      <w:headerReference w:type="default" r:id="rId13"/>
      <w:footerReference w:type="even" r:id="rId14"/>
      <w:footerReference w:type="default" r:id="rId15"/>
      <w:headerReference w:type="first" r:id="rId16"/>
      <w:footerReference w:type="first" r:id="rId17"/>
      <w:pgSz w:w="11905" w:h="16838"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15AAD" w14:textId="77777777" w:rsidR="000C309D" w:rsidRDefault="000C309D">
      <w:pPr>
        <w:spacing w:after="0" w:line="240" w:lineRule="auto"/>
      </w:pPr>
      <w:r>
        <w:separator/>
      </w:r>
    </w:p>
  </w:endnote>
  <w:endnote w:type="continuationSeparator" w:id="0">
    <w:p w14:paraId="21795CC0" w14:textId="77777777" w:rsidR="000C309D" w:rsidRDefault="000C3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AEA30" w14:textId="77777777" w:rsidR="007449A9" w:rsidRDefault="007449A9">
    <w:pPr>
      <w:spacing w:after="0"/>
      <w:ind w:right="97"/>
      <w:jc w:val="center"/>
    </w:pPr>
    <w:r>
      <w:rPr>
        <w:rFonts w:ascii="Times New Roman" w:eastAsia="Times New Roman" w:hAnsi="Times New Roman" w:cs="Times New Roman"/>
      </w:rPr>
      <w:fldChar w:fldCharType="begin"/>
    </w:r>
    <w:r>
      <w:instrText xml:space="preserve"> PAGE   \* MERGEFORMAT </w:instrText>
    </w:r>
    <w:r>
      <w:rPr>
        <w:rFonts w:ascii="Times New Roman" w:eastAsia="Times New Roman" w:hAnsi="Times New Roman" w:cs="Times New Roman"/>
      </w:rPr>
      <w:fldChar w:fldCharType="separate"/>
    </w:r>
    <w:r w:rsidRPr="00753CDF">
      <w:rPr>
        <w:rFonts w:ascii="Arial" w:eastAsia="Arial" w:hAnsi="Arial" w:cs="Arial"/>
        <w:sz w:val="16"/>
      </w:rPr>
      <w:t>42</w:t>
    </w:r>
    <w:r>
      <w:rPr>
        <w:rFonts w:ascii="Arial" w:eastAsia="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237F8" w14:textId="77777777" w:rsidR="007449A9" w:rsidRDefault="007449A9">
    <w:pPr>
      <w:spacing w:after="0"/>
      <w:ind w:right="9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273C8" w14:textId="0064F714" w:rsidR="007449A9" w:rsidRPr="00CF66F9" w:rsidRDefault="004F441F" w:rsidP="00DB7C50">
    <w:pPr>
      <w:spacing w:after="0"/>
      <w:ind w:right="97"/>
      <w:rPr>
        <w:rFonts w:ascii="Times New Roman" w:hAnsi="Times New Roman" w:cs="Times New Roman"/>
        <w:sz w:val="18"/>
        <w:szCs w:val="18"/>
      </w:rPr>
    </w:pPr>
    <w:r w:rsidRPr="00CF66F9">
      <w:rPr>
        <w:rFonts w:ascii="Times New Roman" w:hAnsi="Times New Roman" w:cs="Times New Roman"/>
        <w:sz w:val="18"/>
        <w:szCs w:val="18"/>
      </w:rPr>
      <w:t>NNGYK/ETGY/19798/2026</w:t>
    </w:r>
    <w:r w:rsidRPr="00CF66F9" w:rsidDel="00A05887">
      <w:rPr>
        <w:rFonts w:ascii="Times New Roman" w:hAnsi="Times New Roman"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9A090" w14:textId="77777777" w:rsidR="000C309D" w:rsidRDefault="000C309D">
      <w:pPr>
        <w:spacing w:after="0" w:line="240" w:lineRule="auto"/>
      </w:pPr>
      <w:r>
        <w:separator/>
      </w:r>
    </w:p>
  </w:footnote>
  <w:footnote w:type="continuationSeparator" w:id="0">
    <w:p w14:paraId="640D92AA" w14:textId="77777777" w:rsidR="000C309D" w:rsidRDefault="000C3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C79E" w14:textId="77777777" w:rsidR="007449A9" w:rsidRDefault="007449A9" w:rsidP="00FA746B">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598066099"/>
      <w:docPartObj>
        <w:docPartGallery w:val="Page Numbers (Top of Page)"/>
        <w:docPartUnique/>
      </w:docPartObj>
    </w:sdtPr>
    <w:sdtEndPr/>
    <w:sdtContent>
      <w:p w14:paraId="0C400197" w14:textId="77777777" w:rsidR="007449A9" w:rsidRPr="00DB7C50" w:rsidRDefault="007449A9">
        <w:pPr>
          <w:pStyle w:val="lfej"/>
          <w:jc w:val="center"/>
          <w:rPr>
            <w:sz w:val="18"/>
            <w:szCs w:val="18"/>
          </w:rPr>
        </w:pPr>
        <w:r w:rsidRPr="00DB7C50">
          <w:rPr>
            <w:sz w:val="18"/>
            <w:szCs w:val="18"/>
          </w:rPr>
          <w:fldChar w:fldCharType="begin"/>
        </w:r>
        <w:r w:rsidRPr="00DB7C50">
          <w:rPr>
            <w:sz w:val="18"/>
            <w:szCs w:val="18"/>
          </w:rPr>
          <w:instrText>PAGE   \* MERGEFORMAT</w:instrText>
        </w:r>
        <w:r w:rsidRPr="00DB7C50">
          <w:rPr>
            <w:sz w:val="18"/>
            <w:szCs w:val="18"/>
          </w:rPr>
          <w:fldChar w:fldCharType="separate"/>
        </w:r>
        <w:r>
          <w:rPr>
            <w:noProof/>
            <w:sz w:val="18"/>
            <w:szCs w:val="18"/>
          </w:rPr>
          <w:t>44</w:t>
        </w:r>
        <w:r w:rsidRPr="00DB7C50">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A0F3" w14:textId="77777777" w:rsidR="007449A9" w:rsidRDefault="007449A9">
    <w:pP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0D72B6"/>
    <w:multiLevelType w:val="hybridMultilevel"/>
    <w:tmpl w:val="E4762628"/>
    <w:lvl w:ilvl="0" w:tplc="1BE0BF7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2ADB6">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928A76">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C860D4">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BC857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430C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2EC7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A4DA4">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8456C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2B71B1"/>
    <w:multiLevelType w:val="hybridMultilevel"/>
    <w:tmpl w:val="CEA4F3FA"/>
    <w:lvl w:ilvl="0" w:tplc="6158FC32">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F8E07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B08A1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8296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3C5E1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62E4B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4A754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641A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3A879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6C50F45"/>
    <w:multiLevelType w:val="hybridMultilevel"/>
    <w:tmpl w:val="F1701C7A"/>
    <w:lvl w:ilvl="0" w:tplc="DF3CA95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829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467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4E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8BA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4AB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9269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0F1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C08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96D4655"/>
    <w:multiLevelType w:val="hybridMultilevel"/>
    <w:tmpl w:val="C15093DE"/>
    <w:lvl w:ilvl="0" w:tplc="216A2EF2">
      <w:start w:val="5"/>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26C21F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7509B2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4A6C97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B7420E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6C4044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A6542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B509E1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C60ECF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65855BC"/>
    <w:multiLevelType w:val="hybridMultilevel"/>
    <w:tmpl w:val="B34E553A"/>
    <w:lvl w:ilvl="0" w:tplc="1FA4237E">
      <w:start w:val="6"/>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A24216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FA6982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6780CC0">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01EEA4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A223D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ACF62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A7B07E9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07432D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BDA2C8A"/>
    <w:multiLevelType w:val="hybridMultilevel"/>
    <w:tmpl w:val="D4485D7E"/>
    <w:lvl w:ilvl="0" w:tplc="0E0A1AA0">
      <w:start w:val="3"/>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43046E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0AAD0A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1C2AB5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1BE1A7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84E6508">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BFADF4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0B8D42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CC86EC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3B2C56"/>
    <w:multiLevelType w:val="hybridMultilevel"/>
    <w:tmpl w:val="4FB43952"/>
    <w:lvl w:ilvl="0" w:tplc="8B48E578">
      <w:start w:val="1"/>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9807D5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27C29F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F7C95B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5886B4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A7CF47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072FB2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1DC1E8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D8EEAF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D4A4D3C"/>
    <w:multiLevelType w:val="hybridMultilevel"/>
    <w:tmpl w:val="57E6A686"/>
    <w:lvl w:ilvl="0" w:tplc="D446FFB2">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ED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7084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4C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05F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3EFA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0AD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2C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F87F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EE87FB8"/>
    <w:multiLevelType w:val="hybridMultilevel"/>
    <w:tmpl w:val="128CEED2"/>
    <w:lvl w:ilvl="0" w:tplc="A36E63A8">
      <w:start w:val="8"/>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C46782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7F1A786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73E873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D7411E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98A0ED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B1C82F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28449E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5989A5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934366429">
    <w:abstractNumId w:val="11"/>
  </w:num>
  <w:num w:numId="2" w16cid:durableId="284504614">
    <w:abstractNumId w:val="9"/>
  </w:num>
  <w:num w:numId="3" w16cid:durableId="343555235">
    <w:abstractNumId w:val="1"/>
  </w:num>
  <w:num w:numId="4" w16cid:durableId="2014456564">
    <w:abstractNumId w:val="5"/>
  </w:num>
  <w:num w:numId="5" w16cid:durableId="509490649">
    <w:abstractNumId w:val="12"/>
  </w:num>
  <w:num w:numId="6" w16cid:durableId="2015566173">
    <w:abstractNumId w:val="10"/>
  </w:num>
  <w:num w:numId="7" w16cid:durableId="566501167">
    <w:abstractNumId w:val="6"/>
  </w:num>
  <w:num w:numId="8" w16cid:durableId="2109498022">
    <w:abstractNumId w:val="2"/>
  </w:num>
  <w:num w:numId="9" w16cid:durableId="1242103952">
    <w:abstractNumId w:val="3"/>
  </w:num>
  <w:num w:numId="10" w16cid:durableId="1277905558">
    <w:abstractNumId w:val="8"/>
  </w:num>
  <w:num w:numId="11" w16cid:durableId="752622917">
    <w:abstractNumId w:val="4"/>
  </w:num>
  <w:num w:numId="12" w16cid:durableId="1416128368">
    <w:abstractNumId w:val="14"/>
  </w:num>
  <w:num w:numId="13" w16cid:durableId="1837837068">
    <w:abstractNumId w:val="7"/>
  </w:num>
  <w:num w:numId="14" w16cid:durableId="362831605">
    <w:abstractNumId w:val="0"/>
  </w:num>
  <w:num w:numId="15" w16cid:durableId="52711019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D0"/>
    <w:rsid w:val="0009732E"/>
    <w:rsid w:val="000A0591"/>
    <w:rsid w:val="000C309D"/>
    <w:rsid w:val="000F5895"/>
    <w:rsid w:val="00110FE7"/>
    <w:rsid w:val="00133067"/>
    <w:rsid w:val="00135F90"/>
    <w:rsid w:val="001641F3"/>
    <w:rsid w:val="0016776B"/>
    <w:rsid w:val="00174BC3"/>
    <w:rsid w:val="001975A0"/>
    <w:rsid w:val="001B4414"/>
    <w:rsid w:val="001C0464"/>
    <w:rsid w:val="001C3939"/>
    <w:rsid w:val="001E37AE"/>
    <w:rsid w:val="00206093"/>
    <w:rsid w:val="0022732E"/>
    <w:rsid w:val="00270635"/>
    <w:rsid w:val="002A3A82"/>
    <w:rsid w:val="002E250E"/>
    <w:rsid w:val="00352538"/>
    <w:rsid w:val="00361800"/>
    <w:rsid w:val="0038314E"/>
    <w:rsid w:val="003920E0"/>
    <w:rsid w:val="003A685E"/>
    <w:rsid w:val="003F1CE3"/>
    <w:rsid w:val="00433994"/>
    <w:rsid w:val="004A5504"/>
    <w:rsid w:val="004B0F71"/>
    <w:rsid w:val="004F441F"/>
    <w:rsid w:val="00512F85"/>
    <w:rsid w:val="00536CD0"/>
    <w:rsid w:val="005576E7"/>
    <w:rsid w:val="005D2123"/>
    <w:rsid w:val="005F063D"/>
    <w:rsid w:val="005F2F5E"/>
    <w:rsid w:val="00617FC7"/>
    <w:rsid w:val="006360BF"/>
    <w:rsid w:val="0067695A"/>
    <w:rsid w:val="006956E6"/>
    <w:rsid w:val="006A4BB4"/>
    <w:rsid w:val="006B2AD9"/>
    <w:rsid w:val="006D1865"/>
    <w:rsid w:val="006E210E"/>
    <w:rsid w:val="00713AC3"/>
    <w:rsid w:val="00723F82"/>
    <w:rsid w:val="007449A9"/>
    <w:rsid w:val="0075067D"/>
    <w:rsid w:val="00773B01"/>
    <w:rsid w:val="00786B15"/>
    <w:rsid w:val="00815E89"/>
    <w:rsid w:val="008176A0"/>
    <w:rsid w:val="008336E4"/>
    <w:rsid w:val="008A5D4D"/>
    <w:rsid w:val="008A719C"/>
    <w:rsid w:val="008D1D34"/>
    <w:rsid w:val="008D4BC2"/>
    <w:rsid w:val="00955F00"/>
    <w:rsid w:val="009864B6"/>
    <w:rsid w:val="009A3F74"/>
    <w:rsid w:val="009F4419"/>
    <w:rsid w:val="00A04ADA"/>
    <w:rsid w:val="00A05887"/>
    <w:rsid w:val="00A2754E"/>
    <w:rsid w:val="00B17D31"/>
    <w:rsid w:val="00C04E6C"/>
    <w:rsid w:val="00C228AE"/>
    <w:rsid w:val="00C66BBD"/>
    <w:rsid w:val="00C80BB6"/>
    <w:rsid w:val="00C82C5E"/>
    <w:rsid w:val="00CA4FE0"/>
    <w:rsid w:val="00CB3BB3"/>
    <w:rsid w:val="00CF66F9"/>
    <w:rsid w:val="00D33B20"/>
    <w:rsid w:val="00D444AE"/>
    <w:rsid w:val="00D67F7D"/>
    <w:rsid w:val="00DB67AD"/>
    <w:rsid w:val="00DF78B3"/>
    <w:rsid w:val="00E01724"/>
    <w:rsid w:val="00E06844"/>
    <w:rsid w:val="00E2673A"/>
    <w:rsid w:val="00E34E16"/>
    <w:rsid w:val="00E37FDC"/>
    <w:rsid w:val="00E6768C"/>
    <w:rsid w:val="00E77F1B"/>
    <w:rsid w:val="00EE3391"/>
    <w:rsid w:val="00F03C48"/>
    <w:rsid w:val="00F0608C"/>
    <w:rsid w:val="00F45A82"/>
    <w:rsid w:val="00FB36DC"/>
    <w:rsid w:val="00FD55E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91040"/>
  <w15:chartTrackingRefBased/>
  <w15:docId w15:val="{DD2AB2A6-9E0A-4797-9A89-59FBCF4A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noProof/>
      <w:lang w:val="ru-RU"/>
    </w:rPr>
  </w:style>
  <w:style w:type="paragraph" w:styleId="Cmsor1">
    <w:name w:val="heading 1"/>
    <w:next w:val="Norml"/>
    <w:link w:val="Cmsor1Char"/>
    <w:uiPriority w:val="9"/>
    <w:qFormat/>
    <w:rsid w:val="00536CD0"/>
    <w:pPr>
      <w:keepNext/>
      <w:keepLines/>
      <w:spacing w:after="266" w:line="249" w:lineRule="auto"/>
      <w:ind w:left="2925" w:right="2902" w:hanging="10"/>
      <w:jc w:val="center"/>
      <w:outlineLvl w:val="0"/>
    </w:pPr>
    <w:rPr>
      <w:rFonts w:ascii="Times New Roman" w:eastAsia="Times New Roman" w:hAnsi="Times New Roman" w:cs="Times New Roman"/>
      <w:b/>
      <w:color w:val="000000"/>
      <w:kern w:val="0"/>
      <w:lang w:eastAsia="hu-HU"/>
      <w14:ligatures w14:val="none"/>
    </w:rPr>
  </w:style>
  <w:style w:type="paragraph" w:styleId="Cmsor2">
    <w:name w:val="heading 2"/>
    <w:next w:val="Norml"/>
    <w:link w:val="Cmsor2Char"/>
    <w:uiPriority w:val="9"/>
    <w:unhideWhenUsed/>
    <w:qFormat/>
    <w:rsid w:val="00536CD0"/>
    <w:pPr>
      <w:keepNext/>
      <w:keepLines/>
      <w:spacing w:after="243" w:line="248" w:lineRule="auto"/>
      <w:ind w:left="22" w:hanging="10"/>
      <w:outlineLvl w:val="1"/>
    </w:pPr>
    <w:rPr>
      <w:rFonts w:ascii="Times New Roman" w:eastAsia="Times New Roman" w:hAnsi="Times New Roman" w:cs="Times New Roman"/>
      <w:color w:val="000000"/>
      <w:kern w:val="0"/>
      <w:u w:val="single" w:color="00000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536CD0"/>
    <w:rPr>
      <w:rFonts w:ascii="Times New Roman" w:eastAsia="Times New Roman" w:hAnsi="Times New Roman" w:cs="Times New Roman"/>
      <w:b/>
      <w:color w:val="000000"/>
      <w:kern w:val="0"/>
      <w:lang w:eastAsia="hu-HU"/>
      <w14:ligatures w14:val="none"/>
    </w:rPr>
  </w:style>
  <w:style w:type="character" w:customStyle="1" w:styleId="Cmsor2Char">
    <w:name w:val="Címsor 2 Char"/>
    <w:basedOn w:val="Bekezdsalapbettpusa"/>
    <w:link w:val="Cmsor2"/>
    <w:uiPriority w:val="9"/>
    <w:rsid w:val="00536CD0"/>
    <w:rPr>
      <w:rFonts w:ascii="Times New Roman" w:eastAsia="Times New Roman" w:hAnsi="Times New Roman" w:cs="Times New Roman"/>
      <w:color w:val="000000"/>
      <w:kern w:val="0"/>
      <w:u w:val="single" w:color="000000"/>
      <w:lang w:eastAsia="hu-HU"/>
      <w14:ligatures w14:val="none"/>
    </w:rPr>
  </w:style>
  <w:style w:type="numbering" w:customStyle="1" w:styleId="Nemlista1">
    <w:name w:val="Nem lista1"/>
    <w:next w:val="Nemlista"/>
    <w:uiPriority w:val="99"/>
    <w:semiHidden/>
    <w:unhideWhenUsed/>
    <w:rsid w:val="00536CD0"/>
  </w:style>
  <w:style w:type="table" w:customStyle="1" w:styleId="TableGrid">
    <w:name w:val="TableGrid"/>
    <w:rsid w:val="00536CD0"/>
    <w:pPr>
      <w:spacing w:after="0" w:line="240" w:lineRule="auto"/>
    </w:pPr>
    <w:rPr>
      <w:rFonts w:eastAsiaTheme="minorEastAsia"/>
      <w:kern w:val="0"/>
      <w:lang w:eastAsia="hu-HU"/>
      <w14:ligatures w14:val="none"/>
    </w:rPr>
    <w:tblPr>
      <w:tblCellMar>
        <w:top w:w="0" w:type="dxa"/>
        <w:left w:w="0" w:type="dxa"/>
        <w:bottom w:w="0" w:type="dxa"/>
        <w:right w:w="0" w:type="dxa"/>
      </w:tblCellMar>
    </w:tblPr>
  </w:style>
  <w:style w:type="paragraph" w:styleId="lfej">
    <w:name w:val="header"/>
    <w:basedOn w:val="Norml"/>
    <w:link w:val="lfejChar"/>
    <w:uiPriority w:val="99"/>
    <w:unhideWhenUsed/>
    <w:rsid w:val="00536CD0"/>
    <w:pPr>
      <w:tabs>
        <w:tab w:val="center" w:pos="4536"/>
        <w:tab w:val="right" w:pos="9072"/>
      </w:tabs>
      <w:spacing w:after="0" w:line="240" w:lineRule="auto"/>
      <w:ind w:left="22" w:hanging="10"/>
    </w:pPr>
    <w:rPr>
      <w:rFonts w:ascii="Times New Roman" w:eastAsia="Times New Roman" w:hAnsi="Times New Roman" w:cs="Times New Roman"/>
      <w:noProof w:val="0"/>
      <w:color w:val="000000"/>
      <w:kern w:val="0"/>
      <w:lang w:val="hu-HU" w:eastAsia="hu-HU"/>
      <w14:ligatures w14:val="none"/>
    </w:rPr>
  </w:style>
  <w:style w:type="character" w:customStyle="1" w:styleId="lfejChar">
    <w:name w:val="Élőfej Char"/>
    <w:basedOn w:val="Bekezdsalapbettpusa"/>
    <w:link w:val="lfej"/>
    <w:uiPriority w:val="99"/>
    <w:rsid w:val="00536CD0"/>
    <w:rPr>
      <w:rFonts w:ascii="Times New Roman" w:eastAsia="Times New Roman" w:hAnsi="Times New Roman" w:cs="Times New Roman"/>
      <w:color w:val="000000"/>
      <w:kern w:val="0"/>
      <w:lang w:eastAsia="hu-HU"/>
      <w14:ligatures w14:val="none"/>
    </w:rPr>
  </w:style>
  <w:style w:type="character" w:styleId="Jegyzethivatkozs">
    <w:name w:val="annotation reference"/>
    <w:basedOn w:val="Bekezdsalapbettpusa"/>
    <w:uiPriority w:val="99"/>
    <w:semiHidden/>
    <w:unhideWhenUsed/>
    <w:rsid w:val="00536CD0"/>
    <w:rPr>
      <w:sz w:val="16"/>
      <w:szCs w:val="16"/>
    </w:rPr>
  </w:style>
  <w:style w:type="paragraph" w:styleId="Jegyzetszveg">
    <w:name w:val="annotation text"/>
    <w:basedOn w:val="Norml"/>
    <w:link w:val="JegyzetszvegChar"/>
    <w:uiPriority w:val="99"/>
    <w:semiHidden/>
    <w:unhideWhenUsed/>
    <w:rsid w:val="00536CD0"/>
    <w:pPr>
      <w:spacing w:after="15" w:line="240" w:lineRule="auto"/>
      <w:ind w:left="22" w:hanging="10"/>
    </w:pPr>
    <w:rPr>
      <w:rFonts w:ascii="Times New Roman" w:eastAsia="Times New Roman" w:hAnsi="Times New Roman" w:cs="Times New Roman"/>
      <w:noProof w:val="0"/>
      <w:color w:val="000000"/>
      <w:kern w:val="0"/>
      <w:sz w:val="20"/>
      <w:szCs w:val="20"/>
      <w:lang w:val="hu-HU" w:eastAsia="hu-HU"/>
      <w14:ligatures w14:val="none"/>
    </w:rPr>
  </w:style>
  <w:style w:type="character" w:customStyle="1" w:styleId="JegyzetszvegChar">
    <w:name w:val="Jegyzetszöveg Char"/>
    <w:basedOn w:val="Bekezdsalapbettpusa"/>
    <w:link w:val="Jegyzetszveg"/>
    <w:uiPriority w:val="99"/>
    <w:semiHidden/>
    <w:rsid w:val="00536CD0"/>
    <w:rPr>
      <w:rFonts w:ascii="Times New Roman" w:eastAsia="Times New Roman" w:hAnsi="Times New Roman" w:cs="Times New Roman"/>
      <w:color w:val="000000"/>
      <w:kern w:val="0"/>
      <w:sz w:val="20"/>
      <w:szCs w:val="20"/>
      <w:lang w:eastAsia="hu-HU"/>
      <w14:ligatures w14:val="none"/>
    </w:rPr>
  </w:style>
  <w:style w:type="paragraph" w:styleId="Megjegyzstrgya">
    <w:name w:val="annotation subject"/>
    <w:basedOn w:val="Jegyzetszveg"/>
    <w:next w:val="Jegyzetszveg"/>
    <w:link w:val="MegjegyzstrgyaChar"/>
    <w:uiPriority w:val="99"/>
    <w:semiHidden/>
    <w:unhideWhenUsed/>
    <w:rsid w:val="00536CD0"/>
    <w:rPr>
      <w:b/>
      <w:bCs/>
    </w:rPr>
  </w:style>
  <w:style w:type="character" w:customStyle="1" w:styleId="MegjegyzstrgyaChar">
    <w:name w:val="Megjegyzés tárgya Char"/>
    <w:basedOn w:val="JegyzetszvegChar"/>
    <w:link w:val="Megjegyzstrgya"/>
    <w:uiPriority w:val="99"/>
    <w:semiHidden/>
    <w:rsid w:val="00536CD0"/>
    <w:rPr>
      <w:rFonts w:ascii="Times New Roman" w:eastAsia="Times New Roman" w:hAnsi="Times New Roman" w:cs="Times New Roman"/>
      <w:b/>
      <w:bCs/>
      <w:color w:val="000000"/>
      <w:kern w:val="0"/>
      <w:sz w:val="20"/>
      <w:szCs w:val="20"/>
      <w:lang w:eastAsia="hu-HU"/>
      <w14:ligatures w14:val="none"/>
    </w:rPr>
  </w:style>
  <w:style w:type="paragraph" w:styleId="Vltozat">
    <w:name w:val="Revision"/>
    <w:hidden/>
    <w:uiPriority w:val="99"/>
    <w:semiHidden/>
    <w:rsid w:val="00536CD0"/>
    <w:pPr>
      <w:spacing w:after="0" w:line="240" w:lineRule="auto"/>
    </w:pPr>
    <w:rPr>
      <w:rFonts w:ascii="Times New Roman" w:eastAsia="Times New Roman" w:hAnsi="Times New Roman" w:cs="Times New Roman"/>
      <w:color w:val="000000"/>
      <w:kern w:val="0"/>
      <w:lang w:eastAsia="hu-HU"/>
      <w14:ligatures w14:val="none"/>
    </w:rPr>
  </w:style>
  <w:style w:type="paragraph" w:styleId="Listaszerbekezds">
    <w:name w:val="List Paragraph"/>
    <w:basedOn w:val="Norml"/>
    <w:uiPriority w:val="34"/>
    <w:qFormat/>
    <w:rsid w:val="00536CD0"/>
    <w:pPr>
      <w:spacing w:after="15" w:line="248" w:lineRule="auto"/>
      <w:ind w:left="720" w:hanging="10"/>
      <w:contextualSpacing/>
    </w:pPr>
    <w:rPr>
      <w:rFonts w:ascii="Times New Roman" w:eastAsia="Times New Roman" w:hAnsi="Times New Roman" w:cs="Times New Roman"/>
      <w:noProof w:val="0"/>
      <w:color w:val="000000"/>
      <w:kern w:val="0"/>
      <w:lang w:val="hu-HU" w:eastAsia="hu-HU"/>
      <w14:ligatures w14:val="none"/>
    </w:rPr>
  </w:style>
  <w:style w:type="paragraph" w:styleId="Buborkszveg">
    <w:name w:val="Balloon Text"/>
    <w:basedOn w:val="Norml"/>
    <w:link w:val="BuborkszvegChar"/>
    <w:uiPriority w:val="99"/>
    <w:semiHidden/>
    <w:unhideWhenUsed/>
    <w:rsid w:val="00536CD0"/>
    <w:pPr>
      <w:spacing w:after="0" w:line="240" w:lineRule="auto"/>
      <w:ind w:left="22" w:hanging="10"/>
    </w:pPr>
    <w:rPr>
      <w:rFonts w:ascii="Segoe UI" w:eastAsia="Times New Roman" w:hAnsi="Segoe UI" w:cs="Segoe UI"/>
      <w:noProof w:val="0"/>
      <w:color w:val="000000"/>
      <w:kern w:val="0"/>
      <w:sz w:val="18"/>
      <w:szCs w:val="18"/>
      <w:lang w:val="hu-HU" w:eastAsia="hu-HU"/>
      <w14:ligatures w14:val="none"/>
    </w:rPr>
  </w:style>
  <w:style w:type="character" w:customStyle="1" w:styleId="BuborkszvegChar">
    <w:name w:val="Buborékszöveg Char"/>
    <w:basedOn w:val="Bekezdsalapbettpusa"/>
    <w:link w:val="Buborkszveg"/>
    <w:uiPriority w:val="99"/>
    <w:semiHidden/>
    <w:rsid w:val="00536CD0"/>
    <w:rPr>
      <w:rFonts w:ascii="Segoe UI" w:eastAsia="Times New Roman" w:hAnsi="Segoe UI" w:cs="Segoe UI"/>
      <w:color w:val="000000"/>
      <w:kern w:val="0"/>
      <w:sz w:val="18"/>
      <w:szCs w:val="18"/>
      <w:lang w:eastAsia="hu-HU"/>
      <w14:ligatures w14:val="none"/>
    </w:rPr>
  </w:style>
  <w:style w:type="paragraph" w:styleId="Szvegtrzs">
    <w:name w:val="Body Text"/>
    <w:basedOn w:val="Norml"/>
    <w:link w:val="SzvegtrzsChar"/>
    <w:uiPriority w:val="1"/>
    <w:qFormat/>
    <w:rsid w:val="00536CD0"/>
    <w:pPr>
      <w:widowControl w:val="0"/>
      <w:autoSpaceDE w:val="0"/>
      <w:autoSpaceDN w:val="0"/>
      <w:spacing w:after="0" w:line="240" w:lineRule="auto"/>
    </w:pPr>
    <w:rPr>
      <w:rFonts w:ascii="Times New Roman" w:eastAsia="Times New Roman" w:hAnsi="Times New Roman" w:cs="Times New Roman"/>
      <w:noProof w:val="0"/>
      <w:kern w:val="0"/>
      <w:lang w:val="en-US"/>
      <w14:ligatures w14:val="none"/>
    </w:rPr>
  </w:style>
  <w:style w:type="character" w:customStyle="1" w:styleId="SzvegtrzsChar">
    <w:name w:val="Szövegtörzs Char"/>
    <w:basedOn w:val="Bekezdsalapbettpusa"/>
    <w:link w:val="Szvegtrzs"/>
    <w:uiPriority w:val="1"/>
    <w:rsid w:val="00536CD0"/>
    <w:rPr>
      <w:rFonts w:ascii="Times New Roman" w:eastAsia="Times New Roman" w:hAnsi="Times New Roman" w:cs="Times New Roman"/>
      <w:kern w:val="0"/>
      <w:lang w:val="en-US"/>
      <w14:ligatures w14:val="none"/>
    </w:rPr>
  </w:style>
  <w:style w:type="paragraph" w:styleId="Nincstrkz">
    <w:name w:val="No Spacing"/>
    <w:uiPriority w:val="1"/>
    <w:qFormat/>
    <w:rsid w:val="00536CD0"/>
    <w:pPr>
      <w:spacing w:after="0" w:line="240" w:lineRule="auto"/>
    </w:pPr>
    <w:rPr>
      <w:rFonts w:ascii="Times New Roman" w:hAnsi="Times New Roman"/>
      <w:kern w:val="0"/>
      <w14:ligatures w14:val="none"/>
    </w:rPr>
  </w:style>
  <w:style w:type="paragraph" w:customStyle="1" w:styleId="xmsonormal">
    <w:name w:val="x_msonormal"/>
    <w:basedOn w:val="Norml"/>
    <w:rsid w:val="00433994"/>
    <w:pPr>
      <w:spacing w:after="0" w:line="240" w:lineRule="auto"/>
    </w:pPr>
    <w:rPr>
      <w:rFonts w:ascii="Calibri" w:hAnsi="Calibri" w:cs="Calibri"/>
      <w:noProof w:val="0"/>
      <w:kern w:val="0"/>
      <w:lang w:val="hu-HU"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0773206">
      <w:bodyDiv w:val="1"/>
      <w:marLeft w:val="0"/>
      <w:marRight w:val="0"/>
      <w:marTop w:val="0"/>
      <w:marBottom w:val="0"/>
      <w:divBdr>
        <w:top w:val="none" w:sz="0" w:space="0" w:color="auto"/>
        <w:left w:val="none" w:sz="0" w:space="0" w:color="auto"/>
        <w:bottom w:val="none" w:sz="0" w:space="0" w:color="auto"/>
        <w:right w:val="none" w:sz="0" w:space="0" w:color="auto"/>
      </w:divBdr>
      <w:divsChild>
        <w:div w:id="2079592195">
          <w:marLeft w:val="0"/>
          <w:marRight w:val="0"/>
          <w:marTop w:val="0"/>
          <w:marBottom w:val="0"/>
          <w:divBdr>
            <w:top w:val="none" w:sz="0" w:space="0" w:color="auto"/>
            <w:left w:val="none" w:sz="0" w:space="0" w:color="auto"/>
            <w:bottom w:val="none" w:sz="0" w:space="0" w:color="auto"/>
            <w:right w:val="none" w:sz="0" w:space="0" w:color="auto"/>
          </w:divBdr>
        </w:div>
      </w:divsChild>
    </w:div>
    <w:div w:id="2091854189">
      <w:bodyDiv w:val="1"/>
      <w:marLeft w:val="0"/>
      <w:marRight w:val="0"/>
      <w:marTop w:val="0"/>
      <w:marBottom w:val="0"/>
      <w:divBdr>
        <w:top w:val="none" w:sz="0" w:space="0" w:color="auto"/>
        <w:left w:val="none" w:sz="0" w:space="0" w:color="auto"/>
        <w:bottom w:val="none" w:sz="0" w:space="0" w:color="auto"/>
        <w:right w:val="none" w:sz="0" w:space="0" w:color="auto"/>
      </w:divBdr>
      <w:divsChild>
        <w:div w:id="563100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ema.europa.eu/docs/en_GB/document_library/Template_or_form/2013/03/WC500139752.doc"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1B472D-8DE5-4BDA-83CD-B034F69B2D6A}">
  <ds:schemaRefs>
    <ds:schemaRef ds:uri="http://schemas.microsoft.com/sharepoint/v3/contenttype/forms"/>
  </ds:schemaRefs>
</ds:datastoreItem>
</file>

<file path=customXml/itemProps2.xml><?xml version="1.0" encoding="utf-8"?>
<ds:datastoreItem xmlns:ds="http://schemas.openxmlformats.org/officeDocument/2006/customXml" ds:itemID="{AC7E294E-3087-4867-947C-36089C7F2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08F6C7-A0BC-49C6-B47D-6810CE4DE0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44</Pages>
  <Words>16138</Words>
  <Characters>111358</Characters>
  <Application>Microsoft Office Word</Application>
  <DocSecurity>0</DocSecurity>
  <Lines>927</Lines>
  <Paragraphs>254</Paragraphs>
  <ScaleCrop>false</ScaleCrop>
  <HeadingPairs>
    <vt:vector size="2" baseType="variant">
      <vt:variant>
        <vt:lpstr>Cím</vt:lpstr>
      </vt:variant>
      <vt:variant>
        <vt:i4>1</vt:i4>
      </vt:variant>
    </vt:vector>
  </HeadingPairs>
  <TitlesOfParts>
    <vt:vector size="1" baseType="lpstr">
      <vt:lpstr>dabigatran</vt:lpstr>
    </vt:vector>
  </TitlesOfParts>
  <Company/>
  <LinksUpToDate>false</LinksUpToDate>
  <CharactersWithSpaces>127242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dabigatran</dc:title>
  <dc:subject/>
  <dc:creator>RG Author</dc:creator>
  <cp:keywords>dabigatran</cp:keywords>
  <dc:description/>
  <cp:lastModifiedBy>OGYI_62.1</cp:lastModifiedBy>
  <cp:revision>84</cp:revision>
  <dcterms:created xsi:type="dcterms:W3CDTF">2026-02-12T10:54:00Z</dcterms:created>
  <dcterms:modified xsi:type="dcterms:W3CDTF">2026-09-15T08:14:00Z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