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23D6B" w14:textId="77777777" w:rsidR="00DD6391" w:rsidRDefault="00CF2099">
      <w:pPr>
        <w:widowControl w:val="0"/>
        <w:tabs>
          <w:tab w:val="clear" w:pos="567"/>
        </w:tabs>
        <w:spacing w:line="240" w:lineRule="auto"/>
        <w:ind w:left="567" w:hanging="567"/>
        <w:rPr>
          <w:rFonts w:ascii="Times New Roman" w:hAnsi="Times New Roman" w:cs="Times New Roman"/>
        </w:rPr>
      </w:pPr>
      <w:r>
        <w:rPr>
          <w:rFonts w:ascii="Times New Roman" w:eastAsia="Times New Roman" w:hAnsi="Times New Roman" w:cs="Times New Roman"/>
          <w:b/>
          <w:bCs/>
          <w:lang w:eastAsia="en-US"/>
        </w:rPr>
        <w:t>1.</w:t>
      </w:r>
      <w:r>
        <w:rPr>
          <w:rFonts w:ascii="Times New Roman" w:eastAsia="Times New Roman" w:hAnsi="Times New Roman" w:cs="Times New Roman"/>
          <w:b/>
          <w:bCs/>
          <w:lang w:eastAsia="en-US"/>
        </w:rPr>
        <w:tab/>
        <w:t>A GYÓGYSZER NEVE</w:t>
      </w:r>
    </w:p>
    <w:p w14:paraId="072B0E69" w14:textId="77777777" w:rsidR="00DD6391" w:rsidRDefault="00DD6391">
      <w:pPr>
        <w:widowControl w:val="0"/>
        <w:tabs>
          <w:tab w:val="clear" w:pos="567"/>
        </w:tabs>
        <w:spacing w:line="240" w:lineRule="auto"/>
        <w:ind w:left="567" w:hanging="567"/>
        <w:rPr>
          <w:rFonts w:ascii="Times New Roman" w:eastAsia="Times New Roman" w:hAnsi="Times New Roman" w:cs="Times New Roman"/>
          <w:lang w:eastAsia="en-US"/>
        </w:rPr>
      </w:pPr>
    </w:p>
    <w:p w14:paraId="19D49223" w14:textId="77777777" w:rsidR="00DD6391" w:rsidRDefault="00CF2099">
      <w:pPr>
        <w:widowControl w:val="0"/>
        <w:spacing w:line="240" w:lineRule="auto"/>
        <w:rPr>
          <w:rFonts w:ascii="Times New Roman" w:eastAsia="Times New Roman" w:hAnsi="Times New Roman" w:cs="Times New Roman"/>
          <w:lang w:eastAsia="en-US"/>
        </w:rPr>
      </w:pPr>
      <w:r>
        <w:rPr>
          <w:rFonts w:ascii="Times New Roman" w:hAnsi="Times New Roman" w:cs="Times New Roman"/>
        </w:rPr>
        <w:t xml:space="preserve">Ansifora </w:t>
      </w:r>
      <w:r>
        <w:rPr>
          <w:rFonts w:ascii="Times New Roman" w:hAnsi="Times New Roman" w:cs="Times New Roman"/>
          <w:color w:val="000000"/>
        </w:rPr>
        <w:t>50</w:t>
      </w:r>
      <w:r>
        <w:rPr>
          <w:rFonts w:ascii="Times New Roman" w:eastAsia="Times New Roman" w:hAnsi="Times New Roman" w:cs="Times New Roman"/>
          <w:lang w:eastAsia="en-US"/>
        </w:rPr>
        <w:t> mg filmtabletta</w:t>
      </w:r>
    </w:p>
    <w:p w14:paraId="0AF700D7" w14:textId="77777777" w:rsidR="00DD6391" w:rsidRDefault="00CF2099">
      <w:pPr>
        <w:widowControl w:val="0"/>
        <w:spacing w:line="240" w:lineRule="auto"/>
        <w:rPr>
          <w:rFonts w:ascii="Times New Roman" w:eastAsia="Times New Roman" w:hAnsi="Times New Roman" w:cs="Times New Roman"/>
          <w:lang w:eastAsia="en-US"/>
        </w:rPr>
      </w:pPr>
      <w:r>
        <w:rPr>
          <w:rFonts w:ascii="Times New Roman" w:hAnsi="Times New Roman" w:cs="Times New Roman"/>
        </w:rPr>
        <w:t xml:space="preserve">Ansifora </w:t>
      </w:r>
      <w:r>
        <w:rPr>
          <w:rFonts w:ascii="Times New Roman" w:hAnsi="Times New Roman" w:cs="Times New Roman"/>
          <w:color w:val="000000"/>
        </w:rPr>
        <w:t>100</w:t>
      </w:r>
      <w:r>
        <w:rPr>
          <w:rFonts w:ascii="Times New Roman" w:eastAsia="Times New Roman" w:hAnsi="Times New Roman" w:cs="Times New Roman"/>
          <w:lang w:eastAsia="en-US"/>
        </w:rPr>
        <w:t> mg filmtabletta</w:t>
      </w:r>
    </w:p>
    <w:p w14:paraId="40E7ED74" w14:textId="77777777" w:rsidR="00DD6391" w:rsidRDefault="00DD6391">
      <w:pPr>
        <w:spacing w:line="240" w:lineRule="auto"/>
        <w:rPr>
          <w:rFonts w:ascii="Times New Roman" w:hAnsi="Times New Roman" w:cs="Times New Roman"/>
        </w:rPr>
      </w:pPr>
    </w:p>
    <w:p w14:paraId="1C8D6192" w14:textId="77777777" w:rsidR="00DD6391" w:rsidRDefault="00DD6391">
      <w:pPr>
        <w:widowControl w:val="0"/>
        <w:spacing w:line="240" w:lineRule="auto"/>
        <w:rPr>
          <w:rFonts w:ascii="Times New Roman" w:eastAsia="Times New Roman" w:hAnsi="Times New Roman" w:cs="Times New Roman"/>
          <w:lang w:eastAsia="en-US"/>
        </w:rPr>
      </w:pPr>
    </w:p>
    <w:p w14:paraId="76E4DD20" w14:textId="77777777" w:rsidR="00DD6391" w:rsidRDefault="00CF2099">
      <w:pPr>
        <w:widowControl w:val="0"/>
        <w:tabs>
          <w:tab w:val="clear" w:pos="567"/>
        </w:tabs>
        <w:spacing w:line="240" w:lineRule="auto"/>
        <w:ind w:left="567" w:hanging="567"/>
        <w:rPr>
          <w:rFonts w:ascii="Times New Roman" w:hAnsi="Times New Roman" w:cs="Times New Roman"/>
          <w:b/>
          <w:bCs/>
        </w:rPr>
      </w:pPr>
      <w:r>
        <w:rPr>
          <w:rFonts w:ascii="Times New Roman" w:hAnsi="Times New Roman" w:cs="Times New Roman"/>
          <w:b/>
          <w:bCs/>
        </w:rPr>
        <w:t>2.</w:t>
      </w:r>
      <w:r>
        <w:rPr>
          <w:rFonts w:ascii="Times New Roman" w:hAnsi="Times New Roman" w:cs="Times New Roman"/>
          <w:b/>
          <w:bCs/>
        </w:rPr>
        <w:tab/>
        <w:t>MINŐSÉGI ÉS MENNYISÉGI ÖSSZETÉTEL</w:t>
      </w:r>
    </w:p>
    <w:p w14:paraId="45041294" w14:textId="77777777" w:rsidR="00DD6391" w:rsidRDefault="00DD6391">
      <w:pPr>
        <w:widowControl w:val="0"/>
        <w:tabs>
          <w:tab w:val="clear" w:pos="567"/>
        </w:tabs>
        <w:spacing w:line="240" w:lineRule="auto"/>
        <w:ind w:left="567" w:hanging="567"/>
        <w:rPr>
          <w:rFonts w:ascii="Times New Roman" w:eastAsia="Times New Roman" w:hAnsi="Times New Roman" w:cs="Times New Roman"/>
          <w:lang w:eastAsia="en-US"/>
        </w:rPr>
      </w:pPr>
    </w:p>
    <w:p w14:paraId="48499EA4" w14:textId="77777777" w:rsidR="00DD6391" w:rsidRDefault="00CF2099">
      <w:pPr>
        <w:widowControl w:val="0"/>
        <w:spacing w:line="240" w:lineRule="auto"/>
        <w:rPr>
          <w:rFonts w:ascii="Times New Roman" w:eastAsia="Times New Roman" w:hAnsi="Times New Roman" w:cs="Times New Roman"/>
          <w:u w:val="single"/>
          <w:lang w:eastAsia="en-US"/>
        </w:rPr>
      </w:pPr>
      <w:r>
        <w:rPr>
          <w:rFonts w:ascii="Times New Roman" w:hAnsi="Times New Roman" w:cs="Times New Roman"/>
          <w:color w:val="000000"/>
          <w:u w:val="single"/>
        </w:rPr>
        <w:t>Ansifora 50</w:t>
      </w:r>
      <w:r>
        <w:rPr>
          <w:rFonts w:ascii="Times New Roman" w:eastAsia="Times New Roman" w:hAnsi="Times New Roman" w:cs="Times New Roman"/>
          <w:u w:val="single"/>
          <w:lang w:eastAsia="en-US"/>
        </w:rPr>
        <w:t> mg filmtabletta</w:t>
      </w:r>
    </w:p>
    <w:p w14:paraId="4B57E27A" w14:textId="77777777" w:rsidR="00DD6391" w:rsidRDefault="00CF2099">
      <w:pPr>
        <w:pStyle w:val="EMEAEnBodyText"/>
        <w:autoSpaceDE w:val="0"/>
        <w:autoSpaceDN w:val="0"/>
        <w:spacing w:before="0" w:after="0"/>
        <w:jc w:val="left"/>
        <w:rPr>
          <w:rFonts w:ascii="Times New Roman" w:hAnsi="Times New Roman" w:cs="Times New Roman"/>
          <w:lang w:val="hu-HU"/>
        </w:rPr>
      </w:pPr>
      <w:r>
        <w:rPr>
          <w:rFonts w:ascii="Times New Roman" w:hAnsi="Times New Roman" w:cs="Times New Roman"/>
          <w:lang w:val="hu-HU"/>
        </w:rPr>
        <w:t>50 mg szitagliptint (szitagliptin-hidroklorid-monohidrát formájában) tartalmaz filmtablettánként.</w:t>
      </w:r>
    </w:p>
    <w:p w14:paraId="0598478D" w14:textId="77777777" w:rsidR="00DD6391" w:rsidRDefault="00DD6391">
      <w:pPr>
        <w:pStyle w:val="EMEAEnBodyText"/>
        <w:autoSpaceDE w:val="0"/>
        <w:autoSpaceDN w:val="0"/>
        <w:spacing w:before="0" w:after="0"/>
        <w:jc w:val="left"/>
        <w:rPr>
          <w:rFonts w:ascii="Times New Roman" w:hAnsi="Times New Roman" w:cs="Times New Roman"/>
          <w:lang w:val="hu-HU"/>
        </w:rPr>
      </w:pPr>
    </w:p>
    <w:p w14:paraId="3DFDAEE9" w14:textId="77777777" w:rsidR="00DD6391" w:rsidRDefault="00CF2099">
      <w:pPr>
        <w:widowControl w:val="0"/>
        <w:spacing w:line="240" w:lineRule="auto"/>
        <w:rPr>
          <w:rFonts w:ascii="Times New Roman" w:eastAsia="Times New Roman" w:hAnsi="Times New Roman" w:cs="Times New Roman"/>
          <w:u w:val="single"/>
          <w:lang w:eastAsia="en-US"/>
        </w:rPr>
      </w:pPr>
      <w:r>
        <w:rPr>
          <w:rFonts w:ascii="Times New Roman" w:hAnsi="Times New Roman" w:cs="Times New Roman"/>
          <w:color w:val="000000"/>
          <w:u w:val="single"/>
        </w:rPr>
        <w:t>Ansifora 100</w:t>
      </w:r>
      <w:r>
        <w:rPr>
          <w:rFonts w:ascii="Times New Roman" w:eastAsia="Times New Roman" w:hAnsi="Times New Roman" w:cs="Times New Roman"/>
          <w:u w:val="single"/>
          <w:lang w:eastAsia="en-US"/>
        </w:rPr>
        <w:t> mg filmtabletta</w:t>
      </w:r>
    </w:p>
    <w:p w14:paraId="482BED72" w14:textId="77777777" w:rsidR="00DD6391" w:rsidRDefault="00CF2099">
      <w:pPr>
        <w:pStyle w:val="EMEAEnBodyText"/>
        <w:autoSpaceDE w:val="0"/>
        <w:autoSpaceDN w:val="0"/>
        <w:spacing w:before="0" w:after="0"/>
        <w:jc w:val="left"/>
        <w:rPr>
          <w:rFonts w:ascii="Times New Roman" w:hAnsi="Times New Roman" w:cs="Times New Roman"/>
          <w:lang w:val="hu-HU"/>
        </w:rPr>
      </w:pPr>
      <w:r>
        <w:rPr>
          <w:rFonts w:ascii="Times New Roman" w:hAnsi="Times New Roman" w:cs="Times New Roman"/>
          <w:lang w:val="hu-HU"/>
        </w:rPr>
        <w:t>100 mg szitagliptint (szitagliptin-hidroklorid-monohidrát formájában) tartalmaz filmtablettánként.</w:t>
      </w:r>
    </w:p>
    <w:p w14:paraId="58410F38" w14:textId="77777777" w:rsidR="00DD6391" w:rsidRDefault="00DD6391">
      <w:pPr>
        <w:pStyle w:val="EMEAEnBodyText"/>
        <w:autoSpaceDE w:val="0"/>
        <w:autoSpaceDN w:val="0"/>
        <w:spacing w:before="0" w:after="0"/>
        <w:jc w:val="left"/>
        <w:rPr>
          <w:rFonts w:ascii="Times New Roman" w:hAnsi="Times New Roman" w:cs="Times New Roman"/>
          <w:lang w:val="hu-HU"/>
        </w:rPr>
      </w:pPr>
    </w:p>
    <w:p w14:paraId="52F1CB42" w14:textId="77777777" w:rsidR="00DD6391" w:rsidRDefault="00CF2099">
      <w:pPr>
        <w:pStyle w:val="EMEAEnBodyText"/>
        <w:autoSpaceDE w:val="0"/>
        <w:autoSpaceDN w:val="0"/>
        <w:spacing w:before="0" w:after="0"/>
        <w:jc w:val="left"/>
        <w:rPr>
          <w:rFonts w:ascii="Times New Roman" w:hAnsi="Times New Roman" w:cs="Times New Roman"/>
          <w:lang w:val="hu-HU"/>
        </w:rPr>
      </w:pPr>
      <w:r>
        <w:rPr>
          <w:rFonts w:ascii="Times New Roman" w:hAnsi="Times New Roman" w:cs="Times New Roman"/>
          <w:lang w:val="hu-HU"/>
        </w:rPr>
        <w:t>A segédanyagok teljes listáját lásd a 6.1 pontban.</w:t>
      </w:r>
    </w:p>
    <w:p w14:paraId="210F7CBE" w14:textId="77777777" w:rsidR="00DD6391" w:rsidRDefault="00DD6391">
      <w:pPr>
        <w:pStyle w:val="EMEAEnBodyText"/>
        <w:autoSpaceDE w:val="0"/>
        <w:autoSpaceDN w:val="0"/>
        <w:spacing w:before="0" w:after="0"/>
        <w:rPr>
          <w:rFonts w:ascii="Times New Roman" w:hAnsi="Times New Roman" w:cs="Times New Roman"/>
          <w:lang w:val="hu-HU"/>
        </w:rPr>
      </w:pPr>
    </w:p>
    <w:p w14:paraId="6A314FBA" w14:textId="77777777" w:rsidR="00DD6391" w:rsidRDefault="00DD6391">
      <w:pPr>
        <w:widowControl w:val="0"/>
        <w:spacing w:line="240" w:lineRule="auto"/>
        <w:rPr>
          <w:rFonts w:ascii="Times New Roman" w:hAnsi="Times New Roman" w:cs="Times New Roman"/>
        </w:rPr>
      </w:pPr>
    </w:p>
    <w:p w14:paraId="00CC7016" w14:textId="77777777" w:rsidR="00DD6391" w:rsidRDefault="00CF2099">
      <w:pPr>
        <w:spacing w:line="240" w:lineRule="auto"/>
        <w:ind w:left="567" w:hanging="567"/>
        <w:rPr>
          <w:rFonts w:ascii="Times New Roman" w:eastAsia="Times New Roman" w:hAnsi="Times New Roman" w:cs="Times New Roman"/>
          <w:b/>
          <w:bCs/>
          <w:lang w:eastAsia="en-US"/>
        </w:rPr>
      </w:pPr>
      <w:r>
        <w:rPr>
          <w:rFonts w:ascii="Times New Roman" w:eastAsia="Times New Roman" w:hAnsi="Times New Roman" w:cs="Times New Roman"/>
          <w:b/>
          <w:bCs/>
          <w:lang w:eastAsia="en-US"/>
        </w:rPr>
        <w:t>3.</w:t>
      </w:r>
      <w:r>
        <w:rPr>
          <w:rFonts w:ascii="Times New Roman" w:eastAsia="Times New Roman" w:hAnsi="Times New Roman" w:cs="Times New Roman"/>
          <w:b/>
          <w:bCs/>
          <w:lang w:eastAsia="en-US"/>
        </w:rPr>
        <w:tab/>
        <w:t>GYÓGYSZERFORMA</w:t>
      </w:r>
    </w:p>
    <w:p w14:paraId="3DF4A37B" w14:textId="77777777" w:rsidR="00DD6391" w:rsidRDefault="00DD6391">
      <w:pPr>
        <w:spacing w:line="240" w:lineRule="auto"/>
        <w:ind w:left="567" w:hanging="567"/>
        <w:rPr>
          <w:rFonts w:ascii="Times New Roman" w:hAnsi="Times New Roman" w:cs="Times New Roman"/>
        </w:rPr>
      </w:pPr>
    </w:p>
    <w:p w14:paraId="6D3074F5" w14:textId="77777777" w:rsidR="00DD6391" w:rsidRDefault="00CF2099">
      <w:pPr>
        <w:spacing w:line="240" w:lineRule="auto"/>
        <w:ind w:left="567" w:hanging="567"/>
        <w:rPr>
          <w:rFonts w:ascii="Times New Roman" w:hAnsi="Times New Roman" w:cs="Times New Roman"/>
          <w:lang w:eastAsia="en-US"/>
        </w:rPr>
      </w:pPr>
      <w:r>
        <w:rPr>
          <w:rFonts w:ascii="Times New Roman" w:hAnsi="Times New Roman" w:cs="Times New Roman"/>
          <w:lang w:eastAsia="en-US"/>
        </w:rPr>
        <w:t>Filmtabletta (tabletta).</w:t>
      </w:r>
    </w:p>
    <w:p w14:paraId="7703C70C" w14:textId="77777777" w:rsidR="00DD6391" w:rsidRDefault="00DD6391">
      <w:pPr>
        <w:spacing w:line="240" w:lineRule="auto"/>
        <w:ind w:left="567" w:hanging="567"/>
        <w:rPr>
          <w:rFonts w:ascii="Times New Roman" w:hAnsi="Times New Roman" w:cs="Times New Roman"/>
          <w:u w:val="single"/>
          <w:lang w:eastAsia="en-US"/>
        </w:rPr>
      </w:pPr>
    </w:p>
    <w:p w14:paraId="66F814DD" w14:textId="77777777" w:rsidR="00DD6391" w:rsidRDefault="00CF2099">
      <w:pPr>
        <w:widowControl w:val="0"/>
        <w:spacing w:line="240" w:lineRule="auto"/>
        <w:rPr>
          <w:rFonts w:ascii="Times New Roman" w:eastAsia="Times New Roman" w:hAnsi="Times New Roman" w:cs="Times New Roman"/>
          <w:u w:val="single"/>
          <w:lang w:eastAsia="en-US"/>
        </w:rPr>
      </w:pPr>
      <w:r>
        <w:rPr>
          <w:rFonts w:ascii="Times New Roman" w:hAnsi="Times New Roman" w:cs="Times New Roman"/>
          <w:color w:val="000000"/>
          <w:u w:val="single"/>
        </w:rPr>
        <w:t>Ansifora 50</w:t>
      </w:r>
      <w:r>
        <w:rPr>
          <w:rFonts w:ascii="Times New Roman" w:eastAsia="Times New Roman" w:hAnsi="Times New Roman" w:cs="Times New Roman"/>
          <w:u w:val="single"/>
          <w:lang w:eastAsia="en-US"/>
        </w:rPr>
        <w:t> mg filmtabletta</w:t>
      </w:r>
    </w:p>
    <w:p w14:paraId="564545B7" w14:textId="77777777" w:rsidR="00DD6391" w:rsidRDefault="00CF2099">
      <w:pPr>
        <w:widowControl w:val="0"/>
        <w:spacing w:line="240" w:lineRule="auto"/>
        <w:rPr>
          <w:rFonts w:ascii="Times New Roman" w:hAnsi="Times New Roman" w:cs="Times New Roman"/>
          <w:lang w:eastAsia="en-US"/>
        </w:rPr>
      </w:pPr>
      <w:r>
        <w:rPr>
          <w:rFonts w:ascii="Times New Roman" w:hAnsi="Times New Roman" w:cs="Times New Roman"/>
          <w:lang w:eastAsia="en-US"/>
        </w:rPr>
        <w:t>Kerek, 8 mm átmérőjű, világos bézs színű filmtabletta</w:t>
      </w:r>
      <w:r>
        <w:rPr>
          <w:rFonts w:ascii="Times New Roman" w:hAnsi="Times New Roman" w:cs="Times New Roman"/>
        </w:rPr>
        <w:t>,</w:t>
      </w:r>
      <w:r>
        <w:rPr>
          <w:rFonts w:ascii="Times New Roman" w:hAnsi="Times New Roman" w:cs="Times New Roman"/>
          <w:lang w:eastAsia="en-US"/>
        </w:rPr>
        <w:t xml:space="preserve"> </w:t>
      </w:r>
      <w:r>
        <w:rPr>
          <w:rFonts w:ascii="Times New Roman" w:hAnsi="Times New Roman" w:cs="Times New Roman"/>
        </w:rPr>
        <w:t>egyik oldalán “50” jelzéssel</w:t>
      </w:r>
      <w:r>
        <w:rPr>
          <w:rFonts w:ascii="Times New Roman" w:hAnsi="Times New Roman" w:cs="Times New Roman"/>
          <w:lang w:eastAsia="en-US"/>
        </w:rPr>
        <w:t>.</w:t>
      </w:r>
    </w:p>
    <w:p w14:paraId="3A9058BE" w14:textId="77777777" w:rsidR="00DD6391" w:rsidRDefault="00DD6391">
      <w:pPr>
        <w:spacing w:line="240" w:lineRule="auto"/>
        <w:ind w:left="567" w:hanging="567"/>
        <w:rPr>
          <w:rFonts w:ascii="Times New Roman" w:hAnsi="Times New Roman" w:cs="Times New Roman"/>
          <w:lang w:eastAsia="en-US"/>
        </w:rPr>
      </w:pPr>
    </w:p>
    <w:p w14:paraId="4EA95401" w14:textId="77777777" w:rsidR="00DD6391" w:rsidRDefault="00CF2099">
      <w:pPr>
        <w:widowControl w:val="0"/>
        <w:spacing w:line="240" w:lineRule="auto"/>
        <w:rPr>
          <w:rFonts w:ascii="Times New Roman" w:eastAsia="Times New Roman" w:hAnsi="Times New Roman" w:cs="Times New Roman"/>
          <w:u w:val="single"/>
          <w:lang w:eastAsia="en-US"/>
        </w:rPr>
      </w:pPr>
      <w:r>
        <w:rPr>
          <w:rFonts w:ascii="Times New Roman" w:hAnsi="Times New Roman" w:cs="Times New Roman"/>
          <w:color w:val="000000"/>
          <w:u w:val="single"/>
        </w:rPr>
        <w:t>Ansifora 100</w:t>
      </w:r>
      <w:r>
        <w:rPr>
          <w:rFonts w:ascii="Times New Roman" w:eastAsia="Times New Roman" w:hAnsi="Times New Roman" w:cs="Times New Roman"/>
          <w:u w:val="single"/>
          <w:lang w:eastAsia="en-US"/>
        </w:rPr>
        <w:t> mg filmtabletta</w:t>
      </w:r>
    </w:p>
    <w:p w14:paraId="5108822E" w14:textId="77777777" w:rsidR="00DD6391" w:rsidRDefault="00CF2099">
      <w:pPr>
        <w:widowControl w:val="0"/>
        <w:spacing w:line="240" w:lineRule="auto"/>
        <w:rPr>
          <w:rFonts w:ascii="Times New Roman" w:hAnsi="Times New Roman" w:cs="Times New Roman"/>
          <w:lang w:eastAsia="en-US"/>
        </w:rPr>
      </w:pPr>
      <w:r>
        <w:rPr>
          <w:rFonts w:ascii="Times New Roman" w:hAnsi="Times New Roman" w:cs="Times New Roman"/>
          <w:lang w:eastAsia="en-US"/>
        </w:rPr>
        <w:t xml:space="preserve">Kerek, </w:t>
      </w:r>
      <w:r>
        <w:rPr>
          <w:rFonts w:ascii="Times New Roman" w:hAnsi="Times New Roman" w:cs="Times New Roman"/>
        </w:rPr>
        <w:t>10 mm</w:t>
      </w:r>
      <w:r>
        <w:rPr>
          <w:rFonts w:ascii="Times New Roman" w:hAnsi="Times New Roman" w:cs="Times New Roman"/>
          <w:lang w:eastAsia="en-US"/>
        </w:rPr>
        <w:t xml:space="preserve"> átmérőjű, bézs színű filmtabletta, </w:t>
      </w:r>
      <w:r>
        <w:rPr>
          <w:rFonts w:ascii="Times New Roman" w:hAnsi="Times New Roman" w:cs="Times New Roman"/>
        </w:rPr>
        <w:t>egyik oldalán “100” jelzéssel</w:t>
      </w:r>
      <w:r>
        <w:rPr>
          <w:rFonts w:ascii="Times New Roman" w:hAnsi="Times New Roman" w:cs="Times New Roman"/>
          <w:lang w:eastAsia="en-US"/>
        </w:rPr>
        <w:t>.</w:t>
      </w:r>
    </w:p>
    <w:p w14:paraId="4E76F40E" w14:textId="77777777" w:rsidR="00DD6391" w:rsidRDefault="00DD6391">
      <w:pPr>
        <w:spacing w:line="240" w:lineRule="auto"/>
        <w:ind w:left="567" w:hanging="567"/>
        <w:rPr>
          <w:rFonts w:ascii="Times New Roman" w:hAnsi="Times New Roman" w:cs="Times New Roman"/>
          <w:lang w:eastAsia="en-US"/>
        </w:rPr>
      </w:pPr>
    </w:p>
    <w:p w14:paraId="447D92A7" w14:textId="77777777" w:rsidR="00DD6391" w:rsidRDefault="00DD6391">
      <w:pPr>
        <w:spacing w:line="240" w:lineRule="auto"/>
        <w:rPr>
          <w:rFonts w:ascii="Times New Roman" w:hAnsi="Times New Roman" w:cs="Times New Roman"/>
        </w:rPr>
      </w:pPr>
    </w:p>
    <w:p w14:paraId="206FFB25" w14:textId="77777777" w:rsidR="00DD6391" w:rsidRDefault="00CF2099">
      <w:pPr>
        <w:tabs>
          <w:tab w:val="clear" w:pos="567"/>
        </w:tabs>
        <w:spacing w:line="240" w:lineRule="auto"/>
        <w:ind w:left="567" w:hanging="567"/>
        <w:outlineLvl w:val="0"/>
        <w:rPr>
          <w:rFonts w:ascii="Times New Roman" w:hAnsi="Times New Roman" w:cs="Times New Roman"/>
          <w:b/>
          <w:bCs/>
        </w:rPr>
      </w:pPr>
      <w:r>
        <w:rPr>
          <w:rFonts w:ascii="Times New Roman" w:hAnsi="Times New Roman" w:cs="Times New Roman"/>
          <w:b/>
          <w:bCs/>
        </w:rPr>
        <w:t>4.</w:t>
      </w:r>
      <w:r>
        <w:rPr>
          <w:rFonts w:ascii="Times New Roman" w:hAnsi="Times New Roman" w:cs="Times New Roman"/>
          <w:b/>
          <w:bCs/>
        </w:rPr>
        <w:tab/>
        <w:t>KLINIKAI JELLEMZŐK</w:t>
      </w:r>
    </w:p>
    <w:p w14:paraId="03027231" w14:textId="77777777" w:rsidR="00DD6391" w:rsidRDefault="00DD6391">
      <w:pPr>
        <w:tabs>
          <w:tab w:val="clear" w:pos="567"/>
        </w:tabs>
        <w:spacing w:line="240" w:lineRule="auto"/>
        <w:ind w:left="567" w:hanging="567"/>
        <w:outlineLvl w:val="0"/>
        <w:rPr>
          <w:rFonts w:ascii="Times New Roman" w:hAnsi="Times New Roman" w:cs="Times New Roman"/>
          <w:b/>
          <w:bCs/>
        </w:rPr>
      </w:pPr>
    </w:p>
    <w:p w14:paraId="0FE37AAD"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4.1</w:t>
      </w:r>
      <w:r>
        <w:rPr>
          <w:rFonts w:ascii="Times New Roman" w:eastAsia="Times New Roman" w:hAnsi="Times New Roman" w:cs="Times New Roman"/>
          <w:b/>
          <w:bCs/>
          <w:lang w:eastAsia="en-US"/>
        </w:rPr>
        <w:tab/>
        <w:t>Terápiás javallatok</w:t>
      </w:r>
    </w:p>
    <w:p w14:paraId="24E5ED28" w14:textId="77777777" w:rsidR="00DD6391" w:rsidRDefault="00DD6391">
      <w:pPr>
        <w:tabs>
          <w:tab w:val="clear" w:pos="567"/>
        </w:tabs>
        <w:spacing w:line="240" w:lineRule="auto"/>
        <w:ind w:left="567" w:hanging="567"/>
        <w:outlineLvl w:val="0"/>
        <w:rPr>
          <w:rFonts w:ascii="Times New Roman" w:hAnsi="Times New Roman" w:cs="Times New Roman"/>
          <w:b/>
          <w:bCs/>
        </w:rPr>
      </w:pPr>
    </w:p>
    <w:p w14:paraId="23C7EBC1"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hAnsi="Times New Roman" w:cs="Times New Roman"/>
          <w:color w:val="000000"/>
        </w:rPr>
        <w:t xml:space="preserve">Ansifora </w:t>
      </w:r>
      <w:r>
        <w:rPr>
          <w:rFonts w:ascii="Times New Roman" w:eastAsia="Times New Roman" w:hAnsi="Times New Roman" w:cs="Times New Roman"/>
          <w:lang w:eastAsia="en-US"/>
        </w:rPr>
        <w:t>2</w:t>
      </w:r>
      <w:r>
        <w:rPr>
          <w:rFonts w:ascii="Times New Roman" w:eastAsia="Times New Roman" w:hAnsi="Times New Roman" w:cs="Times New Roman"/>
          <w:lang w:eastAsia="en-US"/>
        </w:rPr>
        <w:noBreakHyphen/>
        <w:t>es típusú diabetes mellitusban szenvedő felnőttek glykaemiás kontrolljának javítására javallott:</w:t>
      </w:r>
    </w:p>
    <w:p w14:paraId="47AC04E2" w14:textId="77777777" w:rsidR="00DD6391" w:rsidRDefault="00DD6391">
      <w:pPr>
        <w:pStyle w:val="Listaszerbekezds"/>
        <w:spacing w:line="240" w:lineRule="auto"/>
        <w:ind w:left="720"/>
        <w:rPr>
          <w:rFonts w:ascii="Times New Roman" w:eastAsia="Times New Roman" w:hAnsi="Times New Roman" w:cs="Times New Roman"/>
          <w:lang w:eastAsia="en-US"/>
        </w:rPr>
      </w:pPr>
    </w:p>
    <w:p w14:paraId="2D442DAA"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monoterápiában:</w:t>
      </w:r>
    </w:p>
    <w:p w14:paraId="2B98AB40" w14:textId="77777777" w:rsidR="00DD6391" w:rsidRDefault="00DD6391">
      <w:pPr>
        <w:spacing w:line="240" w:lineRule="auto"/>
        <w:rPr>
          <w:rFonts w:ascii="Times New Roman" w:eastAsia="Times New Roman" w:hAnsi="Times New Roman" w:cs="Times New Roman"/>
          <w:lang w:eastAsia="en-US"/>
        </w:rPr>
      </w:pPr>
    </w:p>
    <w:p w14:paraId="1AEE7D96"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t>olyan betegek esetén, akiknél önmagában a diéta és a testmozgás mellett a glykaemiás kontroll nem megfelelő, és akik számára a metformin ellenjavallatok vagy intolerancia miatt nem alkalmazható.</w:t>
      </w:r>
    </w:p>
    <w:p w14:paraId="4A5493F8" w14:textId="77777777" w:rsidR="00DD6391" w:rsidRDefault="00DD6391">
      <w:pPr>
        <w:tabs>
          <w:tab w:val="clear" w:pos="567"/>
        </w:tabs>
        <w:spacing w:line="240" w:lineRule="auto"/>
        <w:rPr>
          <w:rFonts w:ascii="Times New Roman" w:eastAsia="Times New Roman" w:hAnsi="Times New Roman" w:cs="Times New Roman"/>
          <w:lang w:eastAsia="en-US"/>
        </w:rPr>
      </w:pPr>
    </w:p>
    <w:p w14:paraId="29BD7EF1"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kettős orális terápiában, a következő gyógyszerekkel kombinálva:</w:t>
      </w:r>
    </w:p>
    <w:p w14:paraId="65BBA1F7" w14:textId="77777777" w:rsidR="00DD6391" w:rsidRDefault="00DD6391">
      <w:pPr>
        <w:spacing w:line="240" w:lineRule="auto"/>
        <w:rPr>
          <w:rFonts w:ascii="Times New Roman" w:eastAsia="Times New Roman" w:hAnsi="Times New Roman" w:cs="Times New Roman"/>
          <w:lang w:eastAsia="en-US"/>
        </w:rPr>
      </w:pPr>
    </w:p>
    <w:p w14:paraId="6A416655"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t>metforminnal kombinációban adva, ha a diéta és a testmozgás mellett egyedül metformint alkalmazva a glykaemiás kontroll nem megfelelő.</w:t>
      </w:r>
    </w:p>
    <w:p w14:paraId="69FFB068" w14:textId="77777777" w:rsidR="00DD6391" w:rsidRDefault="00DD6391">
      <w:pPr>
        <w:tabs>
          <w:tab w:val="clear" w:pos="567"/>
        </w:tabs>
        <w:spacing w:line="240" w:lineRule="auto"/>
        <w:rPr>
          <w:rFonts w:ascii="Times New Roman" w:eastAsia="Times New Roman" w:hAnsi="Times New Roman" w:cs="Times New Roman"/>
          <w:lang w:eastAsia="en-US"/>
        </w:rPr>
      </w:pPr>
    </w:p>
    <w:p w14:paraId="111F6458"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t>szulfonilureával kombinációban adva, ha a diéta és a testmozgás mellett egyedül a szulfonilurea maximális tolerált dózisa nem biztosít megfelelő glykaemiás kontrollt, és a metformin ellenjavallatok vagy intolerancia miatt nem alkalmazható.</w:t>
      </w:r>
    </w:p>
    <w:p w14:paraId="7C594048" w14:textId="77777777" w:rsidR="00DD6391" w:rsidRDefault="00DD6391">
      <w:pPr>
        <w:spacing w:line="240" w:lineRule="auto"/>
        <w:rPr>
          <w:rFonts w:ascii="Times New Roman" w:eastAsia="Times New Roman" w:hAnsi="Times New Roman" w:cs="Times New Roman"/>
          <w:lang w:eastAsia="en-US"/>
        </w:rPr>
      </w:pPr>
    </w:p>
    <w:p w14:paraId="070412D4"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t>peroxiszóma-proliferátor aktiválta receptor gamma- (PPARγ) agonistával (például tiazolidindion), ha a PPARγ-agonista alkalmazása helyénvaló, és ha a diéta és testmozgás mellett a PPARγ-agonista nem biztosít megfelelő glykaemiás kontrollt.</w:t>
      </w:r>
    </w:p>
    <w:p w14:paraId="42530E7B" w14:textId="77777777" w:rsidR="00DD6391" w:rsidRDefault="00DD6391">
      <w:pPr>
        <w:tabs>
          <w:tab w:val="clear" w:pos="567"/>
        </w:tabs>
        <w:spacing w:line="240" w:lineRule="auto"/>
        <w:rPr>
          <w:rFonts w:ascii="Times New Roman" w:eastAsia="Times New Roman" w:hAnsi="Times New Roman" w:cs="Times New Roman"/>
          <w:lang w:eastAsia="en-US"/>
        </w:rPr>
      </w:pPr>
    </w:p>
    <w:p w14:paraId="075F58C2"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hármas orális terápiában, a következő gyógyszerekkel kombinálva:</w:t>
      </w:r>
    </w:p>
    <w:p w14:paraId="6FDCB64F" w14:textId="77777777" w:rsidR="00DD6391" w:rsidRDefault="00DD6391">
      <w:pPr>
        <w:spacing w:line="240" w:lineRule="auto"/>
        <w:rPr>
          <w:rFonts w:ascii="Times New Roman" w:eastAsia="Times New Roman" w:hAnsi="Times New Roman" w:cs="Times New Roman"/>
          <w:lang w:eastAsia="en-US"/>
        </w:rPr>
      </w:pPr>
    </w:p>
    <w:p w14:paraId="014AD882"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lastRenderedPageBreak/>
        <w:t>szulfonilureával és metforminnal kombinációban adva, ha a diéta és a testmozgás mellett az ezzel a két gyógyszerrel végzett együttes kezelés nem biztosít megfelelő glykaemiás kontrollt.</w:t>
      </w:r>
    </w:p>
    <w:p w14:paraId="2F60A49B" w14:textId="77777777" w:rsidR="00DD6391" w:rsidRDefault="00DD6391">
      <w:pPr>
        <w:tabs>
          <w:tab w:val="clear" w:pos="567"/>
        </w:tabs>
        <w:spacing w:line="240" w:lineRule="auto"/>
        <w:rPr>
          <w:rFonts w:ascii="Times New Roman" w:eastAsia="Times New Roman" w:hAnsi="Times New Roman" w:cs="Times New Roman"/>
          <w:lang w:eastAsia="en-US"/>
        </w:rPr>
      </w:pPr>
    </w:p>
    <w:p w14:paraId="29979CB0" w14:textId="77777777" w:rsidR="00DD6391" w:rsidRDefault="00CF2099">
      <w:pPr>
        <w:numPr>
          <w:ilvl w:val="0"/>
          <w:numId w:val="1"/>
        </w:numPr>
        <w:tabs>
          <w:tab w:val="clear" w:pos="567"/>
        </w:tabs>
        <w:spacing w:line="240" w:lineRule="auto"/>
        <w:ind w:left="567" w:hanging="567"/>
        <w:rPr>
          <w:rFonts w:ascii="Times New Roman" w:eastAsia="Times New Roman" w:hAnsi="Times New Roman" w:cs="Times New Roman"/>
          <w:lang w:eastAsia="en-US"/>
        </w:rPr>
      </w:pPr>
      <w:r>
        <w:rPr>
          <w:rFonts w:ascii="Times New Roman" w:eastAsia="Times New Roman" w:hAnsi="Times New Roman" w:cs="Times New Roman"/>
          <w:lang w:eastAsia="en-US"/>
        </w:rPr>
        <w:t>PPARγ-agonistával és metforminnal kombinációban adva, amennyiben a PPARγ-agonista alkalmazása helyénvaló, és ha a diéta és testmozgás, valamint az ezeket a gyógyszereket tartalmazó kettős terápia mellett a glykaemiás kontroll nem megfelelő.</w:t>
      </w:r>
    </w:p>
    <w:p w14:paraId="3862CAC4" w14:textId="77777777" w:rsidR="00DD6391" w:rsidRDefault="00DD6391">
      <w:pPr>
        <w:tabs>
          <w:tab w:val="clear" w:pos="567"/>
        </w:tabs>
        <w:spacing w:line="240" w:lineRule="auto"/>
        <w:rPr>
          <w:rFonts w:ascii="Times New Roman" w:eastAsia="Times New Roman" w:hAnsi="Times New Roman" w:cs="Times New Roman"/>
          <w:lang w:eastAsia="en-US"/>
        </w:rPr>
      </w:pPr>
    </w:p>
    <w:p w14:paraId="41099396"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hAnsi="Times New Roman" w:cs="Times New Roman"/>
          <w:color w:val="000000"/>
        </w:rPr>
        <w:t xml:space="preserve">Ansifora </w:t>
      </w:r>
      <w:r>
        <w:rPr>
          <w:rFonts w:ascii="Times New Roman" w:eastAsia="Times New Roman" w:hAnsi="Times New Roman" w:cs="Times New Roman"/>
          <w:lang w:eastAsia="en-US"/>
        </w:rPr>
        <w:t>szintén javallott inzulin kiegészítő terápiájaként (metforminnal vagy anélkül), ha a diéta és testmozgás, valamint az inzulin állandó dózisa mellett a glykaemiás kontroll nem megfelelő.</w:t>
      </w:r>
    </w:p>
    <w:p w14:paraId="276FC380" w14:textId="77777777" w:rsidR="00DD6391" w:rsidRDefault="00DD6391">
      <w:pPr>
        <w:spacing w:line="240" w:lineRule="auto"/>
        <w:rPr>
          <w:rFonts w:ascii="Times New Roman" w:eastAsia="Times New Roman" w:hAnsi="Times New Roman" w:cs="Times New Roman"/>
          <w:lang w:eastAsia="en-US"/>
        </w:rPr>
      </w:pPr>
    </w:p>
    <w:p w14:paraId="05ABCF75"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4.2</w:t>
      </w:r>
      <w:r>
        <w:rPr>
          <w:rFonts w:ascii="Times New Roman" w:eastAsia="Times New Roman" w:hAnsi="Times New Roman" w:cs="Times New Roman"/>
          <w:b/>
          <w:bCs/>
          <w:lang w:eastAsia="en-US"/>
        </w:rPr>
        <w:tab/>
        <w:t>Adagolás és alkalmazás</w:t>
      </w:r>
    </w:p>
    <w:p w14:paraId="2B4279B2" w14:textId="77777777" w:rsidR="00DD6391" w:rsidRDefault="00DD6391">
      <w:pPr>
        <w:tabs>
          <w:tab w:val="clear" w:pos="567"/>
        </w:tabs>
        <w:spacing w:line="240" w:lineRule="auto"/>
        <w:ind w:left="567" w:hanging="567"/>
        <w:outlineLvl w:val="0"/>
        <w:rPr>
          <w:rFonts w:ascii="Times New Roman" w:hAnsi="Times New Roman" w:cs="Times New Roman"/>
        </w:rPr>
      </w:pPr>
    </w:p>
    <w:p w14:paraId="3043725D" w14:textId="77777777" w:rsidR="00DD6391" w:rsidRDefault="00CF2099">
      <w:pPr>
        <w:spacing w:line="240" w:lineRule="auto"/>
        <w:rPr>
          <w:rFonts w:ascii="Times New Roman" w:eastAsia="Times New Roman" w:hAnsi="Times New Roman" w:cs="Times New Roman"/>
          <w:u w:val="single"/>
          <w:lang w:eastAsia="en-US"/>
        </w:rPr>
      </w:pPr>
      <w:r>
        <w:rPr>
          <w:rFonts w:ascii="Times New Roman" w:eastAsia="Times New Roman" w:hAnsi="Times New Roman" w:cs="Times New Roman"/>
          <w:u w:val="single"/>
          <w:lang w:eastAsia="en-US"/>
        </w:rPr>
        <w:t>Adagolás</w:t>
      </w:r>
    </w:p>
    <w:p w14:paraId="26872551" w14:textId="77777777" w:rsidR="00DD6391" w:rsidRDefault="00DD6391">
      <w:pPr>
        <w:spacing w:line="240" w:lineRule="auto"/>
        <w:rPr>
          <w:rFonts w:ascii="Times New Roman" w:eastAsia="Times New Roman" w:hAnsi="Times New Roman" w:cs="Times New Roman"/>
          <w:lang w:eastAsia="en-US"/>
        </w:rPr>
      </w:pPr>
    </w:p>
    <w:p w14:paraId="29AF4B80"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 dózis 100 mg szitagliptin, naponta egyszer. Metforminnal és/vagy PPARγ-agonistával együttesen alkalmazva, a metformin és/vagy a PPARγ-agonista dózisát változatlanul kell hagyni, és az </w:t>
      </w:r>
      <w:r>
        <w:rPr>
          <w:rFonts w:ascii="Times New Roman" w:hAnsi="Times New Roman" w:cs="Times New Roman"/>
          <w:color w:val="000000"/>
        </w:rPr>
        <w:t>Ansifora</w:t>
      </w:r>
      <w:r>
        <w:rPr>
          <w:rFonts w:ascii="Times New Roman" w:hAnsi="Times New Roman" w:cs="Times New Roman"/>
          <w:color w:val="000000"/>
        </w:rPr>
        <w:noBreakHyphen/>
        <w:t xml:space="preserve">t </w:t>
      </w:r>
      <w:r>
        <w:rPr>
          <w:rFonts w:ascii="Times New Roman" w:eastAsia="Times New Roman" w:hAnsi="Times New Roman" w:cs="Times New Roman"/>
          <w:lang w:eastAsia="en-US"/>
        </w:rPr>
        <w:t>ezekkel a gyógyszerekkel együtt kell alkalmazni.</w:t>
      </w:r>
    </w:p>
    <w:p w14:paraId="44F03462" w14:textId="77777777" w:rsidR="00DD6391" w:rsidRDefault="00DD6391">
      <w:pPr>
        <w:spacing w:line="240" w:lineRule="auto"/>
        <w:rPr>
          <w:rFonts w:ascii="Times New Roman" w:eastAsia="Times New Roman" w:hAnsi="Times New Roman" w:cs="Times New Roman"/>
          <w:lang w:eastAsia="en-US"/>
        </w:rPr>
      </w:pPr>
    </w:p>
    <w:p w14:paraId="4E1666FF"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Ha az </w:t>
      </w:r>
      <w:r>
        <w:rPr>
          <w:rFonts w:ascii="Times New Roman" w:hAnsi="Times New Roman" w:cs="Times New Roman"/>
          <w:color w:val="000000"/>
        </w:rPr>
        <w:t>Ansifora</w:t>
      </w:r>
      <w:r>
        <w:rPr>
          <w:rFonts w:ascii="Times New Roman" w:hAnsi="Times New Roman" w:cs="Times New Roman"/>
          <w:color w:val="000000"/>
        </w:rPr>
        <w:noBreakHyphen/>
        <w:t xml:space="preserve">t </w:t>
      </w:r>
      <w:r>
        <w:rPr>
          <w:rFonts w:ascii="Times New Roman" w:eastAsia="Times New Roman" w:hAnsi="Times New Roman" w:cs="Times New Roman"/>
          <w:lang w:eastAsia="en-US"/>
        </w:rPr>
        <w:t>egy szulfonilureával vagy inzulinnal kombinációban alkalmazzák, a hypoglykaemia kockázatának csökkentése érdekében fontolóra kell venni a szulfonilurea vagy az inzulin kisebb dózisának az alkalmazását (lásd 4.4 pont).</w:t>
      </w:r>
    </w:p>
    <w:p w14:paraId="4C7A24D8" w14:textId="77777777" w:rsidR="00DD6391" w:rsidRDefault="00DD6391">
      <w:pPr>
        <w:spacing w:line="240" w:lineRule="auto"/>
        <w:rPr>
          <w:rFonts w:ascii="Times New Roman" w:eastAsia="Times New Roman" w:hAnsi="Times New Roman" w:cs="Times New Roman"/>
          <w:lang w:eastAsia="en-US"/>
        </w:rPr>
      </w:pPr>
    </w:p>
    <w:p w14:paraId="04E45501"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Ha az </w:t>
      </w:r>
      <w:r>
        <w:rPr>
          <w:rFonts w:ascii="Times New Roman" w:hAnsi="Times New Roman" w:cs="Times New Roman"/>
          <w:color w:val="000000"/>
        </w:rPr>
        <w:t xml:space="preserve">Ansifora </w:t>
      </w:r>
      <w:r>
        <w:rPr>
          <w:rFonts w:ascii="Times New Roman" w:eastAsia="Times New Roman" w:hAnsi="Times New Roman" w:cs="Times New Roman"/>
          <w:lang w:eastAsia="en-US"/>
        </w:rPr>
        <w:t>egy dózisa kimaradt, azt azonnal pótolni kell, amint a beteg azt észreveszi. Ugyanazon a napon nem szabad kétszeres dózist bevenni.</w:t>
      </w:r>
    </w:p>
    <w:p w14:paraId="469DB55F" w14:textId="77777777" w:rsidR="00DD6391" w:rsidRDefault="00DD6391">
      <w:pPr>
        <w:spacing w:line="240" w:lineRule="auto"/>
        <w:rPr>
          <w:rFonts w:ascii="Times New Roman" w:eastAsia="Times New Roman" w:hAnsi="Times New Roman" w:cs="Times New Roman"/>
          <w:i/>
          <w:lang w:eastAsia="en-US"/>
        </w:rPr>
      </w:pPr>
    </w:p>
    <w:p w14:paraId="2B43C538" w14:textId="77777777" w:rsidR="00DD6391" w:rsidRDefault="00CF2099">
      <w:pPr>
        <w:spacing w:line="240" w:lineRule="auto"/>
        <w:rPr>
          <w:rFonts w:ascii="Times New Roman" w:eastAsia="Times New Roman" w:hAnsi="Times New Roman" w:cs="Times New Roman"/>
          <w:u w:val="single"/>
          <w:lang w:eastAsia="en-US"/>
        </w:rPr>
      </w:pPr>
      <w:r>
        <w:rPr>
          <w:rFonts w:ascii="Times New Roman" w:eastAsia="Times New Roman" w:hAnsi="Times New Roman" w:cs="Times New Roman"/>
          <w:u w:val="single"/>
          <w:lang w:eastAsia="en-US"/>
        </w:rPr>
        <w:t>Különleges betegcsoportok</w:t>
      </w:r>
    </w:p>
    <w:p w14:paraId="61F1C8AA" w14:textId="77777777" w:rsidR="00DD6391" w:rsidRDefault="00DD6391">
      <w:pPr>
        <w:spacing w:line="240" w:lineRule="auto"/>
        <w:rPr>
          <w:rFonts w:ascii="Times New Roman" w:eastAsia="Times New Roman" w:hAnsi="Times New Roman" w:cs="Times New Roman"/>
          <w:lang w:eastAsia="en-US"/>
        </w:rPr>
      </w:pPr>
    </w:p>
    <w:p w14:paraId="13ABFB00" w14:textId="77777777" w:rsidR="00DD6391" w:rsidRDefault="00CF2099">
      <w:pPr>
        <w:spacing w:line="240" w:lineRule="auto"/>
        <w:rPr>
          <w:rFonts w:ascii="Times New Roman" w:eastAsia="Times New Roman" w:hAnsi="Times New Roman" w:cs="Times New Roman"/>
          <w:i/>
          <w:lang w:eastAsia="en-US"/>
        </w:rPr>
      </w:pPr>
      <w:r>
        <w:rPr>
          <w:rFonts w:ascii="Times New Roman" w:eastAsia="Times New Roman" w:hAnsi="Times New Roman" w:cs="Times New Roman"/>
          <w:i/>
          <w:lang w:eastAsia="en-US"/>
        </w:rPr>
        <w:t>Vesekárosodás</w:t>
      </w:r>
    </w:p>
    <w:p w14:paraId="47C8EF4A"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Szitagliptin és egyéb antidiabetikum együttes alkalmazásának fontolóra vételekor ellenőrizni kell a szitagliptin vesekárosodásban szenvedő betegeknél történő alkalmazásának feltételeit.</w:t>
      </w:r>
    </w:p>
    <w:p w14:paraId="0290BDE2" w14:textId="77777777" w:rsidR="00DD6391" w:rsidRDefault="00DD6391">
      <w:pPr>
        <w:spacing w:line="240" w:lineRule="auto"/>
        <w:rPr>
          <w:rFonts w:ascii="Times New Roman" w:eastAsia="Times New Roman" w:hAnsi="Times New Roman" w:cs="Times New Roman"/>
          <w:lang w:eastAsia="en-US"/>
        </w:rPr>
      </w:pPr>
    </w:p>
    <w:p w14:paraId="05D12BF8"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Az enyhe vesekárosodásban szenvedő betegek esetében (glomerulusfiltrációs ráta [GFR] ≥ 60 – &lt; 90 ml/perc) dózismódosításra nincs szükség.</w:t>
      </w:r>
    </w:p>
    <w:p w14:paraId="44908AA9" w14:textId="77777777" w:rsidR="00DD6391" w:rsidRDefault="00DD6391">
      <w:pPr>
        <w:spacing w:line="240" w:lineRule="auto"/>
        <w:rPr>
          <w:rFonts w:ascii="Times New Roman" w:eastAsia="Times New Roman" w:hAnsi="Times New Roman" w:cs="Times New Roman"/>
          <w:lang w:eastAsia="en-US"/>
        </w:rPr>
      </w:pPr>
    </w:p>
    <w:p w14:paraId="78243D63" w14:textId="77777777" w:rsidR="00DD6391" w:rsidRDefault="00CF2099">
      <w:pPr>
        <w:spacing w:line="240" w:lineRule="auto"/>
        <w:rPr>
          <w:rFonts w:ascii="Times New Roman" w:hAnsi="Times New Roman" w:cs="Times New Roman"/>
        </w:rPr>
      </w:pPr>
      <w:r>
        <w:rPr>
          <w:rFonts w:ascii="Times New Roman" w:eastAsia="Times New Roman" w:hAnsi="Times New Roman" w:cs="Times New Roman"/>
          <w:lang w:eastAsia="en-US"/>
        </w:rPr>
        <w:t>Közepesen súlyos vesekárosodásban szenvedő betegek esetében (GFR ≥ 45 – &lt; 60 ml/perc) dózismódosításra nincs szükség</w:t>
      </w:r>
      <w:r>
        <w:rPr>
          <w:rFonts w:ascii="Times New Roman" w:hAnsi="Times New Roman" w:cs="Times New Roman"/>
        </w:rPr>
        <w:t>.</w:t>
      </w:r>
    </w:p>
    <w:p w14:paraId="2154053D" w14:textId="77777777" w:rsidR="00DD6391" w:rsidRDefault="00DD6391">
      <w:pPr>
        <w:spacing w:line="240" w:lineRule="auto"/>
        <w:rPr>
          <w:rFonts w:ascii="Times New Roman" w:hAnsi="Times New Roman" w:cs="Times New Roman"/>
        </w:rPr>
      </w:pPr>
    </w:p>
    <w:p w14:paraId="2F59BBD2"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Közepesen súlyos vesekárosodásban szenvedő betegek esetében (GFR ≥ 30 – &lt; 45 ml/perc) az </w:t>
      </w:r>
      <w:r>
        <w:rPr>
          <w:rFonts w:ascii="Times New Roman" w:hAnsi="Times New Roman" w:cs="Times New Roman"/>
          <w:color w:val="000000"/>
        </w:rPr>
        <w:t xml:space="preserve">Ansifora </w:t>
      </w:r>
      <w:r>
        <w:rPr>
          <w:rFonts w:ascii="Times New Roman" w:eastAsia="Times New Roman" w:hAnsi="Times New Roman" w:cs="Times New Roman"/>
          <w:lang w:eastAsia="en-US"/>
        </w:rPr>
        <w:t>dózisa naponta egyszer 50 mg.</w:t>
      </w:r>
    </w:p>
    <w:p w14:paraId="208725C8" w14:textId="77777777" w:rsidR="00DD6391" w:rsidRDefault="00DD6391">
      <w:pPr>
        <w:spacing w:line="240" w:lineRule="auto"/>
        <w:rPr>
          <w:rFonts w:ascii="Times New Roman" w:eastAsia="Times New Roman" w:hAnsi="Times New Roman" w:cs="Times New Roman"/>
          <w:lang w:eastAsia="en-US"/>
        </w:rPr>
      </w:pPr>
    </w:p>
    <w:p w14:paraId="7BC12FDC" w14:textId="77777777" w:rsidR="00DD6391" w:rsidRDefault="00CF2099">
      <w:pPr>
        <w:spacing w:line="240" w:lineRule="auto"/>
        <w:rPr>
          <w:rFonts w:ascii="Times New Roman" w:hAnsi="Times New Roman" w:cs="Times New Roman"/>
        </w:rPr>
      </w:pPr>
      <w:r>
        <w:rPr>
          <w:rFonts w:ascii="Times New Roman" w:eastAsia="Times New Roman" w:hAnsi="Times New Roman" w:cs="Times New Roman"/>
          <w:lang w:eastAsia="en-US"/>
        </w:rPr>
        <w:t xml:space="preserve">Súlyos vesekárosodásban (GFR ≥ 15 – &lt; 30 ml/perc), </w:t>
      </w:r>
      <w:r>
        <w:rPr>
          <w:rFonts w:ascii="Times New Roman" w:hAnsi="Times New Roman" w:cs="Times New Roman"/>
        </w:rPr>
        <w:t>vagy végstádiumú vesebetegségben („end-stage renal disease” – ESRD) szenvedő betegeknél</w:t>
      </w:r>
      <w:r>
        <w:rPr>
          <w:rFonts w:ascii="Times New Roman" w:hAnsi="Times New Roman" w:cs="Times New Roman"/>
          <w:sz w:val="17"/>
          <w:szCs w:val="17"/>
          <w:lang w:eastAsia="hu-HU"/>
        </w:rPr>
        <w:t xml:space="preserve"> </w:t>
      </w:r>
      <w:r>
        <w:rPr>
          <w:rFonts w:ascii="Times New Roman" w:hAnsi="Times New Roman" w:cs="Times New Roman"/>
        </w:rPr>
        <w:t>(GFR &lt; 15 ml/perc), beleértve a hemodialízist vagy peritoneális dialízist igénylő betegeket, a</w:t>
      </w:r>
      <w:r>
        <w:rPr>
          <w:rFonts w:ascii="Times New Roman" w:eastAsia="Times New Roman" w:hAnsi="Times New Roman" w:cs="Times New Roman"/>
          <w:lang w:eastAsia="en-US"/>
        </w:rPr>
        <w:t xml:space="preserve"> szitagliptin </w:t>
      </w:r>
      <w:r>
        <w:rPr>
          <w:rFonts w:ascii="Times New Roman" w:hAnsi="Times New Roman" w:cs="Times New Roman"/>
        </w:rPr>
        <w:t>dózisa naponta egyszer 25 mg. Egyéb, 25 mg</w:t>
      </w:r>
      <w:r>
        <w:rPr>
          <w:rFonts w:ascii="Times New Roman" w:hAnsi="Times New Roman" w:cs="Times New Roman"/>
        </w:rPr>
        <w:noBreakHyphen/>
        <w:t>os hatáserősségű készítmény adagolása javasolt. A kezelés a dialízis időpontjától függetlenül alkalmazható.</w:t>
      </w:r>
    </w:p>
    <w:p w14:paraId="3D5612B1" w14:textId="77777777" w:rsidR="00DD6391" w:rsidRDefault="00DD6391">
      <w:pPr>
        <w:spacing w:line="240" w:lineRule="auto"/>
        <w:rPr>
          <w:rFonts w:ascii="Times New Roman" w:eastAsia="Times New Roman" w:hAnsi="Times New Roman" w:cs="Times New Roman"/>
          <w:lang w:eastAsia="en-US"/>
        </w:rPr>
      </w:pPr>
    </w:p>
    <w:p w14:paraId="2A17EF3D"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Mivel a vesefunkció alapján dózismódosításra van szükség, a vesefunkció vizsgálata javasolt az </w:t>
      </w:r>
      <w:r>
        <w:rPr>
          <w:rFonts w:ascii="Times New Roman" w:hAnsi="Times New Roman" w:cs="Times New Roman"/>
          <w:color w:val="000000"/>
        </w:rPr>
        <w:t xml:space="preserve">Ansifora </w:t>
      </w:r>
      <w:r>
        <w:rPr>
          <w:rFonts w:ascii="Times New Roman" w:eastAsia="Times New Roman" w:hAnsi="Times New Roman" w:cs="Times New Roman"/>
          <w:lang w:eastAsia="en-US"/>
        </w:rPr>
        <w:t>alkalmazásának megkezdése előtt és azt követően rendszeresen.</w:t>
      </w:r>
    </w:p>
    <w:p w14:paraId="7341AFF4" w14:textId="77777777" w:rsidR="00DD6391" w:rsidRDefault="00DD6391">
      <w:pPr>
        <w:spacing w:line="240" w:lineRule="auto"/>
        <w:rPr>
          <w:rFonts w:ascii="Times New Roman" w:eastAsia="Times New Roman" w:hAnsi="Times New Roman" w:cs="Times New Roman"/>
          <w:lang w:eastAsia="en-US"/>
        </w:rPr>
      </w:pPr>
    </w:p>
    <w:p w14:paraId="3A0817B5" w14:textId="77777777" w:rsidR="00DD6391" w:rsidRDefault="00CF2099">
      <w:pPr>
        <w:spacing w:line="240" w:lineRule="auto"/>
        <w:rPr>
          <w:rFonts w:ascii="Times New Roman" w:eastAsia="Times New Roman" w:hAnsi="Times New Roman" w:cs="Times New Roman"/>
          <w:i/>
          <w:lang w:eastAsia="en-US"/>
        </w:rPr>
      </w:pPr>
      <w:r>
        <w:rPr>
          <w:rFonts w:ascii="Times New Roman" w:eastAsia="Times New Roman" w:hAnsi="Times New Roman" w:cs="Times New Roman"/>
          <w:i/>
          <w:lang w:eastAsia="en-US"/>
        </w:rPr>
        <w:t>Májkárosodás</w:t>
      </w:r>
    </w:p>
    <w:p w14:paraId="63823C2A" w14:textId="77777777" w:rsidR="00DD6391" w:rsidRDefault="00CF2099">
      <w:pPr>
        <w:spacing w:line="240" w:lineRule="auto"/>
        <w:rPr>
          <w:rFonts w:ascii="Times New Roman" w:eastAsia="Times New Roman" w:hAnsi="Times New Roman" w:cs="Times New Roman"/>
          <w:lang w:eastAsia="en-US"/>
        </w:rPr>
      </w:pPr>
      <w:bookmarkStart w:id="0" w:name="_Hlk49879229"/>
      <w:r>
        <w:rPr>
          <w:rFonts w:ascii="Times New Roman" w:eastAsia="Times New Roman" w:hAnsi="Times New Roman" w:cs="Times New Roman"/>
          <w:lang w:eastAsia="en-US"/>
        </w:rPr>
        <w:t>Az enyhe vagy közepesen súlyos májkárosodásban szenvedő betegek esetében a dózis módosítására nincs szükség. A szitagliptint súlyos májkárosodásban szenvedő betegek körében nem vizsgálták, ezért elővigyázatossággal kell alkalmazni (lásd 5.2 pont).</w:t>
      </w:r>
    </w:p>
    <w:p w14:paraId="164B070E" w14:textId="77777777" w:rsidR="00DD6391" w:rsidRDefault="00DD6391">
      <w:pPr>
        <w:spacing w:line="240" w:lineRule="auto"/>
        <w:rPr>
          <w:rFonts w:ascii="Times New Roman" w:eastAsia="Times New Roman" w:hAnsi="Times New Roman" w:cs="Times New Roman"/>
          <w:lang w:eastAsia="en-US"/>
        </w:rPr>
      </w:pPr>
    </w:p>
    <w:p w14:paraId="575A57DC"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Mivel azonban a szitagliptin elsősorban a vesén keresztül ürül, a súlyos májkárosodás várhatóan nem befolyásolja a szitagliptin farmakokinetikáját.</w:t>
      </w:r>
    </w:p>
    <w:bookmarkEnd w:id="0"/>
    <w:p w14:paraId="3FE98078" w14:textId="77777777" w:rsidR="00DD6391" w:rsidRDefault="00DD6391">
      <w:pPr>
        <w:spacing w:line="240" w:lineRule="auto"/>
        <w:rPr>
          <w:rFonts w:ascii="Times New Roman" w:eastAsia="Times New Roman" w:hAnsi="Times New Roman" w:cs="Times New Roman"/>
          <w:lang w:eastAsia="en-US"/>
        </w:rPr>
      </w:pPr>
    </w:p>
    <w:p w14:paraId="7BF2447F" w14:textId="77777777" w:rsidR="00DD6391" w:rsidRDefault="00CF2099">
      <w:pPr>
        <w:spacing w:line="240" w:lineRule="auto"/>
        <w:rPr>
          <w:rFonts w:ascii="Times New Roman" w:eastAsia="Times New Roman" w:hAnsi="Times New Roman" w:cs="Times New Roman"/>
          <w:i/>
          <w:lang w:eastAsia="en-US"/>
        </w:rPr>
      </w:pPr>
      <w:r>
        <w:rPr>
          <w:rFonts w:ascii="Times New Roman" w:eastAsia="Times New Roman" w:hAnsi="Times New Roman" w:cs="Times New Roman"/>
          <w:i/>
          <w:lang w:eastAsia="en-US"/>
        </w:rPr>
        <w:t>Idősek</w:t>
      </w:r>
    </w:p>
    <w:p w14:paraId="183AB23A"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A dózis életkor alapján történő módosítására nincs szükség.</w:t>
      </w:r>
    </w:p>
    <w:p w14:paraId="1ED418BD" w14:textId="77777777" w:rsidR="00DD6391" w:rsidRDefault="00DD6391">
      <w:pPr>
        <w:spacing w:line="240" w:lineRule="auto"/>
        <w:rPr>
          <w:rFonts w:ascii="Times New Roman" w:eastAsia="Times New Roman" w:hAnsi="Times New Roman" w:cs="Times New Roman"/>
          <w:i/>
          <w:lang w:eastAsia="en-US"/>
        </w:rPr>
      </w:pPr>
    </w:p>
    <w:p w14:paraId="49C5D0F1" w14:textId="77777777" w:rsidR="00DD6391" w:rsidRDefault="00CF2099">
      <w:pPr>
        <w:spacing w:line="240" w:lineRule="auto"/>
        <w:rPr>
          <w:rFonts w:ascii="Times New Roman" w:eastAsia="Times New Roman" w:hAnsi="Times New Roman" w:cs="Times New Roman"/>
          <w:i/>
          <w:lang w:eastAsia="en-US"/>
        </w:rPr>
      </w:pPr>
      <w:r>
        <w:rPr>
          <w:rFonts w:ascii="Times New Roman" w:eastAsia="Times New Roman" w:hAnsi="Times New Roman" w:cs="Times New Roman"/>
          <w:i/>
          <w:lang w:eastAsia="en-US"/>
        </w:rPr>
        <w:t>Gyermekek és serdülők</w:t>
      </w:r>
    </w:p>
    <w:p w14:paraId="44ED95ED" w14:textId="77777777" w:rsidR="00DD6391" w:rsidRDefault="00CF2099">
      <w:pPr>
        <w:autoSpaceDE w:val="0"/>
        <w:autoSpaceDN w:val="0"/>
        <w:spacing w:line="240" w:lineRule="auto"/>
        <w:rPr>
          <w:rFonts w:ascii="Times New Roman" w:hAnsi="Times New Roman" w:cs="Times New Roman"/>
        </w:rPr>
      </w:pPr>
      <w:r>
        <w:rPr>
          <w:rFonts w:ascii="Times New Roman" w:hAnsi="Times New Roman" w:cs="Times New Roman"/>
        </w:rPr>
        <w:t xml:space="preserve">A szitagliptin a nem kielégítő hatásosságra való tekintettel </w:t>
      </w:r>
      <w:r>
        <w:rPr>
          <w:rFonts w:ascii="Times New Roman" w:eastAsia="Times New Roman" w:hAnsi="Times New Roman" w:cs="Times New Roman"/>
          <w:lang w:eastAsia="en-US"/>
        </w:rPr>
        <w:t xml:space="preserve">10 és betöltött 18. életév közötti gyermekeknél és serdülőknél nem alkalmazható. </w:t>
      </w:r>
      <w:r>
        <w:rPr>
          <w:rFonts w:ascii="Times New Roman" w:hAnsi="Times New Roman" w:cs="Times New Roman"/>
        </w:rPr>
        <w:t>A jelenleg</w:t>
      </w:r>
      <w:r>
        <w:rPr>
          <w:rFonts w:ascii="Times New Roman" w:eastAsia="Times New Roman" w:hAnsi="Times New Roman" w:cs="Times New Roman"/>
          <w:lang w:eastAsia="en-US"/>
        </w:rPr>
        <w:t xml:space="preserve"> rendelkezésre álló adatok leírása </w:t>
      </w:r>
      <w:r>
        <w:rPr>
          <w:rFonts w:ascii="Times New Roman" w:hAnsi="Times New Roman" w:cs="Times New Roman"/>
        </w:rPr>
        <w:t>a 4.8, 5.1 és 5.2 pontokban található</w:t>
      </w:r>
      <w:r>
        <w:rPr>
          <w:rFonts w:ascii="Times New Roman" w:eastAsia="Times New Roman" w:hAnsi="Times New Roman" w:cs="Times New Roman"/>
          <w:lang w:eastAsia="en-US"/>
        </w:rPr>
        <w:t>.</w:t>
      </w:r>
      <w:r>
        <w:rPr>
          <w:rFonts w:ascii="Times New Roman" w:hAnsi="Times New Roman" w:cs="Times New Roman"/>
        </w:rPr>
        <w:t xml:space="preserve"> A szitagliptint nem vizsgálták 10 évesnél fiatalabb gyermekeknél.</w:t>
      </w:r>
    </w:p>
    <w:p w14:paraId="699D7FE9" w14:textId="77777777" w:rsidR="00DD6391" w:rsidRDefault="00DD6391">
      <w:pPr>
        <w:autoSpaceDE w:val="0"/>
        <w:autoSpaceDN w:val="0"/>
        <w:spacing w:line="240" w:lineRule="auto"/>
        <w:rPr>
          <w:rFonts w:ascii="Times New Roman" w:eastAsia="Times New Roman" w:hAnsi="Times New Roman" w:cs="Times New Roman"/>
          <w:lang w:eastAsia="en-US"/>
        </w:rPr>
      </w:pPr>
    </w:p>
    <w:p w14:paraId="5A40ED2D" w14:textId="77777777" w:rsidR="00DD6391" w:rsidRDefault="00CF2099">
      <w:pPr>
        <w:autoSpaceDE w:val="0"/>
        <w:autoSpaceDN w:val="0"/>
        <w:spacing w:line="240" w:lineRule="auto"/>
        <w:rPr>
          <w:rFonts w:ascii="Times New Roman" w:eastAsia="Times New Roman" w:hAnsi="Times New Roman" w:cs="Times New Roman"/>
          <w:u w:val="single"/>
          <w:lang w:eastAsia="en-US"/>
        </w:rPr>
      </w:pPr>
      <w:r>
        <w:rPr>
          <w:rFonts w:ascii="Times New Roman" w:eastAsia="Times New Roman" w:hAnsi="Times New Roman" w:cs="Times New Roman"/>
          <w:u w:val="single"/>
          <w:lang w:eastAsia="en-US"/>
        </w:rPr>
        <w:t>Az alkalmazás módja</w:t>
      </w:r>
    </w:p>
    <w:p w14:paraId="07D7C7E5" w14:textId="77777777" w:rsidR="00DD6391" w:rsidRDefault="00DD6391">
      <w:pPr>
        <w:autoSpaceDE w:val="0"/>
        <w:autoSpaceDN w:val="0"/>
        <w:spacing w:line="240" w:lineRule="auto"/>
        <w:rPr>
          <w:rFonts w:ascii="Times New Roman" w:eastAsia="Times New Roman" w:hAnsi="Times New Roman" w:cs="Times New Roman"/>
          <w:lang w:eastAsia="en-US"/>
        </w:rPr>
      </w:pPr>
    </w:p>
    <w:p w14:paraId="7C1C48EC" w14:textId="77777777" w:rsidR="00DD6391" w:rsidRDefault="00CF2099">
      <w:pPr>
        <w:autoSpaceDE w:val="0"/>
        <w:autoSpaceDN w:val="0"/>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hAnsi="Times New Roman" w:cs="Times New Roman"/>
          <w:color w:val="000000"/>
        </w:rPr>
        <w:t xml:space="preserve">Ansifora </w:t>
      </w:r>
      <w:r>
        <w:rPr>
          <w:rFonts w:ascii="Times New Roman" w:eastAsia="Times New Roman" w:hAnsi="Times New Roman" w:cs="Times New Roman"/>
          <w:lang w:eastAsia="en-US"/>
        </w:rPr>
        <w:t>étkezés közben vagy attól függetlenül is bevehető.</w:t>
      </w:r>
    </w:p>
    <w:p w14:paraId="6426706E" w14:textId="77777777" w:rsidR="00DD6391" w:rsidRDefault="00DD6391">
      <w:pPr>
        <w:spacing w:line="240" w:lineRule="auto"/>
        <w:rPr>
          <w:rFonts w:ascii="Times New Roman" w:hAnsi="Times New Roman" w:cs="Times New Roman"/>
        </w:rPr>
      </w:pPr>
    </w:p>
    <w:p w14:paraId="31B41EFA"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4.3</w:t>
      </w:r>
      <w:r>
        <w:rPr>
          <w:rFonts w:ascii="Times New Roman" w:eastAsia="Times New Roman" w:hAnsi="Times New Roman" w:cs="Times New Roman"/>
          <w:b/>
          <w:bCs/>
          <w:lang w:eastAsia="en-US"/>
        </w:rPr>
        <w:tab/>
        <w:t>Ellenjavallatok</w:t>
      </w:r>
    </w:p>
    <w:p w14:paraId="66152FB0" w14:textId="77777777" w:rsidR="00DD6391" w:rsidRDefault="00DD6391">
      <w:pPr>
        <w:tabs>
          <w:tab w:val="clear" w:pos="567"/>
        </w:tabs>
        <w:spacing w:line="240" w:lineRule="auto"/>
        <w:ind w:left="567" w:hanging="567"/>
        <w:rPr>
          <w:rFonts w:ascii="Times New Roman" w:eastAsia="Times New Roman" w:hAnsi="Times New Roman" w:cs="Times New Roman"/>
          <w:lang w:eastAsia="en-US"/>
        </w:rPr>
      </w:pPr>
    </w:p>
    <w:p w14:paraId="55D36F18"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A készítmény hatóanyagával vagy a 6.1 pontban felsorolt bármely segédanyagával szembeni túlérzékenység (lásd 4.4 és 4.8 pont).</w:t>
      </w:r>
    </w:p>
    <w:p w14:paraId="2B59C4BC" w14:textId="77777777" w:rsidR="00DD6391" w:rsidRDefault="00DD6391">
      <w:pPr>
        <w:spacing w:line="240" w:lineRule="auto"/>
        <w:rPr>
          <w:rFonts w:ascii="Times New Roman" w:eastAsia="Times New Roman" w:hAnsi="Times New Roman" w:cs="Times New Roman"/>
          <w:lang w:eastAsia="en-US"/>
        </w:rPr>
      </w:pPr>
    </w:p>
    <w:p w14:paraId="2DDD320C"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4.4</w:t>
      </w:r>
      <w:r>
        <w:rPr>
          <w:rFonts w:ascii="Times New Roman" w:eastAsia="Times New Roman" w:hAnsi="Times New Roman" w:cs="Times New Roman"/>
          <w:b/>
          <w:bCs/>
          <w:lang w:eastAsia="en-US"/>
        </w:rPr>
        <w:tab/>
        <w:t>Különleges figyelmeztetések és az alkalmazással kapcsolatos óvintézkedések</w:t>
      </w:r>
    </w:p>
    <w:p w14:paraId="19D5B05B" w14:textId="77777777" w:rsidR="00DD6391" w:rsidRDefault="00DD6391">
      <w:pPr>
        <w:tabs>
          <w:tab w:val="clear" w:pos="567"/>
        </w:tabs>
        <w:spacing w:line="240" w:lineRule="auto"/>
        <w:ind w:left="567" w:hanging="567"/>
        <w:rPr>
          <w:rFonts w:ascii="Times New Roman" w:hAnsi="Times New Roman" w:cs="Times New Roman"/>
        </w:rPr>
      </w:pPr>
    </w:p>
    <w:p w14:paraId="35DB5D2A"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Általános tudnivalók</w:t>
      </w:r>
    </w:p>
    <w:p w14:paraId="3B91E063" w14:textId="77777777" w:rsidR="00DD6391" w:rsidRDefault="00CF2099">
      <w:pPr>
        <w:spacing w:line="240" w:lineRule="auto"/>
        <w:rPr>
          <w:rFonts w:ascii="Times New Roman" w:hAnsi="Times New Roman" w:cs="Times New Roman"/>
        </w:rPr>
      </w:pPr>
      <w:r>
        <w:rPr>
          <w:rFonts w:ascii="Times New Roman" w:hAnsi="Times New Roman" w:cs="Times New Roman"/>
        </w:rPr>
        <w:t xml:space="preserve">Az </w:t>
      </w:r>
      <w:r>
        <w:rPr>
          <w:rFonts w:ascii="Times New Roman" w:hAnsi="Times New Roman" w:cs="Times New Roman"/>
          <w:color w:val="000000"/>
        </w:rPr>
        <w:t xml:space="preserve">Ansifora </w:t>
      </w:r>
      <w:r>
        <w:rPr>
          <w:rFonts w:ascii="Times New Roman" w:hAnsi="Times New Roman" w:cs="Times New Roman"/>
        </w:rPr>
        <w:t>nem alkalmazható 1</w:t>
      </w:r>
      <w:r>
        <w:rPr>
          <w:rFonts w:ascii="Times New Roman" w:hAnsi="Times New Roman" w:cs="Times New Roman"/>
        </w:rPr>
        <w:noBreakHyphen/>
        <w:t>es típusú diabetesben szenvedő betegek esetében vagy diabeteses ketoacidosis kezelésére.</w:t>
      </w:r>
    </w:p>
    <w:p w14:paraId="6659FE6B" w14:textId="77777777" w:rsidR="00DD6391" w:rsidRDefault="00DD6391">
      <w:pPr>
        <w:spacing w:line="240" w:lineRule="auto"/>
        <w:rPr>
          <w:rFonts w:ascii="Times New Roman" w:hAnsi="Times New Roman" w:cs="Times New Roman"/>
        </w:rPr>
      </w:pPr>
    </w:p>
    <w:p w14:paraId="25824183" w14:textId="77777777" w:rsidR="00DD6391" w:rsidRDefault="00CF2099">
      <w:pPr>
        <w:tabs>
          <w:tab w:val="clear" w:pos="567"/>
        </w:tabs>
        <w:spacing w:line="240" w:lineRule="auto"/>
        <w:rPr>
          <w:rFonts w:ascii="Times New Roman" w:hAnsi="Times New Roman" w:cs="Times New Roman"/>
          <w:u w:val="single"/>
        </w:rPr>
      </w:pPr>
      <w:r>
        <w:rPr>
          <w:rFonts w:ascii="Times New Roman" w:hAnsi="Times New Roman" w:cs="Times New Roman"/>
          <w:u w:val="single"/>
        </w:rPr>
        <w:t>Akut pancreatitis</w:t>
      </w:r>
    </w:p>
    <w:p w14:paraId="111814FC" w14:textId="77777777" w:rsidR="00DD6391" w:rsidRDefault="00CF2099">
      <w:pPr>
        <w:spacing w:line="240" w:lineRule="auto"/>
        <w:rPr>
          <w:rFonts w:ascii="Times New Roman" w:hAnsi="Times New Roman" w:cs="Times New Roman"/>
        </w:rPr>
      </w:pPr>
      <w:r>
        <w:rPr>
          <w:rFonts w:ascii="Times New Roman" w:hAnsi="Times New Roman" w:cs="Times New Roman"/>
        </w:rPr>
        <w:t>A DPP</w:t>
      </w:r>
      <w:r>
        <w:rPr>
          <w:rFonts w:ascii="Times New Roman" w:hAnsi="Times New Roman" w:cs="Times New Roman"/>
        </w:rPr>
        <w:noBreakHyphen/>
        <w:t xml:space="preserve">4-inhibitorok alkalmazása az akut pancreatitis kialakulásának kockázatával jár. A betegeket tájékoztatni kell az akut pancreatitis jellemző tünetéről, a tartós, erős hasi fájdalomról. A szitagliptin szedésének leállítását követően a pancreatitis gyógyulását figyelték meg (szupportív kezeléssel vagy anélkül), de nagyon ritkán nekrotizáló vagy haemorrhagiás pancreatitist és/vagy halálesetet is jelentettek. Ha pancreatitis gyanúja áll fenn, az </w:t>
      </w:r>
      <w:r>
        <w:rPr>
          <w:rFonts w:ascii="Times New Roman" w:hAnsi="Times New Roman" w:cs="Times New Roman"/>
          <w:color w:val="000000"/>
        </w:rPr>
        <w:t xml:space="preserve">Ansifora </w:t>
      </w:r>
      <w:r>
        <w:rPr>
          <w:rFonts w:ascii="Times New Roman" w:hAnsi="Times New Roman" w:cs="Times New Roman"/>
        </w:rPr>
        <w:t xml:space="preserve">és más potenciálisan gyanúsítható gyógyszerek szedését abba kell hagyni. Amennyiben akut pancreatitis igazolódik, az </w:t>
      </w:r>
      <w:r>
        <w:rPr>
          <w:rFonts w:ascii="Times New Roman" w:hAnsi="Times New Roman" w:cs="Times New Roman"/>
          <w:color w:val="000000"/>
        </w:rPr>
        <w:t xml:space="preserve">Ansifora </w:t>
      </w:r>
      <w:r>
        <w:rPr>
          <w:rFonts w:ascii="Times New Roman" w:hAnsi="Times New Roman" w:cs="Times New Roman"/>
        </w:rPr>
        <w:t>szedését nem szabad újra elkezdeni. Körültekintően kell eljárni olyan betegeknél, akiknek az anamnézisében pancreatitis szerepel.</w:t>
      </w:r>
    </w:p>
    <w:p w14:paraId="63E9CB94" w14:textId="77777777" w:rsidR="00DD6391" w:rsidRDefault="00DD6391">
      <w:pPr>
        <w:spacing w:line="240" w:lineRule="auto"/>
        <w:rPr>
          <w:rFonts w:ascii="Times New Roman" w:hAnsi="Times New Roman" w:cs="Times New Roman"/>
        </w:rPr>
      </w:pPr>
    </w:p>
    <w:p w14:paraId="1B33EA46" w14:textId="77777777" w:rsidR="00DD6391" w:rsidRDefault="00CF2099">
      <w:pPr>
        <w:spacing w:line="240" w:lineRule="auto"/>
        <w:rPr>
          <w:rFonts w:ascii="Times New Roman" w:hAnsi="Times New Roman" w:cs="Times New Roman"/>
        </w:rPr>
      </w:pPr>
      <w:r>
        <w:rPr>
          <w:rFonts w:ascii="Times New Roman" w:hAnsi="Times New Roman" w:cs="Times New Roman"/>
          <w:u w:val="single"/>
        </w:rPr>
        <w:t>Hypoglykaemia a gyógyszer egyéb antihyperglykaemiás gyógyszerekkel kombinációban való alkalmazása esetén</w:t>
      </w:r>
    </w:p>
    <w:p w14:paraId="31AF3C6C" w14:textId="77777777" w:rsidR="00DD6391" w:rsidRDefault="00CF2099">
      <w:pPr>
        <w:spacing w:line="240" w:lineRule="auto"/>
        <w:rPr>
          <w:rFonts w:ascii="Times New Roman" w:hAnsi="Times New Roman" w:cs="Times New Roman"/>
        </w:rPr>
      </w:pPr>
      <w:r>
        <w:rPr>
          <w:rFonts w:ascii="Times New Roman" w:hAnsi="Times New Roman" w:cs="Times New Roman"/>
        </w:rPr>
        <w:t>A szitagliptinnel folytatott klinikai vizsgálatok során a szitagliptint monoterápiában, illetve hypoglykaemiát köztudottan nem okozó gyógyszerekkel kombinációban (például metforminnal és/vagy egy PPARγ-agonistával) alkalmazva a szitagliptin alkalmazása mellett jelentett, illetve a placebót szedő betegek körében előforduló hypoglykaemiás esetek aránya hasonló volt. Szitagliptin inzulinnal vagy egy szulfonilureával kombinációban történő alkalmazásakor hypoglykaemiát figyeltek meg. Ezért a hypoglykaemia kockázatának csökkentése érdekében meg kell fontolni a szulfonilurea vagy az inzulin kisebb dózisának alkalmazását (lásd 4.2 pont).</w:t>
      </w:r>
    </w:p>
    <w:p w14:paraId="2AADCF88" w14:textId="77777777" w:rsidR="00DD6391" w:rsidRDefault="00DD6391">
      <w:pPr>
        <w:spacing w:line="240" w:lineRule="auto"/>
        <w:rPr>
          <w:rFonts w:ascii="Times New Roman" w:hAnsi="Times New Roman" w:cs="Times New Roman"/>
          <w:u w:val="single"/>
        </w:rPr>
      </w:pPr>
    </w:p>
    <w:p w14:paraId="68FF5524"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Vesekárosodás</w:t>
      </w:r>
    </w:p>
    <w:p w14:paraId="267243E2"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a veséken keresztül választódik ki. A normál vesefunkciójú betegeknél megfigyeltekhez hasonló szitagliptin-plazmakoncentrációk eléréséhez kisebb dózisok javasoltak a &lt; 45 ml/perc GFR-értékkel rendelkező, valamint a hemodialízist vagy peritoneális dialízist igénylő, végstádiumú vesebetegségben (ESRD) szenvedő betegeknél (lásd 4.2 és 5.2 pontok).</w:t>
      </w:r>
    </w:p>
    <w:p w14:paraId="08A30DF8" w14:textId="77777777" w:rsidR="00DD6391" w:rsidRDefault="00DD6391">
      <w:pPr>
        <w:spacing w:line="240" w:lineRule="auto"/>
        <w:rPr>
          <w:rFonts w:ascii="Times New Roman" w:hAnsi="Times New Roman" w:cs="Times New Roman"/>
        </w:rPr>
      </w:pPr>
    </w:p>
    <w:p w14:paraId="725BA6E7" w14:textId="77777777" w:rsidR="00DD6391" w:rsidRDefault="00CF2099">
      <w:pPr>
        <w:spacing w:line="240" w:lineRule="auto"/>
        <w:rPr>
          <w:rFonts w:ascii="Times New Roman" w:hAnsi="Times New Roman" w:cs="Times New Roman"/>
        </w:rPr>
      </w:pPr>
      <w:r>
        <w:rPr>
          <w:rFonts w:ascii="Times New Roman" w:hAnsi="Times New Roman" w:cs="Times New Roman"/>
        </w:rPr>
        <w:t>Szitagliptin és egyéb antidiabetikum együttes alkalmazásának fontolóra vételekor ellenőrizni kell a szitagliptin vesekárosodásban szenvedő betegeknél történő alkalmazásának feltételeit.</w:t>
      </w:r>
    </w:p>
    <w:p w14:paraId="411ED485" w14:textId="77777777" w:rsidR="00DD6391" w:rsidRDefault="00DD6391">
      <w:pPr>
        <w:spacing w:line="240" w:lineRule="auto"/>
        <w:rPr>
          <w:rFonts w:ascii="Times New Roman" w:hAnsi="Times New Roman" w:cs="Times New Roman"/>
          <w:u w:val="single"/>
        </w:rPr>
      </w:pPr>
    </w:p>
    <w:p w14:paraId="56CBBBAC"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Túlérzékenységi reakciók</w:t>
      </w:r>
    </w:p>
    <w:p w14:paraId="60EB88A7" w14:textId="77777777" w:rsidR="00DD6391" w:rsidRDefault="00CF2099">
      <w:pPr>
        <w:spacing w:line="240" w:lineRule="auto"/>
        <w:rPr>
          <w:rFonts w:ascii="Times New Roman" w:hAnsi="Times New Roman" w:cs="Times New Roman"/>
        </w:rPr>
      </w:pPr>
      <w:r>
        <w:rPr>
          <w:rFonts w:ascii="Times New Roman" w:hAnsi="Times New Roman" w:cs="Times New Roman"/>
        </w:rPr>
        <w:t xml:space="preserve">Szitagliptinnel kezelt betegeknél a forgalomba hozatalt követően súlyos túlérzékenységi reakciókat jelentettek. E reakciók közé tartoznak az anafilaxia, angiooedema és exfoliatív bőrelváltozások, beleértve a Stevens–Johnson-szindrómát. E reakciók a kezelés megkezdését követő első 3 hónapon </w:t>
      </w:r>
      <w:r>
        <w:rPr>
          <w:rFonts w:ascii="Times New Roman" w:hAnsi="Times New Roman" w:cs="Times New Roman"/>
        </w:rPr>
        <w:lastRenderedPageBreak/>
        <w:t xml:space="preserve">belül – egyes jelentések szerint az első dózist követően – alakultak ki. Amennyiben túlérzékenységi reakció gyanúja merül fel, az </w:t>
      </w:r>
      <w:r>
        <w:rPr>
          <w:rFonts w:ascii="Times New Roman" w:hAnsi="Times New Roman" w:cs="Times New Roman"/>
          <w:color w:val="000000"/>
        </w:rPr>
        <w:t xml:space="preserve">Ansifora </w:t>
      </w:r>
      <w:r>
        <w:rPr>
          <w:rFonts w:ascii="Times New Roman" w:hAnsi="Times New Roman" w:cs="Times New Roman"/>
        </w:rPr>
        <w:t>szedését abba kell hagyni. Meg kell állapítani a reakció egyéb lehetséges okait, és a diabetes kezelésének más módját kell megkezdeni.</w:t>
      </w:r>
    </w:p>
    <w:p w14:paraId="46E66056" w14:textId="77777777" w:rsidR="00DD6391" w:rsidRDefault="00DD6391">
      <w:pPr>
        <w:spacing w:line="240" w:lineRule="auto"/>
        <w:rPr>
          <w:rFonts w:ascii="Times New Roman" w:hAnsi="Times New Roman" w:cs="Times New Roman"/>
        </w:rPr>
      </w:pPr>
    </w:p>
    <w:p w14:paraId="0F0A8BC7"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Bullosus pemphigoid</w:t>
      </w:r>
    </w:p>
    <w:p w14:paraId="22A0FE2D" w14:textId="77777777" w:rsidR="00DD6391" w:rsidRDefault="00CF2099">
      <w:pPr>
        <w:spacing w:line="240" w:lineRule="auto"/>
        <w:rPr>
          <w:rFonts w:ascii="Times New Roman" w:hAnsi="Times New Roman" w:cs="Times New Roman"/>
        </w:rPr>
      </w:pPr>
      <w:r>
        <w:rPr>
          <w:rFonts w:ascii="Times New Roman" w:hAnsi="Times New Roman" w:cs="Times New Roman"/>
        </w:rPr>
        <w:t>A DPP</w:t>
      </w:r>
      <w:r>
        <w:rPr>
          <w:rFonts w:ascii="Times New Roman" w:hAnsi="Times New Roman" w:cs="Times New Roman"/>
        </w:rPr>
        <w:noBreakHyphen/>
        <w:t xml:space="preserve">4-inhibitorokat – beleértve a szitagliptint is – szedő betegeknél a forgalomba hozatalt követően bullosus pemphigoidról számoltak be. Ha bullosus pemphigoid gyanúja áll fenn, az </w:t>
      </w:r>
      <w:r>
        <w:rPr>
          <w:rFonts w:ascii="Times New Roman" w:hAnsi="Times New Roman" w:cs="Times New Roman"/>
          <w:color w:val="000000"/>
        </w:rPr>
        <w:t xml:space="preserve">Ansifora </w:t>
      </w:r>
      <w:r>
        <w:rPr>
          <w:rFonts w:ascii="Times New Roman" w:hAnsi="Times New Roman" w:cs="Times New Roman"/>
        </w:rPr>
        <w:t>szedését abba kell hagyni.</w:t>
      </w:r>
    </w:p>
    <w:p w14:paraId="1543D69F" w14:textId="77777777" w:rsidR="00DD6391" w:rsidRDefault="00DD6391">
      <w:pPr>
        <w:spacing w:line="240" w:lineRule="auto"/>
        <w:rPr>
          <w:rFonts w:ascii="Times New Roman" w:hAnsi="Times New Roman" w:cs="Times New Roman"/>
        </w:rPr>
      </w:pPr>
    </w:p>
    <w:p w14:paraId="668D562B"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Nátrium</w:t>
      </w:r>
    </w:p>
    <w:p w14:paraId="572FA99A" w14:textId="77777777" w:rsidR="00DD6391" w:rsidRDefault="00CF2099">
      <w:pPr>
        <w:spacing w:line="240" w:lineRule="auto"/>
        <w:rPr>
          <w:rFonts w:ascii="Times New Roman" w:hAnsi="Times New Roman" w:cs="Times New Roman"/>
        </w:rPr>
      </w:pPr>
      <w:r>
        <w:rPr>
          <w:rFonts w:ascii="Times New Roman" w:hAnsi="Times New Roman" w:cs="Times New Roman"/>
        </w:rPr>
        <w:t>A készítmény kevesebb mint 1 mmol (23 mg) nátriumot tartalmaz filmtablettánként, azaz gyakorlatilag „nátriummentes”.</w:t>
      </w:r>
    </w:p>
    <w:p w14:paraId="5A8A6E0F" w14:textId="77777777" w:rsidR="00DD6391" w:rsidRDefault="00DD6391">
      <w:pPr>
        <w:spacing w:line="240" w:lineRule="auto"/>
        <w:rPr>
          <w:rFonts w:ascii="Times New Roman" w:hAnsi="Times New Roman" w:cs="Times New Roman"/>
        </w:rPr>
      </w:pPr>
    </w:p>
    <w:p w14:paraId="0BAD0B9F"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4.5</w:t>
      </w:r>
      <w:r>
        <w:rPr>
          <w:rFonts w:ascii="Times New Roman" w:eastAsia="Times New Roman" w:hAnsi="Times New Roman" w:cs="Times New Roman"/>
          <w:b/>
          <w:bCs/>
          <w:lang w:eastAsia="en-US"/>
        </w:rPr>
        <w:tab/>
        <w:t>Gyógyszerkölcsönhatások és egyéb interakciók</w:t>
      </w:r>
    </w:p>
    <w:p w14:paraId="08A381E5" w14:textId="77777777" w:rsidR="00DD6391" w:rsidRDefault="00DD6391">
      <w:pPr>
        <w:tabs>
          <w:tab w:val="clear" w:pos="567"/>
        </w:tabs>
        <w:spacing w:line="240" w:lineRule="auto"/>
        <w:ind w:left="567" w:hanging="567"/>
        <w:rPr>
          <w:rFonts w:ascii="Times New Roman" w:eastAsia="Times New Roman" w:hAnsi="Times New Roman" w:cs="Times New Roman"/>
          <w:lang w:eastAsia="en-US"/>
        </w:rPr>
      </w:pPr>
    </w:p>
    <w:p w14:paraId="03BAEB56" w14:textId="77777777" w:rsidR="00DD6391" w:rsidRDefault="00CF2099">
      <w:pPr>
        <w:spacing w:line="240" w:lineRule="auto"/>
        <w:rPr>
          <w:rFonts w:ascii="Times New Roman" w:eastAsia="Times New Roman" w:hAnsi="Times New Roman" w:cs="Times New Roman"/>
          <w:u w:val="single"/>
          <w:lang w:eastAsia="en-US"/>
        </w:rPr>
      </w:pPr>
      <w:r>
        <w:rPr>
          <w:rFonts w:ascii="Times New Roman" w:eastAsia="Times New Roman" w:hAnsi="Times New Roman" w:cs="Times New Roman"/>
          <w:u w:val="single"/>
          <w:lang w:eastAsia="en-US"/>
        </w:rPr>
        <w:t>Más gyógyszerek hatása a szitagliptinre</w:t>
      </w:r>
    </w:p>
    <w:p w14:paraId="34E2FE1C"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Az alábbiakban ismertetett klinikai adatok arra utalnak, hogy kicsi a kockázata annak, hogy a szitagliptin az együttesen alkalmazott készítményekkel klinikailag jelentős kölcsönhatásba lép.</w:t>
      </w:r>
    </w:p>
    <w:p w14:paraId="033B5709" w14:textId="77777777" w:rsidR="00DD6391" w:rsidRDefault="00DD6391">
      <w:pPr>
        <w:spacing w:line="240" w:lineRule="auto"/>
        <w:rPr>
          <w:rFonts w:ascii="Times New Roman" w:eastAsia="Times New Roman" w:hAnsi="Times New Roman" w:cs="Times New Roman"/>
          <w:lang w:eastAsia="en-US"/>
        </w:rPr>
      </w:pPr>
    </w:p>
    <w:p w14:paraId="1686A61A"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eastAsia="Times New Roman" w:hAnsi="Times New Roman" w:cs="Times New Roman"/>
          <w:i/>
          <w:lang w:eastAsia="en-US"/>
        </w:rPr>
        <w:t>in vitro</w:t>
      </w:r>
      <w:r>
        <w:rPr>
          <w:rFonts w:ascii="Times New Roman" w:eastAsia="Times New Roman" w:hAnsi="Times New Roman" w:cs="Times New Roman"/>
          <w:lang w:eastAsia="en-US"/>
        </w:rPr>
        <w:t xml:space="preserve"> vizsgálatok kimutatták, hogy a szitagliptin korlátozott metabolizmusáért elsődlegesen a CYP3A4 enzim felelős, a CYP2C8 közreműködésével. A normál vesefunkciójú betegek esetében a metabolizmus – beleértve a CYP3A4-en keresztül történő metabolizmust – csak kis szerepet játszik a szitagliptin kiürülésében. Súlyos vesekárosodás, illetve végstádiumú vesebetegség (ESRD) esetén a metabolizmus jelentősebb szerepet játszhat a szitagliptin kiürülésében. Ezen oknál fogva lehetséges, hogy az erős CYP3A4-inhibitorok (például ketokonazol, itrakonazol, ritonavir, klaritromicin) a súlyos vesekárosodásban vagy ESRD</w:t>
      </w:r>
      <w:r>
        <w:rPr>
          <w:rFonts w:ascii="Times New Roman" w:eastAsia="Times New Roman" w:hAnsi="Times New Roman" w:cs="Times New Roman"/>
          <w:lang w:eastAsia="en-US"/>
        </w:rPr>
        <w:noBreakHyphen/>
        <w:t>ben szenvedő betegek esetében megváltoztathatják a szitagliptin farmakokinetikáját. Az erős CYP3A4-inhibitorok hatásait vesekárosodásban szenvedők esetében klinikai vizsgálatokban nem vizsgálták.</w:t>
      </w:r>
    </w:p>
    <w:p w14:paraId="469EDEE8" w14:textId="77777777" w:rsidR="00DD6391" w:rsidRDefault="00DD6391">
      <w:pPr>
        <w:spacing w:line="240" w:lineRule="auto"/>
        <w:rPr>
          <w:rFonts w:ascii="Times New Roman" w:eastAsia="Times New Roman" w:hAnsi="Times New Roman" w:cs="Times New Roman"/>
          <w:lang w:eastAsia="en-US"/>
        </w:rPr>
      </w:pPr>
    </w:p>
    <w:p w14:paraId="57DA423F"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eastAsia="Times New Roman" w:hAnsi="Times New Roman" w:cs="Times New Roman"/>
          <w:i/>
          <w:lang w:eastAsia="en-US"/>
        </w:rPr>
        <w:t>in vitro</w:t>
      </w:r>
      <w:r>
        <w:rPr>
          <w:rFonts w:ascii="Times New Roman" w:eastAsia="Times New Roman" w:hAnsi="Times New Roman" w:cs="Times New Roman"/>
          <w:lang w:eastAsia="en-US"/>
        </w:rPr>
        <w:t xml:space="preserve"> transzportvizsgálatok azt mutatták, hogy a szitagliptin a p</w:t>
      </w:r>
      <w:r>
        <w:rPr>
          <w:rFonts w:ascii="Times New Roman" w:eastAsia="Times New Roman" w:hAnsi="Times New Roman" w:cs="Times New Roman"/>
          <w:lang w:eastAsia="en-US"/>
        </w:rPr>
        <w:noBreakHyphen/>
        <w:t>glikoprotein és az organikus aniontranszporter</w:t>
      </w:r>
      <w:r>
        <w:rPr>
          <w:rFonts w:ascii="Times New Roman" w:eastAsia="Times New Roman" w:hAnsi="Times New Roman" w:cs="Times New Roman"/>
          <w:lang w:eastAsia="en-US"/>
        </w:rPr>
        <w:noBreakHyphen/>
        <w:t xml:space="preserve">3 (OAT3) szubsztrátja. A szitagliptin OAT3-mediált transzportját a probenecid </w:t>
      </w:r>
      <w:r>
        <w:rPr>
          <w:rFonts w:ascii="Times New Roman" w:eastAsia="Times New Roman" w:hAnsi="Times New Roman" w:cs="Times New Roman"/>
          <w:i/>
          <w:lang w:eastAsia="en-US"/>
        </w:rPr>
        <w:t>in vitro</w:t>
      </w:r>
      <w:r>
        <w:rPr>
          <w:rFonts w:ascii="Times New Roman" w:eastAsia="Times New Roman" w:hAnsi="Times New Roman" w:cs="Times New Roman"/>
          <w:lang w:eastAsia="en-US"/>
        </w:rPr>
        <w:t xml:space="preserve"> gátolta, noha a klinikailag jelentős kölcsönhatások kockázata alacsonynak bizonyult. Az OAT3-inhibitorok együttes alkalmazását </w:t>
      </w:r>
      <w:r>
        <w:rPr>
          <w:rFonts w:ascii="Times New Roman" w:eastAsia="Times New Roman" w:hAnsi="Times New Roman" w:cs="Times New Roman"/>
          <w:i/>
          <w:lang w:eastAsia="en-US"/>
        </w:rPr>
        <w:t>in vivo</w:t>
      </w:r>
      <w:r>
        <w:rPr>
          <w:rFonts w:ascii="Times New Roman" w:eastAsia="Times New Roman" w:hAnsi="Times New Roman" w:cs="Times New Roman"/>
          <w:lang w:eastAsia="en-US"/>
        </w:rPr>
        <w:t xml:space="preserve"> nem értékelték.</w:t>
      </w:r>
    </w:p>
    <w:p w14:paraId="6B2C4E2A" w14:textId="77777777" w:rsidR="00DD6391" w:rsidRDefault="00DD6391">
      <w:pPr>
        <w:spacing w:line="240" w:lineRule="auto"/>
        <w:rPr>
          <w:rFonts w:ascii="Times New Roman" w:eastAsia="Times New Roman" w:hAnsi="Times New Roman" w:cs="Times New Roman"/>
          <w:lang w:eastAsia="en-US"/>
        </w:rPr>
      </w:pPr>
    </w:p>
    <w:p w14:paraId="1DBF94F3"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i/>
          <w:lang w:eastAsia="en-US"/>
        </w:rPr>
        <w:t>Metformin:</w:t>
      </w:r>
      <w:r>
        <w:rPr>
          <w:rFonts w:ascii="Times New Roman" w:eastAsia="Times New Roman" w:hAnsi="Times New Roman" w:cs="Times New Roman"/>
          <w:lang w:eastAsia="en-US"/>
        </w:rPr>
        <w:t xml:space="preserve"> Napi kétszeri 1000 mg metformin ismételt adagolása nem változtatta meg jelentősen az együtt adott 50 mg szitagliptin farmakokinetikáját a 2</w:t>
      </w:r>
      <w:r>
        <w:rPr>
          <w:rFonts w:ascii="Times New Roman" w:eastAsia="Times New Roman" w:hAnsi="Times New Roman" w:cs="Times New Roman"/>
          <w:lang w:eastAsia="en-US"/>
        </w:rPr>
        <w:noBreakHyphen/>
        <w:t>es típusú diabetesben szenvedő betegek esetében.</w:t>
      </w:r>
    </w:p>
    <w:p w14:paraId="59C1F323" w14:textId="77777777" w:rsidR="00DD6391" w:rsidRDefault="00DD6391">
      <w:pPr>
        <w:spacing w:line="240" w:lineRule="auto"/>
        <w:rPr>
          <w:rFonts w:ascii="Times New Roman" w:eastAsia="Times New Roman" w:hAnsi="Times New Roman" w:cs="Times New Roman"/>
          <w:lang w:eastAsia="en-US"/>
        </w:rPr>
      </w:pPr>
    </w:p>
    <w:p w14:paraId="00995CC9"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i/>
          <w:lang w:eastAsia="en-US"/>
        </w:rPr>
        <w:t>Ciklosporin:</w:t>
      </w:r>
      <w:r>
        <w:rPr>
          <w:rFonts w:ascii="Times New Roman" w:eastAsia="Times New Roman" w:hAnsi="Times New Roman" w:cs="Times New Roman"/>
          <w:lang w:eastAsia="en-US"/>
        </w:rPr>
        <w:t xml:space="preserve"> Elvégeztek egy vizsgálatot, hogy megállapítsák az erős p</w:t>
      </w:r>
      <w:r>
        <w:rPr>
          <w:rFonts w:ascii="Times New Roman" w:eastAsia="Times New Roman" w:hAnsi="Times New Roman" w:cs="Times New Roman"/>
          <w:lang w:eastAsia="en-US"/>
        </w:rPr>
        <w:noBreakHyphen/>
        <w:t>glikoprotein-inhibitornak minősülő ciklosporin hatását a szitagliptin farmakokinetikájára. A szitagliptin egyszeri, orálisan adott 100 mg</w:t>
      </w:r>
      <w:r>
        <w:rPr>
          <w:rFonts w:ascii="Times New Roman" w:eastAsia="Times New Roman" w:hAnsi="Times New Roman" w:cs="Times New Roman"/>
          <w:lang w:eastAsia="en-US"/>
        </w:rPr>
        <w:noBreakHyphen/>
        <w:t>os dózisának együttes alkalmazása egyszeri, orálisan adott 600 mg ciklosporinnal hozzávetőleg 29%</w:t>
      </w:r>
      <w:r>
        <w:rPr>
          <w:rFonts w:ascii="Times New Roman" w:eastAsia="Times New Roman" w:hAnsi="Times New Roman" w:cs="Times New Roman"/>
          <w:lang w:eastAsia="en-US"/>
        </w:rPr>
        <w:noBreakHyphen/>
        <w:t>kal emelte meg a szitagliptin AUC-értékét, és 68%</w:t>
      </w:r>
      <w:r>
        <w:rPr>
          <w:rFonts w:ascii="Times New Roman" w:eastAsia="Times New Roman" w:hAnsi="Times New Roman" w:cs="Times New Roman"/>
          <w:lang w:eastAsia="en-US"/>
        </w:rPr>
        <w:noBreakHyphen/>
        <w:t>kal a C</w:t>
      </w:r>
      <w:r>
        <w:rPr>
          <w:rFonts w:ascii="Times New Roman" w:eastAsia="Times New Roman" w:hAnsi="Times New Roman" w:cs="Times New Roman"/>
          <w:vertAlign w:val="subscript"/>
          <w:lang w:eastAsia="en-US"/>
        </w:rPr>
        <w:t>max</w:t>
      </w:r>
      <w:r>
        <w:rPr>
          <w:rFonts w:ascii="Times New Roman" w:eastAsia="Times New Roman" w:hAnsi="Times New Roman" w:cs="Times New Roman"/>
          <w:lang w:eastAsia="en-US"/>
        </w:rPr>
        <w:t>-értékét. A szitagliptin farmakokinetikájának ezen változásait nem tekintették klinikailag jelentősnek. A szitagliptin vese-clearance</w:t>
      </w:r>
      <w:r>
        <w:rPr>
          <w:rFonts w:ascii="Times New Roman" w:eastAsia="Times New Roman" w:hAnsi="Times New Roman" w:cs="Times New Roman"/>
          <w:lang w:eastAsia="en-US"/>
        </w:rPr>
        <w:noBreakHyphen/>
        <w:t>e nem módosult jelentős mértékben. Nem várható tehát jelentős interakció egyéb p</w:t>
      </w:r>
      <w:r>
        <w:rPr>
          <w:rFonts w:ascii="Times New Roman" w:eastAsia="Times New Roman" w:hAnsi="Times New Roman" w:cs="Times New Roman"/>
          <w:lang w:eastAsia="en-US"/>
        </w:rPr>
        <w:noBreakHyphen/>
        <w:t>glikoprotein-inhibitorokkal.</w:t>
      </w:r>
    </w:p>
    <w:p w14:paraId="1689410C" w14:textId="77777777" w:rsidR="00DD6391" w:rsidRDefault="00DD6391">
      <w:pPr>
        <w:spacing w:line="240" w:lineRule="auto"/>
        <w:rPr>
          <w:rFonts w:ascii="Times New Roman" w:eastAsia="Times New Roman" w:hAnsi="Times New Roman" w:cs="Times New Roman"/>
          <w:lang w:eastAsia="en-US"/>
        </w:rPr>
      </w:pPr>
    </w:p>
    <w:p w14:paraId="2A911B6A" w14:textId="77777777" w:rsidR="00DD6391" w:rsidRDefault="00CF2099">
      <w:pPr>
        <w:spacing w:line="240" w:lineRule="auto"/>
        <w:rPr>
          <w:rFonts w:ascii="Times New Roman" w:eastAsia="Times New Roman" w:hAnsi="Times New Roman" w:cs="Times New Roman"/>
          <w:u w:val="single"/>
          <w:lang w:eastAsia="en-US"/>
        </w:rPr>
      </w:pPr>
      <w:r>
        <w:rPr>
          <w:rFonts w:ascii="Times New Roman" w:eastAsia="Times New Roman" w:hAnsi="Times New Roman" w:cs="Times New Roman"/>
          <w:u w:val="single"/>
          <w:lang w:eastAsia="en-US"/>
        </w:rPr>
        <w:t>A szitagliptin más készítményekre gyakorolt hatásai</w:t>
      </w:r>
    </w:p>
    <w:p w14:paraId="1BD57D60"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i/>
          <w:lang w:eastAsia="en-US"/>
        </w:rPr>
        <w:t>Digoxin:</w:t>
      </w:r>
      <w:r>
        <w:rPr>
          <w:rFonts w:ascii="Times New Roman" w:eastAsia="Times New Roman" w:hAnsi="Times New Roman" w:cs="Times New Roman"/>
          <w:lang w:eastAsia="en-US"/>
        </w:rPr>
        <w:t xml:space="preserve"> A szitagliptin csekély mértékben befolyásolta a plazma digoxin koncentrációját. Napi 0,25 mg digoxin és 100 mg szitagliptin 10 napon át történő együttes alkalmazása a digoxin plazma AUC-értékét átlagosan 11%</w:t>
      </w:r>
      <w:r>
        <w:rPr>
          <w:rFonts w:ascii="Times New Roman" w:eastAsia="Times New Roman" w:hAnsi="Times New Roman" w:cs="Times New Roman"/>
          <w:lang w:eastAsia="en-US"/>
        </w:rPr>
        <w:noBreakHyphen/>
        <w:t>kal, míg a plazma C</w:t>
      </w:r>
      <w:r>
        <w:rPr>
          <w:rFonts w:ascii="Times New Roman" w:eastAsia="Times New Roman" w:hAnsi="Times New Roman" w:cs="Times New Roman"/>
          <w:vertAlign w:val="subscript"/>
          <w:lang w:eastAsia="en-US"/>
        </w:rPr>
        <w:t>max</w:t>
      </w:r>
      <w:r>
        <w:rPr>
          <w:rFonts w:ascii="Times New Roman" w:eastAsia="Times New Roman" w:hAnsi="Times New Roman" w:cs="Times New Roman"/>
          <w:lang w:eastAsia="en-US"/>
        </w:rPr>
        <w:t>-értékét átlagosan 18%</w:t>
      </w:r>
      <w:r>
        <w:rPr>
          <w:rFonts w:ascii="Times New Roman" w:eastAsia="Times New Roman" w:hAnsi="Times New Roman" w:cs="Times New Roman"/>
          <w:lang w:eastAsia="en-US"/>
        </w:rPr>
        <w:noBreakHyphen/>
        <w:t>kal emelte meg. A digoxin dózismódosítása nem javasolt. A digoxin-toxicitás kockázatának kitett betegeket azonban monitorozni kell, amennyiben a szitagliptin és a digoxin együttes alkalmazására kerül sor.</w:t>
      </w:r>
    </w:p>
    <w:p w14:paraId="68378F1F" w14:textId="77777777" w:rsidR="00DD6391" w:rsidRDefault="00DD6391">
      <w:pPr>
        <w:spacing w:line="240" w:lineRule="auto"/>
        <w:rPr>
          <w:rFonts w:ascii="Times New Roman" w:eastAsia="Times New Roman" w:hAnsi="Times New Roman" w:cs="Times New Roman"/>
          <w:lang w:eastAsia="en-US"/>
        </w:rPr>
      </w:pPr>
    </w:p>
    <w:p w14:paraId="367A8625"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Az </w:t>
      </w:r>
      <w:r>
        <w:rPr>
          <w:rFonts w:ascii="Times New Roman" w:eastAsia="Times New Roman" w:hAnsi="Times New Roman" w:cs="Times New Roman"/>
          <w:i/>
          <w:lang w:eastAsia="en-US"/>
        </w:rPr>
        <w:t>in vitro</w:t>
      </w:r>
      <w:r>
        <w:rPr>
          <w:rFonts w:ascii="Times New Roman" w:eastAsia="Times New Roman" w:hAnsi="Times New Roman" w:cs="Times New Roman"/>
          <w:lang w:eastAsia="en-US"/>
        </w:rPr>
        <w:t xml:space="preserve"> adatok alapján a szitagliptin nem gátolja és nem is indukálja a CYP450 izoenzimeket. A klinikai vizsgálatok során a szitagliptin nem változtatta meg jelentős mértékben a metformin, glibenklamid, szimvasztatin, roziglitazon, warfarin vagy orális fogamzásgátlók farmakokinetikáját, ami </w:t>
      </w:r>
      <w:r>
        <w:rPr>
          <w:rFonts w:ascii="Times New Roman" w:eastAsia="Times New Roman" w:hAnsi="Times New Roman" w:cs="Times New Roman"/>
          <w:i/>
          <w:lang w:eastAsia="en-US"/>
        </w:rPr>
        <w:t>in vivo</w:t>
      </w:r>
      <w:r>
        <w:rPr>
          <w:rFonts w:ascii="Times New Roman" w:eastAsia="Times New Roman" w:hAnsi="Times New Roman" w:cs="Times New Roman"/>
          <w:lang w:eastAsia="en-US"/>
        </w:rPr>
        <w:t xml:space="preserve"> bizonyítja a CYP3A4, CYP2C8, CYP2C9 és az organikus kationtranszporter („organic </w:t>
      </w:r>
      <w:r>
        <w:rPr>
          <w:rFonts w:ascii="Times New Roman" w:eastAsia="Times New Roman" w:hAnsi="Times New Roman" w:cs="Times New Roman"/>
          <w:lang w:eastAsia="en-US"/>
        </w:rPr>
        <w:lastRenderedPageBreak/>
        <w:t xml:space="preserve">cationic transporter” – OCT) szubsztrátokkal szemben mutatott alacsony interakciós hajlamot. </w:t>
      </w:r>
      <w:r>
        <w:rPr>
          <w:rFonts w:ascii="Times New Roman" w:eastAsia="Times New Roman" w:hAnsi="Times New Roman" w:cs="Times New Roman"/>
          <w:i/>
          <w:lang w:eastAsia="en-US"/>
        </w:rPr>
        <w:t>In vivo</w:t>
      </w:r>
      <w:r>
        <w:rPr>
          <w:rFonts w:ascii="Times New Roman" w:eastAsia="Times New Roman" w:hAnsi="Times New Roman" w:cs="Times New Roman"/>
          <w:lang w:eastAsia="en-US"/>
        </w:rPr>
        <w:t xml:space="preserve"> a szitagliptin a p</w:t>
      </w:r>
      <w:r>
        <w:rPr>
          <w:rFonts w:ascii="Times New Roman" w:eastAsia="Times New Roman" w:hAnsi="Times New Roman" w:cs="Times New Roman"/>
          <w:lang w:eastAsia="en-US"/>
        </w:rPr>
        <w:noBreakHyphen/>
        <w:t>glikoproteint enyhén gátolhatja.</w:t>
      </w:r>
    </w:p>
    <w:p w14:paraId="15790E90" w14:textId="77777777" w:rsidR="00DD6391" w:rsidRDefault="00DD6391">
      <w:pPr>
        <w:spacing w:line="240" w:lineRule="auto"/>
        <w:rPr>
          <w:rFonts w:ascii="Times New Roman" w:eastAsia="Times New Roman" w:hAnsi="Times New Roman" w:cs="Times New Roman"/>
          <w:lang w:eastAsia="en-US"/>
        </w:rPr>
      </w:pPr>
    </w:p>
    <w:p w14:paraId="60306AF9"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4.6</w:t>
      </w:r>
      <w:r>
        <w:rPr>
          <w:rFonts w:ascii="Times New Roman" w:eastAsia="Times New Roman" w:hAnsi="Times New Roman" w:cs="Times New Roman"/>
          <w:b/>
          <w:bCs/>
          <w:lang w:eastAsia="en-US"/>
        </w:rPr>
        <w:tab/>
        <w:t>Termékenység, terhesség és szoptatás</w:t>
      </w:r>
    </w:p>
    <w:p w14:paraId="3C84C94B" w14:textId="77777777" w:rsidR="00DD6391" w:rsidRDefault="00DD6391">
      <w:pPr>
        <w:tabs>
          <w:tab w:val="clear" w:pos="567"/>
        </w:tabs>
        <w:spacing w:line="240" w:lineRule="auto"/>
        <w:ind w:left="567" w:hanging="567"/>
        <w:rPr>
          <w:rFonts w:ascii="Times New Roman" w:hAnsi="Times New Roman" w:cs="Times New Roman"/>
          <w:i/>
        </w:rPr>
      </w:pPr>
    </w:p>
    <w:p w14:paraId="4D2B1F3B" w14:textId="77777777" w:rsidR="00DD6391" w:rsidRDefault="00CF2099">
      <w:pPr>
        <w:spacing w:line="240" w:lineRule="auto"/>
        <w:rPr>
          <w:rFonts w:ascii="Times New Roman" w:hAnsi="Times New Roman" w:cs="Times New Roman"/>
        </w:rPr>
      </w:pPr>
      <w:r>
        <w:rPr>
          <w:rFonts w:ascii="Times New Roman" w:hAnsi="Times New Roman" w:cs="Times New Roman"/>
          <w:u w:val="single"/>
        </w:rPr>
        <w:t>Terhesség</w:t>
      </w:r>
    </w:p>
    <w:p w14:paraId="0A5A043C"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terhes nőknél történő alkalmazására vonatkozóan nem áll rendelkezésre megfelelő mennyiségű információ. Állatkísérletek során reproduktív toxicitást igazoltak nagy dózisok alkalmazása mellett (lásd 5.3 pont). Az emberre vonatkozó kockázat mértéke nem ismert. A humán adatok hiánya miatt a szitagliptint</w:t>
      </w:r>
      <w:r>
        <w:rPr>
          <w:rFonts w:ascii="Times New Roman" w:hAnsi="Times New Roman" w:cs="Times New Roman"/>
          <w:color w:val="000000"/>
        </w:rPr>
        <w:t xml:space="preserve"> nem szabad alkalmazni terhesség alatt</w:t>
      </w:r>
      <w:r>
        <w:rPr>
          <w:rFonts w:ascii="Times New Roman" w:hAnsi="Times New Roman" w:cs="Times New Roman"/>
        </w:rPr>
        <w:t>.</w:t>
      </w:r>
    </w:p>
    <w:p w14:paraId="3A61378E" w14:textId="77777777" w:rsidR="00DD6391" w:rsidRDefault="00DD6391">
      <w:pPr>
        <w:spacing w:line="240" w:lineRule="auto"/>
        <w:rPr>
          <w:rFonts w:ascii="Times New Roman" w:hAnsi="Times New Roman" w:cs="Times New Roman"/>
        </w:rPr>
      </w:pPr>
    </w:p>
    <w:p w14:paraId="3E9D208C"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Szoptatás</w:t>
      </w:r>
    </w:p>
    <w:p w14:paraId="2CF66C28" w14:textId="77777777" w:rsidR="00DD6391" w:rsidRDefault="00CF2099">
      <w:pPr>
        <w:spacing w:line="240" w:lineRule="auto"/>
        <w:rPr>
          <w:rFonts w:ascii="Times New Roman" w:hAnsi="Times New Roman" w:cs="Times New Roman"/>
        </w:rPr>
      </w:pPr>
      <w:r>
        <w:rPr>
          <w:rFonts w:ascii="Times New Roman" w:hAnsi="Times New Roman" w:cs="Times New Roman"/>
        </w:rPr>
        <w:t>Nem ismert, hogy a szitagliptin kiválasztódik-e a humán anyatejbe. Az állatkísérletek azt mutatják, hogy a szitagliptin kiválasztódik az anyatejbe. A szitagliptint</w:t>
      </w:r>
      <w:r>
        <w:rPr>
          <w:rFonts w:ascii="Times New Roman" w:hAnsi="Times New Roman" w:cs="Times New Roman"/>
          <w:color w:val="000000"/>
        </w:rPr>
        <w:t xml:space="preserve"> nem szabad alkalmazni a </w:t>
      </w:r>
      <w:r>
        <w:rPr>
          <w:rFonts w:ascii="Times New Roman" w:hAnsi="Times New Roman" w:cs="Times New Roman"/>
        </w:rPr>
        <w:t>szoptatás ideje alatt.</w:t>
      </w:r>
    </w:p>
    <w:p w14:paraId="04A01772" w14:textId="77777777" w:rsidR="00DD6391" w:rsidRDefault="00DD6391">
      <w:pPr>
        <w:spacing w:line="240" w:lineRule="auto"/>
        <w:rPr>
          <w:rFonts w:ascii="Times New Roman" w:hAnsi="Times New Roman" w:cs="Times New Roman"/>
          <w:u w:val="single"/>
        </w:rPr>
      </w:pPr>
    </w:p>
    <w:p w14:paraId="0CB02CE2"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Termékenység</w:t>
      </w:r>
    </w:p>
    <w:p w14:paraId="5DB6A3FB" w14:textId="77777777" w:rsidR="00DD6391" w:rsidRDefault="00CF2099">
      <w:pPr>
        <w:spacing w:line="240" w:lineRule="auto"/>
        <w:rPr>
          <w:rFonts w:ascii="Times New Roman" w:hAnsi="Times New Roman" w:cs="Times New Roman"/>
        </w:rPr>
      </w:pPr>
      <w:r>
        <w:rPr>
          <w:rFonts w:ascii="Times New Roman" w:hAnsi="Times New Roman" w:cs="Times New Roman"/>
        </w:rPr>
        <w:t>Az állatkísérleti adatok nem utalnak arra, hogy a szitagliptin-kezelés hatással lenne a férfi és női termékenységre. Humán adatok nincsenek.</w:t>
      </w:r>
    </w:p>
    <w:p w14:paraId="42BDB1C5" w14:textId="77777777" w:rsidR="00DD6391" w:rsidRDefault="00DD6391">
      <w:pPr>
        <w:spacing w:line="240" w:lineRule="auto"/>
        <w:rPr>
          <w:rFonts w:ascii="Times New Roman" w:hAnsi="Times New Roman" w:cs="Times New Roman"/>
        </w:rPr>
      </w:pPr>
    </w:p>
    <w:p w14:paraId="0259A764"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4.7</w:t>
      </w:r>
      <w:r>
        <w:rPr>
          <w:rFonts w:ascii="Times New Roman" w:eastAsia="Times New Roman" w:hAnsi="Times New Roman" w:cs="Times New Roman"/>
          <w:b/>
          <w:bCs/>
          <w:lang w:eastAsia="en-US"/>
        </w:rPr>
        <w:tab/>
        <w:t>A készítmény hatásai a gépjárművezetéshez és a gépek kezeléséhez szükséges képességekre</w:t>
      </w:r>
    </w:p>
    <w:p w14:paraId="44774C1E" w14:textId="77777777" w:rsidR="00DD6391" w:rsidRDefault="00DD6391">
      <w:pPr>
        <w:tabs>
          <w:tab w:val="clear" w:pos="567"/>
        </w:tabs>
        <w:spacing w:line="240" w:lineRule="auto"/>
        <w:ind w:left="567" w:hanging="567"/>
        <w:outlineLvl w:val="0"/>
        <w:rPr>
          <w:rFonts w:ascii="Times New Roman" w:hAnsi="Times New Roman" w:cs="Times New Roman"/>
        </w:rPr>
      </w:pPr>
    </w:p>
    <w:p w14:paraId="2FAFFBDC"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A</w:t>
      </w:r>
      <w:r>
        <w:rPr>
          <w:rFonts w:ascii="Times New Roman" w:hAnsi="Times New Roman" w:cs="Times New Roman"/>
        </w:rPr>
        <w:t xml:space="preserve"> szitagliptin </w:t>
      </w:r>
      <w:r>
        <w:rPr>
          <w:rFonts w:ascii="Times New Roman" w:eastAsia="Times New Roman" w:hAnsi="Times New Roman" w:cs="Times New Roman"/>
          <w:lang w:eastAsia="en-US"/>
        </w:rPr>
        <w:t>nem, vagy csak elhanyagolható mértékben befolyásolja a gépjárművezetéshez és a gépek kezeléséhez szükséges képességeket.</w:t>
      </w:r>
      <w:r>
        <w:rPr>
          <w:rFonts w:ascii="Times New Roman" w:hAnsi="Times New Roman" w:cs="Times New Roman"/>
        </w:rPr>
        <w:t xml:space="preserve"> </w:t>
      </w:r>
      <w:r>
        <w:rPr>
          <w:rFonts w:ascii="Times New Roman" w:eastAsia="Times New Roman" w:hAnsi="Times New Roman" w:cs="Times New Roman"/>
          <w:lang w:eastAsia="en-US"/>
        </w:rPr>
        <w:t>Gépjárművezetéskor vagy gépek kezelésekor figyelembe kell venni azonban, hogy beszámoltak szédülésről és álmosságról.</w:t>
      </w:r>
    </w:p>
    <w:p w14:paraId="0D5DF30D" w14:textId="77777777" w:rsidR="00DD6391" w:rsidRDefault="00DD6391">
      <w:pPr>
        <w:spacing w:line="240" w:lineRule="auto"/>
        <w:rPr>
          <w:rFonts w:ascii="Times New Roman" w:eastAsia="Times New Roman" w:hAnsi="Times New Roman" w:cs="Times New Roman"/>
          <w:lang w:eastAsia="en-US"/>
        </w:rPr>
      </w:pPr>
    </w:p>
    <w:p w14:paraId="6842022D"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Továbbá a</w:t>
      </w:r>
      <w:r>
        <w:rPr>
          <w:rFonts w:ascii="Times New Roman" w:hAnsi="Times New Roman" w:cs="Times New Roman"/>
        </w:rPr>
        <w:t xml:space="preserve"> szitagliptin </w:t>
      </w:r>
      <w:r>
        <w:rPr>
          <w:rFonts w:ascii="Times New Roman" w:eastAsia="Times New Roman" w:hAnsi="Times New Roman" w:cs="Times New Roman"/>
          <w:lang w:eastAsia="en-US"/>
        </w:rPr>
        <w:t>és egy szulfonilurea vagy inzulin együttes alkalmazásakor a betegek figyelmét fel kell hívni a hypoglykaemia kockázatára.</w:t>
      </w:r>
    </w:p>
    <w:p w14:paraId="475A6AFD" w14:textId="77777777" w:rsidR="00DD6391" w:rsidRDefault="00DD6391">
      <w:pPr>
        <w:spacing w:line="240" w:lineRule="auto"/>
        <w:rPr>
          <w:rFonts w:ascii="Times New Roman" w:eastAsia="Times New Roman" w:hAnsi="Times New Roman" w:cs="Times New Roman"/>
          <w:lang w:eastAsia="en-US"/>
        </w:rPr>
      </w:pPr>
    </w:p>
    <w:p w14:paraId="72C7424D"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4.8</w:t>
      </w:r>
      <w:r>
        <w:rPr>
          <w:rFonts w:ascii="Times New Roman" w:eastAsia="Times New Roman" w:hAnsi="Times New Roman" w:cs="Times New Roman"/>
          <w:b/>
          <w:bCs/>
          <w:lang w:eastAsia="en-US"/>
        </w:rPr>
        <w:tab/>
        <w:t>Nemkívánatos hatások, mellékhatások</w:t>
      </w:r>
    </w:p>
    <w:p w14:paraId="61476E5E" w14:textId="77777777" w:rsidR="00DD6391" w:rsidRDefault="00DD6391">
      <w:pPr>
        <w:tabs>
          <w:tab w:val="clear" w:pos="567"/>
        </w:tabs>
        <w:spacing w:line="240" w:lineRule="auto"/>
        <w:ind w:left="567" w:hanging="567"/>
        <w:rPr>
          <w:rFonts w:ascii="Times New Roman" w:hAnsi="Times New Roman" w:cs="Times New Roman"/>
          <w:i/>
        </w:rPr>
      </w:pPr>
    </w:p>
    <w:p w14:paraId="0C6209A8"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A biztonságossági profil összefoglalása</w:t>
      </w:r>
    </w:p>
    <w:p w14:paraId="28192F06" w14:textId="77777777" w:rsidR="00DD6391" w:rsidRDefault="00CF2099">
      <w:pPr>
        <w:spacing w:line="240" w:lineRule="auto"/>
        <w:rPr>
          <w:rFonts w:ascii="Times New Roman" w:hAnsi="Times New Roman" w:cs="Times New Roman"/>
        </w:rPr>
      </w:pPr>
      <w:r>
        <w:rPr>
          <w:rFonts w:ascii="Times New Roman" w:hAnsi="Times New Roman" w:cs="Times New Roman"/>
        </w:rPr>
        <w:t>Súlyos mellékhatásokról, köztük pancreatitisről és túlérzékenységi reakciókról számoltak be. Hypoglykaemiáról számoltak be szulfonilureával (4,7% – 13,8%) és inzulinnal (9,6%) való kombinációban (lásd 4.4 pont).</w:t>
      </w:r>
    </w:p>
    <w:p w14:paraId="692DCD79" w14:textId="77777777" w:rsidR="00DD6391" w:rsidRDefault="00DD6391">
      <w:pPr>
        <w:spacing w:line="240" w:lineRule="auto"/>
        <w:rPr>
          <w:rFonts w:ascii="Times New Roman" w:hAnsi="Times New Roman" w:cs="Times New Roman"/>
        </w:rPr>
      </w:pPr>
    </w:p>
    <w:p w14:paraId="1D308210"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A mellékhatások táblázatos felsorolása</w:t>
      </w:r>
    </w:p>
    <w:p w14:paraId="68FA50E3" w14:textId="77777777" w:rsidR="00DD6391" w:rsidRDefault="00CF2099">
      <w:pPr>
        <w:spacing w:line="240" w:lineRule="auto"/>
        <w:rPr>
          <w:rFonts w:ascii="Times New Roman" w:hAnsi="Times New Roman" w:cs="Times New Roman"/>
        </w:rPr>
      </w:pPr>
      <w:r>
        <w:rPr>
          <w:rFonts w:ascii="Times New Roman" w:hAnsi="Times New Roman" w:cs="Times New Roman"/>
        </w:rPr>
        <w:t>A mellékhatások az alábbiakban (1. táblázat) szervrendszer és gyakoriság szerint vannak felsorolva. Az előfordulási gyakoriságok meghatározása a következő: nagyon gyakori (≥ 1/10); gyakori (≥ 1/100 – &lt; 1/10); nem gyakori (≥ 1/1 000 – &lt; 1/100); ritka (≥ 1/10 000 – &lt; 1/1 000); nagyon ritka (&lt; 1/10 000) és nem ismert (a gyakoriság a rendelkezésre álló adatokból nem állapítható meg).</w:t>
      </w:r>
    </w:p>
    <w:p w14:paraId="65FE13B1" w14:textId="77777777" w:rsidR="00DD6391" w:rsidRDefault="00DD6391">
      <w:pPr>
        <w:spacing w:line="240" w:lineRule="auto"/>
      </w:pPr>
    </w:p>
    <w:p w14:paraId="5F465779" w14:textId="77777777" w:rsidR="00DD6391" w:rsidRDefault="00CF2099">
      <w:pPr>
        <w:spacing w:line="240" w:lineRule="auto"/>
        <w:rPr>
          <w:rFonts w:ascii="Times New Roman" w:hAnsi="Times New Roman" w:cs="Times New Roman"/>
          <w:b/>
          <w:bCs/>
        </w:rPr>
      </w:pPr>
      <w:r>
        <w:rPr>
          <w:rFonts w:ascii="Times New Roman" w:hAnsi="Times New Roman" w:cs="Times New Roman"/>
          <w:b/>
          <w:bCs/>
        </w:rPr>
        <w:t>1. táblázat: A placebokontrollos, szitagliptin-monoterápiát alkalmazó klinikai vizsgálatokban és a forgalomba hozatalt követően azonosított mellékhatások gyakorisága</w:t>
      </w:r>
    </w:p>
    <w:p w14:paraId="2896A58F" w14:textId="77777777" w:rsidR="00DD6391" w:rsidRDefault="00DD6391">
      <w:pPr>
        <w:spacing w:line="240" w:lineRule="auto"/>
        <w:rPr>
          <w:rFonts w:ascii="Times New Roman" w:hAnsi="Times New Roman" w:cs="Times New Roman"/>
          <w:u w:val="single"/>
        </w:rPr>
      </w:pPr>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426"/>
      </w:tblGrid>
      <w:tr w:rsidR="00DD6391" w14:paraId="2ACB4588" w14:textId="77777777">
        <w:trPr>
          <w:cantSplit/>
          <w:tblHeader/>
          <w:jc w:val="center"/>
        </w:trPr>
        <w:tc>
          <w:tcPr>
            <w:tcW w:w="2529" w:type="pct"/>
            <w:tcBorders>
              <w:top w:val="single" w:sz="4" w:space="0" w:color="auto"/>
              <w:left w:val="single" w:sz="4" w:space="0" w:color="auto"/>
              <w:bottom w:val="single" w:sz="4" w:space="0" w:color="auto"/>
              <w:right w:val="single" w:sz="4" w:space="0" w:color="auto"/>
            </w:tcBorders>
            <w:vAlign w:val="center"/>
          </w:tcPr>
          <w:p w14:paraId="365A284E" w14:textId="77777777" w:rsidR="00DD6391" w:rsidRDefault="00CF2099">
            <w:pPr>
              <w:tabs>
                <w:tab w:val="clear" w:pos="567"/>
              </w:tabs>
              <w:autoSpaceDE w:val="0"/>
              <w:autoSpaceDN w:val="0"/>
              <w:spacing w:line="240" w:lineRule="auto"/>
              <w:rPr>
                <w:rFonts w:ascii="Times New Roman" w:hAnsi="Times New Roman" w:cs="Times New Roman"/>
                <w:b/>
                <w:bCs/>
                <w:lang w:eastAsia="en-GB"/>
              </w:rPr>
            </w:pPr>
            <w:r>
              <w:rPr>
                <w:rFonts w:ascii="Times New Roman" w:hAnsi="Times New Roman" w:cs="Times New Roman"/>
                <w:b/>
                <w:bCs/>
                <w:lang w:eastAsia="en-GB"/>
              </w:rPr>
              <w:t>Mellékhatás</w:t>
            </w:r>
          </w:p>
        </w:tc>
        <w:tc>
          <w:tcPr>
            <w:tcW w:w="2471" w:type="pct"/>
            <w:tcBorders>
              <w:top w:val="single" w:sz="4" w:space="0" w:color="auto"/>
              <w:left w:val="single" w:sz="4" w:space="0" w:color="auto"/>
              <w:bottom w:val="single" w:sz="4" w:space="0" w:color="auto"/>
              <w:right w:val="single" w:sz="4" w:space="0" w:color="auto"/>
            </w:tcBorders>
            <w:vAlign w:val="center"/>
          </w:tcPr>
          <w:p w14:paraId="3BC90B82" w14:textId="77777777" w:rsidR="00DD6391" w:rsidRDefault="00CF2099">
            <w:pPr>
              <w:tabs>
                <w:tab w:val="clear" w:pos="567"/>
              </w:tabs>
              <w:autoSpaceDE w:val="0"/>
              <w:autoSpaceDN w:val="0"/>
              <w:spacing w:line="240" w:lineRule="auto"/>
              <w:jc w:val="center"/>
              <w:rPr>
                <w:rFonts w:ascii="Times New Roman" w:hAnsi="Times New Roman" w:cs="Times New Roman"/>
                <w:b/>
                <w:bCs/>
                <w:lang w:eastAsia="en-GB"/>
              </w:rPr>
            </w:pPr>
            <w:r>
              <w:rPr>
                <w:rFonts w:ascii="Times New Roman" w:hAnsi="Times New Roman" w:cs="Times New Roman"/>
                <w:b/>
                <w:bCs/>
                <w:lang w:eastAsia="en-GB"/>
              </w:rPr>
              <w:t>A mellékhatások gyakorisága</w:t>
            </w:r>
          </w:p>
        </w:tc>
      </w:tr>
      <w:tr w:rsidR="00DD6391" w14:paraId="08DCDC70"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373AF0" w14:textId="77777777" w:rsidR="00DD6391" w:rsidRDefault="00CF2099">
            <w:pPr>
              <w:tabs>
                <w:tab w:val="clear" w:pos="567"/>
              </w:tabs>
              <w:autoSpaceDE w:val="0"/>
              <w:autoSpaceDN w:val="0"/>
              <w:spacing w:line="240" w:lineRule="auto"/>
              <w:rPr>
                <w:rFonts w:ascii="Times New Roman" w:hAnsi="Times New Roman" w:cs="Times New Roman"/>
                <w:b/>
                <w:bCs/>
                <w:lang w:eastAsia="en-GB"/>
              </w:rPr>
            </w:pPr>
            <w:r>
              <w:rPr>
                <w:rFonts w:ascii="Times New Roman" w:hAnsi="Times New Roman" w:cs="Times New Roman"/>
                <w:b/>
                <w:bCs/>
              </w:rPr>
              <w:t>Vérképzőszervi és nyirokrendszeri betegségek és tünetek</w:t>
            </w:r>
          </w:p>
        </w:tc>
      </w:tr>
      <w:tr w:rsidR="00DD6391" w14:paraId="646490E4"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1C016099"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Thrombocytopenia</w:t>
            </w:r>
          </w:p>
        </w:tc>
        <w:tc>
          <w:tcPr>
            <w:tcW w:w="2471" w:type="pct"/>
            <w:tcBorders>
              <w:top w:val="single" w:sz="4" w:space="0" w:color="auto"/>
              <w:left w:val="single" w:sz="4" w:space="0" w:color="auto"/>
              <w:bottom w:val="single" w:sz="4" w:space="0" w:color="auto"/>
              <w:right w:val="single" w:sz="4" w:space="0" w:color="auto"/>
            </w:tcBorders>
            <w:vAlign w:val="center"/>
          </w:tcPr>
          <w:p w14:paraId="7BE391FD"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Ritka</w:t>
            </w:r>
          </w:p>
        </w:tc>
      </w:tr>
      <w:tr w:rsidR="00DD6391" w14:paraId="7B2E46B7"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1176FF2" w14:textId="77777777" w:rsidR="00DD6391" w:rsidRDefault="00CF2099">
            <w:pPr>
              <w:tabs>
                <w:tab w:val="clear" w:pos="567"/>
              </w:tabs>
              <w:autoSpaceDE w:val="0"/>
              <w:autoSpaceDN w:val="0"/>
              <w:spacing w:line="240" w:lineRule="auto"/>
              <w:rPr>
                <w:rFonts w:ascii="Times New Roman" w:hAnsi="Times New Roman" w:cs="Times New Roman"/>
                <w:b/>
                <w:bCs/>
                <w:lang w:eastAsia="en-GB"/>
              </w:rPr>
            </w:pPr>
            <w:r>
              <w:rPr>
                <w:rFonts w:ascii="Times New Roman" w:hAnsi="Times New Roman" w:cs="Times New Roman"/>
                <w:b/>
                <w:bCs/>
                <w:lang w:eastAsia="en-GB"/>
              </w:rPr>
              <w:t xml:space="preserve"> </w:t>
            </w:r>
          </w:p>
        </w:tc>
      </w:tr>
      <w:tr w:rsidR="00DD6391" w14:paraId="133A905D"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95BD657" w14:textId="77777777" w:rsidR="00DD6391" w:rsidRDefault="00CF2099">
            <w:pPr>
              <w:tabs>
                <w:tab w:val="clear" w:pos="567"/>
              </w:tabs>
              <w:autoSpaceDE w:val="0"/>
              <w:autoSpaceDN w:val="0"/>
              <w:spacing w:line="240" w:lineRule="auto"/>
              <w:rPr>
                <w:rFonts w:ascii="Times New Roman" w:hAnsi="Times New Roman" w:cs="Times New Roman"/>
                <w:b/>
                <w:bCs/>
                <w:lang w:eastAsia="en-GB"/>
              </w:rPr>
            </w:pPr>
            <w:r>
              <w:rPr>
                <w:rFonts w:ascii="Times New Roman" w:hAnsi="Times New Roman" w:cs="Times New Roman"/>
                <w:b/>
                <w:bCs/>
                <w:lang w:eastAsia="en-GB"/>
              </w:rPr>
              <w:t>Immunrendszeri betegségek és tünetek</w:t>
            </w:r>
          </w:p>
        </w:tc>
      </w:tr>
      <w:tr w:rsidR="00DD6391" w14:paraId="7D720498"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48C10192"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Túlérzékenységi reakciók, beleértve az anaphylaxiás reakciókat is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2F662A50"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6B9B8CF3"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A272AA4"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14E20155"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97B2908"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Anyagcsere- és táplálkozási betegségek és tünetek</w:t>
            </w:r>
          </w:p>
        </w:tc>
      </w:tr>
      <w:tr w:rsidR="00DD6391" w14:paraId="25E25682"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3D59E329"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Hypoglykaemia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3C6C6819"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w:t>
            </w:r>
          </w:p>
        </w:tc>
      </w:tr>
      <w:tr w:rsidR="00DD6391" w14:paraId="41F9635E"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771D8161"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3D5532D2"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765F42D"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lastRenderedPageBreak/>
              <w:t>Idegrendszeri betegségek és tünetek</w:t>
            </w:r>
          </w:p>
        </w:tc>
      </w:tr>
      <w:tr w:rsidR="00DD6391" w14:paraId="5F29BF31"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088B7F47"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Fejfájás</w:t>
            </w:r>
          </w:p>
        </w:tc>
        <w:tc>
          <w:tcPr>
            <w:tcW w:w="2471" w:type="pct"/>
            <w:tcBorders>
              <w:top w:val="single" w:sz="4" w:space="0" w:color="auto"/>
              <w:left w:val="single" w:sz="4" w:space="0" w:color="auto"/>
              <w:bottom w:val="single" w:sz="4" w:space="0" w:color="auto"/>
              <w:right w:val="single" w:sz="4" w:space="0" w:color="auto"/>
            </w:tcBorders>
            <w:vAlign w:val="center"/>
          </w:tcPr>
          <w:p w14:paraId="6A9E8A3A"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w:t>
            </w:r>
          </w:p>
        </w:tc>
      </w:tr>
      <w:tr w:rsidR="00DD6391" w14:paraId="55DB15A0"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5F9898C2"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Szédülés</w:t>
            </w:r>
          </w:p>
        </w:tc>
        <w:tc>
          <w:tcPr>
            <w:tcW w:w="2471" w:type="pct"/>
            <w:tcBorders>
              <w:top w:val="single" w:sz="4" w:space="0" w:color="auto"/>
              <w:left w:val="single" w:sz="4" w:space="0" w:color="auto"/>
              <w:bottom w:val="single" w:sz="4" w:space="0" w:color="auto"/>
              <w:right w:val="single" w:sz="4" w:space="0" w:color="auto"/>
            </w:tcBorders>
            <w:vAlign w:val="center"/>
          </w:tcPr>
          <w:p w14:paraId="7C294222"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Nem gyakori</w:t>
            </w:r>
          </w:p>
        </w:tc>
      </w:tr>
      <w:tr w:rsidR="00DD6391" w14:paraId="42C1E9E2"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0D97DF4"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552814C1"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43660B0"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Légzőrendszeri, mellkasi és mediastinalis betegségek és tünetek</w:t>
            </w:r>
          </w:p>
        </w:tc>
      </w:tr>
      <w:tr w:rsidR="00DD6391" w14:paraId="0A25370E"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7DB121A0"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Interstitialis tüdőbetegség</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0F63FE73"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1C75474A"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0BDCD2E"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60D6209E"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A3C92BC"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Emésztőrendszeri betegségek és tünetek</w:t>
            </w:r>
          </w:p>
        </w:tc>
      </w:tr>
      <w:tr w:rsidR="00DD6391" w14:paraId="3D64D0E5"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11AE43F0"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Székrekedés</w:t>
            </w:r>
          </w:p>
        </w:tc>
        <w:tc>
          <w:tcPr>
            <w:tcW w:w="2471" w:type="pct"/>
            <w:tcBorders>
              <w:top w:val="single" w:sz="4" w:space="0" w:color="auto"/>
              <w:left w:val="single" w:sz="4" w:space="0" w:color="auto"/>
              <w:bottom w:val="single" w:sz="4" w:space="0" w:color="auto"/>
              <w:right w:val="single" w:sz="4" w:space="0" w:color="auto"/>
            </w:tcBorders>
            <w:vAlign w:val="center"/>
          </w:tcPr>
          <w:p w14:paraId="65710F4C"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Nem gyakori</w:t>
            </w:r>
          </w:p>
        </w:tc>
      </w:tr>
      <w:tr w:rsidR="00DD6391" w14:paraId="19DB2DA6"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5FAEA573"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Hányás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4A0E18D3"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77DDB65A"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0872E85D"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Akut pancreatitis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3B48EDF5"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1E057E8E"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0FA99F8C"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Fatális és nem fatális kimenetelű haemorrhagiás és nekrotizáló pancreatitis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795A7348"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251EC78E"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D4C88E"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5A28D530"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8DA4F81"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A bőr és a bőr alatti szövet betegségei és tünetei</w:t>
            </w:r>
          </w:p>
        </w:tc>
      </w:tr>
      <w:tr w:rsidR="00DD6391" w14:paraId="59E1F267"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6B877DA8"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Pruritus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47EC9376"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Nem gyakori</w:t>
            </w:r>
          </w:p>
        </w:tc>
      </w:tr>
      <w:tr w:rsidR="00DD6391" w14:paraId="1FC69970"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4C1D3FC5"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Angiooedema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1924470E"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199A867C"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20F91DC1"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Kiütés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0FF73435"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2433992C"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5826037C"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Urticaria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45608DFA"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5BBACDDF"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6A87EF4B"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Cutan vasculitis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7BF406EE"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398F939D"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2878D621"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Exfoliatív bőrelváltozások, beleértve a Stevens−Johnson-szindrómát is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3EBB7BF7"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06287D84"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541EC28E"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Bullosus pemphigoid</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3B1A973B"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4544E160"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A63E494"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19D94228"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7E86F105"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A csont- és izomrendszer, valamint a kötőszövet betegségei és tünetei</w:t>
            </w:r>
          </w:p>
        </w:tc>
      </w:tr>
      <w:tr w:rsidR="00DD6391" w14:paraId="510A0B14"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3ECBBD64"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Arthralgia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292D7C66"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1A444D27"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0957D6AF"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Myalgia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09D3B7F1"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6425E2C7"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49509846"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Hátfájás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33EE9DBB"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041E6740"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1C79CFF3"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Arthropathia</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082B6716"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4804F3CB"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D6BB4D4" w14:textId="77777777" w:rsidR="00DD6391" w:rsidRDefault="00DD6391">
            <w:pPr>
              <w:tabs>
                <w:tab w:val="clear" w:pos="567"/>
              </w:tabs>
              <w:autoSpaceDE w:val="0"/>
              <w:autoSpaceDN w:val="0"/>
              <w:spacing w:line="240" w:lineRule="auto"/>
              <w:jc w:val="center"/>
              <w:rPr>
                <w:rFonts w:ascii="Times New Roman" w:hAnsi="Times New Roman" w:cs="Times New Roman"/>
                <w:lang w:eastAsia="en-GB"/>
              </w:rPr>
            </w:pPr>
          </w:p>
        </w:tc>
      </w:tr>
      <w:tr w:rsidR="00DD6391" w14:paraId="67FB55CC" w14:textId="77777777">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109973B"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b/>
                <w:bCs/>
                <w:lang w:eastAsia="en-GB"/>
              </w:rPr>
              <w:t>Vese- és húgyúti betegségek és tünetek</w:t>
            </w:r>
          </w:p>
        </w:tc>
      </w:tr>
      <w:tr w:rsidR="00DD6391" w14:paraId="6D5FB1C4"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30176920"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Vesekárosodás</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0D28B2CA"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r w:rsidR="00DD6391" w14:paraId="4BF0821E" w14:textId="77777777">
        <w:trPr>
          <w:cantSplit/>
          <w:jc w:val="center"/>
        </w:trPr>
        <w:tc>
          <w:tcPr>
            <w:tcW w:w="2529" w:type="pct"/>
            <w:tcBorders>
              <w:top w:val="single" w:sz="4" w:space="0" w:color="auto"/>
              <w:left w:val="single" w:sz="4" w:space="0" w:color="auto"/>
              <w:bottom w:val="single" w:sz="4" w:space="0" w:color="auto"/>
              <w:right w:val="single" w:sz="4" w:space="0" w:color="auto"/>
            </w:tcBorders>
            <w:vAlign w:val="center"/>
          </w:tcPr>
          <w:p w14:paraId="0B33A9DD"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lang w:eastAsia="en-GB"/>
              </w:rPr>
              <w:t>Akut veseelégtelenség</w:t>
            </w:r>
            <w:r>
              <w:rPr>
                <w:rFonts w:ascii="Times New Roman" w:hAnsi="Times New Roman" w:cs="Times New Roman"/>
                <w:vertAlign w:val="superscript"/>
                <w:lang w:eastAsia="en-GB"/>
              </w:rPr>
              <w:t>*</w:t>
            </w:r>
          </w:p>
        </w:tc>
        <w:tc>
          <w:tcPr>
            <w:tcW w:w="2471" w:type="pct"/>
            <w:tcBorders>
              <w:top w:val="single" w:sz="4" w:space="0" w:color="auto"/>
              <w:left w:val="single" w:sz="4" w:space="0" w:color="auto"/>
              <w:bottom w:val="single" w:sz="4" w:space="0" w:color="auto"/>
              <w:right w:val="single" w:sz="4" w:space="0" w:color="auto"/>
            </w:tcBorders>
            <w:vAlign w:val="center"/>
          </w:tcPr>
          <w:p w14:paraId="580827ED" w14:textId="77777777" w:rsidR="00DD6391" w:rsidRDefault="00CF2099">
            <w:pPr>
              <w:tabs>
                <w:tab w:val="clear" w:pos="567"/>
              </w:tabs>
              <w:autoSpaceDE w:val="0"/>
              <w:autoSpaceDN w:val="0"/>
              <w:spacing w:line="240" w:lineRule="auto"/>
              <w:jc w:val="center"/>
              <w:rPr>
                <w:rFonts w:ascii="Times New Roman" w:hAnsi="Times New Roman" w:cs="Times New Roman"/>
                <w:lang w:eastAsia="en-GB"/>
              </w:rPr>
            </w:pPr>
            <w:r>
              <w:rPr>
                <w:rFonts w:ascii="Times New Roman" w:hAnsi="Times New Roman" w:cs="Times New Roman"/>
                <w:lang w:eastAsia="en-GB"/>
              </w:rPr>
              <w:t>Gyakoriság nem ismert</w:t>
            </w:r>
          </w:p>
        </w:tc>
      </w:tr>
    </w:tbl>
    <w:p w14:paraId="64BC9CA0"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vertAlign w:val="superscript"/>
          <w:lang w:eastAsia="en-GB"/>
        </w:rPr>
        <w:t>*</w:t>
      </w:r>
      <w:r>
        <w:rPr>
          <w:rFonts w:ascii="Times New Roman" w:hAnsi="Times New Roman" w:cs="Times New Roman"/>
          <w:lang w:eastAsia="en-GB"/>
        </w:rPr>
        <w:t>A mellékhatásokat a forgalomba hozatalt követő felügyelet során azonosították.</w:t>
      </w:r>
    </w:p>
    <w:p w14:paraId="32D19D43"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vertAlign w:val="superscript"/>
          <w:lang w:eastAsia="en-GB"/>
        </w:rPr>
        <w:t>†</w:t>
      </w:r>
      <w:r>
        <w:rPr>
          <w:rFonts w:ascii="Times New Roman" w:hAnsi="Times New Roman" w:cs="Times New Roman"/>
          <w:b/>
          <w:bCs/>
          <w:lang w:eastAsia="en-GB"/>
        </w:rPr>
        <w:t>Lásd 4.4 pont.</w:t>
      </w:r>
    </w:p>
    <w:p w14:paraId="2E8AE5D6" w14:textId="77777777" w:rsidR="00DD6391" w:rsidRDefault="00CF2099">
      <w:pPr>
        <w:tabs>
          <w:tab w:val="clear" w:pos="567"/>
        </w:tabs>
        <w:autoSpaceDE w:val="0"/>
        <w:autoSpaceDN w:val="0"/>
        <w:spacing w:line="240" w:lineRule="auto"/>
        <w:rPr>
          <w:rFonts w:ascii="Times New Roman" w:hAnsi="Times New Roman" w:cs="Times New Roman"/>
          <w:lang w:eastAsia="en-GB"/>
        </w:rPr>
      </w:pPr>
      <w:r>
        <w:rPr>
          <w:rFonts w:ascii="Times New Roman" w:hAnsi="Times New Roman" w:cs="Times New Roman"/>
          <w:vertAlign w:val="superscript"/>
          <w:lang w:eastAsia="en-GB"/>
        </w:rPr>
        <w:t>‡</w:t>
      </w:r>
      <w:r>
        <w:rPr>
          <w:rFonts w:ascii="Times New Roman" w:hAnsi="Times New Roman" w:cs="Times New Roman"/>
          <w:lang w:eastAsia="en-GB"/>
        </w:rPr>
        <w:t xml:space="preserve">Lásd alább, a </w:t>
      </w:r>
      <w:r>
        <w:rPr>
          <w:rFonts w:ascii="Times New Roman" w:hAnsi="Times New Roman" w:cs="Times New Roman"/>
          <w:i/>
          <w:lang w:eastAsia="en-GB"/>
        </w:rPr>
        <w:t xml:space="preserve">TECOS cardiovascularis biztonságossági vizsgálatra </w:t>
      </w:r>
      <w:r>
        <w:rPr>
          <w:rFonts w:ascii="Times New Roman" w:hAnsi="Times New Roman" w:cs="Times New Roman"/>
          <w:lang w:eastAsia="en-GB"/>
        </w:rPr>
        <w:t>vonatkozó részt.</w:t>
      </w:r>
    </w:p>
    <w:p w14:paraId="21A01C0F" w14:textId="77777777" w:rsidR="00DD6391" w:rsidRDefault="00DD6391">
      <w:pPr>
        <w:tabs>
          <w:tab w:val="clear" w:pos="567"/>
        </w:tabs>
        <w:autoSpaceDE w:val="0"/>
        <w:autoSpaceDN w:val="0"/>
        <w:spacing w:line="240" w:lineRule="auto"/>
        <w:rPr>
          <w:rFonts w:ascii="Times New Roman" w:hAnsi="Times New Roman" w:cs="Times New Roman"/>
          <w:sz w:val="17"/>
          <w:szCs w:val="17"/>
          <w:lang w:eastAsia="en-GB"/>
        </w:rPr>
      </w:pPr>
    </w:p>
    <w:p w14:paraId="166132B5"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A kiválasztott mellékhatások leírása</w:t>
      </w:r>
    </w:p>
    <w:p w14:paraId="29E319A1" w14:textId="77777777" w:rsidR="00DD6391" w:rsidRDefault="00CF2099">
      <w:pPr>
        <w:spacing w:line="240" w:lineRule="auto"/>
        <w:rPr>
          <w:rFonts w:ascii="Times New Roman" w:hAnsi="Times New Roman" w:cs="Times New Roman"/>
        </w:rPr>
      </w:pPr>
      <w:r>
        <w:rPr>
          <w:rFonts w:ascii="Times New Roman" w:hAnsi="Times New Roman" w:cs="Times New Roman"/>
        </w:rPr>
        <w:t>A fent ismertetett, gyógyszerrel összefüggő mellékhatások mellett a gyógyszerrel történő ok-okozati összefüggés feltüntetése nélkül jelentett, és szitagliptinnel kezelt betegek legalább 5%</w:t>
      </w:r>
      <w:r>
        <w:rPr>
          <w:rFonts w:ascii="Times New Roman" w:hAnsi="Times New Roman" w:cs="Times New Roman"/>
        </w:rPr>
        <w:noBreakHyphen/>
        <w:t>ánál vagy ennél gyakrabban fellépő nemkívánatos események közé tartozott a felső légúti fertőzés és a nasopharyngitis. A további, a gyógyszerrel történő ok-okozati összefüggéstől függetlenül jelentett, és a szitagliptinnel kezelt betegeknél gyakrabban (az 5%</w:t>
      </w:r>
      <w:r>
        <w:rPr>
          <w:rFonts w:ascii="Times New Roman" w:hAnsi="Times New Roman" w:cs="Times New Roman"/>
        </w:rPr>
        <w:noBreakHyphen/>
        <w:t>os szintet el nem érő, de a kontrollcsoporthoz képest a szitagliptinnel kezelt betegeknél &gt; 0,5%</w:t>
      </w:r>
      <w:r>
        <w:rPr>
          <w:rFonts w:ascii="Times New Roman" w:hAnsi="Times New Roman" w:cs="Times New Roman"/>
        </w:rPr>
        <w:noBreakHyphen/>
        <w:t>kal magasabb gyakorisággal) előforduló mellékhatások közé tartozott az osteoarthritis és a végtagfájdalom.</w:t>
      </w:r>
    </w:p>
    <w:p w14:paraId="085B0118" w14:textId="77777777" w:rsidR="00DD6391" w:rsidRDefault="00DD6391">
      <w:pPr>
        <w:spacing w:line="240" w:lineRule="auto"/>
        <w:rPr>
          <w:rFonts w:ascii="Times New Roman" w:hAnsi="Times New Roman" w:cs="Times New Roman"/>
          <w:u w:val="single"/>
        </w:rPr>
      </w:pPr>
    </w:p>
    <w:p w14:paraId="2645B3C3"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és más antidiabetikumok kombinációjának alkalmazását értékelő vizsgálatok során egyes mellékhatásokat gyakrabban figyeltek meg, mint a szitagliptin-monoterápiás vizsgálatokban. Ezek közé tartozott a hypoglykaemia (szulfonilurea és metformin kombinációja mellett gyakorisága „nagyon gyakori” volt), influenza ([metforminnal vagy anélkül kapott] inzulin mellett „gyakori” volt),</w:t>
      </w:r>
      <w:r>
        <w:t xml:space="preserve"> </w:t>
      </w:r>
      <w:r>
        <w:rPr>
          <w:rFonts w:ascii="Times New Roman" w:hAnsi="Times New Roman" w:cs="Times New Roman"/>
        </w:rPr>
        <w:t>hányinger és hányás (metformin mellett „gyakori” volt), flatulencia (metformin vagy pioglitazon mellett „gyakori” volt), székrekedés (szulfonilurea és metformin kombinációja mellett „gyakori” volt), perifériás oedema (pioglitazon vagy a pioglitazon és metformin kombinációja mellett „gyakori” volt), aluszékonyság és hasmenés (metformin mellett „nem gyakori” volt), valamint a szájszárazság ([metforminnal vagy anélkül kapott] inzulin mellett „nem gyakori” volt).</w:t>
      </w:r>
    </w:p>
    <w:p w14:paraId="5B0E029A" w14:textId="77777777" w:rsidR="00DD6391" w:rsidRDefault="00DD6391">
      <w:pPr>
        <w:spacing w:line="240" w:lineRule="auto"/>
        <w:rPr>
          <w:rFonts w:ascii="Times New Roman" w:hAnsi="Times New Roman" w:cs="Times New Roman"/>
        </w:rPr>
      </w:pPr>
    </w:p>
    <w:p w14:paraId="4386A1B7"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Gyermekek és serdülők</w:t>
      </w:r>
    </w:p>
    <w:p w14:paraId="1EF6C62B" w14:textId="77777777" w:rsidR="00DD6391" w:rsidRDefault="00CF2099">
      <w:pPr>
        <w:spacing w:line="240" w:lineRule="auto"/>
        <w:rPr>
          <w:rFonts w:ascii="Times New Roman" w:hAnsi="Times New Roman" w:cs="Times New Roman"/>
        </w:rPr>
      </w:pPr>
      <w:r>
        <w:rPr>
          <w:rFonts w:ascii="Times New Roman" w:hAnsi="Times New Roman" w:cs="Times New Roman"/>
        </w:rPr>
        <w:t>A 2</w:t>
      </w:r>
      <w:r>
        <w:rPr>
          <w:rFonts w:ascii="Times New Roman" w:hAnsi="Times New Roman" w:cs="Times New Roman"/>
        </w:rPr>
        <w:noBreakHyphen/>
        <w:t>es típusú diabetes mellitusban szenvedő, 10</w:t>
      </w:r>
      <w:r>
        <w:rPr>
          <w:rFonts w:ascii="Times New Roman" w:hAnsi="Times New Roman" w:cs="Times New Roman"/>
        </w:rPr>
        <w:noBreakHyphen/>
        <w:t>17 éves gyermekek és serdülők bevonásával végzett klinikai vizsgálatokban a mellékhatásprofil hasonló volt a felnőtteknél megfigyelthez.</w:t>
      </w:r>
    </w:p>
    <w:p w14:paraId="7C1D2D8B" w14:textId="77777777" w:rsidR="00DD6391" w:rsidRDefault="00DD6391">
      <w:pPr>
        <w:spacing w:line="240" w:lineRule="auto"/>
        <w:rPr>
          <w:rFonts w:ascii="Times New Roman" w:hAnsi="Times New Roman" w:cs="Times New Roman"/>
        </w:rPr>
      </w:pPr>
    </w:p>
    <w:p w14:paraId="06692A1B" w14:textId="77777777" w:rsidR="00DD6391" w:rsidRDefault="00CF2099">
      <w:pPr>
        <w:spacing w:line="240" w:lineRule="auto"/>
        <w:rPr>
          <w:rFonts w:ascii="Times New Roman" w:hAnsi="Times New Roman" w:cs="Times New Roman"/>
          <w:i/>
        </w:rPr>
      </w:pPr>
      <w:r>
        <w:rPr>
          <w:rFonts w:ascii="Times New Roman" w:hAnsi="Times New Roman" w:cs="Times New Roman"/>
          <w:i/>
        </w:rPr>
        <w:t>TECOS cardiovascularis biztonságossági vizsgálat</w:t>
      </w:r>
    </w:p>
    <w:p w14:paraId="0B8103FC"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mellett megfigyelt cardiovascularis (CV) végpontokat értékelő vizsgálatban (TECOS – Trial Evaluating Cardiovascular Outcomes with Sitagliptin) 7332, napi 100 mg (vagy ≥ 30 és &lt; 50 ml/perc/1,73 m</w:t>
      </w:r>
      <w:r>
        <w:rPr>
          <w:rFonts w:ascii="Times New Roman" w:hAnsi="Times New Roman" w:cs="Times New Roman"/>
          <w:vertAlign w:val="superscript"/>
        </w:rPr>
        <w:t>2</w:t>
      </w:r>
      <w:r>
        <w:rPr>
          <w:rFonts w:ascii="Times New Roman" w:hAnsi="Times New Roman" w:cs="Times New Roman"/>
        </w:rPr>
        <w:t xml:space="preserve"> értékű kiindulási eGFR esetén napi 50 mg) szitagliptinnel kezelt, valamint 7339 placebóval kezelt beteg vett részt a beválasztás szerinti populációban.</w:t>
      </w:r>
    </w:p>
    <w:p w14:paraId="6F829A88" w14:textId="77777777" w:rsidR="00DD6391" w:rsidRDefault="00CF2099">
      <w:pPr>
        <w:spacing w:line="240" w:lineRule="auto"/>
        <w:rPr>
          <w:rFonts w:ascii="Times New Roman" w:hAnsi="Times New Roman" w:cs="Times New Roman"/>
        </w:rPr>
      </w:pPr>
      <w:r>
        <w:rPr>
          <w:rFonts w:ascii="Times New Roman" w:hAnsi="Times New Roman" w:cs="Times New Roman"/>
        </w:rPr>
        <w:t>Mindkét kezelést a HbA</w:t>
      </w:r>
      <w:r>
        <w:rPr>
          <w:rFonts w:ascii="Times New Roman" w:hAnsi="Times New Roman" w:cs="Times New Roman"/>
          <w:vertAlign w:val="subscript"/>
        </w:rPr>
        <w:t>1c</w:t>
      </w:r>
      <w:r>
        <w:rPr>
          <w:rFonts w:ascii="Times New Roman" w:hAnsi="Times New Roman" w:cs="Times New Roman"/>
        </w:rPr>
        <w:t xml:space="preserve"> és CV kockázati tényezőkre vonatkozó regionális standardokat célzó általános kezelés mellett alkalmazták. A szitagliptint alkalmazó betegeknél fellépő, súlyos nemkívánatos események összesített előfordulási gyakorisága hasonló volt a placebót kapóknál megfigyelthez.</w:t>
      </w:r>
    </w:p>
    <w:p w14:paraId="006F5842" w14:textId="77777777" w:rsidR="00DD6391" w:rsidRDefault="00DD6391">
      <w:pPr>
        <w:spacing w:line="240" w:lineRule="auto"/>
        <w:rPr>
          <w:rFonts w:ascii="Times New Roman" w:hAnsi="Times New Roman" w:cs="Times New Roman"/>
        </w:rPr>
      </w:pPr>
    </w:p>
    <w:p w14:paraId="4A999166" w14:textId="77777777" w:rsidR="00DD6391" w:rsidRDefault="00CF2099">
      <w:pPr>
        <w:spacing w:line="240" w:lineRule="auto"/>
        <w:rPr>
          <w:rFonts w:ascii="Times New Roman" w:hAnsi="Times New Roman" w:cs="Times New Roman"/>
        </w:rPr>
      </w:pPr>
      <w:r>
        <w:rPr>
          <w:rFonts w:ascii="Times New Roman" w:hAnsi="Times New Roman" w:cs="Times New Roman"/>
        </w:rPr>
        <w:t>A beválasztás szerinti populációban a kiinduláskor inzulint és/vagy szulfonilureát kapó betegeknél a súlyos hypoglykaemia előfordulási aránya 2,7% volt a szitagliptinnel kezelt betegeknél, és 2,5% a placebóval kezelteknél. Az inzulint és/vagy szulfonilureát a kiinduláskor nem kapó betegeknél a súlyos hypoglykaemia előfordulási aránya 1,0% volt a szitagliptinnel kezelt betegeknél, és 0,7% a placebóval kezelteknél. Az igazolt pancreatitis események előfordulási aránya 0,3% volt a szitagliptinnel kezelt betegeknél, és 0,2% a placebóval kezelteknél.</w:t>
      </w:r>
    </w:p>
    <w:p w14:paraId="006BE375" w14:textId="77777777" w:rsidR="00DD6391" w:rsidRDefault="00DD6391">
      <w:pPr>
        <w:spacing w:line="240" w:lineRule="auto"/>
        <w:rPr>
          <w:rFonts w:ascii="Times New Roman" w:hAnsi="Times New Roman" w:cs="Times New Roman"/>
          <w:u w:val="single"/>
        </w:rPr>
      </w:pPr>
    </w:p>
    <w:p w14:paraId="46019F93"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Feltételezett mellékhatások bejelentése</w:t>
      </w:r>
    </w:p>
    <w:p w14:paraId="47539A5A" w14:textId="77777777" w:rsidR="00DD6391" w:rsidRDefault="00CF2099">
      <w:pPr>
        <w:spacing w:line="240" w:lineRule="auto"/>
        <w:rPr>
          <w:rFonts w:ascii="Times New Roman" w:hAnsi="Times New Roman" w:cs="Times New Roman"/>
        </w:rPr>
      </w:pPr>
      <w:r>
        <w:rPr>
          <w:rFonts w:ascii="Times New Roman" w:hAnsi="Times New Roman" w:cs="Times New Roman"/>
        </w:rPr>
        <w:t>A gyógyszer engedélyezését követően lényeges a feltételezett mellékhatások bejelentése, mert ez fontos eszköze annak, hogy a gyógyszer előny/kockázat profilját folyamatosan figyelemmel lehessen kísérni.</w:t>
      </w:r>
    </w:p>
    <w:p w14:paraId="6D554CBA" w14:textId="7B69B1E5" w:rsidR="00DD6391" w:rsidRDefault="00CF2099">
      <w:pPr>
        <w:spacing w:line="240" w:lineRule="auto"/>
        <w:rPr>
          <w:rFonts w:ascii="Times New Roman" w:hAnsi="Times New Roman" w:cs="Times New Roman"/>
        </w:rPr>
      </w:pPr>
      <w:r>
        <w:rPr>
          <w:rFonts w:ascii="Times New Roman" w:hAnsi="Times New Roman" w:cs="Times New Roman"/>
        </w:rPr>
        <w:t xml:space="preserve">Az egészségügyi szakembereket kérjük, hogy jelentsék be a feltételezett mellékhatásokat a hatóság részére az </w:t>
      </w:r>
      <w:hyperlink r:id="rId8">
        <w:r>
          <w:rPr>
            <w:rFonts w:ascii="Times New Roman" w:hAnsi="Times New Roman" w:cs="Times New Roman"/>
            <w:color w:val="0000FF"/>
            <w:highlight w:val="lightGray"/>
            <w:u w:val="single"/>
          </w:rPr>
          <w:t>V. függelékben</w:t>
        </w:r>
      </w:hyperlink>
      <w:r>
        <w:rPr>
          <w:rFonts w:ascii="Times New Roman" w:hAnsi="Times New Roman" w:cs="Times New Roman"/>
          <w:highlight w:val="lightGray"/>
        </w:rPr>
        <w:t xml:space="preserve"> található elérhetőségek valamelyikén keresztül</w:t>
      </w:r>
      <w:r>
        <w:rPr>
          <w:rFonts w:ascii="Times New Roman" w:hAnsi="Times New Roman" w:cs="Times New Roman"/>
        </w:rPr>
        <w:t>.</w:t>
      </w:r>
    </w:p>
    <w:p w14:paraId="7C6D7A32" w14:textId="77777777" w:rsidR="00DD6391" w:rsidRDefault="00DD6391">
      <w:pPr>
        <w:spacing w:line="240" w:lineRule="auto"/>
        <w:rPr>
          <w:rFonts w:ascii="Times New Roman" w:hAnsi="Times New Roman" w:cs="Times New Roman"/>
          <w:u w:val="single"/>
        </w:rPr>
      </w:pPr>
    </w:p>
    <w:p w14:paraId="0EF5CF78"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4.9</w:t>
      </w:r>
      <w:r>
        <w:rPr>
          <w:rFonts w:ascii="Times New Roman" w:eastAsia="Times New Roman" w:hAnsi="Times New Roman" w:cs="Times New Roman"/>
          <w:b/>
          <w:bCs/>
          <w:lang w:eastAsia="en-US"/>
        </w:rPr>
        <w:tab/>
        <w:t>Túladagolás</w:t>
      </w:r>
    </w:p>
    <w:p w14:paraId="0724F973" w14:textId="77777777" w:rsidR="00DD6391" w:rsidRDefault="00DD6391">
      <w:pPr>
        <w:tabs>
          <w:tab w:val="clear" w:pos="567"/>
        </w:tabs>
        <w:spacing w:line="240" w:lineRule="auto"/>
        <w:ind w:left="567" w:hanging="567"/>
        <w:outlineLvl w:val="0"/>
        <w:rPr>
          <w:rFonts w:ascii="Times New Roman" w:hAnsi="Times New Roman" w:cs="Times New Roman"/>
        </w:rPr>
      </w:pPr>
    </w:p>
    <w:p w14:paraId="308275DD" w14:textId="77777777" w:rsidR="00DD6391" w:rsidRDefault="00CF2099">
      <w:pPr>
        <w:spacing w:line="240" w:lineRule="auto"/>
        <w:rPr>
          <w:rFonts w:ascii="Times New Roman" w:hAnsi="Times New Roman" w:cs="Times New Roman"/>
        </w:rPr>
      </w:pPr>
      <w:r>
        <w:rPr>
          <w:rFonts w:ascii="Times New Roman" w:hAnsi="Times New Roman" w:cs="Times New Roman"/>
        </w:rPr>
        <w:t>A kontrollos klinikai vizsgálatok során egészséges résztvevők legfeljebb 800 mg, egyszeri szitagliptin-dózist kaptak. Egy vizsgálatban a szitagliptin 800 mg</w:t>
      </w:r>
      <w:r>
        <w:rPr>
          <w:rFonts w:ascii="Times New Roman" w:hAnsi="Times New Roman" w:cs="Times New Roman"/>
        </w:rPr>
        <w:noBreakHyphen/>
        <w:t>os dózisa mellett minimális, klinikailag nem releváns mértékű QTc-emelkedést figyeltek meg. Klinikai vizsgálatokban 800 mg feletti dózissal kapcsolatban nincs tapasztalat. Az I. fázisú, ismételt adagolású vizsgálatok során legfeljebb 10 napig adagolt, naponta legfeljebb 600 mg szitagliptin-dózis, illetve legfeljebb 28 napig adagolt, naponta legfeljebb 400 mg szitagliptin-dózis mellett nem figyeltek meg dózisfüggő klinikai mellékhatásokat.</w:t>
      </w:r>
    </w:p>
    <w:p w14:paraId="17F064E5" w14:textId="77777777" w:rsidR="00DD6391" w:rsidRDefault="00DD6391">
      <w:pPr>
        <w:spacing w:line="240" w:lineRule="auto"/>
        <w:rPr>
          <w:rFonts w:ascii="Times New Roman" w:hAnsi="Times New Roman" w:cs="Times New Roman"/>
        </w:rPr>
      </w:pPr>
    </w:p>
    <w:p w14:paraId="7C5B7536" w14:textId="77777777" w:rsidR="00DD6391" w:rsidRDefault="00CF2099">
      <w:pPr>
        <w:spacing w:line="240" w:lineRule="auto"/>
        <w:rPr>
          <w:rFonts w:ascii="Times New Roman" w:hAnsi="Times New Roman" w:cs="Times New Roman"/>
        </w:rPr>
      </w:pPr>
      <w:r>
        <w:rPr>
          <w:rFonts w:ascii="Times New Roman" w:hAnsi="Times New Roman" w:cs="Times New Roman"/>
        </w:rPr>
        <w:t>Túladagolás esetén helyénvaló az általános szupportív eljárások alkalmazása, például a fel nem szívódott anyag eltávolítása a tápcsatornából, klinikai megfigyelés (EKG készítését is beleértve), valamint szükség esetén szupportív terápia bevezetése.</w:t>
      </w:r>
    </w:p>
    <w:p w14:paraId="5BAC9885" w14:textId="77777777" w:rsidR="00DD6391" w:rsidRDefault="00DD6391">
      <w:pPr>
        <w:spacing w:line="240" w:lineRule="auto"/>
        <w:rPr>
          <w:rFonts w:ascii="Times New Roman" w:hAnsi="Times New Roman" w:cs="Times New Roman"/>
        </w:rPr>
      </w:pPr>
    </w:p>
    <w:p w14:paraId="0764028F"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közepes mértékben dializálható. A klinikai vizsgálatokban a dózis hozzávetőleg 13,5%</w:t>
      </w:r>
      <w:r>
        <w:rPr>
          <w:rFonts w:ascii="Times New Roman" w:hAnsi="Times New Roman" w:cs="Times New Roman"/>
        </w:rPr>
        <w:noBreakHyphen/>
        <w:t>a volt eltávolítható egy 3</w:t>
      </w:r>
      <w:r>
        <w:rPr>
          <w:rFonts w:ascii="Times New Roman" w:hAnsi="Times New Roman" w:cs="Times New Roman"/>
        </w:rPr>
        <w:noBreakHyphen/>
        <w:t>4 órás hemodialízis-kezelés során. Amennyiben klinikailag indokolt, fontolóra kell venni a hosszabb ideig tartó hemodialízis lehetőségét. Nem ismert, hogy a szitagliptin dializálható-e peritoneális dialízissel.</w:t>
      </w:r>
    </w:p>
    <w:p w14:paraId="22C2CC11" w14:textId="77777777" w:rsidR="00DD6391" w:rsidRDefault="00DD6391">
      <w:pPr>
        <w:spacing w:line="240" w:lineRule="auto"/>
        <w:ind w:left="567" w:hanging="567"/>
        <w:outlineLvl w:val="0"/>
        <w:rPr>
          <w:rFonts w:ascii="Times New Roman" w:hAnsi="Times New Roman" w:cs="Times New Roman"/>
        </w:rPr>
      </w:pPr>
    </w:p>
    <w:p w14:paraId="261B70C9" w14:textId="77777777" w:rsidR="00DD6391" w:rsidRDefault="00DD6391">
      <w:pPr>
        <w:spacing w:line="240" w:lineRule="auto"/>
        <w:ind w:left="567" w:hanging="567"/>
        <w:outlineLvl w:val="0"/>
        <w:rPr>
          <w:rFonts w:ascii="Times New Roman" w:hAnsi="Times New Roman" w:cs="Times New Roman"/>
        </w:rPr>
      </w:pPr>
    </w:p>
    <w:p w14:paraId="05C282E0"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5.</w:t>
      </w:r>
      <w:r>
        <w:rPr>
          <w:rFonts w:ascii="Times New Roman" w:eastAsia="Times New Roman" w:hAnsi="Times New Roman" w:cs="Times New Roman"/>
          <w:b/>
          <w:bCs/>
          <w:lang w:eastAsia="en-US"/>
        </w:rPr>
        <w:tab/>
        <w:t>FARMAKOLÓGIAI TULAJDONSÁGOK</w:t>
      </w:r>
    </w:p>
    <w:p w14:paraId="1223732A" w14:textId="77777777" w:rsidR="00DD6391" w:rsidRDefault="00DD6391">
      <w:pPr>
        <w:tabs>
          <w:tab w:val="clear" w:pos="567"/>
        </w:tabs>
        <w:spacing w:line="240" w:lineRule="auto"/>
        <w:ind w:left="567" w:hanging="567"/>
        <w:outlineLvl w:val="0"/>
        <w:rPr>
          <w:rFonts w:ascii="Times New Roman" w:eastAsia="Times New Roman" w:hAnsi="Times New Roman" w:cs="Times New Roman"/>
          <w:lang w:eastAsia="en-US"/>
        </w:rPr>
      </w:pPr>
    </w:p>
    <w:p w14:paraId="7505D70A" w14:textId="77777777" w:rsidR="00DD6391" w:rsidRDefault="00CF2099">
      <w:pPr>
        <w:tabs>
          <w:tab w:val="clear" w:pos="567"/>
        </w:tabs>
        <w:spacing w:line="240" w:lineRule="auto"/>
        <w:ind w:left="567" w:hanging="567"/>
        <w:outlineLvl w:val="0"/>
        <w:rPr>
          <w:rFonts w:ascii="Times New Roman" w:eastAsia="Times New Roman" w:hAnsi="Times New Roman" w:cs="Times New Roman"/>
          <w:b/>
          <w:bCs/>
          <w:lang w:eastAsia="en-US"/>
        </w:rPr>
      </w:pPr>
      <w:r>
        <w:rPr>
          <w:rFonts w:ascii="Times New Roman" w:eastAsia="Times New Roman" w:hAnsi="Times New Roman" w:cs="Times New Roman"/>
          <w:b/>
          <w:bCs/>
          <w:lang w:eastAsia="en-US"/>
        </w:rPr>
        <w:t>5.1</w:t>
      </w:r>
      <w:r>
        <w:rPr>
          <w:rFonts w:ascii="Times New Roman" w:eastAsia="Times New Roman" w:hAnsi="Times New Roman" w:cs="Times New Roman"/>
          <w:b/>
          <w:bCs/>
          <w:lang w:eastAsia="en-US"/>
        </w:rPr>
        <w:tab/>
        <w:t>Farmakodinámiás tulajdonságok</w:t>
      </w:r>
    </w:p>
    <w:p w14:paraId="7C179117" w14:textId="77777777" w:rsidR="00DD6391" w:rsidRDefault="00DD6391">
      <w:pPr>
        <w:tabs>
          <w:tab w:val="clear" w:pos="567"/>
        </w:tabs>
        <w:spacing w:line="240" w:lineRule="auto"/>
        <w:ind w:left="567" w:hanging="567"/>
        <w:rPr>
          <w:rFonts w:ascii="Times New Roman" w:eastAsia="Times New Roman" w:hAnsi="Times New Roman" w:cs="Times New Roman"/>
          <w:lang w:eastAsia="en-US"/>
        </w:rPr>
      </w:pPr>
    </w:p>
    <w:p w14:paraId="2F26264D" w14:textId="77777777" w:rsidR="00DD6391" w:rsidRDefault="00CF2099">
      <w:pPr>
        <w:spacing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Farmakoterápiás csoport: Antidiabetikus terápia, Dipeptidil-peptidáz</w:t>
      </w:r>
      <w:r>
        <w:rPr>
          <w:rFonts w:ascii="Times New Roman" w:eastAsia="Times New Roman" w:hAnsi="Times New Roman" w:cs="Times New Roman"/>
          <w:lang w:eastAsia="en-US"/>
        </w:rPr>
        <w:noBreakHyphen/>
        <w:t>4- (DPP</w:t>
      </w:r>
      <w:r>
        <w:rPr>
          <w:rFonts w:ascii="Times New Roman" w:eastAsia="Times New Roman" w:hAnsi="Times New Roman" w:cs="Times New Roman"/>
          <w:lang w:eastAsia="en-US"/>
        </w:rPr>
        <w:noBreakHyphen/>
        <w:t>4) inhibitorok, ATC kód: A10BH01</w:t>
      </w:r>
    </w:p>
    <w:p w14:paraId="6598370E" w14:textId="77777777" w:rsidR="00DD6391" w:rsidRDefault="00DD6391">
      <w:pPr>
        <w:spacing w:line="240" w:lineRule="auto"/>
        <w:rPr>
          <w:rFonts w:ascii="Times New Roman" w:eastAsia="Times New Roman" w:hAnsi="Times New Roman" w:cs="Times New Roman"/>
          <w:lang w:eastAsia="en-US"/>
        </w:rPr>
      </w:pPr>
    </w:p>
    <w:p w14:paraId="1B85012F"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Hatásmechanizmus</w:t>
      </w:r>
    </w:p>
    <w:p w14:paraId="588B2D88" w14:textId="77777777" w:rsidR="00DD6391" w:rsidRDefault="00CF2099">
      <w:pPr>
        <w:spacing w:line="240" w:lineRule="auto"/>
        <w:rPr>
          <w:rFonts w:ascii="Times New Roman" w:hAnsi="Times New Roman" w:cs="Times New Roman"/>
        </w:rPr>
      </w:pPr>
      <w:r>
        <w:rPr>
          <w:rFonts w:ascii="Times New Roman" w:hAnsi="Times New Roman" w:cs="Times New Roman"/>
        </w:rPr>
        <w:lastRenderedPageBreak/>
        <w:t>A szitagliptin a dipeptidil-peptidáz</w:t>
      </w:r>
      <w:r>
        <w:rPr>
          <w:rFonts w:ascii="Times New Roman" w:hAnsi="Times New Roman" w:cs="Times New Roman"/>
        </w:rPr>
        <w:noBreakHyphen/>
        <w:t>4- (DPP-4) inhibitorként ismert orális antidiabetikumok osztályának a tagja. A glykaemiás kontroll e gyógyszer alkalmazása mellett megfigyelt javulása az aktív inkretin hormonok szintjének növelésével állhat összefüggésben. Az inkretin hormonokat – beleértve a glükagonszerű peptid</w:t>
      </w:r>
      <w:r>
        <w:rPr>
          <w:rFonts w:ascii="Times New Roman" w:hAnsi="Times New Roman" w:cs="Times New Roman"/>
        </w:rPr>
        <w:noBreakHyphen/>
        <w:t>1</w:t>
      </w:r>
      <w:r>
        <w:rPr>
          <w:rFonts w:ascii="Times New Roman" w:hAnsi="Times New Roman" w:cs="Times New Roman"/>
        </w:rPr>
        <w:noBreakHyphen/>
        <w:t>et (GLP</w:t>
      </w:r>
      <w:r>
        <w:rPr>
          <w:rFonts w:ascii="Times New Roman" w:hAnsi="Times New Roman" w:cs="Times New Roman"/>
        </w:rPr>
        <w:noBreakHyphen/>
        <w:t>1) és a glükózdependens inzulinotróp polipeptidet (GIP) – a bél egész nap termeli, és szintjük az étkezést követően megnő. Az inkretinek a glükózhomeosztázis fiziológiás szabályozásában szerepet játszó endogén rendszer részei. Normál vagy emelkedett vércukor-koncentráció esetén a GLP</w:t>
      </w:r>
      <w:r>
        <w:rPr>
          <w:rFonts w:ascii="Times New Roman" w:hAnsi="Times New Roman" w:cs="Times New Roman"/>
        </w:rPr>
        <w:noBreakHyphen/>
        <w:t>1 és a GIP, a ciklikus AMP</w:t>
      </w:r>
      <w:r>
        <w:rPr>
          <w:rFonts w:ascii="Times New Roman" w:hAnsi="Times New Roman" w:cs="Times New Roman"/>
        </w:rPr>
        <w:noBreakHyphen/>
        <w:t>vel működő intracelluláris jelátvitelen keresztül fokozzák a pancreas béta-sejtjeiben az inzulin termelését és felszabadulását. A GLP</w:t>
      </w:r>
      <w:r>
        <w:rPr>
          <w:rFonts w:ascii="Times New Roman" w:hAnsi="Times New Roman" w:cs="Times New Roman"/>
        </w:rPr>
        <w:noBreakHyphen/>
        <w:t>1 vagy a DPP</w:t>
      </w:r>
      <w:r>
        <w:rPr>
          <w:rFonts w:ascii="Times New Roman" w:hAnsi="Times New Roman" w:cs="Times New Roman"/>
        </w:rPr>
        <w:noBreakHyphen/>
        <w:t>4-inhibitorokkal történő kezelés a 2</w:t>
      </w:r>
      <w:r>
        <w:rPr>
          <w:rFonts w:ascii="Times New Roman" w:hAnsi="Times New Roman" w:cs="Times New Roman"/>
        </w:rPr>
        <w:noBreakHyphen/>
        <w:t>es típusú diabeteses állatokkal végzett kísérletek során javította a béta-sejtek glükózzal szemben mutatott válaszkészségét, valamint stimulálta az inzulin bioszintézisét és felszabadulását. A magasabb inzulinszint mellett megélénkül a szövetek glükózfelvétele. A GLP</w:t>
      </w:r>
      <w:r>
        <w:rPr>
          <w:rFonts w:ascii="Times New Roman" w:hAnsi="Times New Roman" w:cs="Times New Roman"/>
        </w:rPr>
        <w:noBreakHyphen/>
        <w:t>1 ezen kívül csökkenti a pancreas alfa-sejtjeinek glükagonkiválasztását. A csökkent glükagonkoncentráció és a magasabb inzulinszint a máj glükóztermelésének visszaeséséhez vezet, ami a vércukorszint csökkenését eredményezi. A GLP</w:t>
      </w:r>
      <w:r>
        <w:rPr>
          <w:rFonts w:ascii="Times New Roman" w:hAnsi="Times New Roman" w:cs="Times New Roman"/>
        </w:rPr>
        <w:noBreakHyphen/>
        <w:t>1 és a GIP hatását tekintve glükózdependens, így alacsony vércukor-koncentráció esetén a GLP</w:t>
      </w:r>
      <w:r>
        <w:rPr>
          <w:rFonts w:ascii="Times New Roman" w:hAnsi="Times New Roman" w:cs="Times New Roman"/>
        </w:rPr>
        <w:noBreakHyphen/>
        <w:t>1 nem stimulálja az inzulinfelszabadulást, és nem szupprimálja a glükagonelválasztást. Mind a GLP</w:t>
      </w:r>
      <w:r>
        <w:rPr>
          <w:rFonts w:ascii="Times New Roman" w:hAnsi="Times New Roman" w:cs="Times New Roman"/>
        </w:rPr>
        <w:noBreakHyphen/>
        <w:t>1, mind a GIP esetében az inzulinfelszabadulás stimulálása felerősödik, ahogy a glükózkoncentráció a normál érték fölé emelkedik. Továbbá a GLP</w:t>
      </w:r>
      <w:r>
        <w:rPr>
          <w:rFonts w:ascii="Times New Roman" w:hAnsi="Times New Roman" w:cs="Times New Roman"/>
        </w:rPr>
        <w:noBreakHyphen/>
        <w:t>1 a hypoglykaemiára adott normál glükagonválaszt nem gátolja. A GLP</w:t>
      </w:r>
      <w:r>
        <w:rPr>
          <w:rFonts w:ascii="Times New Roman" w:hAnsi="Times New Roman" w:cs="Times New Roman"/>
        </w:rPr>
        <w:noBreakHyphen/>
        <w:t>1 és GIP aktivitását a DPP</w:t>
      </w:r>
      <w:r>
        <w:rPr>
          <w:rFonts w:ascii="Times New Roman" w:hAnsi="Times New Roman" w:cs="Times New Roman"/>
        </w:rPr>
        <w:noBreakHyphen/>
        <w:t>4 enzim korlátozza, ami gyorsan inaktív termékekké hidrolizálja az inkretin hormonokat. A szitagliptin megakadályozza az inkretin hormonok DPP</w:t>
      </w:r>
      <w:r>
        <w:rPr>
          <w:rFonts w:ascii="Times New Roman" w:hAnsi="Times New Roman" w:cs="Times New Roman"/>
        </w:rPr>
        <w:noBreakHyphen/>
        <w:t>4 általi hidrolízisét, ezáltal növelve az aktív GLP</w:t>
      </w:r>
      <w:r>
        <w:rPr>
          <w:rFonts w:ascii="Times New Roman" w:hAnsi="Times New Roman" w:cs="Times New Roman"/>
        </w:rPr>
        <w:noBreakHyphen/>
        <w:t>1 és GIP plazmakoncentrációját. Az aktív inkretinek szintjének növelésével a szitagliptin glükózdependens módon növeli az inzulin felszabadulását, és csökkenti a glükagon szintjét. 2</w:t>
      </w:r>
      <w:r>
        <w:rPr>
          <w:rFonts w:ascii="Times New Roman" w:hAnsi="Times New Roman" w:cs="Times New Roman"/>
        </w:rPr>
        <w:noBreakHyphen/>
        <w:t>es típusú diabetesben szenvedő, hyperglykaemiás betegeknél az inzulin és glükagon szintjének ezen változásai alacsonyabb hemoglobin A</w:t>
      </w:r>
      <w:r>
        <w:rPr>
          <w:rFonts w:ascii="Times New Roman" w:hAnsi="Times New Roman" w:cs="Times New Roman"/>
          <w:vertAlign w:val="subscript"/>
        </w:rPr>
        <w:t>1c</w:t>
      </w:r>
      <w:r>
        <w:rPr>
          <w:rFonts w:ascii="Times New Roman" w:hAnsi="Times New Roman" w:cs="Times New Roman"/>
        </w:rPr>
        <w:t>- (HbA</w:t>
      </w:r>
      <w:r>
        <w:rPr>
          <w:rFonts w:ascii="Times New Roman" w:hAnsi="Times New Roman" w:cs="Times New Roman"/>
          <w:vertAlign w:val="subscript"/>
        </w:rPr>
        <w:t>1c</w:t>
      </w:r>
      <w:r>
        <w:rPr>
          <w:rFonts w:ascii="Times New Roman" w:hAnsi="Times New Roman" w:cs="Times New Roman"/>
        </w:rPr>
        <w:t>) szinthez, valamint alacsonyabb éhomi és posztprandiális glükózkoncentrációhoz vezetnek. A szitagliptin glükózdependens mechanizmusa különbözik a szulfonilureák mechanizmusától, ami még alacsony glükózszint mellett is növeli az inzulinkiválasztást, ami 2</w:t>
      </w:r>
      <w:r>
        <w:rPr>
          <w:rFonts w:ascii="Times New Roman" w:hAnsi="Times New Roman" w:cs="Times New Roman"/>
        </w:rPr>
        <w:noBreakHyphen/>
        <w:t>es típusú diabetesben szenvedő betegeknél és egészséges személyeknél is hypoglykaemiához vezethet. A szitagliptin a DPP</w:t>
      </w:r>
      <w:r>
        <w:rPr>
          <w:rFonts w:ascii="Times New Roman" w:hAnsi="Times New Roman" w:cs="Times New Roman"/>
        </w:rPr>
        <w:noBreakHyphen/>
        <w:t>4 enzim hatékony és igen szelektív inhibitora, és terápiás koncentrációban nem gátolja a nagyon hasonló DPP</w:t>
      </w:r>
      <w:r>
        <w:rPr>
          <w:rFonts w:ascii="Times New Roman" w:hAnsi="Times New Roman" w:cs="Times New Roman"/>
        </w:rPr>
        <w:noBreakHyphen/>
        <w:t>8 és DPP</w:t>
      </w:r>
      <w:r>
        <w:rPr>
          <w:rFonts w:ascii="Times New Roman" w:hAnsi="Times New Roman" w:cs="Times New Roman"/>
        </w:rPr>
        <w:noBreakHyphen/>
        <w:t>9 enzimeket.</w:t>
      </w:r>
    </w:p>
    <w:p w14:paraId="6E5EA2DB" w14:textId="77777777" w:rsidR="00DD6391" w:rsidRDefault="00DD6391">
      <w:pPr>
        <w:spacing w:line="240" w:lineRule="auto"/>
        <w:rPr>
          <w:rFonts w:ascii="Times New Roman" w:hAnsi="Times New Roman" w:cs="Times New Roman"/>
        </w:rPr>
      </w:pPr>
    </w:p>
    <w:p w14:paraId="3F9A8D57" w14:textId="77777777" w:rsidR="00DD6391" w:rsidRDefault="00CF2099">
      <w:pPr>
        <w:spacing w:line="240" w:lineRule="auto"/>
        <w:rPr>
          <w:rFonts w:ascii="Times New Roman" w:hAnsi="Times New Roman" w:cs="Times New Roman"/>
        </w:rPr>
      </w:pPr>
      <w:r>
        <w:rPr>
          <w:rFonts w:ascii="Times New Roman" w:hAnsi="Times New Roman" w:cs="Times New Roman"/>
        </w:rPr>
        <w:t>Egy egészséges résztvevőkkel folytatott, kétnapos vizsgálat során, az önmagában adagolt szitagliptin növelte az aktív GLP</w:t>
      </w:r>
      <w:r>
        <w:rPr>
          <w:rFonts w:ascii="Times New Roman" w:hAnsi="Times New Roman" w:cs="Times New Roman"/>
        </w:rPr>
        <w:noBreakHyphen/>
        <w:t>1-koncentrációkat, míg az önmagában adagolt metformin hasonló mértékben növelte mind az aktív GLP</w:t>
      </w:r>
      <w:r>
        <w:rPr>
          <w:rFonts w:ascii="Times New Roman" w:hAnsi="Times New Roman" w:cs="Times New Roman"/>
        </w:rPr>
        <w:noBreakHyphen/>
        <w:t>1-koncentrációt, mind pedig a GLP</w:t>
      </w:r>
      <w:r>
        <w:rPr>
          <w:rFonts w:ascii="Times New Roman" w:hAnsi="Times New Roman" w:cs="Times New Roman"/>
        </w:rPr>
        <w:noBreakHyphen/>
        <w:t>1 összkoncentrációt.</w:t>
      </w:r>
    </w:p>
    <w:p w14:paraId="272D1E18" w14:textId="77777777" w:rsidR="00DD6391" w:rsidRDefault="00CF2099">
      <w:pPr>
        <w:spacing w:line="240" w:lineRule="auto"/>
        <w:rPr>
          <w:rFonts w:ascii="Times New Roman" w:hAnsi="Times New Roman" w:cs="Times New Roman"/>
        </w:rPr>
      </w:pPr>
      <w:r>
        <w:rPr>
          <w:rFonts w:ascii="Times New Roman" w:hAnsi="Times New Roman" w:cs="Times New Roman"/>
        </w:rPr>
        <w:t>A szitagliptin metforminnal történő együttes adása additív hatással volt az aktív GLP</w:t>
      </w:r>
      <w:r>
        <w:rPr>
          <w:rFonts w:ascii="Times New Roman" w:hAnsi="Times New Roman" w:cs="Times New Roman"/>
        </w:rPr>
        <w:noBreakHyphen/>
        <w:t>1-koncentrációkra. Az aktív GIP-koncentrációkat a szitagliptin növelte, de a metformin nem.</w:t>
      </w:r>
    </w:p>
    <w:p w14:paraId="08E8503F" w14:textId="77777777" w:rsidR="00DD6391" w:rsidRDefault="00DD6391">
      <w:pPr>
        <w:spacing w:line="240" w:lineRule="auto"/>
        <w:rPr>
          <w:rFonts w:ascii="Times New Roman" w:hAnsi="Times New Roman" w:cs="Times New Roman"/>
          <w:u w:val="single"/>
        </w:rPr>
      </w:pPr>
    </w:p>
    <w:p w14:paraId="535B25FA"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Klinikai hatásosság és biztonságosság</w:t>
      </w:r>
    </w:p>
    <w:p w14:paraId="6ACCBE49" w14:textId="77777777" w:rsidR="00DD6391" w:rsidRDefault="00CF2099">
      <w:pPr>
        <w:spacing w:line="240" w:lineRule="auto"/>
        <w:rPr>
          <w:rFonts w:ascii="Times New Roman" w:hAnsi="Times New Roman" w:cs="Times New Roman"/>
        </w:rPr>
      </w:pPr>
      <w:r>
        <w:rPr>
          <w:rFonts w:ascii="Times New Roman" w:hAnsi="Times New Roman" w:cs="Times New Roman"/>
        </w:rPr>
        <w:t>Összességében véve a szitagliptin 2</w:t>
      </w:r>
      <w:r>
        <w:rPr>
          <w:rFonts w:ascii="Times New Roman" w:hAnsi="Times New Roman" w:cs="Times New Roman"/>
        </w:rPr>
        <w:noBreakHyphen/>
        <w:t>es típusú diabetesben szenvedő felnőtt betegeknél monoterápiában vagy kombinációs terápiában alkalmazva javította a glykaemiás kontrollt (lásd 2. táblázat).</w:t>
      </w:r>
    </w:p>
    <w:p w14:paraId="4BACE7E3" w14:textId="77777777" w:rsidR="00DD6391" w:rsidRDefault="00DD6391">
      <w:pPr>
        <w:spacing w:line="240" w:lineRule="auto"/>
        <w:rPr>
          <w:rFonts w:ascii="Times New Roman" w:hAnsi="Times New Roman" w:cs="Times New Roman"/>
          <w:u w:val="single"/>
        </w:rPr>
      </w:pPr>
    </w:p>
    <w:p w14:paraId="4348C28F" w14:textId="77777777" w:rsidR="00DD6391" w:rsidRDefault="00CF2099">
      <w:pPr>
        <w:spacing w:line="240" w:lineRule="auto"/>
        <w:rPr>
          <w:rFonts w:ascii="Times New Roman" w:hAnsi="Times New Roman" w:cs="Times New Roman"/>
        </w:rPr>
      </w:pPr>
      <w:r>
        <w:rPr>
          <w:rFonts w:ascii="Times New Roman" w:hAnsi="Times New Roman" w:cs="Times New Roman"/>
        </w:rPr>
        <w:t>A szitagliptin-monoterápia hatásosságát és biztonságosságát két vizsgálat során értékelték. A két, egyenként 18 és 24 hetes vizsgálatban a napi egyszeri 100 mg szitagliptinnel történő monoterápiás kezelés a placebóval összehasonlítva jelentős mértékben javította a HbA</w:t>
      </w:r>
      <w:r>
        <w:rPr>
          <w:rFonts w:ascii="Times New Roman" w:hAnsi="Times New Roman" w:cs="Times New Roman"/>
          <w:vertAlign w:val="subscript"/>
        </w:rPr>
        <w:t>1c</w:t>
      </w:r>
      <w:r>
        <w:rPr>
          <w:rFonts w:ascii="Times New Roman" w:hAnsi="Times New Roman" w:cs="Times New Roman"/>
        </w:rPr>
        <w:t xml:space="preserve">, az éhomi plazma-glükóz („fasting plasma glucose” </w:t>
      </w:r>
      <w:r>
        <w:rPr>
          <w:rFonts w:ascii="Times New Roman" w:hAnsi="Times New Roman" w:cs="Times New Roman"/>
        </w:rPr>
        <w:noBreakHyphen/>
        <w:t xml:space="preserve"> FPG) és az étkezést követő 2 órán belül mért glükóz (2 órás „post-prandial glucose” </w:t>
      </w:r>
      <w:r>
        <w:rPr>
          <w:rFonts w:ascii="Times New Roman" w:hAnsi="Times New Roman" w:cs="Times New Roman"/>
        </w:rPr>
        <w:noBreakHyphen/>
        <w:t xml:space="preserve"> PPG) szintjét. Javulás mutatkozott a bétasejt-funkcióra utaló helyettes markerek, köztük a HOMA</w:t>
      </w:r>
      <w:r>
        <w:rPr>
          <w:rFonts w:ascii="Times New Roman" w:hAnsi="Times New Roman" w:cs="Times New Roman"/>
        </w:rPr>
        <w:noBreakHyphen/>
        <w:t>β („Homeostasis Model Assessment</w:t>
      </w:r>
      <w:r>
        <w:rPr>
          <w:rFonts w:ascii="Times New Roman" w:hAnsi="Times New Roman" w:cs="Times New Roman"/>
        </w:rPr>
        <w:noBreakHyphen/>
        <w:t>β”), a proinzulin-inzulin arány, valamint a gyakori mintavétellel végzett étkezési toleranciateszt során mért bétasejt-válaszkészség terén. A szitagliptinnel kezelt betegek között előforduló hypoglykaemiás esetek előfordulási gyakorisága hasonló volt a placebóval kezeltek közt megfigyelthez. A szitagliptin-terápia mellett – a placebóval kezelt betegek enyhe testtömegcsökkenésével összehasonlítva – egyik vizsgálatban sem nőtt a kiindulási testtömeg.</w:t>
      </w:r>
    </w:p>
    <w:p w14:paraId="595CD2A5" w14:textId="77777777" w:rsidR="00DD6391" w:rsidRDefault="00DD6391">
      <w:pPr>
        <w:spacing w:line="240" w:lineRule="auto"/>
        <w:rPr>
          <w:rFonts w:ascii="Times New Roman" w:hAnsi="Times New Roman" w:cs="Times New Roman"/>
          <w:u w:val="single"/>
        </w:rPr>
      </w:pPr>
    </w:p>
    <w:p w14:paraId="5909F6F5" w14:textId="77777777" w:rsidR="00DD6391" w:rsidRDefault="00CF2099">
      <w:pPr>
        <w:spacing w:line="240" w:lineRule="auto"/>
        <w:rPr>
          <w:rFonts w:ascii="Times New Roman" w:hAnsi="Times New Roman" w:cs="Times New Roman"/>
        </w:rPr>
      </w:pPr>
      <w:r>
        <w:rPr>
          <w:rFonts w:ascii="Times New Roman" w:hAnsi="Times New Roman" w:cs="Times New Roman"/>
        </w:rPr>
        <w:t>Két 24 hetes vizsgálatban, melyek során a napi egyszer 100 mg szitagliptint hozzáadott terápiaként metforminnal, illetve pioglitazonnal kombinációban alkalmazták, a glykaemiás paraméterek jelentős javulását figyelték meg. A testtömegben a vizsgálat megkezdése óta bekövetkezett változás a szitagliptinnel kezelt betegek esetén a placebóhoz viszonyítva hasonló volt. E vizsgálatokban hasonló arányban jelentettek hypoglykaemiát a szitagliptinnel és a placebóval kezelt betegek között.</w:t>
      </w:r>
    </w:p>
    <w:p w14:paraId="6E53E7DF" w14:textId="77777777" w:rsidR="00DD6391" w:rsidRDefault="00DD6391">
      <w:pPr>
        <w:spacing w:line="240" w:lineRule="auto"/>
        <w:rPr>
          <w:rFonts w:ascii="Times New Roman" w:hAnsi="Times New Roman" w:cs="Times New Roman"/>
          <w:u w:val="single"/>
        </w:rPr>
      </w:pPr>
    </w:p>
    <w:p w14:paraId="23F3522C" w14:textId="77777777" w:rsidR="00DD6391" w:rsidRDefault="00CF2099">
      <w:pPr>
        <w:spacing w:line="240" w:lineRule="auto"/>
        <w:rPr>
          <w:rFonts w:ascii="Times New Roman" w:hAnsi="Times New Roman" w:cs="Times New Roman"/>
        </w:rPr>
      </w:pPr>
      <w:r>
        <w:rPr>
          <w:rFonts w:ascii="Times New Roman" w:hAnsi="Times New Roman" w:cs="Times New Roman"/>
        </w:rPr>
        <w:t>Az egyedül glimepiridhez, illetve glimepirid és metformin kombinációjához adott (napi egyszer 100 mg) szitagliptin hatásosságának és biztonságosságának értékelésére egy 24 hetes, placebokontrollos vizsgálatot végeztek. Az egyedül glimepiridhez vagy glimepirid és metformin kombinációjához adott szitagliptin jelentős javulást eredményezett a glykaemiás paraméterek terén. A szitagliptinnel kezelt betegek a placebót kapókhoz képest enyhe testtömeg-növekedést mutattak.</w:t>
      </w:r>
    </w:p>
    <w:p w14:paraId="48A414B6" w14:textId="77777777" w:rsidR="00DD6391" w:rsidRDefault="00DD6391">
      <w:pPr>
        <w:spacing w:line="240" w:lineRule="auto"/>
        <w:rPr>
          <w:rFonts w:ascii="Times New Roman" w:hAnsi="Times New Roman" w:cs="Times New Roman"/>
          <w:u w:val="single"/>
        </w:rPr>
      </w:pPr>
    </w:p>
    <w:p w14:paraId="59BB62D5" w14:textId="77777777" w:rsidR="00DD6391" w:rsidRDefault="00CF2099">
      <w:pPr>
        <w:spacing w:line="240" w:lineRule="auto"/>
        <w:rPr>
          <w:rFonts w:ascii="Times New Roman" w:hAnsi="Times New Roman" w:cs="Times New Roman"/>
        </w:rPr>
      </w:pPr>
      <w:r>
        <w:rPr>
          <w:rFonts w:ascii="Times New Roman" w:hAnsi="Times New Roman" w:cs="Times New Roman"/>
        </w:rPr>
        <w:t>Pioglitazon és metformin kombinációjához adott (napi egyszer 100 mg) szitagliptin hatásosságának és biztonságosságának értékelésére egy 26 hetes, placebokontrollos vizsgálatot terveztek. A pioglitazon és metformin kombinációjához adott szitagliptin a glykaemiás paraméterek jelentős javulását eredményezte. A kiindulási testtömegértékekben bekövetkező változás hasonló volt a szitagliptinnel kezelt betegek és a placebót kapó betegek esetében. A hypoglykaemia előfordulási gyakorisága szintén hasonló volt a szitagliptinnel kezelt betegek és a placebót kapó betegek esetében.</w:t>
      </w:r>
    </w:p>
    <w:p w14:paraId="04CB619F" w14:textId="77777777" w:rsidR="00DD6391" w:rsidRDefault="00DD6391">
      <w:pPr>
        <w:spacing w:line="240" w:lineRule="auto"/>
        <w:rPr>
          <w:rFonts w:ascii="Times New Roman" w:hAnsi="Times New Roman" w:cs="Times New Roman"/>
          <w:u w:val="single"/>
        </w:rPr>
      </w:pPr>
    </w:p>
    <w:p w14:paraId="096CB4E1" w14:textId="77777777" w:rsidR="00DD6391" w:rsidRDefault="00CF2099">
      <w:pPr>
        <w:spacing w:line="240" w:lineRule="auto"/>
        <w:rPr>
          <w:rFonts w:ascii="Times New Roman" w:hAnsi="Times New Roman" w:cs="Times New Roman"/>
        </w:rPr>
      </w:pPr>
      <w:r>
        <w:rPr>
          <w:rFonts w:ascii="Times New Roman" w:hAnsi="Times New Roman" w:cs="Times New Roman"/>
        </w:rPr>
        <w:t>Egy 24 hetes, placebokontrollos vizsgálatot állítottak össze a (legalább 1500 mg) metforminnal vagy anélkül alkalmazott (legalább 10 hete állandó dózisú) inzulin mellé adott szitagliptin (100 mg naponta egyszer) hatásosságának és biztonságosságának értékelésére. Az előkevert inzulint alkalmazó betegeknél az átlagos napi dózis 70,9 E volt. A nem előkevert (közepes/hosszú hatású) inzulint alkalmazó betegeknél az átlagos napi dózis 44,3 E volt. Szitagliptin inzulinhoz történő hozzáadása a glykaemiás paraméterek szignifikáns javulását eredményezte. A vizsgálat megkezdésekor mért testtömegben egyik csoportban sem következett be jelentős változás.</w:t>
      </w:r>
    </w:p>
    <w:p w14:paraId="2A63E458" w14:textId="77777777" w:rsidR="00DD6391" w:rsidRDefault="00DD6391">
      <w:pPr>
        <w:spacing w:line="240" w:lineRule="auto"/>
        <w:rPr>
          <w:rFonts w:ascii="Times New Roman" w:hAnsi="Times New Roman" w:cs="Times New Roman"/>
          <w:u w:val="single"/>
        </w:rPr>
      </w:pPr>
    </w:p>
    <w:p w14:paraId="553BDE2E" w14:textId="77777777" w:rsidR="00DD6391" w:rsidRDefault="00CF2099">
      <w:pPr>
        <w:spacing w:line="240" w:lineRule="auto"/>
        <w:rPr>
          <w:rFonts w:ascii="Times New Roman" w:hAnsi="Times New Roman" w:cs="Times New Roman"/>
        </w:rPr>
      </w:pPr>
      <w:r>
        <w:rPr>
          <w:rFonts w:ascii="Times New Roman" w:hAnsi="Times New Roman" w:cs="Times New Roman"/>
        </w:rPr>
        <w:t>A kezdő kezelés egy 24 hetes, placebokontrollos, faktoriális elrendezésű vizsgálata során a metforminnal (napi kétszer 500 mg vagy 1 000 mg) kombinációban adott napi kétszer 50 mg szitagliptin bármelyik monoterápiával összehasonlítva jelentős javulást eredményezett a glykaemiás paraméterekben. A szitagliptin és metformin kombinációjával elért testtömegcsökkenés hasonló volt a csak metformin vagy placebó alkalmazása mellett megfigyelthez, míg a szitagliptin önmagában történő alkalmazásakor az alapértékekben nem mutatkozott változás. A hypoglykaemia az egyes kezelési csoportokban hasonló arányban fordult elő.</w:t>
      </w:r>
    </w:p>
    <w:p w14:paraId="74C77F39" w14:textId="77777777" w:rsidR="00DD6391" w:rsidRDefault="00DD6391">
      <w:pPr>
        <w:spacing w:line="240" w:lineRule="auto"/>
        <w:rPr>
          <w:rFonts w:ascii="Times New Roman" w:hAnsi="Times New Roman" w:cs="Times New Roman"/>
          <w:u w:val="single"/>
        </w:rPr>
      </w:pPr>
    </w:p>
    <w:p w14:paraId="246898DB" w14:textId="77777777" w:rsidR="00DD6391" w:rsidRDefault="00CF2099">
      <w:pPr>
        <w:tabs>
          <w:tab w:val="clear" w:pos="567"/>
          <w:tab w:val="left" w:pos="1134"/>
        </w:tabs>
        <w:spacing w:line="240" w:lineRule="auto"/>
        <w:ind w:left="1134" w:hanging="1134"/>
        <w:rPr>
          <w:rFonts w:ascii="Times New Roman" w:hAnsi="Times New Roman" w:cs="Times New Roman"/>
          <w:b/>
          <w:bCs/>
        </w:rPr>
      </w:pPr>
      <w:r>
        <w:rPr>
          <w:rFonts w:ascii="Times New Roman" w:hAnsi="Times New Roman" w:cs="Times New Roman"/>
          <w:b/>
          <w:bCs/>
        </w:rPr>
        <w:t>2. táblázat: A placebokontrollos monoterápiát és kombinációs terápiát alkalmazó vizsgálatokban mért HbA</w:t>
      </w:r>
      <w:r>
        <w:rPr>
          <w:rFonts w:ascii="Times New Roman" w:hAnsi="Times New Roman" w:cs="Times New Roman"/>
          <w:b/>
          <w:bCs/>
          <w:vertAlign w:val="subscript"/>
        </w:rPr>
        <w:t>1c</w:t>
      </w:r>
      <w:r>
        <w:rPr>
          <w:rFonts w:ascii="Times New Roman" w:hAnsi="Times New Roman" w:cs="Times New Roman"/>
          <w:b/>
          <w:bCs/>
        </w:rPr>
        <w:t xml:space="preserve"> eredmények*</w:t>
      </w:r>
    </w:p>
    <w:p w14:paraId="5BBCD9CE" w14:textId="77777777" w:rsidR="00DD6391" w:rsidRDefault="00DD6391">
      <w:pPr>
        <w:spacing w:line="240" w:lineRule="auto"/>
        <w:rPr>
          <w:rFonts w:ascii="Times New Roman" w:hAnsi="Times New Roman" w:cs="Times New Roman"/>
          <w:u w:val="single"/>
        </w:rPr>
      </w:pPr>
    </w:p>
    <w:tbl>
      <w:tblPr>
        <w:tblW w:w="90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1414"/>
        <w:gridCol w:w="1560"/>
        <w:gridCol w:w="1700"/>
      </w:tblGrid>
      <w:tr w:rsidR="00DD6391" w14:paraId="7EF259A3" w14:textId="77777777">
        <w:trPr>
          <w:cantSplit/>
          <w:tblHeader/>
        </w:trPr>
        <w:tc>
          <w:tcPr>
            <w:tcW w:w="4395" w:type="dxa"/>
            <w:vAlign w:val="center"/>
          </w:tcPr>
          <w:p w14:paraId="76FCA247" w14:textId="77777777" w:rsidR="00DD6391" w:rsidRDefault="00CF2099">
            <w:pPr>
              <w:tabs>
                <w:tab w:val="clear" w:pos="567"/>
              </w:tabs>
              <w:autoSpaceDE w:val="0"/>
              <w:autoSpaceDN w:val="0"/>
              <w:spacing w:line="240" w:lineRule="auto"/>
              <w:jc w:val="center"/>
              <w:rPr>
                <w:rFonts w:ascii="Times New Roman" w:hAnsi="Times New Roman" w:cs="Times New Roman"/>
                <w:b/>
                <w:bCs/>
                <w:lang w:eastAsia="en-GB"/>
              </w:rPr>
            </w:pPr>
            <w:r>
              <w:rPr>
                <w:rFonts w:ascii="Times New Roman" w:hAnsi="Times New Roman" w:cs="Times New Roman"/>
                <w:b/>
                <w:bCs/>
                <w:lang w:eastAsia="en-GB"/>
              </w:rPr>
              <w:t>Vizsgálat</w:t>
            </w:r>
          </w:p>
        </w:tc>
        <w:tc>
          <w:tcPr>
            <w:tcW w:w="1414" w:type="dxa"/>
            <w:vAlign w:val="center"/>
          </w:tcPr>
          <w:p w14:paraId="54EA73F4" w14:textId="77777777" w:rsidR="00DD6391" w:rsidRDefault="00CF2099">
            <w:pPr>
              <w:spacing w:line="240" w:lineRule="auto"/>
              <w:ind w:right="-2"/>
              <w:jc w:val="center"/>
              <w:rPr>
                <w:rFonts w:ascii="Times New Roman" w:eastAsia="SimSun" w:hAnsi="Times New Roman" w:cs="Times New Roman"/>
                <w:b/>
                <w:bCs/>
                <w:lang w:eastAsia="en-US"/>
              </w:rPr>
            </w:pPr>
            <w:r>
              <w:rPr>
                <w:rFonts w:ascii="Times New Roman" w:eastAsia="SimSun" w:hAnsi="Times New Roman" w:cs="Times New Roman"/>
                <w:b/>
                <w:bCs/>
                <w:lang w:eastAsia="en-US"/>
              </w:rPr>
              <w:t>Átlagos kiindulási HbA</w:t>
            </w:r>
            <w:r>
              <w:rPr>
                <w:rFonts w:ascii="Times New Roman" w:eastAsia="SimSun" w:hAnsi="Times New Roman" w:cs="Times New Roman"/>
                <w:b/>
                <w:bCs/>
                <w:vertAlign w:val="subscript"/>
                <w:lang w:eastAsia="en-US"/>
              </w:rPr>
              <w:t xml:space="preserve">1c </w:t>
            </w:r>
            <w:r>
              <w:rPr>
                <w:rFonts w:ascii="Times New Roman" w:eastAsia="SimSun" w:hAnsi="Times New Roman" w:cs="Times New Roman"/>
                <w:b/>
                <w:bCs/>
                <w:lang w:eastAsia="en-US"/>
              </w:rPr>
              <w:t>(%)</w:t>
            </w:r>
          </w:p>
        </w:tc>
        <w:tc>
          <w:tcPr>
            <w:tcW w:w="1560" w:type="dxa"/>
            <w:vAlign w:val="center"/>
          </w:tcPr>
          <w:p w14:paraId="416F42B7" w14:textId="77777777" w:rsidR="00DD6391" w:rsidRDefault="00CF2099">
            <w:pPr>
              <w:spacing w:line="240" w:lineRule="auto"/>
              <w:ind w:right="-108"/>
              <w:jc w:val="center"/>
              <w:rPr>
                <w:rFonts w:ascii="Times New Roman" w:eastAsia="SimSun" w:hAnsi="Times New Roman" w:cs="Times New Roman"/>
                <w:b/>
                <w:bCs/>
                <w:lang w:eastAsia="en-US"/>
              </w:rPr>
            </w:pPr>
            <w:r>
              <w:rPr>
                <w:rFonts w:ascii="Times New Roman" w:eastAsia="SimSun" w:hAnsi="Times New Roman" w:cs="Times New Roman"/>
                <w:b/>
                <w:bCs/>
                <w:lang w:eastAsia="en-US"/>
              </w:rPr>
              <w:t>A kiindulási HbA</w:t>
            </w:r>
            <w:r>
              <w:rPr>
                <w:rFonts w:ascii="Times New Roman" w:eastAsia="SimSun" w:hAnsi="Times New Roman" w:cs="Times New Roman"/>
                <w:b/>
                <w:bCs/>
                <w:vertAlign w:val="subscript"/>
                <w:lang w:eastAsia="en-US"/>
              </w:rPr>
              <w:t xml:space="preserve">1c </w:t>
            </w:r>
            <w:r>
              <w:rPr>
                <w:rFonts w:ascii="Times New Roman" w:eastAsia="SimSun" w:hAnsi="Times New Roman" w:cs="Times New Roman"/>
                <w:b/>
                <w:bCs/>
                <w:lang w:eastAsia="en-US"/>
              </w:rPr>
              <w:t>(%) értékekhez képest mutatkozó átlagos eltérés</w:t>
            </w:r>
            <w:r>
              <w:rPr>
                <w:rFonts w:ascii="Times New Roman" w:eastAsia="SimSun" w:hAnsi="Times New Roman" w:cs="Times New Roman"/>
                <w:vertAlign w:val="superscript"/>
                <w:lang w:eastAsia="en-US"/>
              </w:rPr>
              <w:t>†</w:t>
            </w:r>
          </w:p>
        </w:tc>
        <w:tc>
          <w:tcPr>
            <w:tcW w:w="1700" w:type="dxa"/>
            <w:vAlign w:val="center"/>
          </w:tcPr>
          <w:p w14:paraId="645F2F9C" w14:textId="77777777" w:rsidR="00DD6391" w:rsidRDefault="00CF2099">
            <w:pPr>
              <w:spacing w:line="240" w:lineRule="auto"/>
              <w:ind w:right="-2"/>
              <w:jc w:val="center"/>
              <w:rPr>
                <w:rFonts w:ascii="Times New Roman" w:eastAsia="SimSun" w:hAnsi="Times New Roman" w:cs="Times New Roman"/>
                <w:b/>
                <w:bCs/>
                <w:lang w:eastAsia="en-US"/>
              </w:rPr>
            </w:pPr>
            <w:r>
              <w:rPr>
                <w:rFonts w:ascii="Times New Roman" w:eastAsia="SimSun" w:hAnsi="Times New Roman" w:cs="Times New Roman"/>
                <w:b/>
                <w:bCs/>
                <w:lang w:eastAsia="en-US"/>
              </w:rPr>
              <w:t>A placebóra korrigált HbA</w:t>
            </w:r>
            <w:r>
              <w:rPr>
                <w:rFonts w:ascii="Times New Roman" w:eastAsia="SimSun" w:hAnsi="Times New Roman" w:cs="Times New Roman"/>
                <w:b/>
                <w:bCs/>
                <w:vertAlign w:val="subscript"/>
                <w:lang w:eastAsia="en-US"/>
              </w:rPr>
              <w:t xml:space="preserve">1c </w:t>
            </w:r>
            <w:r>
              <w:rPr>
                <w:rFonts w:ascii="Times New Roman" w:eastAsia="SimSun" w:hAnsi="Times New Roman" w:cs="Times New Roman"/>
                <w:b/>
                <w:bCs/>
                <w:lang w:eastAsia="en-US"/>
              </w:rPr>
              <w:t>(%) értékek terén mutatkozó átlagos eltérés</w:t>
            </w:r>
            <w:r>
              <w:rPr>
                <w:rFonts w:ascii="Times New Roman" w:eastAsia="SimSun" w:hAnsi="Times New Roman" w:cs="Times New Roman"/>
                <w:vertAlign w:val="superscript"/>
                <w:lang w:eastAsia="en-US"/>
              </w:rPr>
              <w:t>†</w:t>
            </w:r>
            <w:r>
              <w:rPr>
                <w:rFonts w:ascii="Times New Roman" w:eastAsia="SimSun" w:hAnsi="Times New Roman" w:cs="Times New Roman"/>
                <w:b/>
                <w:bCs/>
                <w:vertAlign w:val="superscript"/>
                <w:lang w:eastAsia="en-US"/>
              </w:rPr>
              <w:t xml:space="preserve"> </w:t>
            </w:r>
          </w:p>
          <w:p w14:paraId="32B2584D" w14:textId="77777777" w:rsidR="00DD6391" w:rsidRDefault="00CF2099">
            <w:pPr>
              <w:spacing w:line="240" w:lineRule="auto"/>
              <w:ind w:right="-2"/>
              <w:jc w:val="center"/>
              <w:rPr>
                <w:rFonts w:ascii="Times New Roman" w:eastAsia="SimSun" w:hAnsi="Times New Roman" w:cs="Times New Roman"/>
                <w:b/>
                <w:bCs/>
                <w:lang w:eastAsia="en-US"/>
              </w:rPr>
            </w:pPr>
            <w:r>
              <w:rPr>
                <w:rFonts w:ascii="Times New Roman" w:eastAsia="SimSun" w:hAnsi="Times New Roman" w:cs="Times New Roman"/>
                <w:b/>
                <w:bCs/>
                <w:lang w:eastAsia="en-US"/>
              </w:rPr>
              <w:t>(95%-os CI)</w:t>
            </w:r>
          </w:p>
        </w:tc>
      </w:tr>
      <w:tr w:rsidR="00DD6391" w14:paraId="021D3470" w14:textId="77777777">
        <w:trPr>
          <w:cantSplit/>
        </w:trPr>
        <w:tc>
          <w:tcPr>
            <w:tcW w:w="9069" w:type="dxa"/>
            <w:gridSpan w:val="4"/>
          </w:tcPr>
          <w:p w14:paraId="3265AFFC" w14:textId="77777777" w:rsidR="00DD6391" w:rsidRDefault="00CF2099">
            <w:pPr>
              <w:spacing w:line="240" w:lineRule="auto"/>
              <w:ind w:right="-2"/>
              <w:rPr>
                <w:rFonts w:ascii="Times New Roman" w:eastAsia="SimSun" w:hAnsi="Times New Roman" w:cs="Times New Roman"/>
                <w:b/>
                <w:bCs/>
                <w:lang w:eastAsia="en-US"/>
              </w:rPr>
            </w:pPr>
            <w:r>
              <w:rPr>
                <w:rFonts w:ascii="Times New Roman" w:eastAsia="SimSun" w:hAnsi="Times New Roman" w:cs="Times New Roman"/>
                <w:b/>
                <w:bCs/>
                <w:lang w:eastAsia="en-US"/>
              </w:rPr>
              <w:t>Monoterápiás vizsgálatok</w:t>
            </w:r>
          </w:p>
        </w:tc>
      </w:tr>
      <w:tr w:rsidR="00DD6391" w14:paraId="5CF472A8" w14:textId="77777777">
        <w:trPr>
          <w:cantSplit/>
        </w:trPr>
        <w:tc>
          <w:tcPr>
            <w:tcW w:w="4395" w:type="dxa"/>
          </w:tcPr>
          <w:p w14:paraId="357150A7" w14:textId="77777777" w:rsidR="00DD6391" w:rsidRDefault="00CF2099">
            <w:pPr>
              <w:spacing w:line="240" w:lineRule="auto"/>
              <w:ind w:right="-2"/>
              <w:rPr>
                <w:rFonts w:ascii="Times New Roman" w:eastAsia="SimSun" w:hAnsi="Times New Roman" w:cs="Times New Roman"/>
                <w:lang w:eastAsia="en-US"/>
              </w:rPr>
            </w:pPr>
            <w:r>
              <w:rPr>
                <w:rFonts w:ascii="Times New Roman" w:eastAsia="SimSun" w:hAnsi="Times New Roman" w:cs="Times New Roman"/>
                <w:lang w:eastAsia="en-US"/>
              </w:rPr>
              <w:t>Napi egyszer 100 mg szitagliptin</w:t>
            </w:r>
            <w:r>
              <w:rPr>
                <w:rFonts w:ascii="Times New Roman" w:eastAsia="SimSun" w:hAnsi="Times New Roman" w:cs="Times New Roman"/>
                <w:vertAlign w:val="superscript"/>
                <w:lang w:eastAsia="en-US"/>
              </w:rPr>
              <w:t>§</w:t>
            </w:r>
          </w:p>
          <w:p w14:paraId="572FF7B4" w14:textId="77777777" w:rsidR="00DD6391" w:rsidRDefault="00CF2099">
            <w:pPr>
              <w:spacing w:line="240" w:lineRule="auto"/>
              <w:ind w:right="-2"/>
              <w:rPr>
                <w:rFonts w:ascii="Times New Roman" w:eastAsia="SimSun" w:hAnsi="Times New Roman" w:cs="Times New Roman"/>
                <w:lang w:eastAsia="en-US"/>
              </w:rPr>
            </w:pPr>
            <w:r>
              <w:rPr>
                <w:rFonts w:ascii="Times New Roman" w:eastAsia="SimSun" w:hAnsi="Times New Roman" w:cs="Times New Roman"/>
                <w:lang w:eastAsia="en-US"/>
              </w:rPr>
              <w:t>(n = 193)</w:t>
            </w:r>
          </w:p>
        </w:tc>
        <w:tc>
          <w:tcPr>
            <w:tcW w:w="1414" w:type="dxa"/>
            <w:vAlign w:val="center"/>
          </w:tcPr>
          <w:p w14:paraId="663E877C"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8,0</w:t>
            </w:r>
          </w:p>
        </w:tc>
        <w:tc>
          <w:tcPr>
            <w:tcW w:w="1560" w:type="dxa"/>
            <w:vAlign w:val="center"/>
          </w:tcPr>
          <w:p w14:paraId="07E08AC0"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-0,5</w:t>
            </w:r>
          </w:p>
        </w:tc>
        <w:tc>
          <w:tcPr>
            <w:tcW w:w="1700" w:type="dxa"/>
            <w:vAlign w:val="center"/>
          </w:tcPr>
          <w:p w14:paraId="4C378E0A"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r>
              <w:rPr>
                <w:rFonts w:ascii="Times New Roman" w:eastAsia="SimSun" w:hAnsi="Times New Roman" w:cs="Times New Roman"/>
                <w:vertAlign w:val="superscript"/>
                <w:lang w:eastAsia="en-US"/>
              </w:rPr>
              <w:t>‡</w:t>
            </w:r>
          </w:p>
          <w:p w14:paraId="0A50E882"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(-0,8, -0,4)</w:t>
            </w:r>
          </w:p>
        </w:tc>
      </w:tr>
      <w:tr w:rsidR="00DD6391" w14:paraId="4350FC53" w14:textId="77777777">
        <w:trPr>
          <w:cantSplit/>
        </w:trPr>
        <w:tc>
          <w:tcPr>
            <w:tcW w:w="4395" w:type="dxa"/>
          </w:tcPr>
          <w:p w14:paraId="28DF700C" w14:textId="77777777" w:rsidR="00DD6391" w:rsidRDefault="00CF2099">
            <w:pPr>
              <w:spacing w:line="240" w:lineRule="auto"/>
              <w:ind w:right="-2"/>
              <w:rPr>
                <w:rFonts w:ascii="Times New Roman" w:eastAsia="SimSun" w:hAnsi="Times New Roman" w:cs="Times New Roman"/>
                <w:lang w:eastAsia="en-US"/>
              </w:rPr>
            </w:pPr>
            <w:r>
              <w:rPr>
                <w:rFonts w:ascii="Times New Roman" w:eastAsia="SimSun" w:hAnsi="Times New Roman" w:cs="Times New Roman"/>
                <w:lang w:eastAsia="en-US"/>
              </w:rPr>
              <w:t>Napi egyszer 100 mg szitagliptin</w:t>
            </w:r>
            <w:r>
              <w:rPr>
                <w:rFonts w:ascii="Times New Roman" w:eastAsia="SimSun" w:hAnsi="Times New Roman" w:cs="Times New Roman"/>
                <w:vertAlign w:val="superscript"/>
                <w:lang w:eastAsia="en-US"/>
              </w:rPr>
              <w:t>ΙΙ</w:t>
            </w:r>
          </w:p>
          <w:p w14:paraId="1EDA4E1C" w14:textId="77777777" w:rsidR="00DD6391" w:rsidRDefault="00CF2099">
            <w:pPr>
              <w:spacing w:line="240" w:lineRule="auto"/>
              <w:ind w:right="-2"/>
              <w:rPr>
                <w:rFonts w:ascii="Times New Roman" w:eastAsia="SimSun" w:hAnsi="Times New Roman" w:cs="Times New Roman"/>
                <w:lang w:eastAsia="en-US"/>
              </w:rPr>
            </w:pPr>
            <w:r>
              <w:rPr>
                <w:rFonts w:ascii="Times New Roman" w:eastAsia="SimSun" w:hAnsi="Times New Roman" w:cs="Times New Roman"/>
                <w:lang w:eastAsia="en-US"/>
              </w:rPr>
              <w:t>(n = 229)</w:t>
            </w:r>
          </w:p>
        </w:tc>
        <w:tc>
          <w:tcPr>
            <w:tcW w:w="1414" w:type="dxa"/>
            <w:vAlign w:val="center"/>
          </w:tcPr>
          <w:p w14:paraId="37F3422B"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8,0</w:t>
            </w:r>
          </w:p>
        </w:tc>
        <w:tc>
          <w:tcPr>
            <w:tcW w:w="1560" w:type="dxa"/>
            <w:vAlign w:val="center"/>
          </w:tcPr>
          <w:p w14:paraId="0A3E35BB"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p>
        </w:tc>
        <w:tc>
          <w:tcPr>
            <w:tcW w:w="1700" w:type="dxa"/>
            <w:vAlign w:val="center"/>
          </w:tcPr>
          <w:p w14:paraId="0F9FECB3" w14:textId="77777777" w:rsidR="00DD6391" w:rsidRDefault="00CF2099">
            <w:pPr>
              <w:spacing w:line="240" w:lineRule="auto"/>
              <w:ind w:right="-2"/>
              <w:jc w:val="center"/>
              <w:rPr>
                <w:rFonts w:ascii="Times New Roman" w:eastAsia="SimSun" w:hAnsi="Times New Roman" w:cs="Times New Roman"/>
                <w:vertAlign w:val="superscript"/>
                <w:lang w:eastAsia="en-US"/>
              </w:rPr>
            </w:pPr>
            <w:r>
              <w:rPr>
                <w:rFonts w:ascii="Times New Roman" w:eastAsia="SimSun" w:hAnsi="Times New Roman" w:cs="Times New Roman"/>
                <w:lang w:eastAsia="en-US"/>
              </w:rPr>
              <w:t>-0,8</w:t>
            </w:r>
            <w:r>
              <w:rPr>
                <w:rFonts w:ascii="Times New Roman" w:eastAsia="SimSun" w:hAnsi="Times New Roman" w:cs="Times New Roman"/>
                <w:vertAlign w:val="superscript"/>
                <w:lang w:eastAsia="en-US"/>
              </w:rPr>
              <w:t>‡</w:t>
            </w:r>
          </w:p>
          <w:p w14:paraId="0548577D"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(-1,0, -0,6)</w:t>
            </w:r>
          </w:p>
        </w:tc>
      </w:tr>
      <w:tr w:rsidR="00DD6391" w14:paraId="5C5608E5" w14:textId="77777777">
        <w:trPr>
          <w:cantSplit/>
        </w:trPr>
        <w:tc>
          <w:tcPr>
            <w:tcW w:w="9069" w:type="dxa"/>
            <w:gridSpan w:val="4"/>
          </w:tcPr>
          <w:p w14:paraId="14ECD28C" w14:textId="77777777" w:rsidR="00DD6391" w:rsidRDefault="00CF2099">
            <w:pPr>
              <w:spacing w:line="240" w:lineRule="auto"/>
              <w:ind w:right="-2"/>
              <w:rPr>
                <w:rFonts w:ascii="Times New Roman" w:eastAsia="SimSun" w:hAnsi="Times New Roman" w:cs="Times New Roman"/>
                <w:b/>
                <w:bCs/>
                <w:lang w:eastAsia="en-US"/>
              </w:rPr>
            </w:pPr>
            <w:r>
              <w:rPr>
                <w:rFonts w:ascii="Times New Roman" w:eastAsia="SimSun" w:hAnsi="Times New Roman" w:cs="Times New Roman"/>
                <w:b/>
                <w:bCs/>
                <w:lang w:eastAsia="en-US"/>
              </w:rPr>
              <w:t>Kombinációs terápiás vizsgálatok</w:t>
            </w:r>
          </w:p>
        </w:tc>
      </w:tr>
      <w:tr w:rsidR="00DD6391" w14:paraId="42B65D7B" w14:textId="77777777">
        <w:trPr>
          <w:cantSplit/>
        </w:trPr>
        <w:tc>
          <w:tcPr>
            <w:tcW w:w="4395" w:type="dxa"/>
          </w:tcPr>
          <w:p w14:paraId="6BA01055"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Napi egyszer 100 mg szitagliptin a folyamatban lévő metformin-terápiához adva</w:t>
            </w:r>
            <w:r>
              <w:rPr>
                <w:rFonts w:ascii="Times New Roman" w:eastAsia="SimSun" w:hAnsi="Times New Roman" w:cs="Times New Roman"/>
                <w:vertAlign w:val="superscript"/>
                <w:lang w:eastAsia="en-US"/>
              </w:rPr>
              <w:t>ΙΙ</w:t>
            </w:r>
          </w:p>
          <w:p w14:paraId="769F703B"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453)</w:t>
            </w:r>
          </w:p>
        </w:tc>
        <w:tc>
          <w:tcPr>
            <w:tcW w:w="1414" w:type="dxa"/>
            <w:vAlign w:val="center"/>
          </w:tcPr>
          <w:p w14:paraId="5DA1823D"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8,0</w:t>
            </w:r>
          </w:p>
        </w:tc>
        <w:tc>
          <w:tcPr>
            <w:tcW w:w="1560" w:type="dxa"/>
            <w:vAlign w:val="center"/>
          </w:tcPr>
          <w:p w14:paraId="180E5347"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-0,7</w:t>
            </w:r>
          </w:p>
        </w:tc>
        <w:tc>
          <w:tcPr>
            <w:tcW w:w="1700" w:type="dxa"/>
            <w:vAlign w:val="center"/>
          </w:tcPr>
          <w:p w14:paraId="789D7A98"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-0,7</w:t>
            </w:r>
            <w:r>
              <w:rPr>
                <w:rFonts w:ascii="Times New Roman" w:eastAsia="SimSun" w:hAnsi="Times New Roman" w:cs="Times New Roman"/>
                <w:vertAlign w:val="superscript"/>
                <w:lang w:eastAsia="en-US"/>
              </w:rPr>
              <w:t>‡</w:t>
            </w:r>
          </w:p>
          <w:p w14:paraId="4C751513"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(-0,8, -0,5)</w:t>
            </w:r>
          </w:p>
        </w:tc>
      </w:tr>
      <w:tr w:rsidR="00DD6391" w14:paraId="40265A60" w14:textId="77777777">
        <w:trPr>
          <w:cantSplit/>
        </w:trPr>
        <w:tc>
          <w:tcPr>
            <w:tcW w:w="4395" w:type="dxa"/>
          </w:tcPr>
          <w:p w14:paraId="692D20E1"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Napi egyszer 100 mg szitagliptin a folyamatban lévő pioglitazon-terápiához adva</w:t>
            </w:r>
            <w:r>
              <w:rPr>
                <w:rFonts w:ascii="Times New Roman" w:eastAsia="SimSun" w:hAnsi="Times New Roman" w:cs="Times New Roman"/>
                <w:vertAlign w:val="superscript"/>
                <w:lang w:eastAsia="en-US"/>
              </w:rPr>
              <w:t>ΙΙ</w:t>
            </w:r>
          </w:p>
          <w:p w14:paraId="035358D8"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163)</w:t>
            </w:r>
          </w:p>
        </w:tc>
        <w:tc>
          <w:tcPr>
            <w:tcW w:w="1414" w:type="dxa"/>
            <w:vAlign w:val="center"/>
          </w:tcPr>
          <w:p w14:paraId="2F8408AC"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8,1</w:t>
            </w:r>
          </w:p>
        </w:tc>
        <w:tc>
          <w:tcPr>
            <w:tcW w:w="1560" w:type="dxa"/>
            <w:vAlign w:val="center"/>
          </w:tcPr>
          <w:p w14:paraId="774D7CC9"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-0,9</w:t>
            </w:r>
          </w:p>
        </w:tc>
        <w:tc>
          <w:tcPr>
            <w:tcW w:w="1700" w:type="dxa"/>
            <w:vAlign w:val="center"/>
          </w:tcPr>
          <w:p w14:paraId="72B914BE"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-0,7</w:t>
            </w:r>
            <w:r>
              <w:rPr>
                <w:rFonts w:ascii="Times New Roman" w:eastAsia="SimSun" w:hAnsi="Times New Roman" w:cs="Times New Roman"/>
                <w:vertAlign w:val="superscript"/>
                <w:lang w:eastAsia="en-US"/>
              </w:rPr>
              <w:t>‡</w:t>
            </w:r>
          </w:p>
          <w:p w14:paraId="415DA240"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(-0,9, -0,5)</w:t>
            </w:r>
          </w:p>
        </w:tc>
      </w:tr>
      <w:tr w:rsidR="00DD6391" w14:paraId="793E3BAD" w14:textId="77777777">
        <w:trPr>
          <w:cantSplit/>
        </w:trPr>
        <w:tc>
          <w:tcPr>
            <w:tcW w:w="4395" w:type="dxa"/>
          </w:tcPr>
          <w:p w14:paraId="1A65E8A6"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Napi egyszer 100 mg szitagliptin a folyamatban lévő glimepirid-terápiához adva</w:t>
            </w:r>
            <w:r>
              <w:rPr>
                <w:rFonts w:ascii="Times New Roman" w:eastAsia="SimSun" w:hAnsi="Times New Roman" w:cs="Times New Roman"/>
                <w:vertAlign w:val="superscript"/>
                <w:lang w:eastAsia="en-US"/>
              </w:rPr>
              <w:t>ΙΙ</w:t>
            </w:r>
          </w:p>
          <w:p w14:paraId="529ADEA0"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102)</w:t>
            </w:r>
          </w:p>
        </w:tc>
        <w:tc>
          <w:tcPr>
            <w:tcW w:w="1414" w:type="dxa"/>
            <w:vAlign w:val="center"/>
          </w:tcPr>
          <w:p w14:paraId="1A5B946B"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8,4</w:t>
            </w:r>
          </w:p>
        </w:tc>
        <w:tc>
          <w:tcPr>
            <w:tcW w:w="1560" w:type="dxa"/>
            <w:vAlign w:val="center"/>
          </w:tcPr>
          <w:p w14:paraId="46597CC0"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-0,3</w:t>
            </w:r>
          </w:p>
        </w:tc>
        <w:tc>
          <w:tcPr>
            <w:tcW w:w="1700" w:type="dxa"/>
            <w:vAlign w:val="center"/>
          </w:tcPr>
          <w:p w14:paraId="7213AE35"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r>
              <w:rPr>
                <w:rFonts w:ascii="Times New Roman" w:eastAsia="SimSun" w:hAnsi="Times New Roman" w:cs="Times New Roman"/>
                <w:vertAlign w:val="superscript"/>
                <w:lang w:eastAsia="en-US"/>
              </w:rPr>
              <w:t>‡</w:t>
            </w:r>
          </w:p>
          <w:p w14:paraId="780F2CFF"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(-0,8, -0,3)</w:t>
            </w:r>
          </w:p>
        </w:tc>
      </w:tr>
      <w:tr w:rsidR="00DD6391" w14:paraId="34EF6A08" w14:textId="77777777">
        <w:trPr>
          <w:cantSplit/>
        </w:trPr>
        <w:tc>
          <w:tcPr>
            <w:tcW w:w="4395" w:type="dxa"/>
          </w:tcPr>
          <w:p w14:paraId="63846497"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lastRenderedPageBreak/>
              <w:t>Napi egyszer 100 mg szitagliptin a folyamatban lévő glimepirid + metformin-terápiához adva</w:t>
            </w:r>
            <w:r>
              <w:rPr>
                <w:rFonts w:ascii="Times New Roman" w:eastAsia="SimSun" w:hAnsi="Times New Roman" w:cs="Times New Roman"/>
                <w:vertAlign w:val="superscript"/>
                <w:lang w:eastAsia="en-US"/>
              </w:rPr>
              <w:t>ΙΙ</w:t>
            </w:r>
          </w:p>
          <w:p w14:paraId="6913E1B9"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115)</w:t>
            </w:r>
          </w:p>
        </w:tc>
        <w:tc>
          <w:tcPr>
            <w:tcW w:w="1414" w:type="dxa"/>
            <w:vAlign w:val="center"/>
          </w:tcPr>
          <w:p w14:paraId="3AC7737D"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8,3</w:t>
            </w:r>
          </w:p>
        </w:tc>
        <w:tc>
          <w:tcPr>
            <w:tcW w:w="1560" w:type="dxa"/>
            <w:vAlign w:val="center"/>
          </w:tcPr>
          <w:p w14:paraId="10A650DD"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p>
        </w:tc>
        <w:tc>
          <w:tcPr>
            <w:tcW w:w="1700" w:type="dxa"/>
            <w:vAlign w:val="center"/>
          </w:tcPr>
          <w:p w14:paraId="5778E894" w14:textId="77777777" w:rsidR="00DD6391" w:rsidRDefault="00CF2099">
            <w:pPr>
              <w:spacing w:line="240" w:lineRule="auto"/>
              <w:ind w:right="-2"/>
              <w:jc w:val="center"/>
              <w:rPr>
                <w:rFonts w:ascii="Times New Roman" w:eastAsia="SimSun" w:hAnsi="Times New Roman" w:cs="Times New Roman"/>
                <w:vertAlign w:val="superscript"/>
                <w:lang w:eastAsia="en-US"/>
              </w:rPr>
            </w:pPr>
            <w:r>
              <w:rPr>
                <w:rFonts w:ascii="Times New Roman" w:eastAsia="SimSun" w:hAnsi="Times New Roman" w:cs="Times New Roman"/>
                <w:lang w:eastAsia="en-US"/>
              </w:rPr>
              <w:t>-0,9</w:t>
            </w:r>
            <w:r>
              <w:rPr>
                <w:rFonts w:ascii="Times New Roman" w:eastAsia="SimSun" w:hAnsi="Times New Roman" w:cs="Times New Roman"/>
                <w:vertAlign w:val="superscript"/>
                <w:lang w:eastAsia="en-US"/>
              </w:rPr>
              <w:t>‡</w:t>
            </w:r>
          </w:p>
          <w:p w14:paraId="547F5BBE"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(-1,1, -0,7)</w:t>
            </w:r>
          </w:p>
        </w:tc>
      </w:tr>
      <w:tr w:rsidR="00DD6391" w14:paraId="59F30827" w14:textId="77777777">
        <w:trPr>
          <w:cantSplit/>
        </w:trPr>
        <w:tc>
          <w:tcPr>
            <w:tcW w:w="4395" w:type="dxa"/>
          </w:tcPr>
          <w:p w14:paraId="5FC37EDC" w14:textId="77777777" w:rsidR="00DD6391" w:rsidRDefault="00CF2099">
            <w:pPr>
              <w:spacing w:line="240" w:lineRule="auto"/>
              <w:ind w:right="-108"/>
              <w:rPr>
                <w:rFonts w:ascii="Times New Roman" w:eastAsia="SimSun" w:hAnsi="Times New Roman" w:cs="Times New Roman"/>
                <w:vertAlign w:val="superscript"/>
                <w:lang w:eastAsia="en-US"/>
              </w:rPr>
            </w:pPr>
            <w:r>
              <w:rPr>
                <w:rFonts w:ascii="Times New Roman" w:eastAsia="SimSun" w:hAnsi="Times New Roman" w:cs="Times New Roman"/>
                <w:lang w:eastAsia="en-US"/>
              </w:rPr>
              <w:t>Napi egyszer 100 mg szitagliptin a folyamatban lévő pioglitazon + metformin-terápiához adva</w:t>
            </w:r>
            <w:r>
              <w:rPr>
                <w:rFonts w:ascii="Times New Roman" w:eastAsia="SimSun" w:hAnsi="Times New Roman" w:cs="Times New Roman"/>
                <w:vertAlign w:val="superscript"/>
                <w:lang w:eastAsia="en-US"/>
              </w:rPr>
              <w:t>#</w:t>
            </w:r>
          </w:p>
          <w:p w14:paraId="69E6A279"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152)</w:t>
            </w:r>
          </w:p>
        </w:tc>
        <w:tc>
          <w:tcPr>
            <w:tcW w:w="1414" w:type="dxa"/>
            <w:vAlign w:val="center"/>
          </w:tcPr>
          <w:p w14:paraId="4FF3F304"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8,8</w:t>
            </w:r>
          </w:p>
        </w:tc>
        <w:tc>
          <w:tcPr>
            <w:tcW w:w="1560" w:type="dxa"/>
            <w:vAlign w:val="center"/>
          </w:tcPr>
          <w:p w14:paraId="5CBED258"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-1,2</w:t>
            </w:r>
          </w:p>
        </w:tc>
        <w:tc>
          <w:tcPr>
            <w:tcW w:w="1700" w:type="dxa"/>
            <w:vAlign w:val="center"/>
          </w:tcPr>
          <w:p w14:paraId="1F985768"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-0,7</w:t>
            </w:r>
            <w:r>
              <w:rPr>
                <w:rFonts w:ascii="Times New Roman" w:eastAsia="SimSun" w:hAnsi="Times New Roman" w:cs="Times New Roman"/>
                <w:vertAlign w:val="superscript"/>
                <w:lang w:eastAsia="en-US"/>
              </w:rPr>
              <w:t>‡</w:t>
            </w:r>
          </w:p>
          <w:p w14:paraId="325DF7AA"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(-1,0, -0,5)</w:t>
            </w:r>
          </w:p>
        </w:tc>
      </w:tr>
      <w:tr w:rsidR="00DD6391" w14:paraId="7F33D808" w14:textId="77777777">
        <w:trPr>
          <w:cantSplit/>
        </w:trPr>
        <w:tc>
          <w:tcPr>
            <w:tcW w:w="4395" w:type="dxa"/>
          </w:tcPr>
          <w:p w14:paraId="5B8CA060"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Kezdő terápia (naponta kétszer)</w:t>
            </w:r>
            <w:r>
              <w:rPr>
                <w:rFonts w:ascii="Times New Roman" w:eastAsia="SimSun" w:hAnsi="Times New Roman" w:cs="Times New Roman"/>
                <w:vertAlign w:val="superscript"/>
                <w:lang w:eastAsia="en-US"/>
              </w:rPr>
              <w:t>ΙΙ</w:t>
            </w:r>
            <w:r>
              <w:rPr>
                <w:rFonts w:ascii="Times New Roman" w:eastAsia="SimSun" w:hAnsi="Times New Roman" w:cs="Times New Roman"/>
                <w:lang w:eastAsia="en-US"/>
              </w:rPr>
              <w:t>:</w:t>
            </w:r>
          </w:p>
          <w:p w14:paraId="3CF16568"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szitagliptin 50 mg + metformin 500 mg</w:t>
            </w:r>
          </w:p>
          <w:p w14:paraId="13CC1B27"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183)</w:t>
            </w:r>
          </w:p>
        </w:tc>
        <w:tc>
          <w:tcPr>
            <w:tcW w:w="1414" w:type="dxa"/>
            <w:vAlign w:val="center"/>
          </w:tcPr>
          <w:p w14:paraId="183A6EE1"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8,8</w:t>
            </w:r>
          </w:p>
        </w:tc>
        <w:tc>
          <w:tcPr>
            <w:tcW w:w="1560" w:type="dxa"/>
            <w:vAlign w:val="center"/>
          </w:tcPr>
          <w:p w14:paraId="14BC5AB3"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-1,4</w:t>
            </w:r>
          </w:p>
        </w:tc>
        <w:tc>
          <w:tcPr>
            <w:tcW w:w="1700" w:type="dxa"/>
            <w:vAlign w:val="center"/>
          </w:tcPr>
          <w:p w14:paraId="18F037E8"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-1,6</w:t>
            </w:r>
            <w:r>
              <w:rPr>
                <w:rFonts w:ascii="Times New Roman" w:eastAsia="SimSun" w:hAnsi="Times New Roman" w:cs="Times New Roman"/>
                <w:vertAlign w:val="superscript"/>
                <w:lang w:eastAsia="en-US"/>
              </w:rPr>
              <w:t>‡</w:t>
            </w:r>
          </w:p>
          <w:p w14:paraId="529D7F92"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(-1,8, -1,3)</w:t>
            </w:r>
          </w:p>
        </w:tc>
      </w:tr>
      <w:tr w:rsidR="00DD6391" w14:paraId="19AC68FB" w14:textId="77777777">
        <w:trPr>
          <w:cantSplit/>
        </w:trPr>
        <w:tc>
          <w:tcPr>
            <w:tcW w:w="4395" w:type="dxa"/>
          </w:tcPr>
          <w:p w14:paraId="02F39C80"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Kezdő terápia (naponta kétszer)</w:t>
            </w:r>
            <w:r>
              <w:rPr>
                <w:rFonts w:ascii="Times New Roman" w:eastAsia="SimSun" w:hAnsi="Times New Roman" w:cs="Times New Roman"/>
                <w:vertAlign w:val="superscript"/>
                <w:lang w:eastAsia="en-US"/>
              </w:rPr>
              <w:t>ΙΙ</w:t>
            </w:r>
            <w:r>
              <w:rPr>
                <w:rFonts w:ascii="Times New Roman" w:eastAsia="SimSun" w:hAnsi="Times New Roman" w:cs="Times New Roman"/>
                <w:lang w:eastAsia="en-US"/>
              </w:rPr>
              <w:t>:</w:t>
            </w:r>
          </w:p>
          <w:p w14:paraId="56C79C10"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szitagliptin 50 mg + metformin 1 000 mg</w:t>
            </w:r>
          </w:p>
          <w:p w14:paraId="42BAE92E"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178)</w:t>
            </w:r>
          </w:p>
        </w:tc>
        <w:tc>
          <w:tcPr>
            <w:tcW w:w="1414" w:type="dxa"/>
            <w:vAlign w:val="center"/>
          </w:tcPr>
          <w:p w14:paraId="1790729D"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8,8</w:t>
            </w:r>
          </w:p>
        </w:tc>
        <w:tc>
          <w:tcPr>
            <w:tcW w:w="1560" w:type="dxa"/>
            <w:vAlign w:val="center"/>
          </w:tcPr>
          <w:p w14:paraId="1B89AFE7"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-1,9</w:t>
            </w:r>
          </w:p>
        </w:tc>
        <w:tc>
          <w:tcPr>
            <w:tcW w:w="1700" w:type="dxa"/>
            <w:vAlign w:val="center"/>
          </w:tcPr>
          <w:p w14:paraId="0C2DF39C"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-2,1</w:t>
            </w:r>
            <w:r>
              <w:rPr>
                <w:rFonts w:ascii="Times New Roman" w:eastAsia="SimSun" w:hAnsi="Times New Roman" w:cs="Times New Roman"/>
                <w:vertAlign w:val="superscript"/>
                <w:lang w:eastAsia="en-US"/>
              </w:rPr>
              <w:t>‡</w:t>
            </w:r>
          </w:p>
          <w:p w14:paraId="59E74E1C"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(-2,3, -1,8)</w:t>
            </w:r>
          </w:p>
        </w:tc>
      </w:tr>
      <w:tr w:rsidR="00DD6391" w14:paraId="07BEE4A8" w14:textId="77777777">
        <w:trPr>
          <w:cantSplit/>
        </w:trPr>
        <w:tc>
          <w:tcPr>
            <w:tcW w:w="4395" w:type="dxa"/>
          </w:tcPr>
          <w:p w14:paraId="064432BD" w14:textId="77777777" w:rsidR="00DD6391" w:rsidRDefault="00CF2099">
            <w:pPr>
              <w:spacing w:line="240" w:lineRule="auto"/>
              <w:ind w:right="-108"/>
              <w:rPr>
                <w:rFonts w:ascii="Times New Roman" w:eastAsia="SimSun" w:hAnsi="Times New Roman" w:cs="Times New Roman"/>
                <w:vertAlign w:val="superscript"/>
                <w:lang w:eastAsia="en-US"/>
              </w:rPr>
            </w:pPr>
            <w:r>
              <w:rPr>
                <w:rFonts w:ascii="Times New Roman" w:eastAsia="SimSun" w:hAnsi="Times New Roman" w:cs="Times New Roman"/>
                <w:lang w:eastAsia="en-US"/>
              </w:rPr>
              <w:t>Napi egyszer 100 mg szitagliptin folyamatban lévő inzulin- (+/- metformin) terápiához adva</w:t>
            </w:r>
            <w:r>
              <w:rPr>
                <w:rFonts w:ascii="Times New Roman" w:eastAsia="SimSun" w:hAnsi="Times New Roman" w:cs="Times New Roman"/>
                <w:vertAlign w:val="superscript"/>
                <w:lang w:eastAsia="en-US"/>
              </w:rPr>
              <w:t>ΙΙ</w:t>
            </w:r>
          </w:p>
          <w:p w14:paraId="015B3011" w14:textId="77777777" w:rsidR="00DD6391" w:rsidRDefault="00CF2099">
            <w:pPr>
              <w:spacing w:line="240" w:lineRule="auto"/>
              <w:ind w:right="-108"/>
              <w:rPr>
                <w:rFonts w:ascii="Times New Roman" w:eastAsia="SimSun" w:hAnsi="Times New Roman" w:cs="Times New Roman"/>
                <w:lang w:eastAsia="en-US"/>
              </w:rPr>
            </w:pPr>
            <w:r>
              <w:rPr>
                <w:rFonts w:ascii="Times New Roman" w:eastAsia="SimSun" w:hAnsi="Times New Roman" w:cs="Times New Roman"/>
                <w:lang w:eastAsia="en-US"/>
              </w:rPr>
              <w:t>(n = 305)</w:t>
            </w:r>
          </w:p>
        </w:tc>
        <w:tc>
          <w:tcPr>
            <w:tcW w:w="1414" w:type="dxa"/>
            <w:vAlign w:val="center"/>
          </w:tcPr>
          <w:p w14:paraId="224FA085"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8,7</w:t>
            </w:r>
          </w:p>
        </w:tc>
        <w:tc>
          <w:tcPr>
            <w:tcW w:w="1560" w:type="dxa"/>
            <w:vAlign w:val="center"/>
          </w:tcPr>
          <w:p w14:paraId="63CDC577"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r>
              <w:rPr>
                <w:rFonts w:ascii="Times New Roman" w:eastAsia="SimSun" w:hAnsi="Times New Roman" w:cs="Times New Roman"/>
                <w:vertAlign w:val="superscript"/>
                <w:lang w:eastAsia="en-US"/>
              </w:rPr>
              <w:t>¶</w:t>
            </w:r>
          </w:p>
        </w:tc>
        <w:tc>
          <w:tcPr>
            <w:tcW w:w="1700" w:type="dxa"/>
            <w:vAlign w:val="center"/>
          </w:tcPr>
          <w:p w14:paraId="681D3F95"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-0,6</w:t>
            </w:r>
            <w:r>
              <w:rPr>
                <w:rFonts w:ascii="Times New Roman" w:eastAsia="SimSun" w:hAnsi="Times New Roman" w:cs="Times New Roman"/>
                <w:vertAlign w:val="superscript"/>
                <w:lang w:eastAsia="en-US"/>
              </w:rPr>
              <w:t>‡</w:t>
            </w:r>
          </w:p>
          <w:p w14:paraId="451D1517" w14:textId="77777777" w:rsidR="00DD6391" w:rsidRDefault="00CF2099">
            <w:pPr>
              <w:spacing w:line="240" w:lineRule="auto"/>
              <w:ind w:right="-2"/>
              <w:jc w:val="center"/>
              <w:rPr>
                <w:rFonts w:ascii="Times New Roman" w:eastAsia="SimSun" w:hAnsi="Times New Roman" w:cs="Times New Roman"/>
                <w:lang w:eastAsia="en-US"/>
              </w:rPr>
            </w:pPr>
            <w:r>
              <w:rPr>
                <w:rFonts w:ascii="Times New Roman" w:eastAsia="SimSun" w:hAnsi="Times New Roman" w:cs="Times New Roman"/>
                <w:lang w:eastAsia="en-US"/>
              </w:rPr>
              <w:t>(-0,7, -0,4)</w:t>
            </w:r>
          </w:p>
        </w:tc>
      </w:tr>
    </w:tbl>
    <w:p w14:paraId="4156B794"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vertAlign w:val="superscript"/>
          <w:lang w:eastAsia="en-US"/>
        </w:rPr>
        <w:t>*</w:t>
      </w: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A kezelt populáció minden betege (beválasztás szerinti analízis).</w:t>
      </w:r>
    </w:p>
    <w:p w14:paraId="36CD8B99"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Az előzőleg adott antihyperglykaemiás terápiás státuszhoz és a vizsgálatba történő belépéskor mért értékhez igazított legkisebb négyzetek módszere.</w:t>
      </w:r>
    </w:p>
    <w:p w14:paraId="06713677"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p&lt; 0,001 a placebóval vagy placebo + kombinációs kezeléssel összehasonlítva.</w:t>
      </w:r>
    </w:p>
    <w:p w14:paraId="40432A74"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A 18. héten mért HbA</w:t>
      </w:r>
      <w:r>
        <w:rPr>
          <w:rFonts w:ascii="Times New Roman" w:eastAsia="SimSun" w:hAnsi="Times New Roman" w:cs="Times New Roman"/>
          <w:sz w:val="18"/>
          <w:szCs w:val="18"/>
          <w:vertAlign w:val="subscript"/>
          <w:lang w:eastAsia="en-US"/>
        </w:rPr>
        <w:t>1c</w:t>
      </w:r>
      <w:r>
        <w:rPr>
          <w:rFonts w:ascii="Times New Roman" w:eastAsia="SimSun" w:hAnsi="Times New Roman" w:cs="Times New Roman"/>
          <w:sz w:val="18"/>
          <w:szCs w:val="18"/>
          <w:lang w:eastAsia="en-US"/>
        </w:rPr>
        <w:t xml:space="preserve"> (%).</w:t>
      </w:r>
    </w:p>
    <w:p w14:paraId="6BC078F5"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ΙΙ </w:t>
      </w:r>
      <w:r>
        <w:rPr>
          <w:rFonts w:ascii="Times New Roman" w:eastAsia="SimSun" w:hAnsi="Times New Roman" w:cs="Times New Roman"/>
          <w:sz w:val="18"/>
          <w:szCs w:val="18"/>
          <w:lang w:eastAsia="en-US"/>
        </w:rPr>
        <w:t>A 24. héten mért HbA</w:t>
      </w:r>
      <w:r>
        <w:rPr>
          <w:rFonts w:ascii="Times New Roman" w:eastAsia="SimSun" w:hAnsi="Times New Roman" w:cs="Times New Roman"/>
          <w:sz w:val="18"/>
          <w:szCs w:val="18"/>
          <w:vertAlign w:val="subscript"/>
          <w:lang w:eastAsia="en-US"/>
        </w:rPr>
        <w:t>1c</w:t>
      </w:r>
      <w:r>
        <w:rPr>
          <w:rFonts w:ascii="Times New Roman" w:eastAsia="SimSun" w:hAnsi="Times New Roman" w:cs="Times New Roman"/>
          <w:sz w:val="18"/>
          <w:szCs w:val="18"/>
          <w:lang w:eastAsia="en-US"/>
        </w:rPr>
        <w:t xml:space="preserve"> (%).</w:t>
      </w:r>
    </w:p>
    <w:p w14:paraId="51ED4085"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A 26. héten mért HbA</w:t>
      </w:r>
      <w:r>
        <w:rPr>
          <w:rFonts w:ascii="Times New Roman" w:eastAsia="SimSun" w:hAnsi="Times New Roman" w:cs="Times New Roman"/>
          <w:sz w:val="18"/>
          <w:szCs w:val="18"/>
          <w:vertAlign w:val="subscript"/>
          <w:lang w:eastAsia="en-US"/>
        </w:rPr>
        <w:t>1c</w:t>
      </w:r>
      <w:r>
        <w:rPr>
          <w:rFonts w:ascii="Times New Roman" w:eastAsia="SimSun" w:hAnsi="Times New Roman" w:cs="Times New Roman"/>
          <w:sz w:val="18"/>
          <w:szCs w:val="18"/>
          <w:lang w:eastAsia="en-US"/>
        </w:rPr>
        <w:t xml:space="preserve"> (%).</w:t>
      </w:r>
    </w:p>
    <w:p w14:paraId="15D10F5A" w14:textId="77777777" w:rsidR="00DD6391" w:rsidRDefault="00CF2099">
      <w:pPr>
        <w:spacing w:line="240" w:lineRule="auto"/>
        <w:ind w:right="-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rPr>
        <w:t>Az 1. vizitkor alkalmazott metforminra (igen/nem), az 1. vizitkor alkalmazott inzulinmennyiségre (előkevert, illetve nem előkevert [közepes vagy hosszú hatástartamú]), illetve a kiindulási vizit értékére korrigált legkisebb négyzetek átlaga. A terápiás alcsoportok (metformin és inzulin alkalmazása) esetén észlelt interakciók nem voltak szignifikánsak (p&gt; 0,10).</w:t>
      </w:r>
    </w:p>
    <w:p w14:paraId="1046ABCB" w14:textId="77777777" w:rsidR="00DD6391" w:rsidRDefault="00DD6391">
      <w:pPr>
        <w:spacing w:line="240" w:lineRule="auto"/>
        <w:rPr>
          <w:rFonts w:ascii="Times New Roman" w:hAnsi="Times New Roman" w:cs="Times New Roman"/>
          <w:u w:val="single"/>
        </w:rPr>
      </w:pPr>
    </w:p>
    <w:p w14:paraId="023931CA" w14:textId="77777777" w:rsidR="00DD6391" w:rsidRDefault="00CF2099">
      <w:pPr>
        <w:spacing w:line="240" w:lineRule="auto"/>
        <w:rPr>
          <w:rFonts w:ascii="Times New Roman" w:hAnsi="Times New Roman" w:cs="Times New Roman"/>
        </w:rPr>
      </w:pPr>
      <w:r>
        <w:rPr>
          <w:rFonts w:ascii="Times New Roman" w:hAnsi="Times New Roman" w:cs="Times New Roman"/>
        </w:rPr>
        <w:t>Egy 24 hetes aktív- (metformin) kontrollos vizsgálatot állítottak össze a napi egyszer adott 100 mg szitagliptin (n = 528) hatásosságának és biztonságosságának kiértékelésére a metforminnal (n = 522) összehasonlítva, diéta és testmozgás mellett nem megfelelő glykaemiás kontrollal rendelkező betegeknél, akik nem részesültek antihyperglykaemiás kezelésben (legalább 4 hónapja nem kaptak kezelést). A metformin átlagos dózisa hozzávetőleg naponta 1900 mg volt. A HbA</w:t>
      </w:r>
      <w:r>
        <w:rPr>
          <w:rFonts w:ascii="Times New Roman" w:hAnsi="Times New Roman" w:cs="Times New Roman"/>
          <w:vertAlign w:val="subscript"/>
        </w:rPr>
        <w:t>1c</w:t>
      </w:r>
      <w:r>
        <w:rPr>
          <w:rFonts w:ascii="Times New Roman" w:hAnsi="Times New Roman" w:cs="Times New Roman"/>
        </w:rPr>
        <w:t xml:space="preserve"> csökkenése a kiinduláskor mért 7,2%</w:t>
      </w:r>
      <w:r>
        <w:rPr>
          <w:rFonts w:ascii="Times New Roman" w:hAnsi="Times New Roman" w:cs="Times New Roman"/>
        </w:rPr>
        <w:noBreakHyphen/>
        <w:t xml:space="preserve">os átlagértékhez képest a szitagliptinnél </w:t>
      </w:r>
      <w:r>
        <w:rPr>
          <w:rFonts w:ascii="Times New Roman" w:hAnsi="Times New Roman" w:cs="Times New Roman"/>
        </w:rPr>
        <w:noBreakHyphen/>
        <w:t xml:space="preserve">0,43% és a metforminnál pedig </w:t>
      </w:r>
      <w:r>
        <w:rPr>
          <w:rFonts w:ascii="Times New Roman" w:hAnsi="Times New Roman" w:cs="Times New Roman"/>
        </w:rPr>
        <w:noBreakHyphen/>
        <w:t>0,57% volt (protokoll szerinti elemzés). A gyógyszerrel összefüggőnek tartott gasztrointesztinális mellékhatások összesített előfordulási gyakorisága a szitagliptinnel kezelt betegeknél 2,7% volt, szemben a metforminnal kezelt betegeknél megfigyelt 12,6%</w:t>
      </w:r>
      <w:r>
        <w:rPr>
          <w:rFonts w:ascii="Times New Roman" w:hAnsi="Times New Roman" w:cs="Times New Roman"/>
        </w:rPr>
        <w:noBreakHyphen/>
        <w:t xml:space="preserve">kal. A hypoglykaemia előfordulási aránya a két kezelési csoportban nem különbözött jelentős mértékben (szitagliptin: 1,3%, metformin: 1,9%). A testtömeg a kiindulási értékhez képest mindkét csoportban csökkent (szitagliptin: </w:t>
      </w:r>
      <w:r>
        <w:rPr>
          <w:rFonts w:ascii="Times New Roman" w:hAnsi="Times New Roman" w:cs="Times New Roman"/>
        </w:rPr>
        <w:noBreakHyphen/>
        <w:t xml:space="preserve">0,6 kg, metformin: </w:t>
      </w:r>
      <w:r>
        <w:rPr>
          <w:rFonts w:ascii="Times New Roman" w:hAnsi="Times New Roman" w:cs="Times New Roman"/>
        </w:rPr>
        <w:noBreakHyphen/>
        <w:t>1,9 kg).</w:t>
      </w:r>
    </w:p>
    <w:p w14:paraId="6737B7D8" w14:textId="77777777" w:rsidR="00DD6391" w:rsidRDefault="00DD6391">
      <w:pPr>
        <w:spacing w:line="240" w:lineRule="auto"/>
        <w:rPr>
          <w:rFonts w:ascii="Times New Roman" w:hAnsi="Times New Roman" w:cs="Times New Roman"/>
          <w:u w:val="single"/>
        </w:rPr>
      </w:pPr>
    </w:p>
    <w:p w14:paraId="5F94D2C7" w14:textId="77777777" w:rsidR="00DD6391" w:rsidRDefault="00CF2099">
      <w:pPr>
        <w:spacing w:line="240" w:lineRule="auto"/>
        <w:rPr>
          <w:rFonts w:ascii="Times New Roman" w:hAnsi="Times New Roman" w:cs="Times New Roman"/>
        </w:rPr>
      </w:pPr>
      <w:r>
        <w:rPr>
          <w:rFonts w:ascii="Times New Roman" w:hAnsi="Times New Roman" w:cs="Times New Roman"/>
        </w:rPr>
        <w:t>Egy vizsgálatban, ami a hozzáadott napi egyszeri 100 mg szitagliptin vagy glipizid (szulfonilurea) hatásosságát és biztonságosságát vizsgálta a metformin-monoterápia mellett nem kielégítő glykaemiás kontrollal rendelkező betegeknél, a szitagliptin hasonló volt a glipizidhez a HbA</w:t>
      </w:r>
      <w:r>
        <w:rPr>
          <w:rFonts w:ascii="Times New Roman" w:hAnsi="Times New Roman" w:cs="Times New Roman"/>
          <w:vertAlign w:val="subscript"/>
        </w:rPr>
        <w:t>1c</w:t>
      </w:r>
      <w:r>
        <w:rPr>
          <w:rFonts w:ascii="Times New Roman" w:hAnsi="Times New Roman" w:cs="Times New Roman"/>
        </w:rPr>
        <w:t xml:space="preserve"> csökkentése terén. A komparátor-csoportban a glipizid átlagos dózisa napi 10 mg volt, a vizsgálat alatt a betegek körülbelül 40%</w:t>
      </w:r>
      <w:r>
        <w:rPr>
          <w:rFonts w:ascii="Times New Roman" w:hAnsi="Times New Roman" w:cs="Times New Roman"/>
        </w:rPr>
        <w:noBreakHyphen/>
        <w:t>ának volt szüksége naponta ≤ 5 mg</w:t>
      </w:r>
      <w:r>
        <w:rPr>
          <w:rFonts w:ascii="Times New Roman" w:hAnsi="Times New Roman" w:cs="Times New Roman"/>
        </w:rPr>
        <w:noBreakHyphen/>
        <w:t xml:space="preserve">os glipizid dózisra. A szitagliptin-csoportban azonban több beteg hagyta abba a kezelést a gyógyszer hatásosságának hiánya miatt, mint a glipizid-csoportban. A szitagliptinnel kezelt betegek testtömege a kiindulási állapothoz képest jelentős mértékű átlagos csökkenést (-1,5 kg) mutatott a glipiziddel kezelt betegek jelentős testtömeg-növekedésével (+1,1 kg) szemben. Ebben a vizsgálatban a proinzulin-inzulin arány, ami az inzulinszintézis és </w:t>
      </w:r>
      <w:r>
        <w:rPr>
          <w:rFonts w:ascii="Times New Roman" w:hAnsi="Times New Roman" w:cs="Times New Roman"/>
        </w:rPr>
        <w:noBreakHyphen/>
        <w:t>felszabadulás hatásosságának markere, a szitagliptin-kezelés hatására javult, míg a glipizid-kezelés hatására romlott. A hypoglykaemiás esetek előfordulási aránya a szitagliptin-csoportban jelentősen alacsonyabb volt (4,9%), mint a glipizid-csoportban (32,0%).</w:t>
      </w:r>
    </w:p>
    <w:p w14:paraId="6B67100E" w14:textId="77777777" w:rsidR="00DD6391" w:rsidRDefault="00DD6391">
      <w:pPr>
        <w:spacing w:line="240" w:lineRule="auto"/>
        <w:rPr>
          <w:rFonts w:ascii="Times New Roman" w:hAnsi="Times New Roman" w:cs="Times New Roman"/>
          <w:u w:val="single"/>
        </w:rPr>
      </w:pPr>
    </w:p>
    <w:p w14:paraId="6BDFDB46" w14:textId="77777777" w:rsidR="00DD6391" w:rsidRDefault="00CF2099">
      <w:pPr>
        <w:spacing w:line="240" w:lineRule="auto"/>
        <w:rPr>
          <w:rFonts w:ascii="Times New Roman" w:hAnsi="Times New Roman" w:cs="Times New Roman"/>
        </w:rPr>
      </w:pPr>
      <w:r>
        <w:rPr>
          <w:rFonts w:ascii="Times New Roman" w:hAnsi="Times New Roman" w:cs="Times New Roman"/>
        </w:rPr>
        <w:t>Egy 24 hetes, placebokontrollos, 660 beteg bevonásával végzett vizsgálatot úgy terveztek meg, hogy értékelje a (legalább 1500 mg) metforminnal vagy anélkül alkalmazott glargin inzulinhoz adott (napi egyszer 100 mg) szitagliptin inzulincsökkentő hatásosságát és biztonságosságát az inzulin-terápia intenzifikálása idején. A HbA</w:t>
      </w:r>
      <w:r>
        <w:rPr>
          <w:rFonts w:ascii="Times New Roman" w:hAnsi="Times New Roman" w:cs="Times New Roman"/>
          <w:vertAlign w:val="subscript"/>
        </w:rPr>
        <w:t>1c</w:t>
      </w:r>
      <w:r>
        <w:rPr>
          <w:rFonts w:ascii="Times New Roman" w:hAnsi="Times New Roman" w:cs="Times New Roman"/>
        </w:rPr>
        <w:t xml:space="preserve"> kiindulási értéke 8,74% volt, míg az inzulin kiindulási dózisa napi 37 NE volt. A betegeket arra utasították, hogy glargin inzulin dózisukat az ujjbegyből vett vérminták éhomi glükózértékei alapján határozzák meg. A 24. héten a napi inzulindózis növekedése a szitagliptinnel kezelt betegeknél napi 19 NE, míg a placebóval kezelt betegeknél napi 24 NE volt. A HbA</w:t>
      </w:r>
      <w:r>
        <w:rPr>
          <w:rFonts w:ascii="Times New Roman" w:hAnsi="Times New Roman" w:cs="Times New Roman"/>
          <w:vertAlign w:val="subscript"/>
        </w:rPr>
        <w:t>1c</w:t>
      </w:r>
      <w:r>
        <w:rPr>
          <w:rFonts w:ascii="Times New Roman" w:hAnsi="Times New Roman" w:cs="Times New Roman"/>
        </w:rPr>
        <w:t xml:space="preserve"> csökkenése a szitagliptinnel és inzulinnal (metforminnal vagy anélkül) kezelt betegeknél </w:t>
      </w:r>
      <w:r>
        <w:rPr>
          <w:rFonts w:ascii="Times New Roman" w:hAnsi="Times New Roman" w:cs="Times New Roman"/>
        </w:rPr>
        <w:noBreakHyphen/>
        <w:t>1,31% volt, összehasonlítva a placebóval és inzulinnal (metforminnal vagy anélkül) kezelt betegeknél megfigyelt -0,87%</w:t>
      </w:r>
      <w:r>
        <w:rPr>
          <w:rFonts w:ascii="Times New Roman" w:hAnsi="Times New Roman" w:cs="Times New Roman"/>
        </w:rPr>
        <w:noBreakHyphen/>
        <w:t>kal, mely -0,45%</w:t>
      </w:r>
      <w:r>
        <w:rPr>
          <w:rFonts w:ascii="Times New Roman" w:hAnsi="Times New Roman" w:cs="Times New Roman"/>
        </w:rPr>
        <w:noBreakHyphen/>
        <w:t>os különbséget (95%</w:t>
      </w:r>
      <w:r>
        <w:rPr>
          <w:rFonts w:ascii="Times New Roman" w:hAnsi="Times New Roman" w:cs="Times New Roman"/>
        </w:rPr>
        <w:noBreakHyphen/>
        <w:t>os CI: -0,60, -0,29) mutat. A hypoglykaemia előfordulási gyakorisága a szitagliptinnel és inzulinnal (metforminnal vagy anélkül) kezelt betegeknél 25,2%, míg a placebóval és inzulinnal (metforminnal vagy anélkül) kezelt betegeknél 36,8% volt. A különbség főként annak tulajdonítható, hogy a placebocsoport betegei nagyobb arányban tapasztaltak 3 vagy ennél több hypoglykaemiás epizódot (9,4 vs. 19,1%). A súlyos hypoglykaemia gyakoriságát illetően nem mutatkozott különbség.</w:t>
      </w:r>
    </w:p>
    <w:p w14:paraId="05EC05BE" w14:textId="77777777" w:rsidR="00DD6391" w:rsidRDefault="00DD6391">
      <w:pPr>
        <w:spacing w:line="240" w:lineRule="auto"/>
        <w:rPr>
          <w:rFonts w:ascii="Times New Roman" w:hAnsi="Times New Roman" w:cs="Times New Roman"/>
          <w:u w:val="single"/>
        </w:rPr>
      </w:pPr>
    </w:p>
    <w:p w14:paraId="4AA5007F" w14:textId="77777777" w:rsidR="00DD6391" w:rsidRDefault="00CF2099">
      <w:pPr>
        <w:spacing w:line="240" w:lineRule="auto"/>
        <w:rPr>
          <w:rFonts w:ascii="Times New Roman" w:hAnsi="Times New Roman" w:cs="Times New Roman"/>
        </w:rPr>
      </w:pPr>
      <w:r>
        <w:rPr>
          <w:rFonts w:ascii="Times New Roman" w:hAnsi="Times New Roman" w:cs="Times New Roman"/>
        </w:rPr>
        <w:t>Közepesen súlyos/súlyos vesekárosodásban szenvedő betegekkel végeztek egy vizsgálatot, amelynek során naponta egyszer 25 mg vagy 50 mg szitagliptint hasonlítottak össze napi 2,5–20 mg glipiziddel. A vizsgálatba 423, krónikus vesekárosodásban szenvedő beteget (becsült glomerulusfiltrációs ráta &lt; 50 ml/perc) vontak be. Ötvennégy hét után a HbA</w:t>
      </w:r>
      <w:r>
        <w:rPr>
          <w:rFonts w:ascii="Times New Roman" w:hAnsi="Times New Roman" w:cs="Times New Roman"/>
          <w:vertAlign w:val="subscript"/>
        </w:rPr>
        <w:t>1c</w:t>
      </w:r>
      <w:r>
        <w:rPr>
          <w:rFonts w:ascii="Times New Roman" w:hAnsi="Times New Roman" w:cs="Times New Roman"/>
        </w:rPr>
        <w:t xml:space="preserve"> kiindulási értékének átlagos csökkenése </w:t>
      </w:r>
      <w:r>
        <w:rPr>
          <w:rFonts w:ascii="Times New Roman" w:hAnsi="Times New Roman" w:cs="Times New Roman"/>
        </w:rPr>
        <w:noBreakHyphen/>
        <w:t xml:space="preserve">0,76% volt a szitagliptin, és </w:t>
      </w:r>
      <w:r>
        <w:rPr>
          <w:rFonts w:ascii="Times New Roman" w:hAnsi="Times New Roman" w:cs="Times New Roman"/>
        </w:rPr>
        <w:noBreakHyphen/>
        <w:t>0,64% a glipizid alkalmazása mellett (protokoll szerinti analízis). Ebben a vizsgálatban a naponta egyszer alkalmazott 25 mg vagy 50 mg szitagliptin hatásossági és biztonságossági profilja általánosságban hasonló volt a normál vesefunkciójú betegeknél egyéb monoterápiás vizsgálatokban megfigyeltekhez. A hypoglykaemia előfordulási aránya a szitagliptin-csoportban lényegesen alacsonyabb volt (6,2%), mint a glipizid-csoportban (17,0%). Szintén jelentős különbség mutatkozott a csoportok között a kiindulási testtömeg változását illetően (szitagliptin: -0,6 kg, glipizid: +1,2 kg).</w:t>
      </w:r>
    </w:p>
    <w:p w14:paraId="3710E400" w14:textId="77777777" w:rsidR="00DD6391" w:rsidRDefault="00DD6391">
      <w:pPr>
        <w:spacing w:line="240" w:lineRule="auto"/>
        <w:rPr>
          <w:rFonts w:ascii="Times New Roman" w:hAnsi="Times New Roman" w:cs="Times New Roman"/>
        </w:rPr>
      </w:pPr>
    </w:p>
    <w:p w14:paraId="1E07A201" w14:textId="77777777" w:rsidR="00DD6391" w:rsidRDefault="00CF2099">
      <w:pPr>
        <w:spacing w:line="240" w:lineRule="auto"/>
        <w:rPr>
          <w:rFonts w:ascii="Times New Roman" w:hAnsi="Times New Roman" w:cs="Times New Roman"/>
        </w:rPr>
      </w:pPr>
      <w:r>
        <w:rPr>
          <w:rFonts w:ascii="Times New Roman" w:hAnsi="Times New Roman" w:cs="Times New Roman"/>
        </w:rPr>
        <w:t>Egy másik, 129, végstádiumú vesebetegségben szenvedő, dializált beteggel végzett vizsgálat során napi 25 mg szitagliptint hasonlítottak össze napi 2,5–20 mg glipiziddel. Ötvennégy hét után a HbA</w:t>
      </w:r>
      <w:r>
        <w:rPr>
          <w:rFonts w:ascii="Times New Roman" w:hAnsi="Times New Roman" w:cs="Times New Roman"/>
          <w:vertAlign w:val="subscript"/>
        </w:rPr>
        <w:t>1c</w:t>
      </w:r>
      <w:r>
        <w:rPr>
          <w:rFonts w:ascii="Times New Roman" w:hAnsi="Times New Roman" w:cs="Times New Roman"/>
        </w:rPr>
        <w:t xml:space="preserve"> kiindulási értékének átlagos csökkenése </w:t>
      </w:r>
      <w:r>
        <w:rPr>
          <w:rFonts w:ascii="Times New Roman" w:hAnsi="Times New Roman" w:cs="Times New Roman"/>
        </w:rPr>
        <w:noBreakHyphen/>
        <w:t xml:space="preserve">0,72% volt a szitagliptin és </w:t>
      </w:r>
      <w:r>
        <w:rPr>
          <w:rFonts w:ascii="Times New Roman" w:hAnsi="Times New Roman" w:cs="Times New Roman"/>
        </w:rPr>
        <w:noBreakHyphen/>
        <w:t>0,87% a glipizid alkalmazása mellett. Ebben a vizsgálatban a naponta egyszer alkalmazott 25 mg szitagliptin hatásossági és biztonságossági profilja általánosságban hasonló volt a normál vesefunkciójú betegeknél egyéb monoterápiás vizsgálatokban megfigyeltekhez. A hypoglykaemia előfordulási aránya nem különbözött lényegesen a kezelési csoportokban (szitagliptin: 6,3%, glipizid: 10,8%).</w:t>
      </w:r>
    </w:p>
    <w:p w14:paraId="25DEB736" w14:textId="77777777" w:rsidR="00DD6391" w:rsidRDefault="00DD6391">
      <w:pPr>
        <w:spacing w:line="240" w:lineRule="auto"/>
        <w:rPr>
          <w:rFonts w:ascii="Times New Roman" w:hAnsi="Times New Roman" w:cs="Times New Roman"/>
          <w:u w:val="single"/>
        </w:rPr>
      </w:pPr>
    </w:p>
    <w:p w14:paraId="6C276AF5" w14:textId="77777777" w:rsidR="00DD6391" w:rsidRDefault="00CF2099">
      <w:pPr>
        <w:spacing w:line="240" w:lineRule="auto"/>
        <w:rPr>
          <w:rFonts w:ascii="Times New Roman" w:hAnsi="Times New Roman" w:cs="Times New Roman"/>
        </w:rPr>
      </w:pPr>
      <w:r>
        <w:rPr>
          <w:rFonts w:ascii="Times New Roman" w:hAnsi="Times New Roman" w:cs="Times New Roman"/>
        </w:rPr>
        <w:t>Egy másik vizsgálatban, amit 91, 2</w:t>
      </w:r>
      <w:r>
        <w:rPr>
          <w:rFonts w:ascii="Times New Roman" w:hAnsi="Times New Roman" w:cs="Times New Roman"/>
        </w:rPr>
        <w:noBreakHyphen/>
        <w:t>es típusú diabetesben és krónikus vesekárosodásban (kreatinin-clearance &lt; 50 ml/perc) szenvedő beteg részvételével folytattak, a naponta egyszer 25 mg vagy 50 mg szitagliptin-kezelés biztonságossága és tolerálhatósága általánosságban hasonló volt a placebóéhoz. Ezenkívül 12 hét után a HbA</w:t>
      </w:r>
      <w:r>
        <w:rPr>
          <w:rFonts w:ascii="Times New Roman" w:hAnsi="Times New Roman" w:cs="Times New Roman"/>
          <w:vertAlign w:val="subscript"/>
        </w:rPr>
        <w:t>1c</w:t>
      </w:r>
      <w:r>
        <w:rPr>
          <w:rFonts w:ascii="Times New Roman" w:hAnsi="Times New Roman" w:cs="Times New Roman"/>
        </w:rPr>
        <w:t xml:space="preserve"> (szitagliptin: -0,59%; placebo: -0,18%) és FPG (szitagliptin: </w:t>
      </w:r>
      <w:r>
        <w:rPr>
          <w:rFonts w:ascii="Times New Roman" w:hAnsi="Times New Roman" w:cs="Times New Roman"/>
        </w:rPr>
        <w:noBreakHyphen/>
        <w:t>25,5 mg/dl; placebo: -3,0 mg/dl) átlagos csökkenése általánosságban hasonló volt a normál vesefunkciójú betegeknél egyéb monoterápiás vizsgálatokban megfigyeltekhez (lásd 5.2 pont).</w:t>
      </w:r>
    </w:p>
    <w:p w14:paraId="3F3F18C3" w14:textId="77777777" w:rsidR="00DD6391" w:rsidRDefault="00DD6391">
      <w:pPr>
        <w:spacing w:line="240" w:lineRule="auto"/>
        <w:rPr>
          <w:rFonts w:ascii="Times New Roman" w:hAnsi="Times New Roman" w:cs="Times New Roman"/>
          <w:u w:val="single"/>
        </w:rPr>
      </w:pPr>
    </w:p>
    <w:p w14:paraId="72A5D012" w14:textId="77777777" w:rsidR="00DD6391" w:rsidRDefault="00CF2099">
      <w:pPr>
        <w:spacing w:line="240" w:lineRule="auto"/>
        <w:rPr>
          <w:rFonts w:ascii="Times New Roman" w:hAnsi="Times New Roman" w:cs="Times New Roman"/>
        </w:rPr>
      </w:pPr>
      <w:r>
        <w:rPr>
          <w:rFonts w:ascii="Times New Roman" w:hAnsi="Times New Roman" w:cs="Times New Roman"/>
        </w:rPr>
        <w:t>A TECOS egy randomizált vizsgálat volt, amelynek beválasztás szerinti populációjában 14 671, ≥ 6,5</w:t>
      </w:r>
      <w:r>
        <w:rPr>
          <w:rFonts w:ascii="Times New Roman" w:hAnsi="Times New Roman" w:cs="Times New Roman"/>
        </w:rPr>
        <w:noBreakHyphen/>
        <w:t>8,0% közötti HbA</w:t>
      </w:r>
      <w:r>
        <w:rPr>
          <w:rFonts w:ascii="Times New Roman" w:hAnsi="Times New Roman" w:cs="Times New Roman"/>
          <w:vertAlign w:val="subscript"/>
        </w:rPr>
        <w:t>1c</w:t>
      </w:r>
      <w:r>
        <w:rPr>
          <w:rFonts w:ascii="Times New Roman" w:hAnsi="Times New Roman" w:cs="Times New Roman"/>
        </w:rPr>
        <w:t>-értékkel rendelkező, igazolt CV betegségben szenvedő beteg vett részt, akik (7332</w:t>
      </w:r>
      <w:r>
        <w:rPr>
          <w:rFonts w:ascii="Times New Roman" w:hAnsi="Times New Roman" w:cs="Times New Roman"/>
        </w:rPr>
        <w:noBreakHyphen/>
        <w:t>en) napi 100 mg (vagy ≥ 30 és &lt; 50 ml/perc/1,73 m</w:t>
      </w:r>
      <w:r>
        <w:rPr>
          <w:rFonts w:ascii="Times New Roman" w:hAnsi="Times New Roman" w:cs="Times New Roman"/>
          <w:vertAlign w:val="superscript"/>
        </w:rPr>
        <w:t>2</w:t>
      </w:r>
      <w:r>
        <w:rPr>
          <w:rFonts w:ascii="Times New Roman" w:hAnsi="Times New Roman" w:cs="Times New Roman"/>
        </w:rPr>
        <w:t xml:space="preserve"> értékű kiindulási eGFR esetén napi 50 mg) szitagliptint vagy (7339</w:t>
      </w:r>
      <w:r>
        <w:rPr>
          <w:rFonts w:ascii="Times New Roman" w:hAnsi="Times New Roman" w:cs="Times New Roman"/>
        </w:rPr>
        <w:noBreakHyphen/>
        <w:t>en) placebót kaptak a HbA</w:t>
      </w:r>
      <w:r>
        <w:rPr>
          <w:rFonts w:ascii="Times New Roman" w:hAnsi="Times New Roman" w:cs="Times New Roman"/>
          <w:vertAlign w:val="subscript"/>
        </w:rPr>
        <w:t>1c</w:t>
      </w:r>
      <w:r>
        <w:rPr>
          <w:rFonts w:ascii="Times New Roman" w:hAnsi="Times New Roman" w:cs="Times New Roman"/>
        </w:rPr>
        <w:t xml:space="preserve"> és CV kockázati tényezőkre vonatkozó regionális standardokat célzó általános kezelés mellé. A &lt; 30 ml/perc/1,73 m</w:t>
      </w:r>
      <w:r>
        <w:rPr>
          <w:rFonts w:ascii="Times New Roman" w:hAnsi="Times New Roman" w:cs="Times New Roman"/>
          <w:vertAlign w:val="superscript"/>
        </w:rPr>
        <w:t>2</w:t>
      </w:r>
      <w:r>
        <w:rPr>
          <w:rFonts w:ascii="Times New Roman" w:hAnsi="Times New Roman" w:cs="Times New Roman"/>
        </w:rPr>
        <w:t xml:space="preserve"> eGFR-értékkel rendelkező betegek nem voltak bevonhatóak a vizsgálatba. A vizsgálati populációba 2004, ≥ 75 éves beteg és 3324, vesekárosodásban szenvedő beteg (eGFR &lt; 60 ml/perc/1,73 m</w:t>
      </w:r>
      <w:r>
        <w:rPr>
          <w:rFonts w:ascii="Times New Roman" w:hAnsi="Times New Roman" w:cs="Times New Roman"/>
          <w:vertAlign w:val="superscript"/>
        </w:rPr>
        <w:t>2</w:t>
      </w:r>
      <w:r>
        <w:rPr>
          <w:rFonts w:ascii="Times New Roman" w:hAnsi="Times New Roman" w:cs="Times New Roman"/>
        </w:rPr>
        <w:t>) tartozott.</w:t>
      </w:r>
    </w:p>
    <w:p w14:paraId="5E2C3D92" w14:textId="77777777" w:rsidR="00DD6391" w:rsidRDefault="00DD6391">
      <w:pPr>
        <w:spacing w:line="240" w:lineRule="auto"/>
        <w:rPr>
          <w:rFonts w:ascii="Times New Roman" w:hAnsi="Times New Roman" w:cs="Times New Roman"/>
        </w:rPr>
      </w:pPr>
    </w:p>
    <w:p w14:paraId="6242EDC4" w14:textId="77777777" w:rsidR="00DD6391" w:rsidRDefault="00CF2099">
      <w:pPr>
        <w:spacing w:line="240" w:lineRule="auto"/>
        <w:rPr>
          <w:rFonts w:ascii="Times New Roman" w:hAnsi="Times New Roman" w:cs="Times New Roman"/>
        </w:rPr>
      </w:pPr>
      <w:r>
        <w:rPr>
          <w:rFonts w:ascii="Times New Roman" w:hAnsi="Times New Roman" w:cs="Times New Roman"/>
        </w:rPr>
        <w:t>A vizsgálat folyamán a szitagliptin- és placebocsoportok közötti becsült átlagos összkülönbség (standard deviáció) 0,29% (0,01), 95%</w:t>
      </w:r>
      <w:r>
        <w:rPr>
          <w:rFonts w:ascii="Times New Roman" w:hAnsi="Times New Roman" w:cs="Times New Roman"/>
        </w:rPr>
        <w:noBreakHyphen/>
        <w:t>os CI (-0,32, -0,27); p &lt; 0,001 volt.</w:t>
      </w:r>
    </w:p>
    <w:p w14:paraId="3CA86F57" w14:textId="77777777" w:rsidR="00DD6391" w:rsidRDefault="00DD6391">
      <w:pPr>
        <w:spacing w:line="240" w:lineRule="auto"/>
        <w:rPr>
          <w:rFonts w:ascii="Times New Roman" w:hAnsi="Times New Roman" w:cs="Times New Roman"/>
        </w:rPr>
      </w:pPr>
    </w:p>
    <w:p w14:paraId="24C42F1A" w14:textId="77777777" w:rsidR="00DD6391" w:rsidRDefault="00CF2099">
      <w:pPr>
        <w:spacing w:line="240" w:lineRule="auto"/>
        <w:rPr>
          <w:rFonts w:ascii="Times New Roman" w:hAnsi="Times New Roman" w:cs="Times New Roman"/>
        </w:rPr>
      </w:pPr>
      <w:r>
        <w:rPr>
          <w:rFonts w:ascii="Times New Roman" w:hAnsi="Times New Roman" w:cs="Times New Roman"/>
        </w:rPr>
        <w:t xml:space="preserve">Az elsődleges cardiovascularis végpont az alábbi események első előfordulására vonatkozó összetett végpont volt: cardiovascularis halálozás, nem halálos kimenetelű myocardialis infarctus, nem halálos </w:t>
      </w:r>
      <w:r>
        <w:rPr>
          <w:rFonts w:ascii="Times New Roman" w:hAnsi="Times New Roman" w:cs="Times New Roman"/>
        </w:rPr>
        <w:lastRenderedPageBreak/>
        <w:t>kimenetelű stroke, illetve instabil angina miatti hospitalizáció. A másodlagos cardiovascularis végpontok közé tartozott a cardiovascularis halálozás, nem halálos kimenetelű myocardialis infarctus vagy nem halálos kimenetelű stroke; az elsődleges összetett végpont egyes összetevőinek első előfordulása; az összhalálozás; valamint a pangásos szívelégtelenség miatti hospitalizáció.</w:t>
      </w:r>
    </w:p>
    <w:p w14:paraId="154FD1C3" w14:textId="77777777" w:rsidR="00DD6391" w:rsidRDefault="00DD6391">
      <w:pPr>
        <w:spacing w:line="240" w:lineRule="auto"/>
        <w:rPr>
          <w:rFonts w:ascii="Times New Roman" w:hAnsi="Times New Roman" w:cs="Times New Roman"/>
          <w:u w:val="single"/>
        </w:rPr>
      </w:pPr>
    </w:p>
    <w:p w14:paraId="322EED19" w14:textId="77777777" w:rsidR="00DD6391" w:rsidRDefault="00CF2099">
      <w:pPr>
        <w:spacing w:line="240" w:lineRule="auto"/>
        <w:rPr>
          <w:rFonts w:ascii="Times New Roman" w:hAnsi="Times New Roman" w:cs="Times New Roman"/>
        </w:rPr>
      </w:pPr>
      <w:r>
        <w:rPr>
          <w:rFonts w:ascii="Times New Roman" w:hAnsi="Times New Roman" w:cs="Times New Roman"/>
        </w:rPr>
        <w:t>A 3 éves medián időtartamú követés után a szokásos kezeléssel együtt adott szitagliptin, a szitagliptin nélkül adott szokásos kezeléssel összehasonlítva nem növelte a jelentősebb cardiovascularis nemkívánatos események kockázatát vagy a szívelégtelenség miatti hospitalizáció kockázatát a 2</w:t>
      </w:r>
      <w:r>
        <w:rPr>
          <w:rFonts w:ascii="Times New Roman" w:hAnsi="Times New Roman" w:cs="Times New Roman"/>
        </w:rPr>
        <w:noBreakHyphen/>
        <w:t>es típusú diabetesben szenvedő betegeknél (3. táblázat).</w:t>
      </w:r>
    </w:p>
    <w:p w14:paraId="4D4AA7F5" w14:textId="77777777" w:rsidR="00DD6391" w:rsidRDefault="00DD6391">
      <w:pPr>
        <w:spacing w:line="240" w:lineRule="auto"/>
        <w:rPr>
          <w:rFonts w:ascii="Times New Roman" w:hAnsi="Times New Roman" w:cs="Times New Roman"/>
          <w:u w:val="single"/>
        </w:rPr>
      </w:pPr>
    </w:p>
    <w:p w14:paraId="441A2D9B" w14:textId="77777777" w:rsidR="00DD6391" w:rsidRDefault="00CF2099">
      <w:pPr>
        <w:spacing w:line="240" w:lineRule="auto"/>
        <w:rPr>
          <w:rFonts w:ascii="Times New Roman" w:hAnsi="Times New Roman" w:cs="Times New Roman"/>
          <w:b/>
          <w:bCs/>
        </w:rPr>
      </w:pPr>
      <w:r>
        <w:rPr>
          <w:rFonts w:ascii="Times New Roman" w:hAnsi="Times New Roman" w:cs="Times New Roman"/>
          <w:b/>
          <w:bCs/>
        </w:rPr>
        <w:t>3. táblázat: Az összetett cardiovascularis végpontok és a főbb másodlagos végpontok arányai</w:t>
      </w:r>
    </w:p>
    <w:p w14:paraId="3B5477B7" w14:textId="77777777" w:rsidR="00DD6391" w:rsidRDefault="00DD6391">
      <w:pPr>
        <w:spacing w:line="240" w:lineRule="auto"/>
        <w:rPr>
          <w:rFonts w:ascii="Times New Roman" w:hAnsi="Times New Roman" w:cs="Times New Roman"/>
          <w:u w:val="single"/>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2"/>
        <w:gridCol w:w="1104"/>
        <w:gridCol w:w="1023"/>
        <w:gridCol w:w="1001"/>
        <w:gridCol w:w="1177"/>
        <w:gridCol w:w="8"/>
        <w:gridCol w:w="1134"/>
        <w:gridCol w:w="930"/>
      </w:tblGrid>
      <w:tr w:rsidR="00DD6391" w14:paraId="56EC66CF" w14:textId="77777777">
        <w:trPr>
          <w:cantSplit/>
          <w:tblHeader/>
        </w:trPr>
        <w:tc>
          <w:tcPr>
            <w:tcW w:w="3072" w:type="dxa"/>
            <w:vMerge w:val="restart"/>
          </w:tcPr>
          <w:p w14:paraId="32816A3E" w14:textId="77777777" w:rsidR="00DD6391" w:rsidRDefault="00DD6391">
            <w:pPr>
              <w:tabs>
                <w:tab w:val="clear" w:pos="567"/>
              </w:tabs>
              <w:autoSpaceDE w:val="0"/>
              <w:autoSpaceDN w:val="0"/>
              <w:spacing w:line="240" w:lineRule="auto"/>
              <w:rPr>
                <w:rFonts w:ascii="Times New Roman" w:hAnsi="Times New Roman" w:cs="Times New Roman"/>
                <w:lang w:eastAsia="en-US"/>
              </w:rPr>
            </w:pPr>
          </w:p>
        </w:tc>
        <w:tc>
          <w:tcPr>
            <w:tcW w:w="2127" w:type="dxa"/>
            <w:gridSpan w:val="2"/>
          </w:tcPr>
          <w:p w14:paraId="29D5A04C"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Szitagliptin 100 mg</w:t>
            </w:r>
          </w:p>
        </w:tc>
        <w:tc>
          <w:tcPr>
            <w:tcW w:w="2186" w:type="dxa"/>
            <w:gridSpan w:val="3"/>
          </w:tcPr>
          <w:p w14:paraId="037339F0"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Placebo</w:t>
            </w:r>
          </w:p>
        </w:tc>
        <w:tc>
          <w:tcPr>
            <w:tcW w:w="1134" w:type="dxa"/>
            <w:vMerge w:val="restart"/>
            <w:vAlign w:val="bottom"/>
          </w:tcPr>
          <w:p w14:paraId="768253BF" w14:textId="77777777" w:rsidR="00DD6391" w:rsidRDefault="00CF2099">
            <w:pPr>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Kockáza-ti arány (95%-os CI)</w:t>
            </w:r>
          </w:p>
        </w:tc>
        <w:tc>
          <w:tcPr>
            <w:tcW w:w="930" w:type="dxa"/>
            <w:vMerge w:val="restart"/>
            <w:vAlign w:val="bottom"/>
          </w:tcPr>
          <w:p w14:paraId="00D3C2FF" w14:textId="77777777" w:rsidR="00DD6391" w:rsidRDefault="00CF2099">
            <w:pPr>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p-érték</w:t>
            </w:r>
            <w:r>
              <w:rPr>
                <w:rFonts w:ascii="Times New Roman" w:hAnsi="Times New Roman" w:cs="Times New Roman"/>
                <w:b/>
                <w:bCs/>
                <w:vertAlign w:val="superscript"/>
                <w:lang w:eastAsia="en-US"/>
              </w:rPr>
              <w:t>†</w:t>
            </w:r>
          </w:p>
        </w:tc>
      </w:tr>
      <w:tr w:rsidR="00DD6391" w14:paraId="5AC01AC2" w14:textId="77777777">
        <w:trPr>
          <w:cantSplit/>
          <w:tblHeader/>
        </w:trPr>
        <w:tc>
          <w:tcPr>
            <w:tcW w:w="3072" w:type="dxa"/>
            <w:vMerge/>
          </w:tcPr>
          <w:p w14:paraId="4630F98D" w14:textId="77777777" w:rsidR="00DD6391" w:rsidRDefault="00DD6391">
            <w:pPr>
              <w:tabs>
                <w:tab w:val="clear" w:pos="567"/>
              </w:tabs>
              <w:autoSpaceDE w:val="0"/>
              <w:autoSpaceDN w:val="0"/>
              <w:spacing w:line="240" w:lineRule="auto"/>
              <w:rPr>
                <w:rFonts w:ascii="Times New Roman" w:hAnsi="Times New Roman" w:cs="Times New Roman"/>
                <w:lang w:eastAsia="en-US"/>
              </w:rPr>
            </w:pPr>
          </w:p>
        </w:tc>
        <w:tc>
          <w:tcPr>
            <w:tcW w:w="1104" w:type="dxa"/>
            <w:vAlign w:val="bottom"/>
          </w:tcPr>
          <w:p w14:paraId="5FE2802B"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n (%)</w:t>
            </w:r>
          </w:p>
        </w:tc>
        <w:tc>
          <w:tcPr>
            <w:tcW w:w="1023" w:type="dxa"/>
            <w:vAlign w:val="bottom"/>
          </w:tcPr>
          <w:p w14:paraId="0F5BEBAF" w14:textId="77777777" w:rsidR="00DD6391" w:rsidRDefault="00CF2099">
            <w:pPr>
              <w:tabs>
                <w:tab w:val="clear" w:pos="567"/>
              </w:tabs>
              <w:autoSpaceDE w:val="0"/>
              <w:autoSpaceDN w:val="0"/>
              <w:spacing w:line="240" w:lineRule="auto"/>
              <w:ind w:left="-77" w:right="-108"/>
              <w:jc w:val="center"/>
              <w:rPr>
                <w:rFonts w:ascii="Times New Roman" w:hAnsi="Times New Roman" w:cs="Times New Roman"/>
                <w:lang w:eastAsia="en-US"/>
              </w:rPr>
            </w:pPr>
            <w:r>
              <w:rPr>
                <w:rFonts w:ascii="Times New Roman" w:hAnsi="Times New Roman" w:cs="Times New Roman"/>
                <w:b/>
                <w:bCs/>
                <w:lang w:eastAsia="en-US"/>
              </w:rPr>
              <w:t>100 beteg- évre vonatkozó előfordu-lási arány*</w:t>
            </w:r>
          </w:p>
        </w:tc>
        <w:tc>
          <w:tcPr>
            <w:tcW w:w="1001" w:type="dxa"/>
            <w:vAlign w:val="bottom"/>
          </w:tcPr>
          <w:p w14:paraId="546D47EE"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b/>
                <w:bCs/>
                <w:lang w:eastAsia="en-US"/>
              </w:rPr>
              <w:t>n (%)</w:t>
            </w:r>
          </w:p>
        </w:tc>
        <w:tc>
          <w:tcPr>
            <w:tcW w:w="1185" w:type="dxa"/>
            <w:gridSpan w:val="2"/>
            <w:vAlign w:val="bottom"/>
          </w:tcPr>
          <w:p w14:paraId="7F6D4781" w14:textId="77777777" w:rsidR="00DD6391" w:rsidRDefault="00CF2099">
            <w:pPr>
              <w:tabs>
                <w:tab w:val="clear" w:pos="567"/>
              </w:tabs>
              <w:autoSpaceDE w:val="0"/>
              <w:autoSpaceDN w:val="0"/>
              <w:spacing w:line="240" w:lineRule="auto"/>
              <w:ind w:left="-24" w:right="-50"/>
              <w:jc w:val="center"/>
              <w:rPr>
                <w:rFonts w:ascii="Times New Roman" w:hAnsi="Times New Roman" w:cs="Times New Roman"/>
                <w:lang w:eastAsia="en-US"/>
              </w:rPr>
            </w:pPr>
            <w:r>
              <w:rPr>
                <w:rFonts w:ascii="Times New Roman" w:hAnsi="Times New Roman" w:cs="Times New Roman"/>
                <w:b/>
                <w:bCs/>
                <w:lang w:eastAsia="en-US"/>
              </w:rPr>
              <w:t>100 beteg- évre vonatkozó előfordu-lási arány*</w:t>
            </w:r>
          </w:p>
        </w:tc>
        <w:tc>
          <w:tcPr>
            <w:tcW w:w="1134" w:type="dxa"/>
            <w:vMerge/>
          </w:tcPr>
          <w:p w14:paraId="1E5D1C19" w14:textId="77777777" w:rsidR="00DD6391" w:rsidRDefault="00DD6391">
            <w:pPr>
              <w:autoSpaceDE w:val="0"/>
              <w:autoSpaceDN w:val="0"/>
              <w:spacing w:line="240" w:lineRule="auto"/>
              <w:jc w:val="center"/>
              <w:rPr>
                <w:rFonts w:ascii="Times New Roman" w:hAnsi="Times New Roman" w:cs="Times New Roman"/>
                <w:lang w:eastAsia="en-US"/>
              </w:rPr>
            </w:pPr>
          </w:p>
        </w:tc>
        <w:tc>
          <w:tcPr>
            <w:tcW w:w="930" w:type="dxa"/>
            <w:vMerge/>
          </w:tcPr>
          <w:p w14:paraId="750BA4D9" w14:textId="77777777" w:rsidR="00DD6391" w:rsidRDefault="00DD6391">
            <w:pPr>
              <w:autoSpaceDE w:val="0"/>
              <w:autoSpaceDN w:val="0"/>
              <w:spacing w:line="240" w:lineRule="auto"/>
              <w:jc w:val="center"/>
              <w:rPr>
                <w:rFonts w:ascii="Times New Roman" w:hAnsi="Times New Roman" w:cs="Times New Roman"/>
                <w:lang w:eastAsia="en-US"/>
              </w:rPr>
            </w:pPr>
          </w:p>
        </w:tc>
      </w:tr>
      <w:tr w:rsidR="00DD6391" w14:paraId="2C341D2B" w14:textId="77777777">
        <w:trPr>
          <w:cantSplit/>
        </w:trPr>
        <w:tc>
          <w:tcPr>
            <w:tcW w:w="9449" w:type="dxa"/>
            <w:gridSpan w:val="8"/>
          </w:tcPr>
          <w:p w14:paraId="16CF5D1F" w14:textId="77777777" w:rsidR="00DD6391" w:rsidRDefault="00CF2099">
            <w:pPr>
              <w:tabs>
                <w:tab w:val="clear" w:pos="567"/>
              </w:tabs>
              <w:autoSpaceDE w:val="0"/>
              <w:autoSpaceDN w:val="0"/>
              <w:spacing w:line="240" w:lineRule="auto"/>
              <w:rPr>
                <w:rFonts w:ascii="Times New Roman" w:hAnsi="Times New Roman" w:cs="Times New Roman"/>
                <w:lang w:eastAsia="en-US"/>
              </w:rPr>
            </w:pPr>
            <w:r>
              <w:rPr>
                <w:rFonts w:ascii="Times New Roman" w:hAnsi="Times New Roman" w:cs="Times New Roman"/>
                <w:b/>
                <w:bCs/>
                <w:lang w:eastAsia="en-US"/>
              </w:rPr>
              <w:t>A beválasztás szerinti populáció elemzése</w:t>
            </w:r>
          </w:p>
        </w:tc>
      </w:tr>
      <w:tr w:rsidR="00DD6391" w14:paraId="5164109A" w14:textId="77777777">
        <w:trPr>
          <w:cantSplit/>
        </w:trPr>
        <w:tc>
          <w:tcPr>
            <w:tcW w:w="3072" w:type="dxa"/>
          </w:tcPr>
          <w:p w14:paraId="664FC938" w14:textId="77777777" w:rsidR="00DD6391" w:rsidRDefault="00CF2099">
            <w:pPr>
              <w:tabs>
                <w:tab w:val="clear" w:pos="567"/>
              </w:tabs>
              <w:autoSpaceDE w:val="0"/>
              <w:autoSpaceDN w:val="0"/>
              <w:spacing w:line="240" w:lineRule="auto"/>
              <w:ind w:left="142"/>
              <w:rPr>
                <w:rFonts w:ascii="Times New Roman" w:hAnsi="Times New Roman" w:cs="Times New Roman"/>
                <w:lang w:eastAsia="en-US"/>
              </w:rPr>
            </w:pPr>
            <w:r>
              <w:rPr>
                <w:rFonts w:ascii="Times New Roman" w:hAnsi="Times New Roman" w:cs="Times New Roman"/>
                <w:lang w:eastAsia="en-US"/>
              </w:rPr>
              <w:t>A betegek száma</w:t>
            </w:r>
          </w:p>
        </w:tc>
        <w:tc>
          <w:tcPr>
            <w:tcW w:w="2127" w:type="dxa"/>
            <w:gridSpan w:val="2"/>
          </w:tcPr>
          <w:p w14:paraId="1DE757F1"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eastAsia="Helvetica" w:hAnsi="Times New Roman" w:cs="Times New Roman"/>
                <w:lang w:eastAsia="en-US" w:bidi="he-IL"/>
              </w:rPr>
              <w:t>7332</w:t>
            </w:r>
          </w:p>
        </w:tc>
        <w:tc>
          <w:tcPr>
            <w:tcW w:w="2186" w:type="dxa"/>
            <w:gridSpan w:val="3"/>
          </w:tcPr>
          <w:p w14:paraId="4F256FEC"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eastAsia="Helvetica" w:hAnsi="Times New Roman" w:cs="Times New Roman"/>
                <w:lang w:eastAsia="en-US" w:bidi="he-IL"/>
              </w:rPr>
              <w:t>7339</w:t>
            </w:r>
          </w:p>
        </w:tc>
        <w:tc>
          <w:tcPr>
            <w:tcW w:w="1134" w:type="dxa"/>
            <w:vMerge w:val="restart"/>
            <w:vAlign w:val="bottom"/>
          </w:tcPr>
          <w:p w14:paraId="6A43937D" w14:textId="77777777" w:rsidR="00DD6391" w:rsidRDefault="00CF2099">
            <w:pPr>
              <w:autoSpaceDE w:val="0"/>
              <w:autoSpaceDN w:val="0"/>
              <w:spacing w:line="240" w:lineRule="auto"/>
              <w:ind w:left="-25" w:right="-50"/>
              <w:jc w:val="center"/>
              <w:rPr>
                <w:rFonts w:ascii="Times New Roman" w:hAnsi="Times New Roman" w:cs="Times New Roman"/>
                <w:lang w:eastAsia="en-US"/>
              </w:rPr>
            </w:pPr>
            <w:r>
              <w:rPr>
                <w:rFonts w:ascii="Times New Roman" w:hAnsi="Times New Roman" w:cs="Times New Roman"/>
                <w:lang w:eastAsia="en-US"/>
              </w:rPr>
              <w:t>0,98</w:t>
            </w:r>
          </w:p>
          <w:p w14:paraId="3D7E0BAF" w14:textId="77777777" w:rsidR="00DD6391" w:rsidRDefault="00CF2099">
            <w:pPr>
              <w:autoSpaceDE w:val="0"/>
              <w:autoSpaceDN w:val="0"/>
              <w:spacing w:line="240" w:lineRule="auto"/>
              <w:ind w:left="-25" w:right="-50"/>
              <w:jc w:val="center"/>
              <w:rPr>
                <w:rFonts w:ascii="Times New Roman" w:hAnsi="Times New Roman" w:cs="Times New Roman"/>
                <w:lang w:eastAsia="en-US"/>
              </w:rPr>
            </w:pPr>
            <w:r>
              <w:rPr>
                <w:rFonts w:ascii="Times New Roman" w:hAnsi="Times New Roman" w:cs="Times New Roman"/>
                <w:lang w:eastAsia="en-US"/>
              </w:rPr>
              <w:t>(0,89-1,08)</w:t>
            </w:r>
          </w:p>
        </w:tc>
        <w:tc>
          <w:tcPr>
            <w:tcW w:w="930" w:type="dxa"/>
            <w:vMerge w:val="restart"/>
            <w:vAlign w:val="bottom"/>
          </w:tcPr>
          <w:p w14:paraId="27931A48" w14:textId="77777777" w:rsidR="00DD6391" w:rsidRDefault="00CF2099">
            <w:pPr>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&lt; 0,001</w:t>
            </w:r>
          </w:p>
        </w:tc>
      </w:tr>
      <w:tr w:rsidR="00DD6391" w14:paraId="6E551E1C" w14:textId="77777777">
        <w:trPr>
          <w:cantSplit/>
        </w:trPr>
        <w:tc>
          <w:tcPr>
            <w:tcW w:w="3072" w:type="dxa"/>
          </w:tcPr>
          <w:p w14:paraId="06DDB2A0" w14:textId="77777777" w:rsidR="00DD6391" w:rsidRDefault="00CF2099">
            <w:pPr>
              <w:autoSpaceDE w:val="0"/>
              <w:autoSpaceDN w:val="0"/>
              <w:spacing w:line="240" w:lineRule="auto"/>
              <w:ind w:left="144"/>
              <w:rPr>
                <w:rFonts w:ascii="Times New Roman" w:eastAsia="Helvetica" w:hAnsi="Times New Roman" w:cs="Times New Roman"/>
                <w:b/>
                <w:bCs/>
                <w:lang w:eastAsia="en-US" w:bidi="he-IL"/>
              </w:rPr>
            </w:pPr>
            <w:r>
              <w:rPr>
                <w:rFonts w:ascii="Times New Roman" w:eastAsia="Helvetica" w:hAnsi="Times New Roman" w:cs="Times New Roman"/>
                <w:b/>
                <w:bCs/>
                <w:lang w:eastAsia="en-US" w:bidi="he-IL"/>
              </w:rPr>
              <w:t>Elsődleges összetett végpont</w:t>
            </w:r>
          </w:p>
          <w:p w14:paraId="021A4CF7"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(Cardiovascularis halálozás, nem halálos kimenetelű myocardialis infarctus, nem halálos kimenetelű stroke, illetve instabil angina miatti hospitalizáció)</w:t>
            </w:r>
          </w:p>
        </w:tc>
        <w:tc>
          <w:tcPr>
            <w:tcW w:w="1104" w:type="dxa"/>
            <w:vAlign w:val="bottom"/>
          </w:tcPr>
          <w:p w14:paraId="460752FB"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839 (11,4)</w:t>
            </w:r>
          </w:p>
        </w:tc>
        <w:tc>
          <w:tcPr>
            <w:tcW w:w="1023" w:type="dxa"/>
            <w:vAlign w:val="bottom"/>
          </w:tcPr>
          <w:p w14:paraId="22074A51"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4,1</w:t>
            </w:r>
          </w:p>
        </w:tc>
        <w:tc>
          <w:tcPr>
            <w:tcW w:w="1001" w:type="dxa"/>
            <w:vAlign w:val="bottom"/>
          </w:tcPr>
          <w:p w14:paraId="0CBADBD2"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851 (11,6)</w:t>
            </w:r>
          </w:p>
        </w:tc>
        <w:tc>
          <w:tcPr>
            <w:tcW w:w="1185" w:type="dxa"/>
            <w:gridSpan w:val="2"/>
            <w:vAlign w:val="bottom"/>
          </w:tcPr>
          <w:p w14:paraId="778FCB52"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4,2</w:t>
            </w:r>
          </w:p>
        </w:tc>
        <w:tc>
          <w:tcPr>
            <w:tcW w:w="1134" w:type="dxa"/>
            <w:vMerge/>
          </w:tcPr>
          <w:p w14:paraId="6278064B" w14:textId="77777777" w:rsidR="00DD6391" w:rsidRDefault="00DD6391">
            <w:pPr>
              <w:autoSpaceDE w:val="0"/>
              <w:autoSpaceDN w:val="0"/>
              <w:spacing w:line="240" w:lineRule="auto"/>
              <w:ind w:left="-25" w:right="-50"/>
              <w:jc w:val="center"/>
              <w:rPr>
                <w:rFonts w:ascii="Times New Roman" w:hAnsi="Times New Roman" w:cs="Times New Roman"/>
                <w:lang w:eastAsia="en-US"/>
              </w:rPr>
            </w:pPr>
          </w:p>
        </w:tc>
        <w:tc>
          <w:tcPr>
            <w:tcW w:w="930" w:type="dxa"/>
            <w:vMerge/>
          </w:tcPr>
          <w:p w14:paraId="31964EAD" w14:textId="77777777" w:rsidR="00DD6391" w:rsidRDefault="00DD6391">
            <w:pPr>
              <w:autoSpaceDE w:val="0"/>
              <w:autoSpaceDN w:val="0"/>
              <w:spacing w:line="240" w:lineRule="auto"/>
              <w:jc w:val="center"/>
              <w:rPr>
                <w:rFonts w:ascii="Times New Roman" w:hAnsi="Times New Roman" w:cs="Times New Roman"/>
                <w:lang w:eastAsia="en-US"/>
              </w:rPr>
            </w:pPr>
          </w:p>
        </w:tc>
      </w:tr>
      <w:tr w:rsidR="00DD6391" w14:paraId="41739FF0" w14:textId="77777777">
        <w:trPr>
          <w:cantSplit/>
        </w:trPr>
        <w:tc>
          <w:tcPr>
            <w:tcW w:w="3072" w:type="dxa"/>
          </w:tcPr>
          <w:p w14:paraId="5270FB27" w14:textId="77777777" w:rsidR="00DD6391" w:rsidRDefault="00CF2099">
            <w:pPr>
              <w:autoSpaceDE w:val="0"/>
              <w:autoSpaceDN w:val="0"/>
              <w:spacing w:line="240" w:lineRule="auto"/>
              <w:ind w:left="142" w:right="-121"/>
              <w:rPr>
                <w:rFonts w:ascii="Times New Roman" w:eastAsia="Helvetica" w:hAnsi="Times New Roman" w:cs="Times New Roman"/>
                <w:b/>
                <w:bCs/>
                <w:lang w:eastAsia="en-US" w:bidi="he-IL"/>
              </w:rPr>
            </w:pPr>
            <w:r>
              <w:rPr>
                <w:rFonts w:ascii="Times New Roman" w:eastAsia="Helvetica" w:hAnsi="Times New Roman" w:cs="Times New Roman"/>
                <w:b/>
                <w:bCs/>
                <w:lang w:eastAsia="en-US" w:bidi="he-IL"/>
              </w:rPr>
              <w:t>Másodlagos összetett végpont</w:t>
            </w:r>
          </w:p>
          <w:p w14:paraId="535FDF0F"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(Cardiovascularis halálozás, nem halálos kimenetelű myocardialis infarctus vagy nem halálos kimenetelű stroke)</w:t>
            </w:r>
          </w:p>
        </w:tc>
        <w:tc>
          <w:tcPr>
            <w:tcW w:w="1104" w:type="dxa"/>
            <w:vAlign w:val="bottom"/>
          </w:tcPr>
          <w:p w14:paraId="1FFD1EC3"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745 (10,2)</w:t>
            </w:r>
          </w:p>
        </w:tc>
        <w:tc>
          <w:tcPr>
            <w:tcW w:w="1023" w:type="dxa"/>
            <w:vAlign w:val="bottom"/>
          </w:tcPr>
          <w:p w14:paraId="4C91F049"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3,6</w:t>
            </w:r>
          </w:p>
        </w:tc>
        <w:tc>
          <w:tcPr>
            <w:tcW w:w="1001" w:type="dxa"/>
            <w:vAlign w:val="bottom"/>
          </w:tcPr>
          <w:p w14:paraId="15BC0B5F"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746 (10,2)</w:t>
            </w:r>
          </w:p>
        </w:tc>
        <w:tc>
          <w:tcPr>
            <w:tcW w:w="1185" w:type="dxa"/>
            <w:gridSpan w:val="2"/>
            <w:vAlign w:val="bottom"/>
          </w:tcPr>
          <w:p w14:paraId="6A0CEFBC"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3,6</w:t>
            </w:r>
          </w:p>
        </w:tc>
        <w:tc>
          <w:tcPr>
            <w:tcW w:w="1134" w:type="dxa"/>
            <w:vAlign w:val="bottom"/>
          </w:tcPr>
          <w:p w14:paraId="0D55F04B"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0,99</w:t>
            </w:r>
          </w:p>
          <w:p w14:paraId="34F01D6D" w14:textId="77777777" w:rsidR="00DD6391" w:rsidRDefault="00CF2099">
            <w:pPr>
              <w:tabs>
                <w:tab w:val="clear" w:pos="567"/>
              </w:tabs>
              <w:autoSpaceDE w:val="0"/>
              <w:autoSpaceDN w:val="0"/>
              <w:spacing w:line="240" w:lineRule="auto"/>
              <w:ind w:left="-25" w:right="-50"/>
              <w:jc w:val="center"/>
              <w:rPr>
                <w:rFonts w:ascii="Times New Roman" w:hAnsi="Times New Roman" w:cs="Times New Roman"/>
                <w:lang w:eastAsia="en-US"/>
              </w:rPr>
            </w:pPr>
            <w:r>
              <w:rPr>
                <w:rFonts w:ascii="Times New Roman" w:hAnsi="Times New Roman" w:cs="Times New Roman"/>
                <w:lang w:eastAsia="en-US"/>
              </w:rPr>
              <w:t>(0,89-1,10)</w:t>
            </w:r>
          </w:p>
        </w:tc>
        <w:tc>
          <w:tcPr>
            <w:tcW w:w="930" w:type="dxa"/>
            <w:vAlign w:val="bottom"/>
          </w:tcPr>
          <w:p w14:paraId="7AA5B091"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&lt; 0,001</w:t>
            </w:r>
          </w:p>
        </w:tc>
      </w:tr>
      <w:tr w:rsidR="00DD6391" w14:paraId="1D87505F" w14:textId="77777777">
        <w:trPr>
          <w:cantSplit/>
        </w:trPr>
        <w:tc>
          <w:tcPr>
            <w:tcW w:w="9449" w:type="dxa"/>
            <w:gridSpan w:val="8"/>
          </w:tcPr>
          <w:p w14:paraId="0BCB9E5F" w14:textId="77777777" w:rsidR="00DD6391" w:rsidRDefault="00CF2099">
            <w:pPr>
              <w:tabs>
                <w:tab w:val="clear" w:pos="567"/>
              </w:tabs>
              <w:autoSpaceDE w:val="0"/>
              <w:autoSpaceDN w:val="0"/>
              <w:spacing w:line="240" w:lineRule="auto"/>
              <w:rPr>
                <w:rFonts w:ascii="Times New Roman" w:hAnsi="Times New Roman" w:cs="Times New Roman"/>
                <w:lang w:eastAsia="en-US"/>
              </w:rPr>
            </w:pPr>
            <w:r>
              <w:rPr>
                <w:rFonts w:ascii="Times New Roman" w:hAnsi="Times New Roman" w:cs="Times New Roman"/>
                <w:b/>
                <w:bCs/>
                <w:lang w:eastAsia="en-US"/>
              </w:rPr>
              <w:t>Másodlagos végpont</w:t>
            </w:r>
          </w:p>
        </w:tc>
      </w:tr>
      <w:tr w:rsidR="00DD6391" w14:paraId="6DA521DD" w14:textId="77777777">
        <w:trPr>
          <w:cantSplit/>
        </w:trPr>
        <w:tc>
          <w:tcPr>
            <w:tcW w:w="3072" w:type="dxa"/>
            <w:vAlign w:val="bottom"/>
          </w:tcPr>
          <w:p w14:paraId="6B230647"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Cardiovascularis halálozás</w:t>
            </w:r>
          </w:p>
        </w:tc>
        <w:tc>
          <w:tcPr>
            <w:tcW w:w="1104" w:type="dxa"/>
            <w:vAlign w:val="bottom"/>
          </w:tcPr>
          <w:p w14:paraId="39B4D3B8"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380 (5,2)</w:t>
            </w:r>
          </w:p>
        </w:tc>
        <w:tc>
          <w:tcPr>
            <w:tcW w:w="1023" w:type="dxa"/>
            <w:vAlign w:val="bottom"/>
          </w:tcPr>
          <w:p w14:paraId="692B127B"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1,7</w:t>
            </w:r>
          </w:p>
        </w:tc>
        <w:tc>
          <w:tcPr>
            <w:tcW w:w="1001" w:type="dxa"/>
            <w:vAlign w:val="bottom"/>
          </w:tcPr>
          <w:p w14:paraId="3470F451"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366 (5,0)</w:t>
            </w:r>
          </w:p>
        </w:tc>
        <w:tc>
          <w:tcPr>
            <w:tcW w:w="1185" w:type="dxa"/>
            <w:gridSpan w:val="2"/>
            <w:vAlign w:val="bottom"/>
          </w:tcPr>
          <w:p w14:paraId="6C599606"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1,7</w:t>
            </w:r>
          </w:p>
        </w:tc>
        <w:tc>
          <w:tcPr>
            <w:tcW w:w="1134" w:type="dxa"/>
            <w:vAlign w:val="bottom"/>
          </w:tcPr>
          <w:p w14:paraId="43DD52C6" w14:textId="77777777" w:rsidR="00DD6391" w:rsidRDefault="00CF2099">
            <w:pPr>
              <w:tabs>
                <w:tab w:val="clear" w:pos="567"/>
              </w:tabs>
              <w:autoSpaceDE w:val="0"/>
              <w:autoSpaceDN w:val="0"/>
              <w:spacing w:line="240" w:lineRule="auto"/>
              <w:jc w:val="center"/>
              <w:rPr>
                <w:rFonts w:ascii="Times New Roman" w:hAnsi="Times New Roman" w:cs="Times New Roman"/>
                <w:lang w:eastAsia="en-US" w:bidi="he-IL"/>
              </w:rPr>
            </w:pPr>
            <w:r>
              <w:rPr>
                <w:rFonts w:ascii="Times New Roman" w:hAnsi="Times New Roman" w:cs="Times New Roman"/>
                <w:lang w:eastAsia="en-US" w:bidi="he-IL"/>
              </w:rPr>
              <w:t>1,03</w:t>
            </w:r>
          </w:p>
          <w:p w14:paraId="1CBD53AB" w14:textId="77777777" w:rsidR="00DD6391" w:rsidRDefault="00CF2099">
            <w:pPr>
              <w:tabs>
                <w:tab w:val="clear" w:pos="567"/>
              </w:tabs>
              <w:autoSpaceDE w:val="0"/>
              <w:autoSpaceDN w:val="0"/>
              <w:spacing w:line="240" w:lineRule="auto"/>
              <w:ind w:left="-155" w:right="-50"/>
              <w:jc w:val="center"/>
              <w:rPr>
                <w:rFonts w:ascii="Times New Roman" w:hAnsi="Times New Roman" w:cs="Times New Roman"/>
                <w:lang w:eastAsia="en-US"/>
              </w:rPr>
            </w:pPr>
            <w:r>
              <w:rPr>
                <w:rFonts w:ascii="Times New Roman" w:hAnsi="Times New Roman" w:cs="Times New Roman"/>
                <w:lang w:eastAsia="en-US" w:bidi="he-IL"/>
              </w:rPr>
              <w:t>(0,89-1,19)</w:t>
            </w:r>
          </w:p>
        </w:tc>
        <w:tc>
          <w:tcPr>
            <w:tcW w:w="930" w:type="dxa"/>
            <w:vAlign w:val="bottom"/>
          </w:tcPr>
          <w:p w14:paraId="263F8384"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0,711</w:t>
            </w:r>
          </w:p>
        </w:tc>
      </w:tr>
      <w:tr w:rsidR="00DD6391" w14:paraId="7ADE08BF" w14:textId="77777777">
        <w:trPr>
          <w:cantSplit/>
        </w:trPr>
        <w:tc>
          <w:tcPr>
            <w:tcW w:w="3072" w:type="dxa"/>
            <w:vAlign w:val="bottom"/>
          </w:tcPr>
          <w:p w14:paraId="7310FCFD"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Összes myocardialis infarctus (halálos és nem halálos)</w:t>
            </w:r>
          </w:p>
        </w:tc>
        <w:tc>
          <w:tcPr>
            <w:tcW w:w="1104" w:type="dxa"/>
            <w:vAlign w:val="bottom"/>
          </w:tcPr>
          <w:p w14:paraId="6DC670B7"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300 (4,1)</w:t>
            </w:r>
          </w:p>
        </w:tc>
        <w:tc>
          <w:tcPr>
            <w:tcW w:w="1023" w:type="dxa"/>
            <w:vAlign w:val="bottom"/>
          </w:tcPr>
          <w:p w14:paraId="70DF1197"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1,4</w:t>
            </w:r>
          </w:p>
        </w:tc>
        <w:tc>
          <w:tcPr>
            <w:tcW w:w="1001" w:type="dxa"/>
            <w:vAlign w:val="bottom"/>
          </w:tcPr>
          <w:p w14:paraId="38B2CA76"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316 (4,3)</w:t>
            </w:r>
          </w:p>
        </w:tc>
        <w:tc>
          <w:tcPr>
            <w:tcW w:w="1185" w:type="dxa"/>
            <w:gridSpan w:val="2"/>
            <w:vAlign w:val="bottom"/>
          </w:tcPr>
          <w:p w14:paraId="3E0DED67"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1,5</w:t>
            </w:r>
          </w:p>
        </w:tc>
        <w:tc>
          <w:tcPr>
            <w:tcW w:w="1134" w:type="dxa"/>
            <w:vAlign w:val="bottom"/>
          </w:tcPr>
          <w:p w14:paraId="37596EC5" w14:textId="77777777" w:rsidR="00DD6391" w:rsidRDefault="00CF2099">
            <w:pPr>
              <w:tabs>
                <w:tab w:val="clear" w:pos="567"/>
              </w:tabs>
              <w:autoSpaceDE w:val="0"/>
              <w:autoSpaceDN w:val="0"/>
              <w:spacing w:line="240" w:lineRule="auto"/>
              <w:ind w:left="-108" w:right="-50"/>
              <w:jc w:val="center"/>
              <w:rPr>
                <w:rFonts w:ascii="Times New Roman" w:hAnsi="Times New Roman" w:cs="Times New Roman"/>
                <w:lang w:eastAsia="en-US" w:bidi="he-IL"/>
              </w:rPr>
            </w:pPr>
            <w:r>
              <w:rPr>
                <w:rFonts w:ascii="Times New Roman" w:hAnsi="Times New Roman" w:cs="Times New Roman"/>
                <w:lang w:eastAsia="en-US" w:bidi="he-IL"/>
              </w:rPr>
              <w:t>0,95</w:t>
            </w:r>
          </w:p>
          <w:p w14:paraId="7CFB5A0C" w14:textId="77777777" w:rsidR="00DD6391" w:rsidRDefault="00CF2099">
            <w:pPr>
              <w:tabs>
                <w:tab w:val="clear" w:pos="567"/>
              </w:tabs>
              <w:autoSpaceDE w:val="0"/>
              <w:autoSpaceDN w:val="0"/>
              <w:spacing w:line="240" w:lineRule="auto"/>
              <w:ind w:left="-155" w:right="-50"/>
              <w:jc w:val="center"/>
              <w:rPr>
                <w:rFonts w:ascii="Times New Roman" w:hAnsi="Times New Roman" w:cs="Times New Roman"/>
                <w:lang w:eastAsia="en-US"/>
              </w:rPr>
            </w:pPr>
            <w:r>
              <w:rPr>
                <w:rFonts w:ascii="Times New Roman" w:hAnsi="Times New Roman" w:cs="Times New Roman"/>
                <w:lang w:eastAsia="en-US" w:bidi="he-IL"/>
              </w:rPr>
              <w:t>(0,81-1,11)</w:t>
            </w:r>
          </w:p>
        </w:tc>
        <w:tc>
          <w:tcPr>
            <w:tcW w:w="930" w:type="dxa"/>
            <w:vAlign w:val="bottom"/>
          </w:tcPr>
          <w:p w14:paraId="51BA806F"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0,487</w:t>
            </w:r>
          </w:p>
        </w:tc>
      </w:tr>
      <w:tr w:rsidR="00DD6391" w14:paraId="1CB659E9" w14:textId="77777777">
        <w:trPr>
          <w:cantSplit/>
        </w:trPr>
        <w:tc>
          <w:tcPr>
            <w:tcW w:w="3072" w:type="dxa"/>
            <w:vAlign w:val="bottom"/>
          </w:tcPr>
          <w:p w14:paraId="33029334"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Összes stroke (halálos és nem halálos)</w:t>
            </w:r>
          </w:p>
        </w:tc>
        <w:tc>
          <w:tcPr>
            <w:tcW w:w="1104" w:type="dxa"/>
            <w:vAlign w:val="bottom"/>
          </w:tcPr>
          <w:p w14:paraId="04D609A3" w14:textId="77777777" w:rsidR="00DD6391" w:rsidRDefault="00CF2099">
            <w:pPr>
              <w:tabs>
                <w:tab w:val="clear" w:pos="567"/>
              </w:tabs>
              <w:autoSpaceDE w:val="0"/>
              <w:autoSpaceDN w:val="0"/>
              <w:spacing w:line="240" w:lineRule="auto"/>
              <w:jc w:val="center"/>
              <w:rPr>
                <w:rFonts w:ascii="Times New Roman" w:hAnsi="Times New Roman" w:cs="Times New Roman"/>
                <w:lang w:eastAsia="en-US" w:bidi="he-IL"/>
              </w:rPr>
            </w:pPr>
            <w:r>
              <w:rPr>
                <w:rFonts w:ascii="Times New Roman" w:hAnsi="Times New Roman" w:cs="Times New Roman"/>
                <w:lang w:eastAsia="en-US" w:bidi="he-IL"/>
              </w:rPr>
              <w:t>178 (2,4)</w:t>
            </w:r>
          </w:p>
        </w:tc>
        <w:tc>
          <w:tcPr>
            <w:tcW w:w="1023" w:type="dxa"/>
            <w:vAlign w:val="bottom"/>
          </w:tcPr>
          <w:p w14:paraId="223C5A3B" w14:textId="77777777" w:rsidR="00DD6391" w:rsidRDefault="00CF2099">
            <w:pPr>
              <w:tabs>
                <w:tab w:val="clear" w:pos="567"/>
              </w:tabs>
              <w:autoSpaceDE w:val="0"/>
              <w:autoSpaceDN w:val="0"/>
              <w:spacing w:line="240" w:lineRule="auto"/>
              <w:jc w:val="center"/>
              <w:rPr>
                <w:rFonts w:ascii="Times New Roman" w:hAnsi="Times New Roman" w:cs="Times New Roman"/>
                <w:lang w:eastAsia="en-US" w:bidi="he-IL"/>
              </w:rPr>
            </w:pPr>
            <w:r>
              <w:rPr>
                <w:rFonts w:ascii="Times New Roman" w:hAnsi="Times New Roman" w:cs="Times New Roman"/>
                <w:lang w:eastAsia="en-US" w:bidi="he-IL"/>
              </w:rPr>
              <w:t>0,8</w:t>
            </w:r>
          </w:p>
        </w:tc>
        <w:tc>
          <w:tcPr>
            <w:tcW w:w="1001" w:type="dxa"/>
            <w:vAlign w:val="bottom"/>
          </w:tcPr>
          <w:p w14:paraId="005E3CC4"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183 (2,5)</w:t>
            </w:r>
          </w:p>
        </w:tc>
        <w:tc>
          <w:tcPr>
            <w:tcW w:w="1185" w:type="dxa"/>
            <w:gridSpan w:val="2"/>
            <w:vAlign w:val="bottom"/>
          </w:tcPr>
          <w:p w14:paraId="3A4DC893"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0,9</w:t>
            </w:r>
          </w:p>
        </w:tc>
        <w:tc>
          <w:tcPr>
            <w:tcW w:w="1134" w:type="dxa"/>
            <w:vAlign w:val="bottom"/>
          </w:tcPr>
          <w:p w14:paraId="55149109"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bidi="he-IL"/>
              </w:rPr>
            </w:pPr>
            <w:r>
              <w:rPr>
                <w:rFonts w:ascii="Times New Roman" w:hAnsi="Times New Roman" w:cs="Times New Roman"/>
                <w:lang w:eastAsia="en-US" w:bidi="he-IL"/>
              </w:rPr>
              <w:t>0,97</w:t>
            </w:r>
          </w:p>
          <w:p w14:paraId="110CE223"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rPr>
            </w:pPr>
            <w:r>
              <w:rPr>
                <w:rFonts w:ascii="Times New Roman" w:hAnsi="Times New Roman" w:cs="Times New Roman"/>
                <w:lang w:eastAsia="en-US" w:bidi="he-IL"/>
              </w:rPr>
              <w:t>(0,79-1,19)</w:t>
            </w:r>
          </w:p>
        </w:tc>
        <w:tc>
          <w:tcPr>
            <w:tcW w:w="930" w:type="dxa"/>
            <w:vAlign w:val="bottom"/>
          </w:tcPr>
          <w:p w14:paraId="364C005A"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0,760</w:t>
            </w:r>
          </w:p>
        </w:tc>
      </w:tr>
      <w:tr w:rsidR="00DD6391" w14:paraId="63CDDEF6" w14:textId="77777777">
        <w:trPr>
          <w:cantSplit/>
        </w:trPr>
        <w:tc>
          <w:tcPr>
            <w:tcW w:w="3072" w:type="dxa"/>
            <w:vAlign w:val="bottom"/>
          </w:tcPr>
          <w:p w14:paraId="1AA3F1A0"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Instabil angina miatti hospitalizáció</w:t>
            </w:r>
          </w:p>
        </w:tc>
        <w:tc>
          <w:tcPr>
            <w:tcW w:w="1104" w:type="dxa"/>
            <w:vAlign w:val="bottom"/>
          </w:tcPr>
          <w:p w14:paraId="1E794086"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116 (1,6)</w:t>
            </w:r>
          </w:p>
        </w:tc>
        <w:tc>
          <w:tcPr>
            <w:tcW w:w="1023" w:type="dxa"/>
            <w:vAlign w:val="bottom"/>
          </w:tcPr>
          <w:p w14:paraId="2CAD0D67"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0,5</w:t>
            </w:r>
          </w:p>
        </w:tc>
        <w:tc>
          <w:tcPr>
            <w:tcW w:w="1001" w:type="dxa"/>
            <w:vAlign w:val="bottom"/>
          </w:tcPr>
          <w:p w14:paraId="05E7EF27"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129 (1,8)</w:t>
            </w:r>
          </w:p>
        </w:tc>
        <w:tc>
          <w:tcPr>
            <w:tcW w:w="1177" w:type="dxa"/>
            <w:vAlign w:val="bottom"/>
          </w:tcPr>
          <w:p w14:paraId="2DCE70A1"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0,6</w:t>
            </w:r>
          </w:p>
        </w:tc>
        <w:tc>
          <w:tcPr>
            <w:tcW w:w="1142" w:type="dxa"/>
            <w:gridSpan w:val="2"/>
            <w:vAlign w:val="bottom"/>
          </w:tcPr>
          <w:p w14:paraId="63C39293"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bidi="he-IL"/>
              </w:rPr>
            </w:pPr>
            <w:r>
              <w:rPr>
                <w:rFonts w:ascii="Times New Roman" w:hAnsi="Times New Roman" w:cs="Times New Roman"/>
                <w:lang w:eastAsia="en-US" w:bidi="he-IL"/>
              </w:rPr>
              <w:t>0,90</w:t>
            </w:r>
          </w:p>
          <w:p w14:paraId="60DAF32F"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rPr>
            </w:pPr>
            <w:r>
              <w:rPr>
                <w:rFonts w:ascii="Times New Roman" w:hAnsi="Times New Roman" w:cs="Times New Roman"/>
                <w:lang w:eastAsia="en-US" w:bidi="he-IL"/>
              </w:rPr>
              <w:t>(0,70-1,16)</w:t>
            </w:r>
          </w:p>
        </w:tc>
        <w:tc>
          <w:tcPr>
            <w:tcW w:w="930" w:type="dxa"/>
            <w:vAlign w:val="bottom"/>
          </w:tcPr>
          <w:p w14:paraId="4AB02D7D"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0,419</w:t>
            </w:r>
          </w:p>
        </w:tc>
      </w:tr>
      <w:tr w:rsidR="00DD6391" w14:paraId="43D258F8" w14:textId="77777777">
        <w:trPr>
          <w:cantSplit/>
        </w:trPr>
        <w:tc>
          <w:tcPr>
            <w:tcW w:w="3072" w:type="dxa"/>
            <w:vAlign w:val="bottom"/>
          </w:tcPr>
          <w:p w14:paraId="6BEF794D"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Összhalálozás</w:t>
            </w:r>
          </w:p>
        </w:tc>
        <w:tc>
          <w:tcPr>
            <w:tcW w:w="1104" w:type="dxa"/>
            <w:vAlign w:val="bottom"/>
          </w:tcPr>
          <w:p w14:paraId="5D0D7B6D"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547 (7,5)</w:t>
            </w:r>
          </w:p>
        </w:tc>
        <w:tc>
          <w:tcPr>
            <w:tcW w:w="1023" w:type="dxa"/>
            <w:vAlign w:val="bottom"/>
          </w:tcPr>
          <w:p w14:paraId="6944F98F"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2,5</w:t>
            </w:r>
          </w:p>
        </w:tc>
        <w:tc>
          <w:tcPr>
            <w:tcW w:w="1001" w:type="dxa"/>
            <w:vAlign w:val="bottom"/>
          </w:tcPr>
          <w:p w14:paraId="1626D18C"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537 (7,3)</w:t>
            </w:r>
          </w:p>
        </w:tc>
        <w:tc>
          <w:tcPr>
            <w:tcW w:w="1177" w:type="dxa"/>
            <w:vAlign w:val="bottom"/>
          </w:tcPr>
          <w:p w14:paraId="6A419F3B"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2,5</w:t>
            </w:r>
          </w:p>
        </w:tc>
        <w:tc>
          <w:tcPr>
            <w:tcW w:w="1142" w:type="dxa"/>
            <w:gridSpan w:val="2"/>
            <w:vAlign w:val="bottom"/>
          </w:tcPr>
          <w:p w14:paraId="72867D30"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bidi="he-IL"/>
              </w:rPr>
            </w:pPr>
            <w:r>
              <w:rPr>
                <w:rFonts w:ascii="Times New Roman" w:hAnsi="Times New Roman" w:cs="Times New Roman"/>
                <w:lang w:eastAsia="en-US" w:bidi="he-IL"/>
              </w:rPr>
              <w:t>1,01</w:t>
            </w:r>
          </w:p>
          <w:p w14:paraId="2C7D83B7"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rPr>
            </w:pPr>
            <w:r>
              <w:rPr>
                <w:rFonts w:ascii="Times New Roman" w:hAnsi="Times New Roman" w:cs="Times New Roman"/>
                <w:lang w:eastAsia="en-US" w:bidi="he-IL"/>
              </w:rPr>
              <w:t>(0,90-1,14)</w:t>
            </w:r>
          </w:p>
        </w:tc>
        <w:tc>
          <w:tcPr>
            <w:tcW w:w="930" w:type="dxa"/>
            <w:vAlign w:val="bottom"/>
          </w:tcPr>
          <w:p w14:paraId="6632BEE6"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0,875</w:t>
            </w:r>
          </w:p>
        </w:tc>
      </w:tr>
      <w:tr w:rsidR="00DD6391" w14:paraId="60FF3F48" w14:textId="77777777">
        <w:trPr>
          <w:cantSplit/>
          <w:trHeight w:val="70"/>
        </w:trPr>
        <w:tc>
          <w:tcPr>
            <w:tcW w:w="3072" w:type="dxa"/>
            <w:vAlign w:val="bottom"/>
          </w:tcPr>
          <w:p w14:paraId="77ABECA5" w14:textId="77777777" w:rsidR="00DD6391" w:rsidRDefault="00CF2099">
            <w:pPr>
              <w:tabs>
                <w:tab w:val="clear" w:pos="567"/>
              </w:tabs>
              <w:autoSpaceDE w:val="0"/>
              <w:autoSpaceDN w:val="0"/>
              <w:spacing w:line="240" w:lineRule="auto"/>
              <w:ind w:left="288"/>
              <w:rPr>
                <w:rFonts w:ascii="Times New Roman" w:hAnsi="Times New Roman" w:cs="Times New Roman"/>
                <w:lang w:eastAsia="en-US"/>
              </w:rPr>
            </w:pPr>
            <w:r>
              <w:rPr>
                <w:rFonts w:ascii="Times New Roman" w:hAnsi="Times New Roman" w:cs="Times New Roman"/>
                <w:lang w:eastAsia="en-US" w:bidi="he-IL"/>
              </w:rPr>
              <w:t>Szívelégtelenség miatti hospitalizáció</w:t>
            </w:r>
            <w:r>
              <w:rPr>
                <w:rFonts w:ascii="Times New Roman" w:hAnsi="Times New Roman" w:cs="Times New Roman"/>
                <w:vertAlign w:val="superscript"/>
                <w:lang w:eastAsia="en-US"/>
              </w:rPr>
              <w:t>‡</w:t>
            </w:r>
          </w:p>
        </w:tc>
        <w:tc>
          <w:tcPr>
            <w:tcW w:w="1104" w:type="dxa"/>
            <w:vAlign w:val="bottom"/>
          </w:tcPr>
          <w:p w14:paraId="19A26BE2"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228 (3,1)</w:t>
            </w:r>
          </w:p>
        </w:tc>
        <w:tc>
          <w:tcPr>
            <w:tcW w:w="1023" w:type="dxa"/>
            <w:vAlign w:val="bottom"/>
          </w:tcPr>
          <w:p w14:paraId="07116CFC"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1,1</w:t>
            </w:r>
          </w:p>
        </w:tc>
        <w:tc>
          <w:tcPr>
            <w:tcW w:w="1001" w:type="dxa"/>
            <w:vAlign w:val="bottom"/>
          </w:tcPr>
          <w:p w14:paraId="428EB5A5"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229 (3,1)</w:t>
            </w:r>
          </w:p>
        </w:tc>
        <w:tc>
          <w:tcPr>
            <w:tcW w:w="1177" w:type="dxa"/>
            <w:vAlign w:val="bottom"/>
          </w:tcPr>
          <w:p w14:paraId="77DB5A52"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rPr>
              <w:t>1,1</w:t>
            </w:r>
          </w:p>
        </w:tc>
        <w:tc>
          <w:tcPr>
            <w:tcW w:w="1142" w:type="dxa"/>
            <w:gridSpan w:val="2"/>
            <w:vAlign w:val="bottom"/>
          </w:tcPr>
          <w:p w14:paraId="352504C2"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bidi="he-IL"/>
              </w:rPr>
            </w:pPr>
            <w:r>
              <w:rPr>
                <w:rFonts w:ascii="Times New Roman" w:hAnsi="Times New Roman" w:cs="Times New Roman"/>
                <w:lang w:eastAsia="en-US" w:bidi="he-IL"/>
              </w:rPr>
              <w:t>1,00</w:t>
            </w:r>
          </w:p>
          <w:p w14:paraId="683461D0" w14:textId="77777777" w:rsidR="00DD6391" w:rsidRDefault="00CF2099">
            <w:pPr>
              <w:tabs>
                <w:tab w:val="clear" w:pos="567"/>
              </w:tabs>
              <w:autoSpaceDE w:val="0"/>
              <w:autoSpaceDN w:val="0"/>
              <w:spacing w:line="240" w:lineRule="auto"/>
              <w:ind w:left="-154" w:right="-196"/>
              <w:jc w:val="center"/>
              <w:rPr>
                <w:rFonts w:ascii="Times New Roman" w:hAnsi="Times New Roman" w:cs="Times New Roman"/>
                <w:lang w:eastAsia="en-US"/>
              </w:rPr>
            </w:pPr>
            <w:r>
              <w:rPr>
                <w:rFonts w:ascii="Times New Roman" w:hAnsi="Times New Roman" w:cs="Times New Roman"/>
                <w:lang w:eastAsia="en-US" w:bidi="he-IL"/>
              </w:rPr>
              <w:t>(0,83-1,20)</w:t>
            </w:r>
          </w:p>
        </w:tc>
        <w:tc>
          <w:tcPr>
            <w:tcW w:w="930" w:type="dxa"/>
            <w:vAlign w:val="bottom"/>
          </w:tcPr>
          <w:p w14:paraId="3C995283" w14:textId="77777777" w:rsidR="00DD6391" w:rsidRDefault="00CF2099">
            <w:pPr>
              <w:tabs>
                <w:tab w:val="clear" w:pos="567"/>
              </w:tabs>
              <w:autoSpaceDE w:val="0"/>
              <w:autoSpaceDN w:val="0"/>
              <w:spacing w:line="240" w:lineRule="auto"/>
              <w:jc w:val="center"/>
              <w:rPr>
                <w:rFonts w:ascii="Times New Roman" w:hAnsi="Times New Roman" w:cs="Times New Roman"/>
                <w:lang w:eastAsia="en-US"/>
              </w:rPr>
            </w:pPr>
            <w:r>
              <w:rPr>
                <w:rFonts w:ascii="Times New Roman" w:hAnsi="Times New Roman" w:cs="Times New Roman"/>
                <w:lang w:eastAsia="en-US" w:bidi="he-IL"/>
              </w:rPr>
              <w:t>0,983</w:t>
            </w:r>
          </w:p>
        </w:tc>
      </w:tr>
    </w:tbl>
    <w:p w14:paraId="3B2BA93D" w14:textId="77777777" w:rsidR="00DD6391" w:rsidRDefault="00CF2099">
      <w:pPr>
        <w:tabs>
          <w:tab w:val="clear" w:pos="567"/>
        </w:tabs>
        <w:autoSpaceDE w:val="0"/>
        <w:autoSpaceDN w:val="0"/>
        <w:spacing w:line="240" w:lineRule="auto"/>
        <w:ind w:left="142" w:hanging="142"/>
        <w:rPr>
          <w:rFonts w:ascii="Times New Roman" w:eastAsia="SimSun" w:hAnsi="Times New Roman" w:cs="Times New Roman"/>
          <w:sz w:val="18"/>
          <w:szCs w:val="18"/>
          <w:lang w:eastAsia="en-US"/>
        </w:rPr>
      </w:pPr>
      <w:r>
        <w:rPr>
          <w:rFonts w:ascii="Times New Roman" w:eastAsia="SimSun" w:hAnsi="Times New Roman" w:cs="Times New Roman"/>
          <w:sz w:val="18"/>
          <w:szCs w:val="18"/>
          <w:lang w:eastAsia="en-US"/>
        </w:rPr>
        <w:t xml:space="preserve">* A </w:t>
      </w:r>
      <w:r>
        <w:rPr>
          <w:rFonts w:ascii="Times New Roman" w:eastAsia="SimSun" w:hAnsi="Times New Roman" w:cs="Times New Roman"/>
          <w:sz w:val="18"/>
          <w:szCs w:val="18"/>
          <w:lang w:eastAsia="en-US" w:bidi="he-IL"/>
        </w:rPr>
        <w:t xml:space="preserve">100 betegévre vonatkozó előfordulási arány kiszámítása: 100 × (a beszámítható expozíciós időszak során </w:t>
      </w:r>
      <w:r>
        <w:rPr>
          <w:rFonts w:ascii="Times New Roman" w:eastAsia="SimSun" w:hAnsi="Times New Roman" w:cs="Times New Roman" w:hint="eastAsia"/>
          <w:sz w:val="18"/>
          <w:szCs w:val="18"/>
          <w:lang w:eastAsia="en-US" w:bidi="he-IL"/>
        </w:rPr>
        <w:t>≥</w:t>
      </w:r>
      <w:r>
        <w:rPr>
          <w:rFonts w:ascii="Times New Roman" w:eastAsia="SimSun" w:hAnsi="Times New Roman" w:cs="Times New Roman"/>
          <w:sz w:val="18"/>
          <w:szCs w:val="18"/>
          <w:lang w:eastAsia="en-US" w:bidi="he-IL"/>
        </w:rPr>
        <w:t> 1 eseményt elérő betegek összesített száma elosztva a követés összes betegévének számával).</w:t>
      </w:r>
    </w:p>
    <w:p w14:paraId="15085B36" w14:textId="77777777" w:rsidR="00DD6391" w:rsidRDefault="00CF2099">
      <w:pPr>
        <w:autoSpaceDE w:val="0"/>
        <w:autoSpaceDN w:val="0"/>
        <w:spacing w:line="240" w:lineRule="auto"/>
        <w:ind w:left="142" w:hanging="142"/>
        <w:rPr>
          <w:rFonts w:ascii="Times New Roman" w:eastAsia="SimSun" w:hAnsi="Times New Roman" w:cs="Times New Roman"/>
          <w:sz w:val="18"/>
          <w:szCs w:val="18"/>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bidi="he-IL"/>
        </w:rPr>
        <w:t>Egy régióra stratifikált Cox-modell alapján. Az összetett végpontoknál a p-értékek egy non-inferioritási tesztnek felelnek meg, mely azt volt hivatott kimutatni, hogy a relatív hazárd 1,3</w:t>
      </w:r>
      <w:r>
        <w:rPr>
          <w:rFonts w:ascii="Times New Roman" w:eastAsia="SimSun" w:hAnsi="Times New Roman" w:cs="Times New Roman"/>
          <w:sz w:val="18"/>
          <w:szCs w:val="18"/>
          <w:lang w:eastAsia="en-US" w:bidi="he-IL"/>
        </w:rPr>
        <w:noBreakHyphen/>
        <w:t>nél alacsonyabb. Az összes többi végpontnál a p-értékek a relatív hazárdok közötti különbségek tesztjének felelnek meg.</w:t>
      </w:r>
    </w:p>
    <w:p w14:paraId="7C9FD61E" w14:textId="77777777" w:rsidR="00DD6391" w:rsidRDefault="00CF2099">
      <w:pPr>
        <w:autoSpaceDE w:val="0"/>
        <w:autoSpaceDN w:val="0"/>
        <w:spacing w:line="240" w:lineRule="auto"/>
        <w:ind w:left="142" w:hanging="142"/>
        <w:rPr>
          <w:rFonts w:ascii="Times New Roman" w:eastAsia="SimSun" w:hAnsi="Times New Roman" w:cs="Times New Roman"/>
          <w:lang w:eastAsia="en-US"/>
        </w:rPr>
      </w:pPr>
      <w:r>
        <w:rPr>
          <w:rFonts w:ascii="Times New Roman" w:eastAsia="SimSun" w:hAnsi="Times New Roman" w:cs="Times New Roman"/>
          <w:sz w:val="18"/>
          <w:szCs w:val="18"/>
          <w:vertAlign w:val="superscript"/>
          <w:lang w:eastAsia="en-US"/>
        </w:rPr>
        <w:t xml:space="preserve">‡ </w:t>
      </w:r>
      <w:r>
        <w:rPr>
          <w:rFonts w:ascii="Times New Roman" w:eastAsia="SimSun" w:hAnsi="Times New Roman" w:cs="Times New Roman"/>
          <w:sz w:val="18"/>
          <w:szCs w:val="18"/>
          <w:lang w:eastAsia="en-US" w:bidi="he-IL"/>
        </w:rPr>
        <w:t>A szívelégtelenség miatti hospitalizáció elemzését a kiinduláskor a kórelőzményben fennálló szívelégtelenségre korrigálva végezték el</w:t>
      </w:r>
      <w:r>
        <w:rPr>
          <w:rFonts w:ascii="Times New Roman" w:eastAsia="SimSun" w:hAnsi="Times New Roman" w:cs="Times New Roman"/>
          <w:lang w:eastAsia="en-US" w:bidi="he-IL"/>
        </w:rPr>
        <w:t>.</w:t>
      </w:r>
    </w:p>
    <w:p w14:paraId="1AE6433F" w14:textId="77777777" w:rsidR="00DD6391" w:rsidRDefault="00DD6391">
      <w:pPr>
        <w:spacing w:line="240" w:lineRule="auto"/>
        <w:rPr>
          <w:rFonts w:ascii="Times New Roman" w:hAnsi="Times New Roman" w:cs="Times New Roman"/>
          <w:u w:val="single"/>
        </w:rPr>
      </w:pPr>
    </w:p>
    <w:p w14:paraId="0EAE9597"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Gyermekek és serdülők</w:t>
      </w:r>
    </w:p>
    <w:p w14:paraId="5AAD8331" w14:textId="77777777" w:rsidR="00DD6391" w:rsidRDefault="00CF2099">
      <w:pPr>
        <w:spacing w:line="240" w:lineRule="auto"/>
        <w:rPr>
          <w:rFonts w:ascii="Times New Roman" w:hAnsi="Times New Roman" w:cs="Times New Roman"/>
        </w:rPr>
      </w:pPr>
      <w:r>
        <w:rPr>
          <w:rFonts w:ascii="Times New Roman" w:hAnsi="Times New Roman" w:cs="Times New Roman"/>
        </w:rPr>
        <w:lastRenderedPageBreak/>
        <w:t>A naponta egyszer adott 100 mg szitagliptin hatásosságát és biztonságosságát egy 54 hetes, kettős vak vizsgálatban értékelték, 2</w:t>
      </w:r>
      <w:r>
        <w:rPr>
          <w:rFonts w:ascii="Times New Roman" w:hAnsi="Times New Roman" w:cs="Times New Roman"/>
        </w:rPr>
        <w:noBreakHyphen/>
        <w:t xml:space="preserve">es típusú diabetesben szenvedő, </w:t>
      </w:r>
      <w:r>
        <w:rPr>
          <w:rFonts w:ascii="Times New Roman" w:eastAsia="SimSun" w:hAnsi="Times New Roman" w:cs="Times New Roman"/>
          <w:lang w:eastAsia="en-US"/>
        </w:rPr>
        <w:t>10 és 17 év közötti gyermekeknél és serdülőknél</w:t>
      </w:r>
      <w:r>
        <w:rPr>
          <w:rFonts w:ascii="Times New Roman" w:hAnsi="Times New Roman" w:cs="Times New Roman"/>
        </w:rPr>
        <w:t>, akik legalább 12 hétig nem kaptak antihyperglykaemiás kezelést (HbA</w:t>
      </w:r>
      <w:r>
        <w:rPr>
          <w:rFonts w:ascii="Times New Roman" w:hAnsi="Times New Roman" w:cs="Times New Roman"/>
          <w:vertAlign w:val="subscript"/>
        </w:rPr>
        <w:t>1c</w:t>
      </w:r>
      <w:r>
        <w:rPr>
          <w:rFonts w:ascii="Times New Roman" w:hAnsi="Times New Roman" w:cs="Times New Roman"/>
        </w:rPr>
        <w:t>: 6,5%</w:t>
      </w:r>
      <w:r>
        <w:rPr>
          <w:rFonts w:ascii="Times New Roman" w:hAnsi="Times New Roman" w:cs="Times New Roman"/>
        </w:rPr>
        <w:noBreakHyphen/>
        <w:t>10%) vagy legalább 12 hétig stabil dózisban kaptak inzulint (HbA</w:t>
      </w:r>
      <w:r>
        <w:rPr>
          <w:rFonts w:ascii="Times New Roman" w:hAnsi="Times New Roman" w:cs="Times New Roman"/>
          <w:vertAlign w:val="subscript"/>
        </w:rPr>
        <w:t>1c</w:t>
      </w:r>
      <w:r>
        <w:rPr>
          <w:rFonts w:ascii="Times New Roman" w:hAnsi="Times New Roman" w:cs="Times New Roman"/>
        </w:rPr>
        <w:t>: 7%</w:t>
      </w:r>
      <w:r>
        <w:rPr>
          <w:rFonts w:ascii="Times New Roman" w:hAnsi="Times New Roman" w:cs="Times New Roman"/>
        </w:rPr>
        <w:noBreakHyphen/>
        <w:t>10%). A betegek a randomizációt követően 20 héten át napi 100 mg szitagliptint vagy placebót kaptak.</w:t>
      </w:r>
    </w:p>
    <w:p w14:paraId="4D8ED7A0" w14:textId="77777777" w:rsidR="00DD6391" w:rsidRDefault="00DD6391">
      <w:pPr>
        <w:spacing w:line="240" w:lineRule="auto"/>
        <w:rPr>
          <w:rFonts w:ascii="Times New Roman" w:hAnsi="Times New Roman" w:cs="Times New Roman"/>
        </w:rPr>
      </w:pPr>
    </w:p>
    <w:p w14:paraId="7BF2F362" w14:textId="77777777" w:rsidR="00DD6391" w:rsidRDefault="00CF2099">
      <w:pPr>
        <w:spacing w:line="240" w:lineRule="auto"/>
        <w:rPr>
          <w:rFonts w:ascii="Times New Roman" w:hAnsi="Times New Roman" w:cs="Times New Roman"/>
        </w:rPr>
      </w:pPr>
      <w:r>
        <w:rPr>
          <w:rFonts w:ascii="Times New Roman" w:hAnsi="Times New Roman" w:cs="Times New Roman"/>
        </w:rPr>
        <w:t>A vizsgálat elején az átlagos HbA</w:t>
      </w:r>
      <w:r>
        <w:rPr>
          <w:rFonts w:ascii="Times New Roman" w:hAnsi="Times New Roman" w:cs="Times New Roman"/>
          <w:vertAlign w:val="subscript"/>
        </w:rPr>
        <w:t>1c</w:t>
      </w:r>
      <w:r>
        <w:rPr>
          <w:rFonts w:ascii="Times New Roman" w:hAnsi="Times New Roman" w:cs="Times New Roman"/>
        </w:rPr>
        <w:t>-érték 7,5% volt. A 100 mg szitagliptinnel történő kezelés hatására a 20. héten nem mutatkozott jelentős javulás a HbA</w:t>
      </w:r>
      <w:r>
        <w:rPr>
          <w:rFonts w:ascii="Times New Roman" w:hAnsi="Times New Roman" w:cs="Times New Roman"/>
          <w:vertAlign w:val="subscript"/>
        </w:rPr>
        <w:t>1c</w:t>
      </w:r>
      <w:r>
        <w:rPr>
          <w:rFonts w:ascii="Times New Roman" w:hAnsi="Times New Roman" w:cs="Times New Roman"/>
        </w:rPr>
        <w:t xml:space="preserve"> vonatkozásában. A szitagliptinnel kezelt betegeknél (n = 95) a HbA</w:t>
      </w:r>
      <w:r>
        <w:rPr>
          <w:rFonts w:ascii="Times New Roman" w:hAnsi="Times New Roman" w:cs="Times New Roman"/>
          <w:vertAlign w:val="subscript"/>
        </w:rPr>
        <w:t>1c</w:t>
      </w:r>
      <w:r>
        <w:rPr>
          <w:rFonts w:ascii="Times New Roman" w:hAnsi="Times New Roman" w:cs="Times New Roman"/>
        </w:rPr>
        <w:t>-értékének csökkenése 0,0% volt, a placebóval kezelt betegeknél (n = 95) megfigyelt 0,2%</w:t>
      </w:r>
      <w:r>
        <w:rPr>
          <w:rFonts w:ascii="Times New Roman" w:hAnsi="Times New Roman" w:cs="Times New Roman"/>
        </w:rPr>
        <w:noBreakHyphen/>
        <w:t>kal összehasonlítva, ami -0,2%</w:t>
      </w:r>
      <w:r>
        <w:rPr>
          <w:rFonts w:ascii="Times New Roman" w:hAnsi="Times New Roman" w:cs="Times New Roman"/>
        </w:rPr>
        <w:noBreakHyphen/>
        <w:t>os különbség (95%</w:t>
      </w:r>
      <w:r>
        <w:rPr>
          <w:rFonts w:ascii="Times New Roman" w:hAnsi="Times New Roman" w:cs="Times New Roman"/>
        </w:rPr>
        <w:noBreakHyphen/>
        <w:t>os CI: -0,7; 0,3). Lásd 4.2 pont.</w:t>
      </w:r>
    </w:p>
    <w:p w14:paraId="326FE3C6" w14:textId="77777777" w:rsidR="00DD6391" w:rsidRDefault="00DD6391">
      <w:pPr>
        <w:spacing w:line="240" w:lineRule="auto"/>
        <w:rPr>
          <w:rFonts w:ascii="Times New Roman" w:eastAsia="SimSun" w:hAnsi="Times New Roman" w:cs="Times New Roman"/>
          <w:lang w:eastAsia="en-US"/>
        </w:rPr>
      </w:pPr>
    </w:p>
    <w:p w14:paraId="0981EF6F" w14:textId="77777777" w:rsidR="00DD6391" w:rsidRDefault="00CF2099">
      <w:pPr>
        <w:spacing w:line="240" w:lineRule="auto"/>
        <w:ind w:left="567" w:hanging="567"/>
        <w:outlineLvl w:val="0"/>
        <w:rPr>
          <w:rFonts w:ascii="Times New Roman" w:hAnsi="Times New Roman" w:cs="Times New Roman"/>
          <w:b/>
          <w:bCs/>
        </w:rPr>
      </w:pPr>
      <w:r>
        <w:rPr>
          <w:rFonts w:ascii="Times New Roman" w:hAnsi="Times New Roman" w:cs="Times New Roman"/>
          <w:b/>
          <w:bCs/>
        </w:rPr>
        <w:t>5.2</w:t>
      </w:r>
      <w:r>
        <w:rPr>
          <w:rFonts w:ascii="Times New Roman" w:hAnsi="Times New Roman" w:cs="Times New Roman"/>
          <w:b/>
          <w:bCs/>
        </w:rPr>
        <w:tab/>
        <w:t>Farmakokinetikai tulajdonságok</w:t>
      </w:r>
    </w:p>
    <w:p w14:paraId="58CB3A42" w14:textId="77777777" w:rsidR="00DD6391" w:rsidRDefault="00DD6391">
      <w:pPr>
        <w:spacing w:line="240" w:lineRule="auto"/>
        <w:ind w:left="567" w:hanging="567"/>
        <w:outlineLvl w:val="0"/>
        <w:rPr>
          <w:rFonts w:ascii="Times New Roman" w:hAnsi="Times New Roman" w:cs="Times New Roman"/>
          <w:b/>
          <w:bCs/>
        </w:rPr>
      </w:pPr>
    </w:p>
    <w:p w14:paraId="0786D404"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Felszívódás</w:t>
      </w:r>
    </w:p>
    <w:p w14:paraId="5A804F5B"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100 mg</w:t>
      </w:r>
      <w:r>
        <w:rPr>
          <w:rFonts w:ascii="Times New Roman" w:hAnsi="Times New Roman" w:cs="Times New Roman"/>
        </w:rPr>
        <w:noBreakHyphen/>
        <w:t>os dózisa egészséges alanyoknál az orális alkalmazást követően gyorsan felszívódott, és a dózis bevételét követő 1</w:t>
      </w:r>
      <w:r>
        <w:rPr>
          <w:rFonts w:ascii="Times New Roman" w:hAnsi="Times New Roman" w:cs="Times New Roman"/>
        </w:rPr>
        <w:noBreakHyphen/>
        <w:t>4 órán belül érte el a plazma csúcskoncentrációt (átlag t</w:t>
      </w:r>
      <w:r>
        <w:rPr>
          <w:rFonts w:ascii="Times New Roman" w:hAnsi="Times New Roman" w:cs="Times New Roman"/>
          <w:vertAlign w:val="subscript"/>
        </w:rPr>
        <w:t>max</w:t>
      </w:r>
      <w:r>
        <w:rPr>
          <w:rFonts w:ascii="Times New Roman" w:hAnsi="Times New Roman" w:cs="Times New Roman"/>
        </w:rPr>
        <w:t>), a szitagliptin átlagos plazma AUC-értéke 8,52 µM×óra, a C</w:t>
      </w:r>
      <w:r>
        <w:rPr>
          <w:rFonts w:ascii="Times New Roman" w:hAnsi="Times New Roman" w:cs="Times New Roman"/>
          <w:vertAlign w:val="subscript"/>
        </w:rPr>
        <w:t>max</w:t>
      </w:r>
      <w:r>
        <w:rPr>
          <w:rFonts w:ascii="Times New Roman" w:hAnsi="Times New Roman" w:cs="Times New Roman"/>
        </w:rPr>
        <w:t xml:space="preserve"> értéke 950 nM volt. A szitagliptin abszolút biohasznosulása hozzávetőleg 87%. Mivel a szitagliptin magas zsírtartalmú ételekkel való egyidejű bevétele nincs kihatással a farmakokinetikára, a</w:t>
      </w:r>
      <w:r>
        <w:rPr>
          <w:rFonts w:ascii="Times New Roman" w:eastAsia="SimSun" w:hAnsi="Times New Roman" w:cs="Times New Roman"/>
          <w:lang w:eastAsia="en-US"/>
        </w:rPr>
        <w:t xml:space="preserve"> szitagliptin </w:t>
      </w:r>
      <w:r>
        <w:rPr>
          <w:rFonts w:ascii="Times New Roman" w:hAnsi="Times New Roman" w:cs="Times New Roman"/>
        </w:rPr>
        <w:t>étkezés közben vagy attól függetlenül is bevehető.</w:t>
      </w:r>
    </w:p>
    <w:p w14:paraId="07712EDA" w14:textId="77777777" w:rsidR="00DD6391" w:rsidRDefault="00DD6391">
      <w:pPr>
        <w:spacing w:line="240" w:lineRule="auto"/>
        <w:ind w:right="-2"/>
        <w:rPr>
          <w:rFonts w:ascii="Times New Roman" w:hAnsi="Times New Roman" w:cs="Times New Roman"/>
        </w:rPr>
      </w:pPr>
    </w:p>
    <w:p w14:paraId="1C1F1E0A"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plazma AUC-értéke dózisarányosan növekedett. A dózisarányosságot a C</w:t>
      </w:r>
      <w:r>
        <w:rPr>
          <w:rFonts w:ascii="Times New Roman" w:hAnsi="Times New Roman" w:cs="Times New Roman"/>
          <w:vertAlign w:val="subscript"/>
        </w:rPr>
        <w:t>max</w:t>
      </w:r>
      <w:r>
        <w:rPr>
          <w:rFonts w:ascii="Times New Roman" w:hAnsi="Times New Roman" w:cs="Times New Roman"/>
        </w:rPr>
        <w:t xml:space="preserve"> és C</w:t>
      </w:r>
      <w:r>
        <w:rPr>
          <w:rFonts w:ascii="Times New Roman" w:hAnsi="Times New Roman" w:cs="Times New Roman"/>
          <w:vertAlign w:val="subscript"/>
        </w:rPr>
        <w:t>24h</w:t>
      </w:r>
      <w:r>
        <w:rPr>
          <w:rFonts w:ascii="Times New Roman" w:hAnsi="Times New Roman" w:cs="Times New Roman"/>
        </w:rPr>
        <w:t xml:space="preserve"> vonatkozásában nem állapították meg (a C</w:t>
      </w:r>
      <w:r>
        <w:rPr>
          <w:rFonts w:ascii="Times New Roman" w:hAnsi="Times New Roman" w:cs="Times New Roman"/>
          <w:vertAlign w:val="subscript"/>
        </w:rPr>
        <w:t>max</w:t>
      </w:r>
      <w:r>
        <w:rPr>
          <w:rFonts w:ascii="Times New Roman" w:hAnsi="Times New Roman" w:cs="Times New Roman"/>
        </w:rPr>
        <w:t xml:space="preserve"> a dózisarányosságnál enyhén nagyobb mértékben nőtt, és a C</w:t>
      </w:r>
      <w:r>
        <w:rPr>
          <w:rFonts w:ascii="Times New Roman" w:hAnsi="Times New Roman" w:cs="Times New Roman"/>
          <w:vertAlign w:val="subscript"/>
        </w:rPr>
        <w:t>24h</w:t>
      </w:r>
      <w:r>
        <w:rPr>
          <w:rFonts w:ascii="Times New Roman" w:hAnsi="Times New Roman" w:cs="Times New Roman"/>
        </w:rPr>
        <w:t xml:space="preserve"> a dózisarányosságnál enyhén kisebb mértékben nőtt).</w:t>
      </w:r>
    </w:p>
    <w:p w14:paraId="70D02BFD" w14:textId="77777777" w:rsidR="00DD6391" w:rsidRDefault="00DD6391">
      <w:pPr>
        <w:spacing w:line="240" w:lineRule="auto"/>
        <w:ind w:right="-2"/>
        <w:rPr>
          <w:rFonts w:ascii="Times New Roman" w:hAnsi="Times New Roman" w:cs="Times New Roman"/>
        </w:rPr>
      </w:pPr>
    </w:p>
    <w:p w14:paraId="7D347840"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Eloszlás</w:t>
      </w:r>
    </w:p>
    <w:p w14:paraId="60F62C74" w14:textId="77777777" w:rsidR="00DD6391" w:rsidRDefault="00CF2099">
      <w:pPr>
        <w:spacing w:line="240" w:lineRule="auto"/>
        <w:ind w:right="-2"/>
        <w:rPr>
          <w:rFonts w:ascii="Times New Roman" w:hAnsi="Times New Roman" w:cs="Times New Roman"/>
        </w:rPr>
      </w:pPr>
      <w:r>
        <w:rPr>
          <w:rFonts w:ascii="Times New Roman" w:hAnsi="Times New Roman" w:cs="Times New Roman"/>
        </w:rPr>
        <w:t>Egészséges embereknél a szitagliptin egyszeri 100 mg</w:t>
      </w:r>
      <w:r>
        <w:rPr>
          <w:rFonts w:ascii="Times New Roman" w:hAnsi="Times New Roman" w:cs="Times New Roman"/>
        </w:rPr>
        <w:noBreakHyphen/>
        <w:t>os dózisának intravénás beadását követően az átlagos elosztási térfogat egyensúlyi állapotban hozzávetőleg 198 liter. A szitagliptin plazmafehérjékhez reverzibilisen kötődő része alacsony (38%).</w:t>
      </w:r>
    </w:p>
    <w:p w14:paraId="5F144C0F" w14:textId="77777777" w:rsidR="00DD6391" w:rsidRDefault="00DD6391">
      <w:pPr>
        <w:spacing w:line="240" w:lineRule="auto"/>
        <w:ind w:right="-2"/>
        <w:rPr>
          <w:rFonts w:ascii="Times New Roman" w:hAnsi="Times New Roman" w:cs="Times New Roman"/>
          <w:u w:val="single"/>
        </w:rPr>
      </w:pPr>
    </w:p>
    <w:p w14:paraId="28B6C733"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Biotranszformáció</w:t>
      </w:r>
    </w:p>
    <w:p w14:paraId="0704AAA6"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elsősorban változatlan formában a vizelettel ürül, a metabolizmus kevésbé jellemző. A szitagliptin hozzávetőleg 79%</w:t>
      </w:r>
      <w:r>
        <w:rPr>
          <w:rFonts w:ascii="Times New Roman" w:hAnsi="Times New Roman" w:cs="Times New Roman"/>
        </w:rPr>
        <w:noBreakHyphen/>
        <w:t>a ürül változatlan formában a vizelettel.</w:t>
      </w:r>
    </w:p>
    <w:p w14:paraId="591361D8" w14:textId="77777777" w:rsidR="00DD6391" w:rsidRDefault="00DD6391">
      <w:pPr>
        <w:spacing w:line="240" w:lineRule="auto"/>
        <w:ind w:right="-2"/>
        <w:rPr>
          <w:rFonts w:ascii="Times New Roman" w:hAnsi="Times New Roman" w:cs="Times New Roman"/>
        </w:rPr>
      </w:pPr>
    </w:p>
    <w:p w14:paraId="579D7681" w14:textId="77777777" w:rsidR="00DD6391" w:rsidRDefault="00CF2099">
      <w:pPr>
        <w:spacing w:line="240" w:lineRule="auto"/>
        <w:ind w:right="-2"/>
        <w:rPr>
          <w:rFonts w:ascii="Times New Roman" w:hAnsi="Times New Roman" w:cs="Times New Roman"/>
        </w:rPr>
      </w:pPr>
      <w:r>
        <w:rPr>
          <w:rFonts w:ascii="Times New Roman" w:hAnsi="Times New Roman" w:cs="Times New Roman"/>
        </w:rPr>
        <w:t xml:space="preserve">Egy dózis </w:t>
      </w:r>
      <w:r>
        <w:rPr>
          <w:rFonts w:ascii="Times New Roman" w:hAnsi="Times New Roman" w:cs="Times New Roman"/>
          <w:vertAlign w:val="superscript"/>
        </w:rPr>
        <w:t>14</w:t>
      </w:r>
      <w:r>
        <w:rPr>
          <w:rFonts w:ascii="Times New Roman" w:hAnsi="Times New Roman" w:cs="Times New Roman"/>
        </w:rPr>
        <w:t>C izotóppal jelölt szitagliptin orális bevételét követően a radioaktivitás hozzávetőleg 16%</w:t>
      </w:r>
      <w:r>
        <w:rPr>
          <w:rFonts w:ascii="Times New Roman" w:hAnsi="Times New Roman" w:cs="Times New Roman"/>
        </w:rPr>
        <w:noBreakHyphen/>
        <w:t>a ürült a szitagliptin metabolitjaként. Hat metabolitot tudtak nyomokban kimutatni, amelyek várhatóan nem járulnak hozzá a szitagliptin plazma DPP</w:t>
      </w:r>
      <w:r>
        <w:rPr>
          <w:rFonts w:ascii="Times New Roman" w:hAnsi="Times New Roman" w:cs="Times New Roman"/>
        </w:rPr>
        <w:noBreakHyphen/>
        <w:t xml:space="preserve">4-gátló tevékenységéhez. Az </w:t>
      </w:r>
      <w:r>
        <w:rPr>
          <w:rFonts w:ascii="Times New Roman" w:hAnsi="Times New Roman" w:cs="Times New Roman"/>
          <w:i/>
        </w:rPr>
        <w:t>in vitro</w:t>
      </w:r>
      <w:r>
        <w:rPr>
          <w:rFonts w:ascii="Times New Roman" w:hAnsi="Times New Roman" w:cs="Times New Roman"/>
        </w:rPr>
        <w:t xml:space="preserve"> vizsgálatok szerint a szitagliptin limitált metabolizmusáért felelős fő enzim a CYP3A4 volt a CYP2C8 közreműködésével.</w:t>
      </w:r>
    </w:p>
    <w:p w14:paraId="4ED8274D" w14:textId="77777777" w:rsidR="00DD6391" w:rsidRDefault="00DD6391">
      <w:pPr>
        <w:spacing w:line="240" w:lineRule="auto"/>
        <w:ind w:right="-2"/>
        <w:rPr>
          <w:rFonts w:ascii="Times New Roman" w:hAnsi="Times New Roman" w:cs="Times New Roman"/>
        </w:rPr>
      </w:pPr>
    </w:p>
    <w:p w14:paraId="55689927" w14:textId="77777777" w:rsidR="00DD6391" w:rsidRDefault="00CF2099">
      <w:pPr>
        <w:spacing w:line="240" w:lineRule="auto"/>
        <w:ind w:right="-2"/>
        <w:rPr>
          <w:rFonts w:ascii="Times New Roman" w:hAnsi="Times New Roman" w:cs="Times New Roman"/>
        </w:rPr>
      </w:pPr>
      <w:r>
        <w:rPr>
          <w:rFonts w:ascii="Times New Roman" w:hAnsi="Times New Roman" w:cs="Times New Roman"/>
          <w:i/>
        </w:rPr>
        <w:t>In vitro</w:t>
      </w:r>
      <w:r>
        <w:rPr>
          <w:rFonts w:ascii="Times New Roman" w:hAnsi="Times New Roman" w:cs="Times New Roman"/>
        </w:rPr>
        <w:t xml:space="preserve"> adatok alapján a szitagliptin nem gátolja a CYP izoenzimeket (CYP3A4, 2C8, 2C9, 2D6, 1A2, 2C19 vagy 2B6), és nem indukálja a CYP3A4</w:t>
      </w:r>
      <w:r>
        <w:rPr>
          <w:rFonts w:ascii="Times New Roman" w:hAnsi="Times New Roman" w:cs="Times New Roman"/>
        </w:rPr>
        <w:noBreakHyphen/>
        <w:t>et valamint a CYP1A2</w:t>
      </w:r>
      <w:r>
        <w:rPr>
          <w:rFonts w:ascii="Times New Roman" w:hAnsi="Times New Roman" w:cs="Times New Roman"/>
        </w:rPr>
        <w:noBreakHyphen/>
        <w:t>t.</w:t>
      </w:r>
    </w:p>
    <w:p w14:paraId="28C84164" w14:textId="77777777" w:rsidR="00DD6391" w:rsidRDefault="00DD6391">
      <w:pPr>
        <w:spacing w:line="240" w:lineRule="auto"/>
        <w:ind w:right="-2"/>
        <w:rPr>
          <w:rFonts w:ascii="Times New Roman" w:hAnsi="Times New Roman" w:cs="Times New Roman"/>
          <w:u w:val="single"/>
        </w:rPr>
      </w:pPr>
    </w:p>
    <w:p w14:paraId="2581531A"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Elimináció</w:t>
      </w:r>
    </w:p>
    <w:p w14:paraId="6D5DC1A4" w14:textId="77777777" w:rsidR="00DD6391" w:rsidRDefault="00CF2099">
      <w:pPr>
        <w:spacing w:line="240" w:lineRule="auto"/>
        <w:ind w:right="-2"/>
        <w:rPr>
          <w:rFonts w:ascii="Times New Roman" w:hAnsi="Times New Roman" w:cs="Times New Roman"/>
        </w:rPr>
      </w:pPr>
      <w:r>
        <w:rPr>
          <w:rFonts w:ascii="Times New Roman" w:hAnsi="Times New Roman" w:cs="Times New Roman"/>
        </w:rPr>
        <w:t xml:space="preserve">Egy dózis </w:t>
      </w:r>
      <w:r>
        <w:rPr>
          <w:rFonts w:ascii="Times New Roman" w:hAnsi="Times New Roman" w:cs="Times New Roman"/>
          <w:vertAlign w:val="superscript"/>
        </w:rPr>
        <w:t>14</w:t>
      </w:r>
      <w:r>
        <w:rPr>
          <w:rFonts w:ascii="Times New Roman" w:hAnsi="Times New Roman" w:cs="Times New Roman"/>
        </w:rPr>
        <w:t>C izotóppal jelölt szitagliptin egészséges résztvevőknek történő orális beadását követően az alkalmazott radioaktivitás megközelítőleg 100%</w:t>
      </w:r>
      <w:r>
        <w:rPr>
          <w:rFonts w:ascii="Times New Roman" w:hAnsi="Times New Roman" w:cs="Times New Roman"/>
        </w:rPr>
        <w:noBreakHyphen/>
        <w:t>a ürült a széklettel (13%) vagy a vizelettel (87%) a dózis beadását követő egy héten belül. A szitagliptin 100 mg</w:t>
      </w:r>
      <w:r>
        <w:rPr>
          <w:rFonts w:ascii="Times New Roman" w:hAnsi="Times New Roman" w:cs="Times New Roman"/>
        </w:rPr>
        <w:noBreakHyphen/>
        <w:t>os orális dózisát követő látszólagos terminális t</w:t>
      </w:r>
      <w:r>
        <w:rPr>
          <w:rFonts w:ascii="Times New Roman" w:hAnsi="Times New Roman" w:cs="Times New Roman"/>
          <w:vertAlign w:val="subscript"/>
        </w:rPr>
        <w:t xml:space="preserve">1/2 </w:t>
      </w:r>
      <w:r>
        <w:rPr>
          <w:rFonts w:ascii="Times New Roman" w:hAnsi="Times New Roman" w:cs="Times New Roman"/>
        </w:rPr>
        <w:t>hozzávetőleg 12,4 óra volt. A szitagliptin többszörös dózisok esetén csak minimális mértékben halmozódik fel. A renális clearance megközelítőleg 350 ml/perc volt.</w:t>
      </w:r>
    </w:p>
    <w:p w14:paraId="40DAAF6F" w14:textId="77777777" w:rsidR="00DD6391" w:rsidRDefault="00DD6391">
      <w:pPr>
        <w:spacing w:line="240" w:lineRule="auto"/>
        <w:ind w:right="-2"/>
        <w:rPr>
          <w:rFonts w:ascii="Times New Roman" w:hAnsi="Times New Roman" w:cs="Times New Roman"/>
        </w:rPr>
      </w:pPr>
    </w:p>
    <w:p w14:paraId="2088FCBC"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elsősorban a vesén keresztül ürül, aktív tubuláris szekrécióval. A szitagliptin a humán organikus aniontranszporter</w:t>
      </w:r>
      <w:r>
        <w:rPr>
          <w:rFonts w:ascii="Times New Roman" w:hAnsi="Times New Roman" w:cs="Times New Roman"/>
        </w:rPr>
        <w:noBreakHyphen/>
        <w:t>3 (hOAT</w:t>
      </w:r>
      <w:r>
        <w:rPr>
          <w:rFonts w:ascii="Times New Roman" w:hAnsi="Times New Roman" w:cs="Times New Roman"/>
        </w:rPr>
        <w:noBreakHyphen/>
        <w:t>3) szubsztrátja, ami a szitagliptin renális kiválasztódásában játszhat szerepet. A hOAT</w:t>
      </w:r>
      <w:r>
        <w:rPr>
          <w:rFonts w:ascii="Times New Roman" w:hAnsi="Times New Roman" w:cs="Times New Roman"/>
        </w:rPr>
        <w:noBreakHyphen/>
        <w:t>3 klinikai jelentőségét a szitagliptin-transzport terén még nem állapították meg. A szitagliptin egyben a renális kiválasztódásában esetlegesen közvetítőszerepet játszó p</w:t>
      </w:r>
      <w:r>
        <w:rPr>
          <w:rFonts w:ascii="Times New Roman" w:hAnsi="Times New Roman" w:cs="Times New Roman"/>
        </w:rPr>
        <w:noBreakHyphen/>
        <w:t>glikoprotein szubsztrátja is. A p</w:t>
      </w:r>
      <w:r>
        <w:rPr>
          <w:rFonts w:ascii="Times New Roman" w:hAnsi="Times New Roman" w:cs="Times New Roman"/>
        </w:rPr>
        <w:noBreakHyphen/>
        <w:t>glikoprotein-inhibitornak minősülő ciklosporin azonban nem csökkentette a szitagliptin renális clearance</w:t>
      </w:r>
      <w:r>
        <w:rPr>
          <w:rFonts w:ascii="Times New Roman" w:hAnsi="Times New Roman" w:cs="Times New Roman"/>
        </w:rPr>
        <w:noBreakHyphen/>
        <w:t xml:space="preserve">ét. A szitagliptin nem szubsztrátja az OCT2 vagy OAT1, illetve a PEPT1/2 transzportereknek. A szitagliptin </w:t>
      </w:r>
      <w:r>
        <w:rPr>
          <w:rFonts w:ascii="Times New Roman" w:hAnsi="Times New Roman" w:cs="Times New Roman"/>
          <w:i/>
        </w:rPr>
        <w:t>in vitro</w:t>
      </w:r>
      <w:r>
        <w:rPr>
          <w:rFonts w:ascii="Times New Roman" w:hAnsi="Times New Roman" w:cs="Times New Roman"/>
        </w:rPr>
        <w:t xml:space="preserve"> nem gátolta az OAT3 (IC</w:t>
      </w:r>
      <w:r>
        <w:rPr>
          <w:rFonts w:ascii="Times New Roman" w:hAnsi="Times New Roman" w:cs="Times New Roman"/>
          <w:vertAlign w:val="subscript"/>
        </w:rPr>
        <w:t>50</w:t>
      </w:r>
      <w:r>
        <w:rPr>
          <w:rFonts w:ascii="Times New Roman" w:hAnsi="Times New Roman" w:cs="Times New Roman"/>
        </w:rPr>
        <w:t xml:space="preserve"> = 160 µM) </w:t>
      </w:r>
      <w:r>
        <w:rPr>
          <w:rFonts w:ascii="Times New Roman" w:hAnsi="Times New Roman" w:cs="Times New Roman"/>
        </w:rPr>
        <w:lastRenderedPageBreak/>
        <w:t>vagy a p</w:t>
      </w:r>
      <w:r>
        <w:rPr>
          <w:rFonts w:ascii="Times New Roman" w:hAnsi="Times New Roman" w:cs="Times New Roman"/>
        </w:rPr>
        <w:noBreakHyphen/>
        <w:t>glikoprotein (legfeljebb 250 µM) által közvetített transzportot a kezelés szempontjából releváns plazmakoncentrációban. Egy klinikai vizsgálatban a szitagliptin csekély mértékben befolyásolta a plazma digoxin koncentrációját, ami azt jelzi, hogy a szitagliptin a p</w:t>
      </w:r>
      <w:r>
        <w:rPr>
          <w:rFonts w:ascii="Times New Roman" w:hAnsi="Times New Roman" w:cs="Times New Roman"/>
        </w:rPr>
        <w:noBreakHyphen/>
        <w:t>glikoproteint enyhén gátolhatja.</w:t>
      </w:r>
    </w:p>
    <w:p w14:paraId="42546FBE" w14:textId="77777777" w:rsidR="00DD6391" w:rsidRDefault="00DD6391">
      <w:pPr>
        <w:spacing w:line="240" w:lineRule="auto"/>
        <w:ind w:right="-2"/>
        <w:rPr>
          <w:rFonts w:ascii="Times New Roman" w:hAnsi="Times New Roman" w:cs="Times New Roman"/>
          <w:u w:val="single"/>
        </w:rPr>
      </w:pPr>
    </w:p>
    <w:p w14:paraId="3C4FB5BF"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Különleges betegcsoportok</w:t>
      </w:r>
    </w:p>
    <w:p w14:paraId="58FC458A"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farmakokinetikája általában véve hasonló volt az egészséges alanyok és a 2</w:t>
      </w:r>
      <w:r>
        <w:rPr>
          <w:rFonts w:ascii="Times New Roman" w:hAnsi="Times New Roman" w:cs="Times New Roman"/>
        </w:rPr>
        <w:noBreakHyphen/>
        <w:t>es típusú diabetesben szenvedő betegek esetében.</w:t>
      </w:r>
    </w:p>
    <w:p w14:paraId="6104A136" w14:textId="77777777" w:rsidR="00DD6391" w:rsidRDefault="00DD6391">
      <w:pPr>
        <w:spacing w:line="240" w:lineRule="auto"/>
        <w:ind w:right="-2"/>
        <w:rPr>
          <w:rFonts w:ascii="Times New Roman" w:hAnsi="Times New Roman" w:cs="Times New Roman"/>
        </w:rPr>
      </w:pPr>
    </w:p>
    <w:p w14:paraId="09A98BE8" w14:textId="77777777" w:rsidR="00DD6391" w:rsidRDefault="00CF2099">
      <w:pPr>
        <w:spacing w:line="240" w:lineRule="auto"/>
        <w:rPr>
          <w:rFonts w:ascii="Times New Roman" w:hAnsi="Times New Roman" w:cs="Times New Roman"/>
          <w:i/>
        </w:rPr>
      </w:pPr>
      <w:r>
        <w:rPr>
          <w:rFonts w:ascii="Times New Roman" w:hAnsi="Times New Roman" w:cs="Times New Roman"/>
          <w:i/>
        </w:rPr>
        <w:t>Vesekárosodás</w:t>
      </w:r>
    </w:p>
    <w:p w14:paraId="4868FD5A" w14:textId="77777777" w:rsidR="00DD6391" w:rsidRDefault="00CF2099">
      <w:pPr>
        <w:spacing w:line="240" w:lineRule="auto"/>
        <w:ind w:right="-2"/>
        <w:rPr>
          <w:rFonts w:ascii="Times New Roman" w:hAnsi="Times New Roman" w:cs="Times New Roman"/>
        </w:rPr>
      </w:pPr>
      <w:r>
        <w:rPr>
          <w:rFonts w:ascii="Times New Roman" w:hAnsi="Times New Roman" w:cs="Times New Roman"/>
        </w:rPr>
        <w:t>Egy nyílt elrendezésű, egyszeri dózist alkalmazó vizsgálatot folytattak a csökkentett dózisú szitagliptin (50 mg) farmakokinetikájának értékelése céljából, különböző fokú krónikus vesekárosodásban szenvedő betegek és egészséges kontrollok összehasonlításával. A vizsgálatot enyhe, közepesen súlyos és súlyos vesekárosodásban, valamint végstádiumú vesebetegségben (ESRD) szenvedő, hemodialízisre szoruló betegek bevonásával végezték. Ezenkívül populációs farmakokinetikai elemzésekkel értékelték a vesekárosodás hatását a szitagliptin farmakokinetikájára 2</w:t>
      </w:r>
      <w:r>
        <w:rPr>
          <w:rFonts w:ascii="Times New Roman" w:hAnsi="Times New Roman" w:cs="Times New Roman"/>
        </w:rPr>
        <w:noBreakHyphen/>
        <w:t>es típusú diabetesben és enyhe, közepesen súlyos vagy súlyos vesekárosodásban (beleértve az ESRD</w:t>
      </w:r>
      <w:r>
        <w:rPr>
          <w:rFonts w:ascii="Times New Roman" w:hAnsi="Times New Roman" w:cs="Times New Roman"/>
        </w:rPr>
        <w:noBreakHyphen/>
        <w:t>t is) szenvedő betegeknél.</w:t>
      </w:r>
    </w:p>
    <w:p w14:paraId="7ECC36C4" w14:textId="77777777" w:rsidR="00DD6391" w:rsidRDefault="00DD6391">
      <w:pPr>
        <w:spacing w:line="240" w:lineRule="auto"/>
        <w:ind w:right="-2"/>
        <w:rPr>
          <w:rFonts w:ascii="Times New Roman" w:hAnsi="Times New Roman" w:cs="Times New Roman"/>
        </w:rPr>
      </w:pPr>
    </w:p>
    <w:p w14:paraId="7B5DEB92" w14:textId="77777777" w:rsidR="00DD6391" w:rsidRDefault="00CF2099">
      <w:pPr>
        <w:spacing w:line="240" w:lineRule="auto"/>
        <w:ind w:right="-2"/>
        <w:rPr>
          <w:rFonts w:ascii="Times New Roman" w:hAnsi="Times New Roman" w:cs="Times New Roman"/>
        </w:rPr>
      </w:pPr>
      <w:r>
        <w:rPr>
          <w:rFonts w:ascii="Times New Roman" w:hAnsi="Times New Roman" w:cs="Times New Roman"/>
        </w:rPr>
        <w:t>Az egészséges kontrollokhoz képest az enyhe vesekárosodásban (GFR ≥ 60 – &lt; 90 ml/perc) szenvedő betegeknél a szitagliptin plazma AUC-értéke hozzávetőleg 1,2</w:t>
      </w:r>
      <w:r>
        <w:rPr>
          <w:rFonts w:ascii="Times New Roman" w:hAnsi="Times New Roman" w:cs="Times New Roman"/>
        </w:rPr>
        <w:noBreakHyphen/>
        <w:t>szeresére, míg a közepes fokú vesekárosodásban (GFR ≥ 45 – &lt; 60 ml/perc) szenvedő betegeknél hozzávetőleg 1,6</w:t>
      </w:r>
      <w:r>
        <w:rPr>
          <w:rFonts w:ascii="Times New Roman" w:hAnsi="Times New Roman" w:cs="Times New Roman"/>
        </w:rPr>
        <w:noBreakHyphen/>
        <w:t>szeresére emelkedett. Mivel az ilyen mértékű emelkedés klinikailag nem jelentős, ezeknél a betegeknél nincs szükség a dózis módosítására.</w:t>
      </w:r>
    </w:p>
    <w:p w14:paraId="5D232F4E" w14:textId="77777777" w:rsidR="00DD6391" w:rsidRDefault="00DD6391">
      <w:pPr>
        <w:spacing w:line="240" w:lineRule="auto"/>
        <w:ind w:right="-2"/>
        <w:rPr>
          <w:rFonts w:ascii="Times New Roman" w:hAnsi="Times New Roman" w:cs="Times New Roman"/>
        </w:rPr>
      </w:pPr>
    </w:p>
    <w:p w14:paraId="29DAB980"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közepesen súlyos vesekárosodásban szenvedő betegeknél (GFR ≥ 30 – &lt; 45 ml/perc) a szitagliptin plazma AUC-értéke hozzávetőleg 2</w:t>
      </w:r>
      <w:r>
        <w:rPr>
          <w:rFonts w:ascii="Times New Roman" w:hAnsi="Times New Roman" w:cs="Times New Roman"/>
        </w:rPr>
        <w:noBreakHyphen/>
        <w:t>szeresére emelkedett, míg a súlyos vesekárosodásban szenvedő betegeknél (GFR &lt; 30 ml/perc), beleértve az ESRD</w:t>
      </w:r>
      <w:r>
        <w:rPr>
          <w:rFonts w:ascii="Times New Roman" w:hAnsi="Times New Roman" w:cs="Times New Roman"/>
        </w:rPr>
        <w:noBreakHyphen/>
        <w:t>ben szenvedő, hemodialízisre szoruló betegeket is, hozzávetőleg 4</w:t>
      </w:r>
      <w:r>
        <w:rPr>
          <w:rFonts w:ascii="Times New Roman" w:hAnsi="Times New Roman" w:cs="Times New Roman"/>
        </w:rPr>
        <w:noBreakHyphen/>
        <w:t>szeresére emelkedett. A szitagliptin közepes mértékben volt hemodialízis útján eltávolítható (13,5% egy 3</w:t>
      </w:r>
      <w:r>
        <w:rPr>
          <w:rFonts w:ascii="Times New Roman" w:hAnsi="Times New Roman" w:cs="Times New Roman"/>
        </w:rPr>
        <w:noBreakHyphen/>
        <w:t>4 órás, 4 órával a bevételt követően megkezdett hemodialízis-kezelés során). A normál vesefunkciójú betegeknél megfigyeltekhez hasonló szitagliptin-plazmakoncentrációk eléréséhez kisebb dózisok javasoltak GFR &lt; 45 ml/perc értékkel rendelkező betegeknél (lásd 4.2 pont).</w:t>
      </w:r>
    </w:p>
    <w:p w14:paraId="470B2822" w14:textId="77777777" w:rsidR="00DD6391" w:rsidRDefault="00DD6391">
      <w:pPr>
        <w:spacing w:line="240" w:lineRule="auto"/>
        <w:ind w:right="-2"/>
        <w:rPr>
          <w:rFonts w:ascii="Times New Roman" w:hAnsi="Times New Roman" w:cs="Times New Roman"/>
          <w:u w:val="single"/>
        </w:rPr>
      </w:pPr>
    </w:p>
    <w:p w14:paraId="120F88E1" w14:textId="77777777" w:rsidR="00DD6391" w:rsidRDefault="00CF2099">
      <w:pPr>
        <w:spacing w:line="240" w:lineRule="auto"/>
        <w:rPr>
          <w:rFonts w:ascii="Times New Roman" w:hAnsi="Times New Roman" w:cs="Times New Roman"/>
          <w:i/>
        </w:rPr>
      </w:pPr>
      <w:r>
        <w:rPr>
          <w:rFonts w:ascii="Times New Roman" w:hAnsi="Times New Roman" w:cs="Times New Roman"/>
          <w:i/>
        </w:rPr>
        <w:t>Májkárosodás</w:t>
      </w:r>
    </w:p>
    <w:p w14:paraId="7902E21F" w14:textId="77777777" w:rsidR="00DD6391" w:rsidRDefault="00CF2099">
      <w:pPr>
        <w:spacing w:line="240" w:lineRule="auto"/>
        <w:ind w:right="-2"/>
        <w:rPr>
          <w:rFonts w:ascii="Times New Roman" w:hAnsi="Times New Roman" w:cs="Times New Roman"/>
        </w:rPr>
      </w:pPr>
      <w:r>
        <w:rPr>
          <w:rFonts w:ascii="Times New Roman" w:hAnsi="Times New Roman" w:cs="Times New Roman"/>
        </w:rPr>
        <w:t>Az enyhe vagy közepesen súlyos májkárosodásban (Child–Pugh érték ≤ 9) szenvedő betegek esetében nincs szükség az szitagliptin dózismódosítására. Súlyos májkárosodásban (Child–Pugh érték &gt; 9) szenvedő betegeket illetően nem áll rendelkezésre klinikai tapasztalat. Mivel a szitagliptin elsősorban a vesén keresztül ürül ki, a súlyos májkárosodás várhatóan nem befolyásolja a szitagliptin farmakokinetikáját.</w:t>
      </w:r>
    </w:p>
    <w:p w14:paraId="7EA9BCEA" w14:textId="77777777" w:rsidR="00DD6391" w:rsidRDefault="00DD6391">
      <w:pPr>
        <w:spacing w:line="240" w:lineRule="auto"/>
        <w:ind w:right="-2"/>
        <w:rPr>
          <w:rFonts w:ascii="Times New Roman" w:hAnsi="Times New Roman" w:cs="Times New Roman"/>
          <w:u w:val="single"/>
        </w:rPr>
      </w:pPr>
    </w:p>
    <w:p w14:paraId="50C14E60" w14:textId="77777777" w:rsidR="00DD6391" w:rsidRDefault="00CF2099">
      <w:pPr>
        <w:spacing w:line="240" w:lineRule="auto"/>
        <w:rPr>
          <w:rFonts w:ascii="Times New Roman" w:hAnsi="Times New Roman" w:cs="Times New Roman"/>
          <w:i/>
        </w:rPr>
      </w:pPr>
      <w:r>
        <w:rPr>
          <w:rFonts w:ascii="Times New Roman" w:hAnsi="Times New Roman" w:cs="Times New Roman"/>
          <w:i/>
        </w:rPr>
        <w:t>Idősek</w:t>
      </w:r>
    </w:p>
    <w:p w14:paraId="22E88BF9" w14:textId="77777777" w:rsidR="00DD6391" w:rsidRDefault="00CF2099">
      <w:pPr>
        <w:spacing w:line="240" w:lineRule="auto"/>
        <w:ind w:right="-2"/>
        <w:rPr>
          <w:rFonts w:ascii="Times New Roman" w:hAnsi="Times New Roman" w:cs="Times New Roman"/>
        </w:rPr>
      </w:pPr>
      <w:r>
        <w:rPr>
          <w:rFonts w:ascii="Times New Roman" w:hAnsi="Times New Roman" w:cs="Times New Roman"/>
        </w:rPr>
        <w:t>Nincs szükség az életkor függvényében történő dózismódosításra. Az I. és II. fázisú adatokra támaszkodó populációs farmakokinetikai analízis alapján a szitagliptin farmakokinetikáját az életkor nem befolyásolta jelentős mértékben. A fiatalabb résztvevőkkel összehasonlítva az idős (65</w:t>
      </w:r>
      <w:r>
        <w:rPr>
          <w:rFonts w:ascii="Times New Roman" w:hAnsi="Times New Roman" w:cs="Times New Roman"/>
        </w:rPr>
        <w:noBreakHyphen/>
        <w:t>80 éves) résztvevők szitagliptin-plazmakoncentrációja hozzávetőleg 19%</w:t>
      </w:r>
      <w:r>
        <w:rPr>
          <w:rFonts w:ascii="Times New Roman" w:hAnsi="Times New Roman" w:cs="Times New Roman"/>
        </w:rPr>
        <w:noBreakHyphen/>
        <w:t>kal volt magasabb.</w:t>
      </w:r>
    </w:p>
    <w:p w14:paraId="4E4E93CB" w14:textId="77777777" w:rsidR="00DD6391" w:rsidRDefault="00DD6391">
      <w:pPr>
        <w:spacing w:line="240" w:lineRule="auto"/>
        <w:ind w:right="-2"/>
        <w:rPr>
          <w:rFonts w:ascii="Times New Roman" w:hAnsi="Times New Roman" w:cs="Times New Roman"/>
        </w:rPr>
      </w:pPr>
    </w:p>
    <w:p w14:paraId="37889F66" w14:textId="77777777" w:rsidR="00DD6391" w:rsidRDefault="00CF2099">
      <w:pPr>
        <w:spacing w:line="240" w:lineRule="auto"/>
        <w:rPr>
          <w:rFonts w:ascii="Times New Roman" w:hAnsi="Times New Roman" w:cs="Times New Roman"/>
          <w:i/>
        </w:rPr>
      </w:pPr>
      <w:r>
        <w:rPr>
          <w:rFonts w:ascii="Times New Roman" w:hAnsi="Times New Roman" w:cs="Times New Roman"/>
          <w:i/>
        </w:rPr>
        <w:t>Gyermekek és serdülők</w:t>
      </w:r>
    </w:p>
    <w:p w14:paraId="0F57DEEE" w14:textId="77777777" w:rsidR="00DD6391" w:rsidRDefault="00CF2099">
      <w:pPr>
        <w:spacing w:line="240" w:lineRule="auto"/>
        <w:ind w:right="-2"/>
        <w:rPr>
          <w:rFonts w:ascii="Times New Roman" w:hAnsi="Times New Roman" w:cs="Times New Roman"/>
        </w:rPr>
      </w:pPr>
      <w:r>
        <w:rPr>
          <w:rFonts w:ascii="Times New Roman" w:hAnsi="Times New Roman" w:cs="Times New Roman"/>
        </w:rPr>
        <w:t>A szitagliptin (50 mg, 100 mg vagy 200 mg egyszeri dózis) farmakokinetikáját 2</w:t>
      </w:r>
      <w:r>
        <w:rPr>
          <w:rFonts w:ascii="Times New Roman" w:hAnsi="Times New Roman" w:cs="Times New Roman"/>
        </w:rPr>
        <w:noBreakHyphen/>
        <w:t xml:space="preserve">es típusú diabetesben szenvedő </w:t>
      </w:r>
      <w:r>
        <w:rPr>
          <w:rFonts w:ascii="Times New Roman" w:eastAsia="SimSun" w:hAnsi="Times New Roman" w:cs="Times New Roman"/>
          <w:lang w:eastAsia="en-US"/>
        </w:rPr>
        <w:t>10 és 17 év közötti gyermekeknél és serdülőknél</w:t>
      </w:r>
      <w:r>
        <w:rPr>
          <w:rFonts w:ascii="Times New Roman" w:hAnsi="Times New Roman" w:cs="Times New Roman"/>
        </w:rPr>
        <w:t xml:space="preserve"> vizsgálták. E populációban a szitagliptin dózishoz igazított plazma AUC-értéke hozzávetőleg 18%</w:t>
      </w:r>
      <w:r>
        <w:rPr>
          <w:rFonts w:ascii="Times New Roman" w:hAnsi="Times New Roman" w:cs="Times New Roman"/>
        </w:rPr>
        <w:noBreakHyphen/>
        <w:t>kal alacsonyabb volt a 2</w:t>
      </w:r>
      <w:r>
        <w:rPr>
          <w:rFonts w:ascii="Times New Roman" w:hAnsi="Times New Roman" w:cs="Times New Roman"/>
        </w:rPr>
        <w:noBreakHyphen/>
        <w:t>es típusú diabeteses felnőtteknél alkalmazott 100 mg</w:t>
      </w:r>
      <w:r>
        <w:rPr>
          <w:rFonts w:ascii="Times New Roman" w:hAnsi="Times New Roman" w:cs="Times New Roman"/>
        </w:rPr>
        <w:noBreakHyphen/>
        <w:t>os dózis mellett megfigyelthez képest. Az 50 mg</w:t>
      </w:r>
      <w:r>
        <w:rPr>
          <w:rFonts w:ascii="Times New Roman" w:hAnsi="Times New Roman" w:cs="Times New Roman"/>
        </w:rPr>
        <w:noBreakHyphen/>
        <w:t>os és 100 mg</w:t>
      </w:r>
      <w:r>
        <w:rPr>
          <w:rFonts w:ascii="Times New Roman" w:hAnsi="Times New Roman" w:cs="Times New Roman"/>
        </w:rPr>
        <w:noBreakHyphen/>
        <w:t>os dózisok közötti egyenes PK/PD összefüggés alapján ez nem tekinthető klinikailag jelentős különbségnek a felnőtt betegekkel összehasonlítva. A szitagliptinnel 10 évesnél fiatalabb gyermekeknél nem végeztek vizsgálatokat.</w:t>
      </w:r>
    </w:p>
    <w:p w14:paraId="390FFFE4" w14:textId="77777777" w:rsidR="00DD6391" w:rsidRDefault="00DD6391">
      <w:pPr>
        <w:spacing w:line="240" w:lineRule="auto"/>
        <w:ind w:right="-2"/>
        <w:rPr>
          <w:rFonts w:ascii="Times New Roman" w:hAnsi="Times New Roman" w:cs="Times New Roman"/>
        </w:rPr>
      </w:pPr>
    </w:p>
    <w:p w14:paraId="35D8A6D8" w14:textId="77777777" w:rsidR="00DD6391" w:rsidRDefault="00CF2099">
      <w:pPr>
        <w:spacing w:line="240" w:lineRule="auto"/>
        <w:rPr>
          <w:rFonts w:ascii="Times New Roman" w:hAnsi="Times New Roman" w:cs="Times New Roman"/>
          <w:i/>
        </w:rPr>
      </w:pPr>
      <w:r>
        <w:rPr>
          <w:rFonts w:ascii="Times New Roman" w:hAnsi="Times New Roman" w:cs="Times New Roman"/>
          <w:i/>
        </w:rPr>
        <w:t>Egyéb betegcsoportok</w:t>
      </w:r>
    </w:p>
    <w:p w14:paraId="53857E37" w14:textId="77777777" w:rsidR="00DD6391" w:rsidRDefault="00CF2099">
      <w:pPr>
        <w:spacing w:line="240" w:lineRule="auto"/>
        <w:ind w:right="-2"/>
        <w:rPr>
          <w:rFonts w:ascii="Times New Roman" w:hAnsi="Times New Roman" w:cs="Times New Roman"/>
        </w:rPr>
      </w:pPr>
      <w:r>
        <w:rPr>
          <w:rFonts w:ascii="Times New Roman" w:hAnsi="Times New Roman" w:cs="Times New Roman"/>
        </w:rPr>
        <w:lastRenderedPageBreak/>
        <w:t>Nincs szükség a nem, rassz vagy testtömegindex (BMI) szerinti dózismódosításra. Az I. fázisú farmakokinetikai adatok összesített analízise, valamint az I. és II. fázisú adatok populációs farmakokinetikai analízise alapján a szitagliptin farmakokinetikájára ezen tényezők nem voltak klinikailag jelentős hatással.</w:t>
      </w:r>
    </w:p>
    <w:p w14:paraId="4347E457" w14:textId="77777777" w:rsidR="00DD6391" w:rsidRDefault="00DD6391">
      <w:pPr>
        <w:spacing w:line="240" w:lineRule="auto"/>
        <w:ind w:right="-2"/>
        <w:rPr>
          <w:rFonts w:ascii="Times New Roman" w:hAnsi="Times New Roman" w:cs="Times New Roman"/>
          <w:i/>
        </w:rPr>
      </w:pPr>
    </w:p>
    <w:p w14:paraId="380FA7B6"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5.3</w:t>
      </w:r>
      <w:r>
        <w:rPr>
          <w:rFonts w:ascii="Times New Roman" w:eastAsia="SimSun" w:hAnsi="Times New Roman" w:cs="Times New Roman"/>
          <w:b/>
          <w:bCs/>
          <w:lang w:eastAsia="en-US"/>
        </w:rPr>
        <w:tab/>
        <w:t>A preklinikai biztonságossági vizsgálatok eredményei</w:t>
      </w:r>
    </w:p>
    <w:p w14:paraId="4BA1BD3E" w14:textId="77777777" w:rsidR="00DD6391" w:rsidRDefault="00DD6391">
      <w:pPr>
        <w:tabs>
          <w:tab w:val="clear" w:pos="567"/>
        </w:tabs>
        <w:spacing w:line="240" w:lineRule="auto"/>
        <w:ind w:left="567" w:hanging="567"/>
        <w:outlineLvl w:val="0"/>
        <w:rPr>
          <w:rFonts w:ascii="Times New Roman" w:hAnsi="Times New Roman" w:cs="Times New Roman"/>
        </w:rPr>
      </w:pPr>
    </w:p>
    <w:p w14:paraId="16E5E258"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A rágcsálóknál a humán szisztémás expozíciós szint 58</w:t>
      </w:r>
      <w:r>
        <w:rPr>
          <w:rFonts w:ascii="Times New Roman" w:eastAsia="SimSun" w:hAnsi="Times New Roman" w:cs="Times New Roman"/>
          <w:lang w:eastAsia="en-US"/>
        </w:rPr>
        <w:noBreakHyphen/>
        <w:t>szorosánál vese- és májtoxicitást figyeltek meg, míg a hatással nem rendelkező dózisszint a humán expozíciós szint 19</w:t>
      </w:r>
      <w:r>
        <w:rPr>
          <w:rFonts w:ascii="Times New Roman" w:eastAsia="SimSun" w:hAnsi="Times New Roman" w:cs="Times New Roman"/>
          <w:lang w:eastAsia="en-US"/>
        </w:rPr>
        <w:noBreakHyphen/>
        <w:t>szerese volt. A patkányoknál a klinikai expozíciós szint 67</w:t>
      </w:r>
      <w:r>
        <w:rPr>
          <w:rFonts w:ascii="Times New Roman" w:eastAsia="SimSun" w:hAnsi="Times New Roman" w:cs="Times New Roman"/>
          <w:lang w:eastAsia="en-US"/>
        </w:rPr>
        <w:noBreakHyphen/>
        <w:t>szerese mellett metszőfog-rendellenességeket figyeltek meg. A patkányokkal végzett 14 hetes vizsgálat alapján e megfigyelés esetében a hatással nem rendelkező dózisszint 58</w:t>
      </w:r>
      <w:r>
        <w:rPr>
          <w:rFonts w:ascii="Times New Roman" w:eastAsia="SimSun" w:hAnsi="Times New Roman" w:cs="Times New Roman"/>
          <w:lang w:eastAsia="en-US"/>
        </w:rPr>
        <w:noBreakHyphen/>
        <w:t>szoros volt. Nem ismert, hogy e megfigyelések milyen mértékben vonatkoznak az emberre. A kutyáknál a klinikai expozíciós szint hozzávetőleg 23</w:t>
      </w:r>
      <w:r>
        <w:rPr>
          <w:rFonts w:ascii="Times New Roman" w:eastAsia="SimSun" w:hAnsi="Times New Roman" w:cs="Times New Roman"/>
          <w:lang w:eastAsia="en-US"/>
        </w:rPr>
        <w:noBreakHyphen/>
        <w:t>szorosánál a kezeléssel összefüggő, múló fizikai tüneteket figyeltek meg, amelyek közül néhány neurológiai toxicitásra utal, például: nyitott szájjal történő lélegzés, nyálzás, fehér habszerű hányás, ataxia, remegés, csökkent aktivitás és/vagy összegömbölyödött testtartás. Továbbá, olyan dózisok mellett, amelyek a humán expozíciós szint hozzávetőleg 23</w:t>
      </w:r>
      <w:r>
        <w:rPr>
          <w:rFonts w:ascii="Times New Roman" w:eastAsia="SimSun" w:hAnsi="Times New Roman" w:cs="Times New Roman"/>
          <w:lang w:eastAsia="en-US"/>
        </w:rPr>
        <w:noBreakHyphen/>
        <w:t>szorosának megfelelő szisztémás expozíciós szintet eredményeztek, szövettanilag minimális vagy enyhe mértékű vázizom-degenerációt észleltek. Az ilyen hatással már nem rendelkező dózisszint a klinikai expozíciós szint 6</w:t>
      </w:r>
      <w:r>
        <w:rPr>
          <w:rFonts w:ascii="Times New Roman" w:eastAsia="SimSun" w:hAnsi="Times New Roman" w:cs="Times New Roman"/>
          <w:lang w:eastAsia="en-US"/>
        </w:rPr>
        <w:noBreakHyphen/>
        <w:t>szorosa volt.</w:t>
      </w:r>
    </w:p>
    <w:p w14:paraId="0C291640" w14:textId="77777777" w:rsidR="00DD6391" w:rsidRDefault="00DD6391">
      <w:pPr>
        <w:spacing w:line="240" w:lineRule="auto"/>
        <w:rPr>
          <w:rFonts w:ascii="Times New Roman" w:eastAsia="SimSun" w:hAnsi="Times New Roman" w:cs="Times New Roman"/>
          <w:lang w:eastAsia="en-US"/>
        </w:rPr>
      </w:pPr>
    </w:p>
    <w:p w14:paraId="1F474548"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A szitagliptin a preklinikai vizsgálatok során nem bizonyult genotoxikusnak. A szitagliptin egereknél nem volt karcinogén. Patkányoknál a humán expozíciós szint 58</w:t>
      </w:r>
      <w:r>
        <w:rPr>
          <w:rFonts w:ascii="Times New Roman" w:eastAsia="SimSun" w:hAnsi="Times New Roman" w:cs="Times New Roman"/>
          <w:lang w:eastAsia="en-US"/>
        </w:rPr>
        <w:noBreakHyphen/>
        <w:t>szorosa mellett megnövekedett a májadenoma és -karcinoma előfordulási gyakorisága. Mivel kimutatták, hogy a hepatotoxicitás a patkányok esetében korrelációt mutat a hepatikus neopláziák kialakulásával, a májtumorok ezen megnövekedett előfordulási aránya nagy valószínűséggel az ilyen nagy dózisnál fellépő krónikus hepatotoxicitás következménye. A magas biztonságossági küszöb (ennek a hatással nem rendelkező dózisszintnek a 19</w:t>
      </w:r>
      <w:r>
        <w:rPr>
          <w:rFonts w:ascii="Times New Roman" w:eastAsia="SimSun" w:hAnsi="Times New Roman" w:cs="Times New Roman"/>
          <w:lang w:eastAsia="en-US"/>
        </w:rPr>
        <w:noBreakHyphen/>
        <w:t>szerese) miatt e neoplasztikus elváltozások emberek vonatkozásában nem tekintendőek relevánsnak.</w:t>
      </w:r>
    </w:p>
    <w:p w14:paraId="0C399F32" w14:textId="77777777" w:rsidR="00DD6391" w:rsidRDefault="00DD6391">
      <w:pPr>
        <w:spacing w:line="240" w:lineRule="auto"/>
        <w:rPr>
          <w:rFonts w:ascii="Times New Roman" w:eastAsia="SimSun" w:hAnsi="Times New Roman" w:cs="Times New Roman"/>
          <w:lang w:eastAsia="en-US"/>
        </w:rPr>
      </w:pPr>
    </w:p>
    <w:p w14:paraId="199CF1F2"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Nem figyeltek meg a termékenységre gyakorolt nemkívánatos hatást, ha a hím és nőstény patkányoknak a párzási időszak előtt és közben adtak szitagliptint.</w:t>
      </w:r>
    </w:p>
    <w:p w14:paraId="34FA8DE8" w14:textId="77777777" w:rsidR="00DD6391" w:rsidRDefault="00DD6391">
      <w:pPr>
        <w:spacing w:line="240" w:lineRule="auto"/>
        <w:rPr>
          <w:rFonts w:ascii="Times New Roman" w:eastAsia="SimSun" w:hAnsi="Times New Roman" w:cs="Times New Roman"/>
          <w:lang w:eastAsia="en-US"/>
        </w:rPr>
      </w:pPr>
    </w:p>
    <w:p w14:paraId="0B22D194"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Egy a patkányok pre- és posztnatális fejlődésére irányuló vizsgálatban a szitagliptin nem okozott nemkívánatos hatásokat.</w:t>
      </w:r>
    </w:p>
    <w:p w14:paraId="51CEDB81" w14:textId="77777777" w:rsidR="00DD6391" w:rsidRDefault="00DD6391">
      <w:pPr>
        <w:spacing w:line="240" w:lineRule="auto"/>
        <w:rPr>
          <w:rFonts w:ascii="Times New Roman" w:eastAsia="SimSun" w:hAnsi="Times New Roman" w:cs="Times New Roman"/>
          <w:lang w:eastAsia="en-US"/>
        </w:rPr>
      </w:pPr>
    </w:p>
    <w:p w14:paraId="07C7BB4F"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A reproduktív toxicitási vizsgálatok a kezeléssel összefüggő magzati borda-rendellenességek (hiányzó, hypoplasiás és lengőbordák) előfordulásának enyhe növekedését mutatták patkányok utódainál, a humán expozíciós szint 29</w:t>
      </w:r>
      <w:r>
        <w:rPr>
          <w:rFonts w:ascii="Times New Roman" w:eastAsia="SimSun" w:hAnsi="Times New Roman" w:cs="Times New Roman"/>
          <w:lang w:eastAsia="en-US"/>
        </w:rPr>
        <w:noBreakHyphen/>
        <w:t>szeresét meghaladó szisztémás expozíciós szintnél. Nyulaknál anyai toxicitást figyeltek meg a humán expozíciós szint több mint 29</w:t>
      </w:r>
      <w:r>
        <w:rPr>
          <w:rFonts w:ascii="Times New Roman" w:eastAsia="SimSun" w:hAnsi="Times New Roman" w:cs="Times New Roman"/>
          <w:lang w:eastAsia="en-US"/>
        </w:rPr>
        <w:noBreakHyphen/>
        <w:t>szeresénél. A magas biztonságossági határértékek miatt e megfigyelések nem utalnak hasonló kockázatra az emberi reprodukció terén. A szitagliptin a laktáló patkányok tejébe jelentős mértékben kiválasztódott (tej/plazma arány: 4:1).</w:t>
      </w:r>
    </w:p>
    <w:p w14:paraId="14697834" w14:textId="77777777" w:rsidR="00DD6391" w:rsidRDefault="00DD6391">
      <w:pPr>
        <w:spacing w:line="240" w:lineRule="auto"/>
        <w:rPr>
          <w:rFonts w:ascii="Times New Roman" w:eastAsia="SimSun" w:hAnsi="Times New Roman" w:cs="Times New Roman"/>
          <w:lang w:eastAsia="en-US"/>
        </w:rPr>
      </w:pPr>
    </w:p>
    <w:p w14:paraId="2D3526B4" w14:textId="77777777" w:rsidR="00DD6391" w:rsidRDefault="00DD6391">
      <w:pPr>
        <w:spacing w:line="240" w:lineRule="auto"/>
        <w:ind w:left="567" w:hanging="567"/>
        <w:outlineLvl w:val="0"/>
        <w:rPr>
          <w:rFonts w:ascii="Times New Roman" w:eastAsia="SimSun" w:hAnsi="Times New Roman" w:cs="Times New Roman"/>
          <w:lang w:eastAsia="en-US"/>
        </w:rPr>
      </w:pPr>
    </w:p>
    <w:p w14:paraId="6B1A89A0"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w:t>
      </w:r>
      <w:r>
        <w:rPr>
          <w:rFonts w:ascii="Times New Roman" w:eastAsia="SimSun" w:hAnsi="Times New Roman" w:cs="Times New Roman"/>
          <w:b/>
          <w:bCs/>
          <w:lang w:eastAsia="en-US"/>
        </w:rPr>
        <w:tab/>
        <w:t>GYÓGYSZERÉSZETI JELLEMZŐK</w:t>
      </w:r>
    </w:p>
    <w:p w14:paraId="741EAED7" w14:textId="77777777" w:rsidR="00DD6391" w:rsidRDefault="00DD6391">
      <w:pPr>
        <w:tabs>
          <w:tab w:val="clear" w:pos="567"/>
        </w:tabs>
        <w:spacing w:line="240" w:lineRule="auto"/>
        <w:ind w:left="567" w:hanging="567"/>
        <w:outlineLvl w:val="0"/>
        <w:rPr>
          <w:rFonts w:ascii="Times New Roman" w:hAnsi="Times New Roman" w:cs="Times New Roman"/>
        </w:rPr>
      </w:pPr>
    </w:p>
    <w:p w14:paraId="582667B7"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6.1</w:t>
      </w:r>
      <w:r>
        <w:rPr>
          <w:rFonts w:ascii="Times New Roman" w:eastAsia="SimSun" w:hAnsi="Times New Roman" w:cs="Times New Roman"/>
          <w:b/>
          <w:bCs/>
          <w:lang w:eastAsia="en-US"/>
        </w:rPr>
        <w:tab/>
        <w:t>Segédanyagok felsorolása</w:t>
      </w:r>
    </w:p>
    <w:p w14:paraId="5465A9D3" w14:textId="77777777" w:rsidR="00DD6391" w:rsidRDefault="00DD6391">
      <w:pPr>
        <w:tabs>
          <w:tab w:val="clear" w:pos="567"/>
        </w:tabs>
        <w:spacing w:line="240" w:lineRule="auto"/>
        <w:ind w:left="567" w:hanging="567"/>
        <w:rPr>
          <w:rFonts w:ascii="Times New Roman" w:eastAsia="SimSun" w:hAnsi="Times New Roman" w:cs="Times New Roman"/>
          <w:lang w:eastAsia="en-US"/>
        </w:rPr>
      </w:pPr>
    </w:p>
    <w:p w14:paraId="5B30F564"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Tablettamag:</w:t>
      </w:r>
    </w:p>
    <w:p w14:paraId="0042F332" w14:textId="77777777" w:rsidR="00DD6391" w:rsidRDefault="00CF2099">
      <w:pPr>
        <w:spacing w:line="240" w:lineRule="auto"/>
        <w:rPr>
          <w:rFonts w:ascii="Times New Roman" w:hAnsi="Times New Roman" w:cs="Times New Roman"/>
        </w:rPr>
      </w:pPr>
      <w:r>
        <w:rPr>
          <w:rFonts w:ascii="Times New Roman" w:hAnsi="Times New Roman" w:cs="Times New Roman"/>
        </w:rPr>
        <w:t>mikrokristályos cellulóz (102</w:t>
      </w:r>
      <w:r>
        <w:rPr>
          <w:rFonts w:ascii="Times New Roman" w:hAnsi="Times New Roman" w:cs="Times New Roman"/>
        </w:rPr>
        <w:noBreakHyphen/>
        <w:t>es típus)</w:t>
      </w:r>
    </w:p>
    <w:p w14:paraId="23786DED" w14:textId="77777777" w:rsidR="00DD6391" w:rsidRDefault="00CF2099">
      <w:pPr>
        <w:spacing w:line="240" w:lineRule="auto"/>
        <w:rPr>
          <w:rFonts w:ascii="Times New Roman" w:hAnsi="Times New Roman" w:cs="Times New Roman"/>
        </w:rPr>
      </w:pPr>
      <w:r>
        <w:rPr>
          <w:rFonts w:ascii="Times New Roman" w:hAnsi="Times New Roman" w:cs="Times New Roman"/>
        </w:rPr>
        <w:t>kalcium-hidrogén-foszfát</w:t>
      </w:r>
    </w:p>
    <w:p w14:paraId="5E1DEFBE" w14:textId="77777777" w:rsidR="00DD6391" w:rsidRDefault="00CF2099">
      <w:pPr>
        <w:spacing w:line="240" w:lineRule="auto"/>
        <w:rPr>
          <w:rFonts w:ascii="Times New Roman" w:hAnsi="Times New Roman" w:cs="Times New Roman"/>
        </w:rPr>
      </w:pPr>
      <w:r>
        <w:rPr>
          <w:rFonts w:ascii="Times New Roman" w:hAnsi="Times New Roman" w:cs="Times New Roman"/>
        </w:rPr>
        <w:t>kroszkarmellóz-nátrium</w:t>
      </w:r>
    </w:p>
    <w:p w14:paraId="3D8341A9" w14:textId="77777777" w:rsidR="00DD6391" w:rsidRDefault="00CF2099">
      <w:pPr>
        <w:spacing w:line="240" w:lineRule="auto"/>
        <w:rPr>
          <w:rFonts w:ascii="Times New Roman" w:hAnsi="Times New Roman" w:cs="Times New Roman"/>
        </w:rPr>
      </w:pPr>
      <w:r>
        <w:rPr>
          <w:rFonts w:ascii="Times New Roman" w:hAnsi="Times New Roman" w:cs="Times New Roman"/>
        </w:rPr>
        <w:t>magnézium-sztearát</w:t>
      </w:r>
    </w:p>
    <w:p w14:paraId="6F7AD0F9" w14:textId="77777777" w:rsidR="00DD6391" w:rsidRDefault="00DD6391">
      <w:pPr>
        <w:spacing w:line="240" w:lineRule="auto"/>
        <w:rPr>
          <w:rFonts w:ascii="Times New Roman" w:hAnsi="Times New Roman" w:cs="Times New Roman"/>
        </w:rPr>
      </w:pPr>
    </w:p>
    <w:p w14:paraId="55AFE5D4" w14:textId="77777777" w:rsidR="00DD6391" w:rsidRDefault="00CF2099">
      <w:pPr>
        <w:spacing w:line="240" w:lineRule="auto"/>
        <w:rPr>
          <w:rFonts w:ascii="Times New Roman" w:hAnsi="Times New Roman" w:cs="Times New Roman"/>
          <w:u w:val="single"/>
        </w:rPr>
      </w:pPr>
      <w:r>
        <w:rPr>
          <w:rFonts w:ascii="Times New Roman" w:hAnsi="Times New Roman" w:cs="Times New Roman"/>
          <w:u w:val="single"/>
        </w:rPr>
        <w:t>Filmbevonat:</w:t>
      </w:r>
    </w:p>
    <w:p w14:paraId="5810DC24" w14:textId="77777777" w:rsidR="00DD6391" w:rsidRDefault="00CF2099">
      <w:pPr>
        <w:spacing w:line="240" w:lineRule="auto"/>
        <w:rPr>
          <w:rFonts w:ascii="Times New Roman" w:hAnsi="Times New Roman" w:cs="Times New Roman"/>
        </w:rPr>
      </w:pPr>
      <w:r>
        <w:rPr>
          <w:rFonts w:ascii="Times New Roman" w:hAnsi="Times New Roman" w:cs="Times New Roman"/>
        </w:rPr>
        <w:t>poli(vinil-alkohol)</w:t>
      </w:r>
    </w:p>
    <w:p w14:paraId="19DA4106" w14:textId="77777777" w:rsidR="00DD6391" w:rsidRDefault="00CF2099">
      <w:pPr>
        <w:spacing w:line="240" w:lineRule="auto"/>
        <w:rPr>
          <w:rFonts w:ascii="Times New Roman" w:hAnsi="Times New Roman" w:cs="Times New Roman"/>
        </w:rPr>
      </w:pPr>
      <w:r>
        <w:rPr>
          <w:rFonts w:ascii="Times New Roman" w:hAnsi="Times New Roman" w:cs="Times New Roman"/>
        </w:rPr>
        <w:t>makrogol 4000</w:t>
      </w:r>
    </w:p>
    <w:p w14:paraId="64FD44E4" w14:textId="77777777" w:rsidR="00DD6391" w:rsidRDefault="00CF2099">
      <w:pPr>
        <w:spacing w:line="240" w:lineRule="auto"/>
        <w:rPr>
          <w:rFonts w:ascii="Times New Roman" w:hAnsi="Times New Roman" w:cs="Times New Roman"/>
        </w:rPr>
      </w:pPr>
      <w:r>
        <w:rPr>
          <w:rFonts w:ascii="Times New Roman" w:hAnsi="Times New Roman" w:cs="Times New Roman"/>
        </w:rPr>
        <w:t>talkum</w:t>
      </w:r>
    </w:p>
    <w:p w14:paraId="6348C421" w14:textId="77777777" w:rsidR="00DD6391" w:rsidRDefault="00CF2099">
      <w:pPr>
        <w:spacing w:line="240" w:lineRule="auto"/>
        <w:rPr>
          <w:rFonts w:ascii="Times New Roman" w:hAnsi="Times New Roman" w:cs="Times New Roman"/>
        </w:rPr>
      </w:pPr>
      <w:r>
        <w:rPr>
          <w:rFonts w:ascii="Times New Roman" w:hAnsi="Times New Roman" w:cs="Times New Roman"/>
        </w:rPr>
        <w:lastRenderedPageBreak/>
        <w:t>titán-dioxid (E 171)</w:t>
      </w:r>
    </w:p>
    <w:p w14:paraId="79991601" w14:textId="77777777" w:rsidR="00DD6391" w:rsidRDefault="00CF2099">
      <w:pPr>
        <w:spacing w:line="240" w:lineRule="auto"/>
        <w:rPr>
          <w:rFonts w:ascii="Times New Roman" w:hAnsi="Times New Roman" w:cs="Times New Roman"/>
        </w:rPr>
      </w:pPr>
      <w:r>
        <w:rPr>
          <w:rFonts w:ascii="Times New Roman" w:hAnsi="Times New Roman" w:cs="Times New Roman"/>
        </w:rPr>
        <w:t>vörös vas-oxid (E 172)</w:t>
      </w:r>
    </w:p>
    <w:p w14:paraId="00EE1369" w14:textId="77777777" w:rsidR="00DD6391" w:rsidRDefault="00CF2099">
      <w:pPr>
        <w:spacing w:line="240" w:lineRule="auto"/>
        <w:rPr>
          <w:rFonts w:ascii="Times New Roman" w:hAnsi="Times New Roman" w:cs="Times New Roman"/>
        </w:rPr>
      </w:pPr>
      <w:r>
        <w:rPr>
          <w:rFonts w:ascii="Times New Roman" w:hAnsi="Times New Roman" w:cs="Times New Roman"/>
        </w:rPr>
        <w:t>sárga vas-oxid (E 172)</w:t>
      </w:r>
    </w:p>
    <w:p w14:paraId="486B5E1D" w14:textId="77777777" w:rsidR="00DD6391" w:rsidRDefault="00DD6391">
      <w:pPr>
        <w:spacing w:line="240" w:lineRule="auto"/>
        <w:rPr>
          <w:rFonts w:ascii="Times New Roman" w:hAnsi="Times New Roman" w:cs="Times New Roman"/>
        </w:rPr>
      </w:pPr>
    </w:p>
    <w:p w14:paraId="5A065680"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6.2</w:t>
      </w:r>
      <w:r>
        <w:rPr>
          <w:rFonts w:ascii="Times New Roman" w:eastAsia="SimSun" w:hAnsi="Times New Roman" w:cs="Times New Roman"/>
          <w:b/>
          <w:bCs/>
          <w:lang w:eastAsia="en-US"/>
        </w:rPr>
        <w:tab/>
        <w:t>Inkompatibilitások</w:t>
      </w:r>
    </w:p>
    <w:p w14:paraId="40315B3F" w14:textId="77777777" w:rsidR="00DD6391" w:rsidRDefault="00DD6391">
      <w:pPr>
        <w:tabs>
          <w:tab w:val="clear" w:pos="567"/>
        </w:tabs>
        <w:spacing w:line="240" w:lineRule="auto"/>
        <w:ind w:left="567" w:hanging="567"/>
        <w:rPr>
          <w:rFonts w:ascii="Times New Roman" w:eastAsia="SimSun" w:hAnsi="Times New Roman" w:cs="Times New Roman"/>
          <w:lang w:eastAsia="en-US"/>
        </w:rPr>
      </w:pPr>
    </w:p>
    <w:p w14:paraId="40864532"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Nem értelmezhető.</w:t>
      </w:r>
    </w:p>
    <w:p w14:paraId="7A1969AD" w14:textId="77777777" w:rsidR="00DD6391" w:rsidRDefault="00DD6391">
      <w:pPr>
        <w:tabs>
          <w:tab w:val="clear" w:pos="567"/>
          <w:tab w:val="left" w:pos="2280"/>
        </w:tabs>
        <w:spacing w:line="240" w:lineRule="auto"/>
        <w:rPr>
          <w:rFonts w:ascii="Times New Roman" w:hAnsi="Times New Roman" w:cs="Times New Roman"/>
        </w:rPr>
      </w:pPr>
    </w:p>
    <w:p w14:paraId="3BF7FBDF"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6.3</w:t>
      </w:r>
      <w:r>
        <w:rPr>
          <w:rFonts w:ascii="Times New Roman" w:eastAsia="SimSun" w:hAnsi="Times New Roman" w:cs="Times New Roman"/>
          <w:b/>
          <w:bCs/>
          <w:lang w:eastAsia="en-US"/>
        </w:rPr>
        <w:tab/>
        <w:t>Felhasználhatósági időtartam</w:t>
      </w:r>
    </w:p>
    <w:p w14:paraId="338674C0" w14:textId="77777777" w:rsidR="00DD6391" w:rsidRDefault="00DD6391">
      <w:pPr>
        <w:tabs>
          <w:tab w:val="clear" w:pos="567"/>
        </w:tabs>
        <w:spacing w:line="240" w:lineRule="auto"/>
        <w:ind w:left="567" w:hanging="567"/>
        <w:rPr>
          <w:rFonts w:ascii="Times New Roman" w:eastAsia="SimSun" w:hAnsi="Times New Roman" w:cs="Times New Roman"/>
          <w:lang w:eastAsia="en-US"/>
        </w:rPr>
      </w:pPr>
    </w:p>
    <w:p w14:paraId="4839C251"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3 év.</w:t>
      </w:r>
    </w:p>
    <w:p w14:paraId="6AE06BB9" w14:textId="77777777" w:rsidR="00DD6391" w:rsidRDefault="00DD6391">
      <w:pPr>
        <w:spacing w:line="240" w:lineRule="auto"/>
        <w:rPr>
          <w:rFonts w:ascii="Times New Roman" w:eastAsia="SimSun" w:hAnsi="Times New Roman" w:cs="Times New Roman"/>
          <w:lang w:eastAsia="en-US"/>
        </w:rPr>
      </w:pPr>
    </w:p>
    <w:p w14:paraId="3E91914B"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6.4</w:t>
      </w:r>
      <w:r>
        <w:rPr>
          <w:rFonts w:ascii="Times New Roman" w:eastAsia="SimSun" w:hAnsi="Times New Roman" w:cs="Times New Roman"/>
          <w:b/>
          <w:bCs/>
          <w:lang w:eastAsia="en-US"/>
        </w:rPr>
        <w:tab/>
        <w:t>Különleges tárolási előírások</w:t>
      </w:r>
    </w:p>
    <w:p w14:paraId="717FB21A" w14:textId="77777777" w:rsidR="00DD6391" w:rsidRDefault="00DD6391">
      <w:pPr>
        <w:tabs>
          <w:tab w:val="clear" w:pos="567"/>
        </w:tabs>
        <w:spacing w:line="240" w:lineRule="auto"/>
        <w:ind w:left="567" w:hanging="567"/>
        <w:outlineLvl w:val="0"/>
        <w:rPr>
          <w:rFonts w:ascii="Times New Roman" w:hAnsi="Times New Roman" w:cs="Times New Roman"/>
        </w:rPr>
      </w:pPr>
    </w:p>
    <w:p w14:paraId="4AE070B4" w14:textId="77777777" w:rsidR="00DD6391" w:rsidRDefault="00CF2099">
      <w:pPr>
        <w:spacing w:line="240" w:lineRule="auto"/>
        <w:rPr>
          <w:rFonts w:ascii="Times New Roman" w:eastAsia="SimSun" w:hAnsi="Times New Roman" w:cs="Times New Roman"/>
          <w:lang w:eastAsia="en-US"/>
        </w:rPr>
      </w:pPr>
      <w:r>
        <w:rPr>
          <w:rFonts w:ascii="Times New Roman" w:eastAsia="SimSun" w:hAnsi="Times New Roman" w:cs="Times New Roman"/>
          <w:lang w:eastAsia="en-US"/>
        </w:rPr>
        <w:t>Legfeljebb 25 °C-on tárolandó.</w:t>
      </w:r>
    </w:p>
    <w:p w14:paraId="1F507A8A" w14:textId="77777777" w:rsidR="00DD6391" w:rsidRDefault="00DD6391">
      <w:pPr>
        <w:spacing w:line="240" w:lineRule="auto"/>
        <w:rPr>
          <w:rFonts w:ascii="Times New Roman" w:eastAsia="SimSun" w:hAnsi="Times New Roman" w:cs="Times New Roman"/>
          <w:lang w:eastAsia="en-US"/>
        </w:rPr>
      </w:pPr>
    </w:p>
    <w:p w14:paraId="6D79CF1B" w14:textId="77777777" w:rsidR="00DD6391" w:rsidRDefault="00CF2099">
      <w:pPr>
        <w:tabs>
          <w:tab w:val="clear" w:pos="567"/>
        </w:tabs>
        <w:spacing w:line="240" w:lineRule="auto"/>
        <w:ind w:left="567" w:hanging="567"/>
        <w:outlineLvl w:val="0"/>
        <w:rPr>
          <w:rFonts w:ascii="Times New Roman" w:eastAsia="SimSun" w:hAnsi="Times New Roman" w:cs="Times New Roman"/>
          <w:b/>
          <w:bCs/>
          <w:lang w:eastAsia="en-US"/>
        </w:rPr>
      </w:pPr>
      <w:r>
        <w:rPr>
          <w:rFonts w:ascii="Times New Roman" w:eastAsia="SimSun" w:hAnsi="Times New Roman" w:cs="Times New Roman"/>
          <w:b/>
          <w:bCs/>
          <w:lang w:eastAsia="en-US"/>
        </w:rPr>
        <w:t>6.5</w:t>
      </w:r>
      <w:r>
        <w:rPr>
          <w:rFonts w:ascii="Times New Roman" w:eastAsia="SimSun" w:hAnsi="Times New Roman" w:cs="Times New Roman"/>
          <w:b/>
          <w:bCs/>
          <w:lang w:eastAsia="en-US"/>
        </w:rPr>
        <w:tab/>
        <w:t xml:space="preserve">Csomagolás típusa és kiszerelése </w:t>
      </w:r>
    </w:p>
    <w:p w14:paraId="750B29E1" w14:textId="77777777" w:rsidR="00DD6391" w:rsidRDefault="00DD6391">
      <w:pPr>
        <w:tabs>
          <w:tab w:val="clear" w:pos="567"/>
        </w:tabs>
        <w:spacing w:line="240" w:lineRule="auto"/>
        <w:ind w:left="567" w:hanging="567"/>
        <w:rPr>
          <w:rFonts w:ascii="Times New Roman" w:eastAsia="SimSun" w:hAnsi="Times New Roman" w:cs="Times New Roman"/>
          <w:lang w:eastAsia="en-US"/>
        </w:rPr>
      </w:pPr>
    </w:p>
    <w:p w14:paraId="48528C4E" w14:textId="77777777" w:rsidR="00DD6391" w:rsidRDefault="00CF2099">
      <w:pPr>
        <w:tabs>
          <w:tab w:val="left" w:pos="720"/>
        </w:tabs>
        <w:rPr>
          <w:rFonts w:ascii="Times New Roman" w:hAnsi="Times New Roman" w:cs="Times New Roman"/>
        </w:rPr>
      </w:pPr>
      <w:bookmarkStart w:id="1" w:name="_Hlk79404789"/>
      <w:r>
        <w:rPr>
          <w:rFonts w:ascii="Times New Roman" w:hAnsi="Times New Roman" w:cs="Times New Roman"/>
        </w:rPr>
        <w:t>14, 28, 30, 56, 84, 90 vagy 98 </w:t>
      </w:r>
      <w:r>
        <w:rPr>
          <w:rFonts w:ascii="Times New Roman" w:hAnsi="Times New Roman" w:cs="Times New Roman"/>
          <w:color w:val="000000"/>
        </w:rPr>
        <w:t>darab filmtabletta átlátszatlan (PVC/PE/PVDC és alumínium) buborékcsomagolásban.</w:t>
      </w:r>
      <w:bookmarkEnd w:id="1"/>
    </w:p>
    <w:p w14:paraId="21DD7803" w14:textId="77777777" w:rsidR="00DD6391" w:rsidRDefault="00CF2099">
      <w:pPr>
        <w:tabs>
          <w:tab w:val="left" w:pos="720"/>
        </w:tabs>
        <w:rPr>
          <w:rFonts w:ascii="Times New Roman" w:hAnsi="Times New Roman" w:cs="Times New Roman"/>
        </w:rPr>
      </w:pPr>
      <w:r>
        <w:rPr>
          <w:rFonts w:ascii="Times New Roman" w:hAnsi="Times New Roman" w:cs="Times New Roman"/>
        </w:rPr>
        <w:t>14, 28, 30, 56, 84, 90 vagy 98 </w:t>
      </w:r>
      <w:r>
        <w:rPr>
          <w:rFonts w:ascii="Times New Roman" w:hAnsi="Times New Roman" w:cs="Times New Roman"/>
          <w:color w:val="000000"/>
        </w:rPr>
        <w:t>darab filmtabletta alumínium (OPA/Al/PVC és alumínium) buborékcsomagolásban.</w:t>
      </w:r>
    </w:p>
    <w:p w14:paraId="4851BF3D" w14:textId="77777777" w:rsidR="00DD6391" w:rsidRDefault="00CF2099">
      <w:pPr>
        <w:spacing w:line="240" w:lineRule="auto"/>
        <w:rPr>
          <w:rFonts w:ascii="Times New Roman" w:eastAsia="Arial" w:hAnsi="Times New Roman" w:cs="Times New Roman"/>
          <w:lang w:eastAsia="en-US"/>
        </w:rPr>
      </w:pPr>
      <w:r>
        <w:rPr>
          <w:rFonts w:ascii="Times New Roman" w:eastAsia="Arial" w:hAnsi="Times New Roman" w:cs="Times New Roman"/>
          <w:lang w:eastAsia="en-US"/>
        </w:rPr>
        <w:t>Nem feltétlenül mindegyik kiszerelés kerül kereskedelmi forgalomba.</w:t>
      </w:r>
    </w:p>
    <w:p w14:paraId="03227130" w14:textId="77777777" w:rsidR="00DD6391" w:rsidRDefault="00DD6391">
      <w:pPr>
        <w:spacing w:line="240" w:lineRule="auto"/>
        <w:rPr>
          <w:rFonts w:ascii="Times New Roman" w:eastAsia="Arial" w:hAnsi="Times New Roman" w:cs="Times New Roman"/>
          <w:lang w:eastAsia="en-US"/>
        </w:rPr>
      </w:pPr>
    </w:p>
    <w:p w14:paraId="5B5CF2BC" w14:textId="77777777" w:rsidR="00DD6391" w:rsidRDefault="00CF2099">
      <w:pPr>
        <w:spacing w:line="240" w:lineRule="auto"/>
        <w:ind w:left="567" w:hanging="567"/>
        <w:outlineLvl w:val="0"/>
        <w:rPr>
          <w:rFonts w:ascii="Times New Roman" w:eastAsia="Arial" w:hAnsi="Times New Roman" w:cs="Times New Roman"/>
          <w:b/>
          <w:bCs/>
          <w:lang w:eastAsia="en-US"/>
        </w:rPr>
      </w:pPr>
      <w:r>
        <w:rPr>
          <w:rFonts w:ascii="Times New Roman" w:eastAsia="Arial" w:hAnsi="Times New Roman" w:cs="Times New Roman"/>
          <w:b/>
          <w:bCs/>
          <w:lang w:eastAsia="en-US"/>
        </w:rPr>
        <w:t>6.6</w:t>
      </w:r>
      <w:r>
        <w:rPr>
          <w:rFonts w:ascii="Times New Roman" w:eastAsia="Arial" w:hAnsi="Times New Roman" w:cs="Times New Roman"/>
          <w:b/>
          <w:bCs/>
          <w:lang w:eastAsia="en-US"/>
        </w:rPr>
        <w:tab/>
        <w:t>A megsemmisítésre vonatkozó különleges óvintézkedések és egyéb, a készítmény kezelésével kapcsolatos információk</w:t>
      </w:r>
    </w:p>
    <w:p w14:paraId="17D90E43" w14:textId="77777777" w:rsidR="00DD6391" w:rsidRDefault="00DD6391">
      <w:pPr>
        <w:spacing w:line="240" w:lineRule="auto"/>
        <w:ind w:left="567" w:hanging="567"/>
        <w:outlineLvl w:val="0"/>
        <w:rPr>
          <w:rFonts w:ascii="Times New Roman" w:eastAsia="Arial" w:hAnsi="Times New Roman" w:cs="Times New Roman"/>
          <w:lang w:eastAsia="en-US"/>
        </w:rPr>
      </w:pPr>
    </w:p>
    <w:p w14:paraId="7D04E366" w14:textId="77777777" w:rsidR="00DD6391" w:rsidRDefault="00CF2099">
      <w:pPr>
        <w:spacing w:line="240" w:lineRule="auto"/>
        <w:outlineLvl w:val="0"/>
        <w:rPr>
          <w:rFonts w:ascii="Times New Roman" w:eastAsia="Arial" w:hAnsi="Times New Roman" w:cs="Times New Roman"/>
          <w:lang w:eastAsia="en-US"/>
        </w:rPr>
      </w:pPr>
      <w:r>
        <w:rPr>
          <w:rFonts w:ascii="Times New Roman" w:eastAsia="Arial" w:hAnsi="Times New Roman" w:cs="Times New Roman"/>
          <w:lang w:eastAsia="en-US"/>
        </w:rPr>
        <w:t>Bármilyen fel nem használt gyógyszer, illetve hulladékanyag megsemmisítését a gyógyszerekre vonatkozó előírások szerint kell végrehajtani.</w:t>
      </w:r>
    </w:p>
    <w:p w14:paraId="3F94AFB3" w14:textId="77777777" w:rsidR="00DD6391" w:rsidRDefault="00DD6391">
      <w:pPr>
        <w:spacing w:line="240" w:lineRule="auto"/>
        <w:ind w:left="567" w:hanging="567"/>
        <w:outlineLvl w:val="0"/>
        <w:rPr>
          <w:rFonts w:ascii="Times New Roman" w:hAnsi="Times New Roman" w:cs="Times New Roman"/>
        </w:rPr>
      </w:pPr>
    </w:p>
    <w:p w14:paraId="46253261" w14:textId="4593FD01" w:rsidR="00DD6391" w:rsidRDefault="00CF2099">
      <w:pPr>
        <w:suppressAutoHyphens/>
        <w:ind w:left="1"/>
        <w:rPr>
          <w:rFonts w:ascii="Times New Roman" w:hAnsi="Times New Roman" w:cs="Times New Roman"/>
          <w:lang w:eastAsia="ar-SA"/>
        </w:rPr>
      </w:pPr>
      <w:r>
        <w:rPr>
          <w:rFonts w:ascii="Times New Roman" w:hAnsi="Times New Roman" w:cs="Times New Roman"/>
          <w:b/>
          <w:bCs/>
          <w:lang w:eastAsia="ar-SA"/>
        </w:rPr>
        <w:t>Megjegyzés:</w:t>
      </w:r>
      <w:r>
        <w:rPr>
          <w:rFonts w:ascii="Times New Roman" w:hAnsi="Times New Roman" w:cs="Times New Roman"/>
          <w:lang w:eastAsia="ar-SA"/>
        </w:rPr>
        <w:t xml:space="preserve"> </w:t>
      </w:r>
      <w:r w:rsidR="00CF1B84" w:rsidRPr="00920DB8">
        <w:rPr>
          <w:rFonts w:ascii="Times New Roman" w:eastAsia="Times New Roman" w:hAnsi="Times New Roman"/>
          <w:lang w:val="en-GB" w:eastAsia="hu-HU"/>
        </w:rPr>
        <w:sym w:font="Wingdings" w:char="F058"/>
      </w:r>
      <w:r>
        <w:rPr>
          <w:rFonts w:ascii="Times New Roman" w:hAnsi="Times New Roman" w:cs="Times New Roman"/>
          <w:lang w:eastAsia="ar-SA"/>
        </w:rPr>
        <w:t xml:space="preserve"> (egy keresztes)</w:t>
      </w:r>
    </w:p>
    <w:p w14:paraId="1C0A909A" w14:textId="595DE1BF" w:rsidR="00DD6391" w:rsidRDefault="00CF2099">
      <w:pPr>
        <w:suppressAutoHyphens/>
        <w:ind w:left="1"/>
        <w:rPr>
          <w:rFonts w:ascii="Times New Roman" w:hAnsi="Times New Roman" w:cs="Times New Roman"/>
          <w:b/>
          <w:bCs/>
          <w:lang w:eastAsia="ar-SA"/>
        </w:rPr>
      </w:pPr>
      <w:r>
        <w:rPr>
          <w:rFonts w:ascii="Times New Roman" w:hAnsi="Times New Roman" w:cs="Times New Roman"/>
          <w:b/>
          <w:bCs/>
          <w:lang w:eastAsia="ar-SA"/>
        </w:rPr>
        <w:t>Osztályozás: II. csoport</w:t>
      </w:r>
    </w:p>
    <w:p w14:paraId="091E8671" w14:textId="2A29CC60" w:rsidR="00DD6391" w:rsidRDefault="00CF1B84">
      <w:pPr>
        <w:spacing w:line="240" w:lineRule="auto"/>
        <w:ind w:left="567" w:hanging="567"/>
        <w:outlineLvl w:val="0"/>
        <w:rPr>
          <w:rFonts w:ascii="Times New Roman" w:hAnsi="Times New Roman" w:cs="Times New Roman"/>
        </w:rPr>
      </w:pPr>
      <w:r>
        <w:rPr>
          <w:rFonts w:ascii="Times New Roman" w:hAnsi="Times New Roman" w:cs="Times New Roman"/>
        </w:rPr>
        <w:t>Kizárólag o</w:t>
      </w:r>
      <w:r w:rsidR="00CF2099">
        <w:rPr>
          <w:rFonts w:ascii="Times New Roman" w:hAnsi="Times New Roman" w:cs="Times New Roman"/>
        </w:rPr>
        <w:t>rvosi rendelvényhez kötött gyógyszer (V).</w:t>
      </w:r>
    </w:p>
    <w:p w14:paraId="73185685" w14:textId="77777777" w:rsidR="00DD6391" w:rsidRDefault="00DD6391">
      <w:pPr>
        <w:spacing w:line="240" w:lineRule="auto"/>
        <w:ind w:left="567" w:hanging="567"/>
        <w:outlineLvl w:val="0"/>
        <w:rPr>
          <w:rFonts w:ascii="Times New Roman" w:hAnsi="Times New Roman" w:cs="Times New Roman"/>
        </w:rPr>
      </w:pPr>
    </w:p>
    <w:p w14:paraId="07BC125F" w14:textId="77777777" w:rsidR="00DD6391" w:rsidRDefault="00DD6391">
      <w:pPr>
        <w:spacing w:line="240" w:lineRule="auto"/>
        <w:ind w:left="567" w:hanging="567"/>
        <w:outlineLvl w:val="0"/>
        <w:rPr>
          <w:rFonts w:ascii="Times New Roman" w:hAnsi="Times New Roman" w:cs="Times New Roman"/>
        </w:rPr>
      </w:pPr>
    </w:p>
    <w:p w14:paraId="55198946" w14:textId="77777777" w:rsidR="00DD6391" w:rsidRDefault="00CF2099">
      <w:pPr>
        <w:tabs>
          <w:tab w:val="clear" w:pos="567"/>
        </w:tabs>
        <w:spacing w:line="240" w:lineRule="auto"/>
        <w:ind w:left="567" w:hanging="567"/>
        <w:outlineLvl w:val="0"/>
        <w:rPr>
          <w:rFonts w:ascii="Times New Roman" w:eastAsia="Arial" w:hAnsi="Times New Roman" w:cs="Times New Roman"/>
          <w:b/>
          <w:bCs/>
          <w:lang w:eastAsia="en-US"/>
        </w:rPr>
      </w:pPr>
      <w:r>
        <w:rPr>
          <w:rFonts w:ascii="Times New Roman" w:eastAsia="Arial" w:hAnsi="Times New Roman" w:cs="Times New Roman"/>
          <w:b/>
          <w:bCs/>
          <w:lang w:eastAsia="en-US"/>
        </w:rPr>
        <w:t>7.</w:t>
      </w:r>
      <w:r>
        <w:rPr>
          <w:rFonts w:ascii="Times New Roman" w:eastAsia="Arial" w:hAnsi="Times New Roman" w:cs="Times New Roman"/>
          <w:b/>
          <w:bCs/>
          <w:lang w:eastAsia="en-US"/>
        </w:rPr>
        <w:tab/>
        <w:t>A FORGALOMBA HOZATALI ENGEDÉLY JOGOSULTJA</w:t>
      </w:r>
    </w:p>
    <w:p w14:paraId="4FB41633" w14:textId="77777777" w:rsidR="00DD6391" w:rsidRDefault="00DD6391">
      <w:pPr>
        <w:widowControl w:val="0"/>
        <w:autoSpaceDE w:val="0"/>
        <w:autoSpaceDN w:val="0"/>
        <w:rPr>
          <w:rFonts w:ascii="Times New Roman" w:eastAsia="Tahoma" w:hAnsi="Times New Roman" w:cs="Times New Roman"/>
          <w:color w:val="000000"/>
          <w:lang w:eastAsia="en-US"/>
        </w:rPr>
      </w:pPr>
    </w:p>
    <w:p w14:paraId="4AC47F37" w14:textId="77777777" w:rsidR="00DD6391" w:rsidRDefault="00CF2099">
      <w:pPr>
        <w:spacing w:line="240" w:lineRule="auto"/>
        <w:ind w:left="-5" w:right="7112"/>
        <w:rPr>
          <w:rFonts w:ascii="Times New Roman" w:hAnsi="Times New Roman" w:cs="Times New Roman"/>
        </w:rPr>
      </w:pPr>
      <w:r>
        <w:rPr>
          <w:rFonts w:ascii="Times New Roman" w:hAnsi="Times New Roman" w:cs="Times New Roman"/>
        </w:rPr>
        <w:t>Vipharm S.A.</w:t>
      </w:r>
    </w:p>
    <w:p w14:paraId="6F512EE7" w14:textId="77777777" w:rsidR="00DD6391" w:rsidRDefault="00CF2099">
      <w:pPr>
        <w:spacing w:line="240" w:lineRule="auto"/>
        <w:ind w:left="-5"/>
        <w:rPr>
          <w:rFonts w:ascii="Times New Roman" w:hAnsi="Times New Roman" w:cs="Times New Roman"/>
        </w:rPr>
      </w:pPr>
      <w:r>
        <w:rPr>
          <w:rFonts w:ascii="Times New Roman" w:hAnsi="Times New Roman" w:cs="Times New Roman"/>
        </w:rPr>
        <w:t>ul. A. i F. Radziwiłłów 9</w:t>
      </w:r>
    </w:p>
    <w:p w14:paraId="18815087" w14:textId="77777777" w:rsidR="00DD6391" w:rsidRDefault="00CF2099">
      <w:pPr>
        <w:spacing w:line="240" w:lineRule="auto"/>
        <w:ind w:left="-5"/>
        <w:rPr>
          <w:rFonts w:ascii="Times New Roman" w:hAnsi="Times New Roman" w:cs="Times New Roman"/>
        </w:rPr>
      </w:pPr>
      <w:r>
        <w:rPr>
          <w:rFonts w:ascii="Times New Roman" w:hAnsi="Times New Roman" w:cs="Times New Roman"/>
        </w:rPr>
        <w:t>05-850 Ożarów Mazowiecki</w:t>
      </w:r>
    </w:p>
    <w:p w14:paraId="33FB0138" w14:textId="77777777" w:rsidR="00DD6391" w:rsidRDefault="00CF2099">
      <w:pPr>
        <w:spacing w:line="240" w:lineRule="auto"/>
        <w:ind w:left="-5"/>
        <w:rPr>
          <w:rFonts w:ascii="Times New Roman" w:hAnsi="Times New Roman" w:cs="Times New Roman"/>
        </w:rPr>
      </w:pPr>
      <w:r>
        <w:rPr>
          <w:rFonts w:ascii="Times New Roman" w:hAnsi="Times New Roman" w:cs="Times New Roman"/>
        </w:rPr>
        <w:t>Lengyelország</w:t>
      </w:r>
    </w:p>
    <w:p w14:paraId="3F6A8155" w14:textId="77777777" w:rsidR="00DD6391" w:rsidRDefault="00DD6391">
      <w:pPr>
        <w:spacing w:line="240" w:lineRule="auto"/>
        <w:ind w:left="-5"/>
        <w:rPr>
          <w:rFonts w:ascii="Times New Roman" w:hAnsi="Times New Roman" w:cs="Times New Roman"/>
        </w:rPr>
      </w:pPr>
    </w:p>
    <w:p w14:paraId="73F0785C" w14:textId="77777777" w:rsidR="00DD6391" w:rsidRDefault="00DD6391">
      <w:pPr>
        <w:spacing w:line="240" w:lineRule="auto"/>
        <w:ind w:left="567" w:hanging="567"/>
        <w:outlineLvl w:val="0"/>
        <w:rPr>
          <w:rFonts w:ascii="Times New Roman" w:eastAsia="Arial" w:hAnsi="Times New Roman" w:cs="Times New Roman"/>
          <w:lang w:eastAsia="en-US"/>
        </w:rPr>
      </w:pPr>
    </w:p>
    <w:p w14:paraId="6B46637F" w14:textId="77777777" w:rsidR="00DD6391" w:rsidRDefault="00CF2099">
      <w:pPr>
        <w:tabs>
          <w:tab w:val="clear" w:pos="567"/>
        </w:tabs>
        <w:spacing w:line="240" w:lineRule="auto"/>
        <w:ind w:left="567" w:hanging="567"/>
        <w:outlineLvl w:val="0"/>
        <w:rPr>
          <w:rFonts w:ascii="Times New Roman" w:eastAsia="Arial" w:hAnsi="Times New Roman" w:cs="Times New Roman"/>
          <w:b/>
          <w:bCs/>
          <w:lang w:eastAsia="en-US"/>
        </w:rPr>
      </w:pPr>
      <w:r>
        <w:rPr>
          <w:rFonts w:ascii="Times New Roman" w:eastAsia="Arial" w:hAnsi="Times New Roman" w:cs="Times New Roman"/>
          <w:b/>
          <w:bCs/>
          <w:lang w:eastAsia="en-US"/>
        </w:rPr>
        <w:t>8.</w:t>
      </w:r>
      <w:r>
        <w:rPr>
          <w:rFonts w:ascii="Times New Roman" w:eastAsia="Arial" w:hAnsi="Times New Roman" w:cs="Times New Roman"/>
          <w:b/>
          <w:bCs/>
          <w:lang w:eastAsia="en-US"/>
        </w:rPr>
        <w:tab/>
        <w:t>A FORGALOMBA HOZATALI ENGEDÉLY SZÁMA(I)</w:t>
      </w:r>
    </w:p>
    <w:p w14:paraId="0663E591" w14:textId="77777777" w:rsidR="00DD6391" w:rsidRDefault="00DD6391">
      <w:pPr>
        <w:tabs>
          <w:tab w:val="clear" w:pos="567"/>
        </w:tabs>
        <w:spacing w:line="240" w:lineRule="auto"/>
        <w:ind w:left="567" w:hanging="567"/>
        <w:outlineLvl w:val="0"/>
        <w:rPr>
          <w:rFonts w:ascii="Times New Roman" w:hAnsi="Times New Roman" w:cs="Times New Roman"/>
        </w:rPr>
      </w:pPr>
    </w:p>
    <w:p w14:paraId="416AAAD7"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u w:val="single"/>
        </w:rPr>
      </w:pPr>
      <w:r>
        <w:rPr>
          <w:rFonts w:ascii="Times New Roman" w:hAnsi="Times New Roman" w:cs="Times New Roman"/>
          <w:u w:val="single"/>
        </w:rPr>
        <w:t>Ansifora 50 mg filmtabletta</w:t>
      </w:r>
    </w:p>
    <w:p w14:paraId="3428D8AB"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OGYI-T-24162/01</w:t>
      </w:r>
      <w:r>
        <w:rPr>
          <w:rFonts w:ascii="Times New Roman" w:hAnsi="Times New Roman" w:cs="Times New Roman"/>
        </w:rPr>
        <w:tab/>
        <w:t>14×</w:t>
      </w:r>
      <w:r>
        <w:rPr>
          <w:rFonts w:ascii="Times New Roman" w:hAnsi="Times New Roman" w:cs="Times New Roman"/>
        </w:rPr>
        <w:tab/>
        <w:t>átlátszatlan PVC/PE/PVDC//alumínium buborékcsomagolás</w:t>
      </w:r>
    </w:p>
    <w:p w14:paraId="1E0CD471"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OGYI-T-24162/02</w:t>
      </w:r>
      <w:r>
        <w:rPr>
          <w:rFonts w:ascii="Times New Roman" w:hAnsi="Times New Roman" w:cs="Times New Roman"/>
        </w:rPr>
        <w:tab/>
        <w:t>14×</w:t>
      </w:r>
      <w:r>
        <w:rPr>
          <w:rFonts w:ascii="Times New Roman" w:hAnsi="Times New Roman" w:cs="Times New Roman"/>
        </w:rPr>
        <w:tab/>
        <w:t>OPA/Al/PVC//alumínium buborékcsomagolás</w:t>
      </w:r>
    </w:p>
    <w:p w14:paraId="6D3EAEFE"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OGYI-T-24162/03</w:t>
      </w:r>
      <w:r>
        <w:rPr>
          <w:rFonts w:ascii="Times New Roman" w:hAnsi="Times New Roman" w:cs="Times New Roman"/>
        </w:rPr>
        <w:tab/>
        <w:t>28×</w:t>
      </w:r>
      <w:r>
        <w:rPr>
          <w:rFonts w:ascii="Times New Roman" w:hAnsi="Times New Roman" w:cs="Times New Roman"/>
        </w:rPr>
        <w:tab/>
        <w:t>átlátszatlan PVC/PE/PVDC//alumínium buborékcsomagolás</w:t>
      </w:r>
    </w:p>
    <w:p w14:paraId="18CC2C1B"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OGYI-T-24162/04</w:t>
      </w:r>
      <w:r>
        <w:rPr>
          <w:rFonts w:ascii="Times New Roman" w:hAnsi="Times New Roman" w:cs="Times New Roman"/>
        </w:rPr>
        <w:tab/>
        <w:t>28×</w:t>
      </w:r>
      <w:r>
        <w:rPr>
          <w:rFonts w:ascii="Times New Roman" w:hAnsi="Times New Roman" w:cs="Times New Roman"/>
        </w:rPr>
        <w:tab/>
        <w:t>OPA/Al/PVC//alumínium buborékcsomagolás</w:t>
      </w:r>
    </w:p>
    <w:p w14:paraId="6BC4B596"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OGYI-T-24162/05</w:t>
      </w:r>
      <w:r>
        <w:rPr>
          <w:rFonts w:ascii="Times New Roman" w:hAnsi="Times New Roman" w:cs="Times New Roman"/>
        </w:rPr>
        <w:tab/>
        <w:t>30×</w:t>
      </w:r>
      <w:r>
        <w:rPr>
          <w:rFonts w:ascii="Times New Roman" w:hAnsi="Times New Roman" w:cs="Times New Roman"/>
        </w:rPr>
        <w:tab/>
        <w:t>átlátszatlan PVC/PE/PVDC//alumínium buborékcsomagolás</w:t>
      </w:r>
    </w:p>
    <w:p w14:paraId="74773B04"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OGYI-T-24162/06</w:t>
      </w:r>
      <w:r>
        <w:rPr>
          <w:rFonts w:ascii="Times New Roman" w:hAnsi="Times New Roman" w:cs="Times New Roman"/>
        </w:rPr>
        <w:tab/>
        <w:t>30×</w:t>
      </w:r>
      <w:r>
        <w:rPr>
          <w:rFonts w:ascii="Times New Roman" w:hAnsi="Times New Roman" w:cs="Times New Roman"/>
        </w:rPr>
        <w:tab/>
        <w:t>OPA/Al/PVC//alumínium buborékcsomagolás</w:t>
      </w:r>
    </w:p>
    <w:p w14:paraId="1D200EA7"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OGYI-T-24162/07</w:t>
      </w:r>
      <w:r>
        <w:rPr>
          <w:rFonts w:ascii="Times New Roman" w:hAnsi="Times New Roman" w:cs="Times New Roman"/>
        </w:rPr>
        <w:tab/>
        <w:t>56×</w:t>
      </w:r>
      <w:r>
        <w:rPr>
          <w:rFonts w:ascii="Times New Roman" w:hAnsi="Times New Roman" w:cs="Times New Roman"/>
        </w:rPr>
        <w:tab/>
        <w:t>átlátszatlan PVC/PE/PVDC//alumínium buborékcsomagolás</w:t>
      </w:r>
    </w:p>
    <w:p w14:paraId="71DEDC6E"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OGYI-T-24162/08</w:t>
      </w:r>
      <w:r>
        <w:rPr>
          <w:rFonts w:ascii="Times New Roman" w:hAnsi="Times New Roman" w:cs="Times New Roman"/>
        </w:rPr>
        <w:tab/>
        <w:t>56×</w:t>
      </w:r>
      <w:r>
        <w:rPr>
          <w:rFonts w:ascii="Times New Roman" w:hAnsi="Times New Roman" w:cs="Times New Roman"/>
        </w:rPr>
        <w:tab/>
        <w:t>OPA/Al/PVC//alumínium buborékcsomagolás</w:t>
      </w:r>
    </w:p>
    <w:p w14:paraId="0DBB57E8"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OGYI-T-24162/09</w:t>
      </w:r>
      <w:r>
        <w:rPr>
          <w:rFonts w:ascii="Times New Roman" w:hAnsi="Times New Roman" w:cs="Times New Roman"/>
        </w:rPr>
        <w:tab/>
        <w:t>84×</w:t>
      </w:r>
      <w:r>
        <w:rPr>
          <w:rFonts w:ascii="Times New Roman" w:hAnsi="Times New Roman" w:cs="Times New Roman"/>
        </w:rPr>
        <w:tab/>
        <w:t>átlátszatlan PVC/PE/PVDC//alumínium buborékcsomagolás</w:t>
      </w:r>
    </w:p>
    <w:p w14:paraId="67282124"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OGYI-T-24162/10</w:t>
      </w:r>
      <w:r>
        <w:rPr>
          <w:rFonts w:ascii="Times New Roman" w:hAnsi="Times New Roman" w:cs="Times New Roman"/>
        </w:rPr>
        <w:tab/>
        <w:t>84×</w:t>
      </w:r>
      <w:r>
        <w:rPr>
          <w:rFonts w:ascii="Times New Roman" w:hAnsi="Times New Roman" w:cs="Times New Roman"/>
        </w:rPr>
        <w:tab/>
        <w:t>OPA/Al/PVC//alumínium buborékcsomagolás</w:t>
      </w:r>
    </w:p>
    <w:p w14:paraId="098C555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lastRenderedPageBreak/>
        <w:t>OGYI-T-24162/11</w:t>
      </w:r>
      <w:r>
        <w:rPr>
          <w:rFonts w:ascii="Times New Roman" w:hAnsi="Times New Roman" w:cs="Times New Roman"/>
        </w:rPr>
        <w:tab/>
        <w:t>90×</w:t>
      </w:r>
      <w:r>
        <w:rPr>
          <w:rFonts w:ascii="Times New Roman" w:hAnsi="Times New Roman" w:cs="Times New Roman"/>
        </w:rPr>
        <w:tab/>
        <w:t>átlátszatlan PVC/PE/PVDC//alumínium buborékcsomagolás</w:t>
      </w:r>
    </w:p>
    <w:p w14:paraId="67B1EC33"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OGYI-T-24162/12</w:t>
      </w:r>
      <w:r>
        <w:rPr>
          <w:rFonts w:ascii="Times New Roman" w:hAnsi="Times New Roman" w:cs="Times New Roman"/>
        </w:rPr>
        <w:tab/>
        <w:t>90×</w:t>
      </w:r>
      <w:r>
        <w:rPr>
          <w:rFonts w:ascii="Times New Roman" w:hAnsi="Times New Roman" w:cs="Times New Roman"/>
        </w:rPr>
        <w:tab/>
        <w:t>OPA/Al/PVC//alumínium buborékcsomagolás</w:t>
      </w:r>
    </w:p>
    <w:p w14:paraId="2FBF505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OGYI-T-24162/13</w:t>
      </w:r>
      <w:r>
        <w:rPr>
          <w:rFonts w:ascii="Times New Roman" w:hAnsi="Times New Roman" w:cs="Times New Roman"/>
        </w:rPr>
        <w:tab/>
        <w:t>98×</w:t>
      </w:r>
      <w:r>
        <w:rPr>
          <w:rFonts w:ascii="Times New Roman" w:hAnsi="Times New Roman" w:cs="Times New Roman"/>
        </w:rPr>
        <w:tab/>
        <w:t>átlátszatlan PVC/PE/PVDC//alumínium buborékcsomagolás</w:t>
      </w:r>
    </w:p>
    <w:p w14:paraId="597933ED"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OGYI-T-24162/14</w:t>
      </w:r>
      <w:r>
        <w:rPr>
          <w:rFonts w:ascii="Times New Roman" w:hAnsi="Times New Roman" w:cs="Times New Roman"/>
        </w:rPr>
        <w:tab/>
        <w:t>98×</w:t>
      </w:r>
      <w:r>
        <w:rPr>
          <w:rFonts w:ascii="Times New Roman" w:hAnsi="Times New Roman" w:cs="Times New Roman"/>
        </w:rPr>
        <w:tab/>
        <w:t>OPA/Al/PVC//alumínium buborékcsomagolás</w:t>
      </w:r>
    </w:p>
    <w:p w14:paraId="19C9F8A5" w14:textId="77777777" w:rsidR="00DD6391" w:rsidRDefault="00DD6391">
      <w:pPr>
        <w:tabs>
          <w:tab w:val="clear" w:pos="567"/>
          <w:tab w:val="left" w:pos="2268"/>
          <w:tab w:val="left" w:pos="3119"/>
        </w:tabs>
        <w:spacing w:line="240" w:lineRule="auto"/>
        <w:ind w:left="567" w:hanging="567"/>
        <w:outlineLvl w:val="0"/>
        <w:rPr>
          <w:rFonts w:ascii="Times New Roman" w:hAnsi="Times New Roman" w:cs="Times New Roman"/>
        </w:rPr>
      </w:pPr>
    </w:p>
    <w:p w14:paraId="74549AD8"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u w:val="single"/>
        </w:rPr>
      </w:pPr>
      <w:r>
        <w:rPr>
          <w:rFonts w:ascii="Times New Roman" w:hAnsi="Times New Roman" w:cs="Times New Roman"/>
          <w:u w:val="single"/>
        </w:rPr>
        <w:t>Ansifora 100 mg filmtabletta</w:t>
      </w:r>
    </w:p>
    <w:p w14:paraId="6CC5468E"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OGYI-T-24162/15</w:t>
      </w:r>
      <w:r>
        <w:rPr>
          <w:rFonts w:ascii="Times New Roman" w:hAnsi="Times New Roman" w:cs="Times New Roman"/>
        </w:rPr>
        <w:tab/>
        <w:t>14×</w:t>
      </w:r>
      <w:r>
        <w:rPr>
          <w:rFonts w:ascii="Times New Roman" w:hAnsi="Times New Roman" w:cs="Times New Roman"/>
        </w:rPr>
        <w:tab/>
        <w:t>átlátszatlan PVC/PE/PVDC//alumínium buborékcsomagolás</w:t>
      </w:r>
    </w:p>
    <w:p w14:paraId="6730999D"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OGYI-T-24162/16</w:t>
      </w:r>
      <w:r>
        <w:rPr>
          <w:rFonts w:ascii="Times New Roman" w:hAnsi="Times New Roman" w:cs="Times New Roman"/>
        </w:rPr>
        <w:tab/>
        <w:t>14×</w:t>
      </w:r>
      <w:r>
        <w:rPr>
          <w:rFonts w:ascii="Times New Roman" w:hAnsi="Times New Roman" w:cs="Times New Roman"/>
        </w:rPr>
        <w:tab/>
        <w:t>OPA/Al/PVC//alumínium buborékcsomagolás</w:t>
      </w:r>
    </w:p>
    <w:p w14:paraId="4E8208C1"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OGYI-T-24162/17</w:t>
      </w:r>
      <w:r>
        <w:rPr>
          <w:rFonts w:ascii="Times New Roman" w:hAnsi="Times New Roman" w:cs="Times New Roman"/>
        </w:rPr>
        <w:tab/>
        <w:t>28×</w:t>
      </w:r>
      <w:r>
        <w:rPr>
          <w:rFonts w:ascii="Times New Roman" w:hAnsi="Times New Roman" w:cs="Times New Roman"/>
        </w:rPr>
        <w:tab/>
        <w:t>átlátszatlan PVC/PE/PVDC//alumínium buborékcsomagolás</w:t>
      </w:r>
    </w:p>
    <w:p w14:paraId="6D96C374"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OGYI-T-24162/18</w:t>
      </w:r>
      <w:r>
        <w:rPr>
          <w:rFonts w:ascii="Times New Roman" w:hAnsi="Times New Roman" w:cs="Times New Roman"/>
        </w:rPr>
        <w:tab/>
        <w:t>28×</w:t>
      </w:r>
      <w:r>
        <w:rPr>
          <w:rFonts w:ascii="Times New Roman" w:hAnsi="Times New Roman" w:cs="Times New Roman"/>
        </w:rPr>
        <w:tab/>
        <w:t>OPA/Al/PVC//alumínium buborékcsomagolás</w:t>
      </w:r>
    </w:p>
    <w:p w14:paraId="4BD5363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OGYI-T-24162/19</w:t>
      </w:r>
      <w:r>
        <w:rPr>
          <w:rFonts w:ascii="Times New Roman" w:hAnsi="Times New Roman" w:cs="Times New Roman"/>
        </w:rPr>
        <w:tab/>
        <w:t>30×</w:t>
      </w:r>
      <w:r>
        <w:rPr>
          <w:rFonts w:ascii="Times New Roman" w:hAnsi="Times New Roman" w:cs="Times New Roman"/>
        </w:rPr>
        <w:tab/>
        <w:t>átlátszatlan PVC/PE/PVDC//alumínium buborékcsomagolás</w:t>
      </w:r>
    </w:p>
    <w:p w14:paraId="4D8CFC26"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OGYI-T-24162/20</w:t>
      </w:r>
      <w:r>
        <w:rPr>
          <w:rFonts w:ascii="Times New Roman" w:hAnsi="Times New Roman" w:cs="Times New Roman"/>
        </w:rPr>
        <w:tab/>
        <w:t>30×</w:t>
      </w:r>
      <w:r>
        <w:rPr>
          <w:rFonts w:ascii="Times New Roman" w:hAnsi="Times New Roman" w:cs="Times New Roman"/>
        </w:rPr>
        <w:tab/>
        <w:t>OPA/Al/PVC//alumínium buborékcsomagolás</w:t>
      </w:r>
    </w:p>
    <w:p w14:paraId="34B20B6E"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OGYI-T-24162/21</w:t>
      </w:r>
      <w:r>
        <w:rPr>
          <w:rFonts w:ascii="Times New Roman" w:hAnsi="Times New Roman" w:cs="Times New Roman"/>
        </w:rPr>
        <w:tab/>
        <w:t>56×</w:t>
      </w:r>
      <w:r>
        <w:rPr>
          <w:rFonts w:ascii="Times New Roman" w:hAnsi="Times New Roman" w:cs="Times New Roman"/>
        </w:rPr>
        <w:tab/>
        <w:t>átlátszatlan PVC/PE/PVDC//alumínium buborékcsomagolás</w:t>
      </w:r>
    </w:p>
    <w:p w14:paraId="2D6D5BB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OGYI-T-24162/22</w:t>
      </w:r>
      <w:r>
        <w:rPr>
          <w:rFonts w:ascii="Times New Roman" w:hAnsi="Times New Roman" w:cs="Times New Roman"/>
        </w:rPr>
        <w:tab/>
        <w:t>56×</w:t>
      </w:r>
      <w:r>
        <w:rPr>
          <w:rFonts w:ascii="Times New Roman" w:hAnsi="Times New Roman" w:cs="Times New Roman"/>
        </w:rPr>
        <w:tab/>
        <w:t>OPA/Al/PVC//alumínium buborékcsomagolás</w:t>
      </w:r>
    </w:p>
    <w:p w14:paraId="5763823F"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OGYI-T-24162/23</w:t>
      </w:r>
      <w:r>
        <w:rPr>
          <w:rFonts w:ascii="Times New Roman" w:hAnsi="Times New Roman" w:cs="Times New Roman"/>
        </w:rPr>
        <w:tab/>
        <w:t>84×</w:t>
      </w:r>
      <w:r>
        <w:rPr>
          <w:rFonts w:ascii="Times New Roman" w:hAnsi="Times New Roman" w:cs="Times New Roman"/>
        </w:rPr>
        <w:tab/>
        <w:t>átlátszatlan PVC/PE/PVDC//alumínium buborékcsomagolás</w:t>
      </w:r>
    </w:p>
    <w:p w14:paraId="1F8888C6"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OGYI-T-24162/24</w:t>
      </w:r>
      <w:r>
        <w:rPr>
          <w:rFonts w:ascii="Times New Roman" w:hAnsi="Times New Roman" w:cs="Times New Roman"/>
        </w:rPr>
        <w:tab/>
        <w:t>84×</w:t>
      </w:r>
      <w:r>
        <w:rPr>
          <w:rFonts w:ascii="Times New Roman" w:hAnsi="Times New Roman" w:cs="Times New Roman"/>
        </w:rPr>
        <w:tab/>
        <w:t>OPA/Al/PVC//alumínium buborékcsomagolás</w:t>
      </w:r>
    </w:p>
    <w:p w14:paraId="53F3DE4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OGYI-T-24162/25</w:t>
      </w:r>
      <w:r>
        <w:rPr>
          <w:rFonts w:ascii="Times New Roman" w:hAnsi="Times New Roman" w:cs="Times New Roman"/>
        </w:rPr>
        <w:tab/>
        <w:t>90×</w:t>
      </w:r>
      <w:r>
        <w:rPr>
          <w:rFonts w:ascii="Times New Roman" w:hAnsi="Times New Roman" w:cs="Times New Roman"/>
        </w:rPr>
        <w:tab/>
        <w:t>átlátszatlan PVC/PE/PVDC//alumínium buborékcsomagolás</w:t>
      </w:r>
    </w:p>
    <w:p w14:paraId="4DA26B02"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OGYI-T-24162/26</w:t>
      </w:r>
      <w:r>
        <w:rPr>
          <w:rFonts w:ascii="Times New Roman" w:hAnsi="Times New Roman" w:cs="Times New Roman"/>
        </w:rPr>
        <w:tab/>
        <w:t>90×</w:t>
      </w:r>
      <w:r>
        <w:rPr>
          <w:rFonts w:ascii="Times New Roman" w:hAnsi="Times New Roman" w:cs="Times New Roman"/>
        </w:rPr>
        <w:tab/>
        <w:t>OPA/Al/PVC//alumínium buborékcsomagolás</w:t>
      </w:r>
    </w:p>
    <w:p w14:paraId="6AF00E2E"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OGYI-T-24162/27</w:t>
      </w:r>
      <w:r>
        <w:rPr>
          <w:rFonts w:ascii="Times New Roman" w:hAnsi="Times New Roman" w:cs="Times New Roman"/>
        </w:rPr>
        <w:tab/>
        <w:t>98×</w:t>
      </w:r>
      <w:r>
        <w:rPr>
          <w:rFonts w:ascii="Times New Roman" w:hAnsi="Times New Roman" w:cs="Times New Roman"/>
        </w:rPr>
        <w:tab/>
        <w:t>átlátszatlan PVC/PE/PVDC//alumínium buborékcsomagolás</w:t>
      </w:r>
    </w:p>
    <w:p w14:paraId="165CEE7A" w14:textId="77777777" w:rsidR="00DD6391" w:rsidRDefault="00CF2099">
      <w:pPr>
        <w:tabs>
          <w:tab w:val="clear" w:pos="567"/>
          <w:tab w:val="left" w:pos="2268"/>
          <w:tab w:val="left" w:pos="3119"/>
        </w:tabs>
        <w:spacing w:line="240" w:lineRule="auto"/>
        <w:ind w:left="567" w:hanging="567"/>
        <w:outlineLvl w:val="0"/>
        <w:rPr>
          <w:rFonts w:ascii="Times New Roman" w:hAnsi="Times New Roman" w:cs="Times New Roman"/>
        </w:rPr>
      </w:pPr>
      <w:r>
        <w:rPr>
          <w:rFonts w:ascii="Times New Roman" w:hAnsi="Times New Roman" w:cs="Times New Roman"/>
        </w:rPr>
        <w:t>OGYI-T-24162/28</w:t>
      </w:r>
      <w:r>
        <w:rPr>
          <w:rFonts w:ascii="Times New Roman" w:hAnsi="Times New Roman" w:cs="Times New Roman"/>
        </w:rPr>
        <w:tab/>
        <w:t>98×</w:t>
      </w:r>
      <w:r>
        <w:rPr>
          <w:rFonts w:ascii="Times New Roman" w:hAnsi="Times New Roman" w:cs="Times New Roman"/>
        </w:rPr>
        <w:tab/>
        <w:t>OPA/Al/PVC//alumínium buborékcsomagolás</w:t>
      </w:r>
    </w:p>
    <w:p w14:paraId="06358A3A" w14:textId="77777777" w:rsidR="00DD6391" w:rsidRDefault="00DD6391">
      <w:pPr>
        <w:tabs>
          <w:tab w:val="clear" w:pos="567"/>
        </w:tabs>
        <w:spacing w:line="240" w:lineRule="auto"/>
        <w:ind w:left="567" w:hanging="567"/>
        <w:outlineLvl w:val="0"/>
        <w:rPr>
          <w:rFonts w:ascii="Times New Roman" w:hAnsi="Times New Roman" w:cs="Times New Roman"/>
        </w:rPr>
      </w:pPr>
    </w:p>
    <w:p w14:paraId="4F04869F" w14:textId="77777777" w:rsidR="00DD6391" w:rsidRDefault="00DD6391">
      <w:pPr>
        <w:spacing w:line="240" w:lineRule="auto"/>
        <w:ind w:left="567" w:hanging="567"/>
        <w:outlineLvl w:val="0"/>
        <w:rPr>
          <w:rFonts w:ascii="Times New Roman" w:hAnsi="Times New Roman" w:cs="Times New Roman"/>
        </w:rPr>
      </w:pPr>
    </w:p>
    <w:p w14:paraId="7BAD5A66" w14:textId="77777777" w:rsidR="00DD6391" w:rsidRDefault="00CF2099">
      <w:pPr>
        <w:tabs>
          <w:tab w:val="clear" w:pos="567"/>
        </w:tabs>
        <w:spacing w:line="240" w:lineRule="auto"/>
        <w:ind w:left="567" w:hanging="567"/>
        <w:outlineLvl w:val="0"/>
        <w:rPr>
          <w:rFonts w:ascii="Times New Roman" w:hAnsi="Times New Roman" w:cs="Times New Roman"/>
          <w:b/>
          <w:bCs/>
        </w:rPr>
      </w:pPr>
      <w:r>
        <w:rPr>
          <w:rFonts w:ascii="Times New Roman" w:eastAsia="Arial" w:hAnsi="Times New Roman" w:cs="Times New Roman"/>
          <w:b/>
          <w:bCs/>
          <w:lang w:eastAsia="en-US"/>
        </w:rPr>
        <w:t>9.</w:t>
      </w:r>
      <w:r>
        <w:rPr>
          <w:rFonts w:ascii="Times New Roman" w:eastAsia="Arial" w:hAnsi="Times New Roman" w:cs="Times New Roman"/>
          <w:b/>
          <w:bCs/>
          <w:lang w:eastAsia="en-US"/>
        </w:rPr>
        <w:tab/>
        <w:t>A FORGALOMBA HOZATALI ENGEDÉLY ELSŐ KIADÁSÁNAK/ MEGÚJÍTÁSÁNAK</w:t>
      </w:r>
      <w:r>
        <w:rPr>
          <w:rFonts w:ascii="Times New Roman" w:hAnsi="Times New Roman" w:cs="Times New Roman"/>
          <w:b/>
          <w:bCs/>
        </w:rPr>
        <w:t xml:space="preserve"> DÁTUMA</w:t>
      </w:r>
    </w:p>
    <w:p w14:paraId="4471F6B0" w14:textId="77777777" w:rsidR="00DD6391" w:rsidRDefault="00DD6391">
      <w:pPr>
        <w:widowControl w:val="0"/>
        <w:autoSpaceDE w:val="0"/>
        <w:autoSpaceDN w:val="0"/>
        <w:rPr>
          <w:rFonts w:ascii="Times New Roman" w:eastAsia="Tahoma" w:hAnsi="Times New Roman" w:cs="Times New Roman"/>
          <w:color w:val="000000"/>
          <w:lang w:eastAsia="en-US"/>
        </w:rPr>
      </w:pPr>
    </w:p>
    <w:p w14:paraId="63118CAF" w14:textId="77777777" w:rsidR="00DD6391" w:rsidRDefault="00CF2099">
      <w:pPr>
        <w:widowControl w:val="0"/>
        <w:autoSpaceDE w:val="0"/>
        <w:autoSpaceDN w:val="0"/>
        <w:rPr>
          <w:rFonts w:ascii="Times New Roman" w:eastAsia="Tahoma" w:hAnsi="Times New Roman" w:cs="Times New Roman"/>
          <w:color w:val="000000"/>
          <w:lang w:eastAsia="en-US"/>
        </w:rPr>
      </w:pPr>
      <w:r>
        <w:rPr>
          <w:rFonts w:ascii="Times New Roman" w:eastAsia="Tahoma" w:hAnsi="Times New Roman" w:cs="Times New Roman"/>
          <w:color w:val="000000"/>
          <w:lang w:eastAsia="en-US"/>
        </w:rPr>
        <w:t>A forgalomba hozatali engedély első kiadásának dátuma: 2022. november 23.</w:t>
      </w:r>
    </w:p>
    <w:p w14:paraId="334F121B" w14:textId="77777777" w:rsidR="00DD6391" w:rsidRDefault="00DD6391">
      <w:pPr>
        <w:widowControl w:val="0"/>
        <w:autoSpaceDE w:val="0"/>
        <w:autoSpaceDN w:val="0"/>
        <w:rPr>
          <w:rFonts w:ascii="Times New Roman" w:eastAsia="Tahoma" w:hAnsi="Times New Roman" w:cs="Times New Roman"/>
          <w:color w:val="000000"/>
          <w:lang w:eastAsia="en-US"/>
        </w:rPr>
      </w:pPr>
    </w:p>
    <w:p w14:paraId="7B766B4C" w14:textId="77777777" w:rsidR="00DD6391" w:rsidRDefault="00DD6391">
      <w:pPr>
        <w:spacing w:line="240" w:lineRule="auto"/>
        <w:rPr>
          <w:rFonts w:ascii="Times New Roman" w:eastAsia="Arial" w:hAnsi="Times New Roman" w:cs="Times New Roman"/>
          <w:lang w:eastAsia="en-US"/>
        </w:rPr>
      </w:pPr>
    </w:p>
    <w:p w14:paraId="08FF4C7B" w14:textId="77777777" w:rsidR="00DD6391" w:rsidRDefault="00CF2099">
      <w:pPr>
        <w:tabs>
          <w:tab w:val="clear" w:pos="567"/>
        </w:tabs>
        <w:spacing w:line="240" w:lineRule="auto"/>
        <w:ind w:left="567" w:hanging="567"/>
        <w:outlineLvl w:val="0"/>
        <w:rPr>
          <w:rFonts w:ascii="Times New Roman" w:hAnsi="Times New Roman" w:cs="Times New Roman"/>
          <w:b/>
          <w:bCs/>
        </w:rPr>
      </w:pPr>
      <w:r>
        <w:rPr>
          <w:rFonts w:ascii="Times New Roman" w:eastAsia="Arial" w:hAnsi="Times New Roman" w:cs="Times New Roman"/>
          <w:b/>
          <w:bCs/>
          <w:lang w:eastAsia="en-US"/>
        </w:rPr>
        <w:t>10.</w:t>
      </w:r>
      <w:r>
        <w:rPr>
          <w:rFonts w:ascii="Times New Roman" w:eastAsia="Arial" w:hAnsi="Times New Roman" w:cs="Times New Roman"/>
          <w:b/>
          <w:bCs/>
          <w:lang w:eastAsia="en-US"/>
        </w:rPr>
        <w:tab/>
        <w:t>A SZÖVEG ELLENŐRZÉSÉNEK DÁTUMA</w:t>
      </w:r>
    </w:p>
    <w:p w14:paraId="4525C68D" w14:textId="77777777" w:rsidR="00DD6391" w:rsidRDefault="00DD6391">
      <w:pPr>
        <w:tabs>
          <w:tab w:val="clear" w:pos="567"/>
        </w:tabs>
        <w:spacing w:line="240" w:lineRule="auto"/>
        <w:ind w:left="567" w:hanging="567"/>
        <w:outlineLvl w:val="0"/>
        <w:rPr>
          <w:rFonts w:ascii="Times New Roman" w:hAnsi="Times New Roman" w:cs="Times New Roman"/>
        </w:rPr>
      </w:pPr>
    </w:p>
    <w:p w14:paraId="6A4073D1" w14:textId="4838D671" w:rsidR="00DD6391" w:rsidRDefault="00CF2099">
      <w:pPr>
        <w:spacing w:line="240" w:lineRule="auto"/>
        <w:ind w:left="567" w:hanging="567"/>
        <w:outlineLvl w:val="0"/>
        <w:rPr>
          <w:rFonts w:ascii="Times New Roman" w:eastAsia="Tahoma" w:hAnsi="Times New Roman" w:cs="Times New Roman"/>
          <w:color w:val="000000"/>
          <w:lang w:eastAsia="en-US"/>
        </w:rPr>
      </w:pPr>
      <w:r>
        <w:rPr>
          <w:rFonts w:ascii="Times New Roman" w:eastAsia="Tahoma" w:hAnsi="Times New Roman" w:cs="Times New Roman"/>
          <w:color w:val="000000"/>
          <w:lang w:eastAsia="en-US"/>
        </w:rPr>
        <w:t>2026.</w:t>
      </w:r>
      <w:r w:rsidR="00CF1B84">
        <w:rPr>
          <w:rFonts w:ascii="Times New Roman" w:eastAsia="Tahoma" w:hAnsi="Times New Roman" w:cs="Times New Roman"/>
          <w:color w:val="000000"/>
          <w:lang w:eastAsia="en-US"/>
        </w:rPr>
        <w:t xml:space="preserve"> március 20.</w:t>
      </w:r>
    </w:p>
    <w:p w14:paraId="032744CB" w14:textId="77777777" w:rsidR="00CF1B84" w:rsidRDefault="00CF1B84">
      <w:pPr>
        <w:spacing w:line="240" w:lineRule="auto"/>
        <w:ind w:left="567" w:hanging="567"/>
        <w:outlineLvl w:val="0"/>
        <w:rPr>
          <w:rFonts w:ascii="Times New Roman" w:eastAsia="Tahoma" w:hAnsi="Times New Roman" w:cs="Times New Roman"/>
          <w:color w:val="000000"/>
          <w:lang w:eastAsia="en-US"/>
        </w:rPr>
      </w:pPr>
    </w:p>
    <w:p w14:paraId="7C2D46D9" w14:textId="77777777" w:rsidR="00CF1B84" w:rsidRDefault="00CF1B84">
      <w:pPr>
        <w:spacing w:line="240" w:lineRule="auto"/>
        <w:ind w:left="567" w:hanging="567"/>
        <w:outlineLvl w:val="0"/>
        <w:rPr>
          <w:rFonts w:ascii="Times New Roman" w:hAnsi="Times New Roman" w:cs="Times New Roman"/>
        </w:rPr>
      </w:pPr>
    </w:p>
    <w:sectPr w:rsidR="00CF1B84">
      <w:headerReference w:type="default"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2B88" w14:textId="77777777" w:rsidR="00A37137" w:rsidRDefault="00A37137">
      <w:pPr>
        <w:spacing w:line="240" w:lineRule="auto"/>
      </w:pPr>
      <w:r>
        <w:separator/>
      </w:r>
    </w:p>
  </w:endnote>
  <w:endnote w:type="continuationSeparator" w:id="0">
    <w:p w14:paraId="6F930286" w14:textId="77777777" w:rsidR="00A37137" w:rsidRDefault="00A37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horndale">
    <w:altName w:val="Times New Roman"/>
    <w:charset w:val="00"/>
    <w:family w:val="roman"/>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294C7" w14:textId="77777777" w:rsidR="00DD6391" w:rsidRDefault="00DD6391">
    <w:pPr>
      <w:pStyle w:val="llb"/>
      <w:tabs>
        <w:tab w:val="right" w:pos="8931"/>
      </w:tabs>
      <w:ind w:right="96"/>
      <w:jc w:val="center"/>
      <w:rPr>
        <w:rFonts w:ascii="Times New Roman" w:hAnsi="Times New Roman" w:cs="Times New Roman"/>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DBC0D" w14:textId="77777777" w:rsidR="00CF1B84" w:rsidRPr="00CF1B84" w:rsidRDefault="00CF1B84" w:rsidP="00CF1B84">
    <w:pPr>
      <w:pStyle w:val="llb"/>
      <w:tabs>
        <w:tab w:val="right" w:pos="8931"/>
      </w:tabs>
      <w:ind w:right="96"/>
      <w:rPr>
        <w:rFonts w:ascii="Times New Roman" w:hAnsi="Times New Roman" w:cs="Times New Roman"/>
        <w:sz w:val="18"/>
        <w:szCs w:val="18"/>
      </w:rPr>
    </w:pPr>
    <w:r w:rsidRPr="00CF1B84">
      <w:rPr>
        <w:rFonts w:ascii="Times New Roman" w:hAnsi="Times New Roman" w:cs="Times New Roman"/>
        <w:sz w:val="18"/>
        <w:szCs w:val="18"/>
      </w:rPr>
      <w:t>NNGYK/ETGY/4494/2026</w:t>
    </w:r>
  </w:p>
  <w:p w14:paraId="0DB2AA19" w14:textId="277C6CC3" w:rsidR="00DD6391" w:rsidRDefault="00CF1B84">
    <w:pPr>
      <w:pStyle w:val="llb"/>
      <w:tabs>
        <w:tab w:val="right" w:pos="8931"/>
      </w:tabs>
      <w:ind w:right="96"/>
      <w:rPr>
        <w:rFonts w:ascii="Times New Roman" w:hAnsi="Times New Roman" w:cs="Times New Roman"/>
        <w:sz w:val="18"/>
        <w:szCs w:val="18"/>
      </w:rPr>
    </w:pPr>
    <w:r w:rsidRPr="00CF1B84">
      <w:rPr>
        <w:rFonts w:ascii="Times New Roman" w:hAnsi="Times New Roman" w:cs="Times New Roman"/>
        <w:sz w:val="18"/>
        <w:szCs w:val="18"/>
      </w:rPr>
      <w:t>NNGYK/ETGY/4502/2026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8A97B" w14:textId="77777777" w:rsidR="00A37137" w:rsidRDefault="00A37137">
      <w:pPr>
        <w:spacing w:line="240" w:lineRule="auto"/>
      </w:pPr>
      <w:r>
        <w:separator/>
      </w:r>
    </w:p>
  </w:footnote>
  <w:footnote w:type="continuationSeparator" w:id="0">
    <w:p w14:paraId="58D5D61D" w14:textId="77777777" w:rsidR="00A37137" w:rsidRDefault="00A371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8877740"/>
      <w:docPartObj>
        <w:docPartGallery w:val="Page Numbers (Top of Page)"/>
        <w:docPartUnique/>
      </w:docPartObj>
    </w:sdtPr>
    <w:sdtEndPr/>
    <w:sdtContent>
      <w:p w14:paraId="659F22E1" w14:textId="77777777" w:rsidR="00DD6391" w:rsidRDefault="00CF2099">
        <w:pPr>
          <w:pStyle w:val="lfej"/>
          <w:jc w:val="center"/>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PAGE \* MERGEFORMAT</w:instrText>
        </w:r>
        <w:r>
          <w:rPr>
            <w:rFonts w:ascii="Times New Roman" w:hAnsi="Times New Roman" w:cs="Times New Roman"/>
            <w:sz w:val="18"/>
            <w:szCs w:val="18"/>
          </w:rPr>
          <w:fldChar w:fldCharType="separate"/>
        </w:r>
        <w:r>
          <w:rPr>
            <w:rFonts w:ascii="Times New Roman" w:hAnsi="Times New Roman" w:cs="Times New Roman"/>
            <w:noProof/>
            <w:sz w:val="18"/>
            <w:szCs w:val="18"/>
          </w:rPr>
          <w:t>15</w:t>
        </w:r>
        <w:r>
          <w:rPr>
            <w:rFonts w:ascii="Times New Roman" w:hAnsi="Times New Roman" w:cs="Times New Roman"/>
            <w:sz w:val="18"/>
            <w:szCs w:val="18"/>
          </w:rPr>
          <w:fldChar w:fldCharType="end"/>
        </w:r>
      </w:p>
    </w:sdtContent>
  </w:sdt>
  <w:p w14:paraId="250A0940" w14:textId="77777777" w:rsidR="00DD6391" w:rsidRDefault="00DD6391">
    <w:pPr>
      <w:pStyle w:val="lfej"/>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54A6" w14:textId="696183F8" w:rsidR="00DD6391" w:rsidRDefault="00DD6391" w:rsidP="006B6D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imSun" w:hAnsi="SimSun" w:hint="default"/>
      </w:rPr>
    </w:lvl>
    <w:lvl w:ilvl="1" w:tplc="04090003" w:tentative="1">
      <w:start w:val="1"/>
      <w:numFmt w:val="bullet"/>
      <w:pStyle w:val="Cmsor2"/>
      <w:lvlText w:val="o"/>
      <w:lvlJc w:val="left"/>
      <w:pPr>
        <w:tabs>
          <w:tab w:val="num" w:pos="1080"/>
        </w:tabs>
        <w:ind w:left="1080" w:hanging="360"/>
      </w:pPr>
      <w:rPr>
        <w:rFonts w:ascii="StarSymbol" w:hAnsi="StarSymbol" w:hint="default"/>
      </w:rPr>
    </w:lvl>
    <w:lvl w:ilvl="2" w:tplc="04090005" w:tentative="1">
      <w:start w:val="1"/>
      <w:numFmt w:val="bullet"/>
      <w:pStyle w:val="Cmsor3"/>
      <w:lvlText w:val=""/>
      <w:lvlJc w:val="left"/>
      <w:pPr>
        <w:tabs>
          <w:tab w:val="num" w:pos="1800"/>
        </w:tabs>
        <w:ind w:left="1800" w:hanging="360"/>
      </w:pPr>
      <w:rPr>
        <w:rFonts w:ascii="Courier New" w:hAnsi="Courier New" w:hint="default"/>
      </w:rPr>
    </w:lvl>
    <w:lvl w:ilvl="3" w:tplc="04090001" w:tentative="1">
      <w:start w:val="1"/>
      <w:numFmt w:val="bullet"/>
      <w:pStyle w:val="Cmsor4"/>
      <w:lvlText w:val=""/>
      <w:lvlJc w:val="left"/>
      <w:pPr>
        <w:tabs>
          <w:tab w:val="num" w:pos="2520"/>
        </w:tabs>
        <w:ind w:left="2520" w:hanging="360"/>
      </w:pPr>
      <w:rPr>
        <w:rFonts w:ascii="SimSun" w:hAnsi="SimSun" w:hint="default"/>
      </w:rPr>
    </w:lvl>
    <w:lvl w:ilvl="4" w:tplc="04090003" w:tentative="1">
      <w:start w:val="1"/>
      <w:numFmt w:val="bullet"/>
      <w:pStyle w:val="Cmsor5"/>
      <w:lvlText w:val="o"/>
      <w:lvlJc w:val="left"/>
      <w:pPr>
        <w:tabs>
          <w:tab w:val="num" w:pos="3240"/>
        </w:tabs>
        <w:ind w:left="3240" w:hanging="360"/>
      </w:pPr>
      <w:rPr>
        <w:rFonts w:ascii="StarSymbol" w:hAnsi="StarSymbol" w:hint="default"/>
      </w:rPr>
    </w:lvl>
    <w:lvl w:ilvl="5" w:tplc="04090005" w:tentative="1">
      <w:start w:val="1"/>
      <w:numFmt w:val="bullet"/>
      <w:pStyle w:val="Cmsor6"/>
      <w:lvlText w:val=""/>
      <w:lvlJc w:val="left"/>
      <w:pPr>
        <w:tabs>
          <w:tab w:val="num" w:pos="3960"/>
        </w:tabs>
        <w:ind w:left="3960" w:hanging="360"/>
      </w:pPr>
      <w:rPr>
        <w:rFonts w:ascii="Courier New" w:hAnsi="Courier New" w:hint="default"/>
      </w:rPr>
    </w:lvl>
    <w:lvl w:ilvl="6" w:tplc="04090001" w:tentative="1">
      <w:start w:val="1"/>
      <w:numFmt w:val="bullet"/>
      <w:pStyle w:val="Cmsor7"/>
      <w:lvlText w:val=""/>
      <w:lvlJc w:val="left"/>
      <w:pPr>
        <w:tabs>
          <w:tab w:val="num" w:pos="4680"/>
        </w:tabs>
        <w:ind w:left="4680" w:hanging="360"/>
      </w:pPr>
      <w:rPr>
        <w:rFonts w:ascii="SimSun" w:hAnsi="SimSun" w:hint="default"/>
      </w:rPr>
    </w:lvl>
    <w:lvl w:ilvl="7" w:tplc="04090003" w:tentative="1">
      <w:start w:val="1"/>
      <w:numFmt w:val="bullet"/>
      <w:pStyle w:val="Cmsor8"/>
      <w:lvlText w:val="o"/>
      <w:lvlJc w:val="left"/>
      <w:pPr>
        <w:tabs>
          <w:tab w:val="num" w:pos="5400"/>
        </w:tabs>
        <w:ind w:left="5400" w:hanging="360"/>
      </w:pPr>
      <w:rPr>
        <w:rFonts w:ascii="StarSymbol" w:hAnsi="StarSymbol" w:hint="default"/>
      </w:rPr>
    </w:lvl>
    <w:lvl w:ilvl="8" w:tplc="04090005" w:tentative="1">
      <w:start w:val="1"/>
      <w:numFmt w:val="bullet"/>
      <w:pStyle w:val="Cmsor9"/>
      <w:lvlText w:val=""/>
      <w:lvlJc w:val="left"/>
      <w:pPr>
        <w:tabs>
          <w:tab w:val="num" w:pos="6120"/>
        </w:tabs>
        <w:ind w:left="6120" w:hanging="360"/>
      </w:pPr>
      <w:rPr>
        <w:rFonts w:ascii="Courier New" w:hAnsi="Courier New" w:hint="default"/>
      </w:rPr>
    </w:lvl>
  </w:abstractNum>
  <w:abstractNum w:abstractNumId="1" w15:restartNumberingAfterBreak="0">
    <w:nsid w:val="103D17D8"/>
    <w:multiLevelType w:val="hybridMultilevel"/>
    <w:tmpl w:val="5B0EA8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StarSymbol" w:hAnsi="StarSymbol" w:cs="StarSymbol" w:hint="default"/>
      </w:rPr>
    </w:lvl>
    <w:lvl w:ilvl="2" w:tplc="040E0005" w:tentative="1">
      <w:start w:val="1"/>
      <w:numFmt w:val="bullet"/>
      <w:lvlText w:val=""/>
      <w:lvlJc w:val="left"/>
      <w:pPr>
        <w:ind w:left="2160" w:hanging="360"/>
      </w:pPr>
      <w:rPr>
        <w:rFonts w:ascii="Courier New" w:hAnsi="Courier New" w:hint="default"/>
      </w:rPr>
    </w:lvl>
    <w:lvl w:ilvl="3" w:tplc="040E0001" w:tentative="1">
      <w:start w:val="1"/>
      <w:numFmt w:val="bullet"/>
      <w:lvlText w:val=""/>
      <w:lvlJc w:val="left"/>
      <w:pPr>
        <w:ind w:left="2880" w:hanging="360"/>
      </w:pPr>
      <w:rPr>
        <w:rFonts w:ascii="SimSun" w:hAnsi="SimSun" w:hint="default"/>
      </w:rPr>
    </w:lvl>
    <w:lvl w:ilvl="4" w:tplc="040E0003" w:tentative="1">
      <w:start w:val="1"/>
      <w:numFmt w:val="bullet"/>
      <w:lvlText w:val="o"/>
      <w:lvlJc w:val="left"/>
      <w:pPr>
        <w:ind w:left="3600" w:hanging="360"/>
      </w:pPr>
      <w:rPr>
        <w:rFonts w:ascii="StarSymbol" w:hAnsi="StarSymbol" w:cs="StarSymbol" w:hint="default"/>
      </w:rPr>
    </w:lvl>
    <w:lvl w:ilvl="5" w:tplc="040E0005" w:tentative="1">
      <w:start w:val="1"/>
      <w:numFmt w:val="bullet"/>
      <w:lvlText w:val=""/>
      <w:lvlJc w:val="left"/>
      <w:pPr>
        <w:ind w:left="4320" w:hanging="360"/>
      </w:pPr>
      <w:rPr>
        <w:rFonts w:ascii="Courier New" w:hAnsi="Courier New" w:hint="default"/>
      </w:rPr>
    </w:lvl>
    <w:lvl w:ilvl="6" w:tplc="040E0001" w:tentative="1">
      <w:start w:val="1"/>
      <w:numFmt w:val="bullet"/>
      <w:lvlText w:val=""/>
      <w:lvlJc w:val="left"/>
      <w:pPr>
        <w:ind w:left="5040" w:hanging="360"/>
      </w:pPr>
      <w:rPr>
        <w:rFonts w:ascii="SimSun" w:hAnsi="SimSun" w:hint="default"/>
      </w:rPr>
    </w:lvl>
    <w:lvl w:ilvl="7" w:tplc="040E0003" w:tentative="1">
      <w:start w:val="1"/>
      <w:numFmt w:val="bullet"/>
      <w:lvlText w:val="o"/>
      <w:lvlJc w:val="left"/>
      <w:pPr>
        <w:ind w:left="5760" w:hanging="360"/>
      </w:pPr>
      <w:rPr>
        <w:rFonts w:ascii="StarSymbol" w:hAnsi="StarSymbol" w:cs="StarSymbol" w:hint="default"/>
      </w:rPr>
    </w:lvl>
    <w:lvl w:ilvl="8" w:tplc="040E0005" w:tentative="1">
      <w:start w:val="1"/>
      <w:numFmt w:val="bullet"/>
      <w:lvlText w:val=""/>
      <w:lvlJc w:val="left"/>
      <w:pPr>
        <w:ind w:left="6480" w:hanging="360"/>
      </w:pPr>
      <w:rPr>
        <w:rFonts w:ascii="Courier New" w:hAnsi="Courier New" w:hint="default"/>
      </w:rPr>
    </w:lvl>
  </w:abstractNum>
  <w:num w:numId="1" w16cid:durableId="1525094049">
    <w:abstractNumId w:val="1"/>
  </w:num>
  <w:num w:numId="2" w16cid:durableId="1837258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1B46"/>
    <w:rsid w:val="000033DB"/>
    <w:rsid w:val="000034D7"/>
    <w:rsid w:val="0000362A"/>
    <w:rsid w:val="00005701"/>
    <w:rsid w:val="00006494"/>
    <w:rsid w:val="00007528"/>
    <w:rsid w:val="0001084F"/>
    <w:rsid w:val="0001164F"/>
    <w:rsid w:val="000121D6"/>
    <w:rsid w:val="000150D3"/>
    <w:rsid w:val="000166C1"/>
    <w:rsid w:val="000177FF"/>
    <w:rsid w:val="00020AE8"/>
    <w:rsid w:val="00023F29"/>
    <w:rsid w:val="00025EBE"/>
    <w:rsid w:val="000276F4"/>
    <w:rsid w:val="00030445"/>
    <w:rsid w:val="0003113C"/>
    <w:rsid w:val="000318C7"/>
    <w:rsid w:val="00033FDB"/>
    <w:rsid w:val="00034204"/>
    <w:rsid w:val="000344F6"/>
    <w:rsid w:val="00036493"/>
    <w:rsid w:val="00042263"/>
    <w:rsid w:val="000422C9"/>
    <w:rsid w:val="00043F0F"/>
    <w:rsid w:val="00044042"/>
    <w:rsid w:val="00044F37"/>
    <w:rsid w:val="00046DCE"/>
    <w:rsid w:val="000474D2"/>
    <w:rsid w:val="00047617"/>
    <w:rsid w:val="000479C5"/>
    <w:rsid w:val="00050DFD"/>
    <w:rsid w:val="000515F8"/>
    <w:rsid w:val="00053809"/>
    <w:rsid w:val="000538C2"/>
    <w:rsid w:val="00053914"/>
    <w:rsid w:val="00053EFA"/>
    <w:rsid w:val="00054756"/>
    <w:rsid w:val="000560C5"/>
    <w:rsid w:val="00056833"/>
    <w:rsid w:val="00056C49"/>
    <w:rsid w:val="00056FE0"/>
    <w:rsid w:val="000603C8"/>
    <w:rsid w:val="00060656"/>
    <w:rsid w:val="000608A4"/>
    <w:rsid w:val="00060AA1"/>
    <w:rsid w:val="00061755"/>
    <w:rsid w:val="0006247C"/>
    <w:rsid w:val="000631FD"/>
    <w:rsid w:val="00064B60"/>
    <w:rsid w:val="00065928"/>
    <w:rsid w:val="00067368"/>
    <w:rsid w:val="0007089B"/>
    <w:rsid w:val="00070B1E"/>
    <w:rsid w:val="00071071"/>
    <w:rsid w:val="000719D7"/>
    <w:rsid w:val="00071F8A"/>
    <w:rsid w:val="0007222A"/>
    <w:rsid w:val="00073E04"/>
    <w:rsid w:val="0007622D"/>
    <w:rsid w:val="0007628D"/>
    <w:rsid w:val="00076A9B"/>
    <w:rsid w:val="00077267"/>
    <w:rsid w:val="0007752B"/>
    <w:rsid w:val="00080AB8"/>
    <w:rsid w:val="000813DE"/>
    <w:rsid w:val="00081DAB"/>
    <w:rsid w:val="0008235E"/>
    <w:rsid w:val="00082A8E"/>
    <w:rsid w:val="0008503D"/>
    <w:rsid w:val="000855CA"/>
    <w:rsid w:val="0009351E"/>
    <w:rsid w:val="0009479A"/>
    <w:rsid w:val="00095E44"/>
    <w:rsid w:val="00096636"/>
    <w:rsid w:val="0009755A"/>
    <w:rsid w:val="000A1232"/>
    <w:rsid w:val="000A13DB"/>
    <w:rsid w:val="000A13ED"/>
    <w:rsid w:val="000A3E12"/>
    <w:rsid w:val="000A6799"/>
    <w:rsid w:val="000B0097"/>
    <w:rsid w:val="000B101F"/>
    <w:rsid w:val="000B1F4B"/>
    <w:rsid w:val="000B24EE"/>
    <w:rsid w:val="000B2F1D"/>
    <w:rsid w:val="000B2F27"/>
    <w:rsid w:val="000B2F58"/>
    <w:rsid w:val="000B370D"/>
    <w:rsid w:val="000B3762"/>
    <w:rsid w:val="000B37A8"/>
    <w:rsid w:val="000B51D9"/>
    <w:rsid w:val="000B6240"/>
    <w:rsid w:val="000C1738"/>
    <w:rsid w:val="000C308F"/>
    <w:rsid w:val="000C57C1"/>
    <w:rsid w:val="000C5A4E"/>
    <w:rsid w:val="000C61DE"/>
    <w:rsid w:val="000C635D"/>
    <w:rsid w:val="000C700C"/>
    <w:rsid w:val="000C7CF7"/>
    <w:rsid w:val="000C7F49"/>
    <w:rsid w:val="000D1949"/>
    <w:rsid w:val="000D1AEE"/>
    <w:rsid w:val="000D1F4F"/>
    <w:rsid w:val="000D3427"/>
    <w:rsid w:val="000D3919"/>
    <w:rsid w:val="000D4D07"/>
    <w:rsid w:val="000D586A"/>
    <w:rsid w:val="000D7535"/>
    <w:rsid w:val="000E0192"/>
    <w:rsid w:val="000E163C"/>
    <w:rsid w:val="000E165D"/>
    <w:rsid w:val="000E1BAF"/>
    <w:rsid w:val="000E223E"/>
    <w:rsid w:val="000E2491"/>
    <w:rsid w:val="000E26F0"/>
    <w:rsid w:val="000E2EA9"/>
    <w:rsid w:val="000E4086"/>
    <w:rsid w:val="000E46A3"/>
    <w:rsid w:val="000E5726"/>
    <w:rsid w:val="000E6C94"/>
    <w:rsid w:val="000F1BB2"/>
    <w:rsid w:val="000F314E"/>
    <w:rsid w:val="000F3495"/>
    <w:rsid w:val="000F3F94"/>
    <w:rsid w:val="000F42F8"/>
    <w:rsid w:val="00100623"/>
    <w:rsid w:val="00101CAD"/>
    <w:rsid w:val="001029F0"/>
    <w:rsid w:val="00103501"/>
    <w:rsid w:val="00103B2D"/>
    <w:rsid w:val="00103CD2"/>
    <w:rsid w:val="00104061"/>
    <w:rsid w:val="0010442C"/>
    <w:rsid w:val="00105844"/>
    <w:rsid w:val="00107236"/>
    <w:rsid w:val="001101A2"/>
    <w:rsid w:val="001106F7"/>
    <w:rsid w:val="001115C3"/>
    <w:rsid w:val="00111F79"/>
    <w:rsid w:val="00112EDA"/>
    <w:rsid w:val="00114174"/>
    <w:rsid w:val="0011450D"/>
    <w:rsid w:val="001147B8"/>
    <w:rsid w:val="00117C1D"/>
    <w:rsid w:val="00122AD8"/>
    <w:rsid w:val="00122D14"/>
    <w:rsid w:val="00122D9F"/>
    <w:rsid w:val="00123688"/>
    <w:rsid w:val="00124CAB"/>
    <w:rsid w:val="00125ADF"/>
    <w:rsid w:val="00127562"/>
    <w:rsid w:val="00127C1D"/>
    <w:rsid w:val="001301C2"/>
    <w:rsid w:val="00131748"/>
    <w:rsid w:val="0013266B"/>
    <w:rsid w:val="00132780"/>
    <w:rsid w:val="00132AEB"/>
    <w:rsid w:val="00133366"/>
    <w:rsid w:val="00133572"/>
    <w:rsid w:val="001354A7"/>
    <w:rsid w:val="00135814"/>
    <w:rsid w:val="0013601F"/>
    <w:rsid w:val="00136D7A"/>
    <w:rsid w:val="00141470"/>
    <w:rsid w:val="00141540"/>
    <w:rsid w:val="0014390E"/>
    <w:rsid w:val="00143AD5"/>
    <w:rsid w:val="001449DF"/>
    <w:rsid w:val="0014569B"/>
    <w:rsid w:val="00151BA4"/>
    <w:rsid w:val="00151E9D"/>
    <w:rsid w:val="00152F3B"/>
    <w:rsid w:val="00153CAE"/>
    <w:rsid w:val="0015704C"/>
    <w:rsid w:val="00161E87"/>
    <w:rsid w:val="00162EDD"/>
    <w:rsid w:val="00163D6C"/>
    <w:rsid w:val="0016408F"/>
    <w:rsid w:val="0016566C"/>
    <w:rsid w:val="0016677E"/>
    <w:rsid w:val="001719F1"/>
    <w:rsid w:val="0017265B"/>
    <w:rsid w:val="001727F0"/>
    <w:rsid w:val="0017288F"/>
    <w:rsid w:val="00172B06"/>
    <w:rsid w:val="001752D8"/>
    <w:rsid w:val="00175931"/>
    <w:rsid w:val="00176B25"/>
    <w:rsid w:val="0017790B"/>
    <w:rsid w:val="0018224D"/>
    <w:rsid w:val="0018238B"/>
    <w:rsid w:val="00183419"/>
    <w:rsid w:val="0018394A"/>
    <w:rsid w:val="001849DB"/>
    <w:rsid w:val="00185361"/>
    <w:rsid w:val="00186A9D"/>
    <w:rsid w:val="001874A6"/>
    <w:rsid w:val="0018765B"/>
    <w:rsid w:val="00190913"/>
    <w:rsid w:val="00191008"/>
    <w:rsid w:val="00191C0D"/>
    <w:rsid w:val="00195F65"/>
    <w:rsid w:val="001A07E2"/>
    <w:rsid w:val="001A1EEE"/>
    <w:rsid w:val="001A2018"/>
    <w:rsid w:val="001A757B"/>
    <w:rsid w:val="001B01C8"/>
    <w:rsid w:val="001B0DDB"/>
    <w:rsid w:val="001B13F6"/>
    <w:rsid w:val="001B1747"/>
    <w:rsid w:val="001B1B4E"/>
    <w:rsid w:val="001B2D44"/>
    <w:rsid w:val="001B3E91"/>
    <w:rsid w:val="001B46D1"/>
    <w:rsid w:val="001B73E2"/>
    <w:rsid w:val="001B752A"/>
    <w:rsid w:val="001C35E9"/>
    <w:rsid w:val="001C36BD"/>
    <w:rsid w:val="001C3733"/>
    <w:rsid w:val="001C4025"/>
    <w:rsid w:val="001C5B30"/>
    <w:rsid w:val="001C5FE2"/>
    <w:rsid w:val="001C6502"/>
    <w:rsid w:val="001C6E07"/>
    <w:rsid w:val="001D2560"/>
    <w:rsid w:val="001D312C"/>
    <w:rsid w:val="001D3C05"/>
    <w:rsid w:val="001D3D28"/>
    <w:rsid w:val="001D47C1"/>
    <w:rsid w:val="001D52E3"/>
    <w:rsid w:val="001D6A28"/>
    <w:rsid w:val="001D6AF4"/>
    <w:rsid w:val="001E0CC1"/>
    <w:rsid w:val="001E1CD5"/>
    <w:rsid w:val="001E268E"/>
    <w:rsid w:val="001E3CC0"/>
    <w:rsid w:val="001E4326"/>
    <w:rsid w:val="001E64BD"/>
    <w:rsid w:val="001E64D1"/>
    <w:rsid w:val="001E77C3"/>
    <w:rsid w:val="001E77F1"/>
    <w:rsid w:val="001F090B"/>
    <w:rsid w:val="001F100B"/>
    <w:rsid w:val="001F180A"/>
    <w:rsid w:val="001F1A28"/>
    <w:rsid w:val="001F35E8"/>
    <w:rsid w:val="001F38F9"/>
    <w:rsid w:val="001F4014"/>
    <w:rsid w:val="001F445E"/>
    <w:rsid w:val="0020024D"/>
    <w:rsid w:val="00201213"/>
    <w:rsid w:val="00201323"/>
    <w:rsid w:val="002014D4"/>
    <w:rsid w:val="0020165E"/>
    <w:rsid w:val="00202E50"/>
    <w:rsid w:val="00205180"/>
    <w:rsid w:val="002064FD"/>
    <w:rsid w:val="00206B34"/>
    <w:rsid w:val="00207F81"/>
    <w:rsid w:val="002109F4"/>
    <w:rsid w:val="00211B2E"/>
    <w:rsid w:val="00211FDA"/>
    <w:rsid w:val="002160C2"/>
    <w:rsid w:val="00216753"/>
    <w:rsid w:val="00217C97"/>
    <w:rsid w:val="0022174E"/>
    <w:rsid w:val="00222A96"/>
    <w:rsid w:val="00222BB9"/>
    <w:rsid w:val="002258D6"/>
    <w:rsid w:val="00225A8F"/>
    <w:rsid w:val="00226DFC"/>
    <w:rsid w:val="002274FB"/>
    <w:rsid w:val="002309D2"/>
    <w:rsid w:val="0023315B"/>
    <w:rsid w:val="002347FE"/>
    <w:rsid w:val="00234BF5"/>
    <w:rsid w:val="00235DA3"/>
    <w:rsid w:val="0023680E"/>
    <w:rsid w:val="0024178D"/>
    <w:rsid w:val="002421D4"/>
    <w:rsid w:val="00242807"/>
    <w:rsid w:val="00243F6B"/>
    <w:rsid w:val="00245DCF"/>
    <w:rsid w:val="00246C65"/>
    <w:rsid w:val="002522AC"/>
    <w:rsid w:val="0025261B"/>
    <w:rsid w:val="00252F0F"/>
    <w:rsid w:val="002542A8"/>
    <w:rsid w:val="00257942"/>
    <w:rsid w:val="00260A11"/>
    <w:rsid w:val="00260EC2"/>
    <w:rsid w:val="0026169A"/>
    <w:rsid w:val="00262763"/>
    <w:rsid w:val="002643AC"/>
    <w:rsid w:val="00264BEA"/>
    <w:rsid w:val="00270113"/>
    <w:rsid w:val="00271032"/>
    <w:rsid w:val="00272E78"/>
    <w:rsid w:val="00273C1C"/>
    <w:rsid w:val="00273E3E"/>
    <w:rsid w:val="00274147"/>
    <w:rsid w:val="00274519"/>
    <w:rsid w:val="00275189"/>
    <w:rsid w:val="002756DC"/>
    <w:rsid w:val="00276437"/>
    <w:rsid w:val="0028063F"/>
    <w:rsid w:val="00280740"/>
    <w:rsid w:val="0028282C"/>
    <w:rsid w:val="00283B02"/>
    <w:rsid w:val="00283C5D"/>
    <w:rsid w:val="00283D5A"/>
    <w:rsid w:val="002844B0"/>
    <w:rsid w:val="00284AEE"/>
    <w:rsid w:val="00284F6C"/>
    <w:rsid w:val="00285586"/>
    <w:rsid w:val="00286322"/>
    <w:rsid w:val="00290C3B"/>
    <w:rsid w:val="00291607"/>
    <w:rsid w:val="0029347B"/>
    <w:rsid w:val="00296C1F"/>
    <w:rsid w:val="002A0566"/>
    <w:rsid w:val="002A0C34"/>
    <w:rsid w:val="002A1B59"/>
    <w:rsid w:val="002A41E6"/>
    <w:rsid w:val="002A5250"/>
    <w:rsid w:val="002A7C47"/>
    <w:rsid w:val="002B0455"/>
    <w:rsid w:val="002B09DD"/>
    <w:rsid w:val="002B2090"/>
    <w:rsid w:val="002B2BEE"/>
    <w:rsid w:val="002B2F76"/>
    <w:rsid w:val="002B35C5"/>
    <w:rsid w:val="002B3935"/>
    <w:rsid w:val="002B406A"/>
    <w:rsid w:val="002B41D4"/>
    <w:rsid w:val="002B543F"/>
    <w:rsid w:val="002B7D73"/>
    <w:rsid w:val="002C06E3"/>
    <w:rsid w:val="002C0801"/>
    <w:rsid w:val="002C33B3"/>
    <w:rsid w:val="002C440A"/>
    <w:rsid w:val="002C44B0"/>
    <w:rsid w:val="002C4E07"/>
    <w:rsid w:val="002C676D"/>
    <w:rsid w:val="002C69DA"/>
    <w:rsid w:val="002C7331"/>
    <w:rsid w:val="002C77C2"/>
    <w:rsid w:val="002D0586"/>
    <w:rsid w:val="002D0964"/>
    <w:rsid w:val="002D1023"/>
    <w:rsid w:val="002D1459"/>
    <w:rsid w:val="002D1470"/>
    <w:rsid w:val="002D1F2D"/>
    <w:rsid w:val="002D21CF"/>
    <w:rsid w:val="002D4705"/>
    <w:rsid w:val="002D4A0F"/>
    <w:rsid w:val="002D59A7"/>
    <w:rsid w:val="002D5B65"/>
    <w:rsid w:val="002D6396"/>
    <w:rsid w:val="002D7E0F"/>
    <w:rsid w:val="002D7E5E"/>
    <w:rsid w:val="002E07AC"/>
    <w:rsid w:val="002E07EF"/>
    <w:rsid w:val="002E0D06"/>
    <w:rsid w:val="002E0F9E"/>
    <w:rsid w:val="002E1933"/>
    <w:rsid w:val="002E4E94"/>
    <w:rsid w:val="002E6D53"/>
    <w:rsid w:val="002E7DDC"/>
    <w:rsid w:val="002F1F28"/>
    <w:rsid w:val="002F426D"/>
    <w:rsid w:val="002F43CA"/>
    <w:rsid w:val="002F4657"/>
    <w:rsid w:val="002F57AA"/>
    <w:rsid w:val="002F714C"/>
    <w:rsid w:val="002F77BF"/>
    <w:rsid w:val="003004A2"/>
    <w:rsid w:val="00301D9A"/>
    <w:rsid w:val="00302993"/>
    <w:rsid w:val="00303DD5"/>
    <w:rsid w:val="003046D6"/>
    <w:rsid w:val="003062F8"/>
    <w:rsid w:val="003106CF"/>
    <w:rsid w:val="00310764"/>
    <w:rsid w:val="00310D54"/>
    <w:rsid w:val="00320203"/>
    <w:rsid w:val="00321D53"/>
    <w:rsid w:val="00322002"/>
    <w:rsid w:val="00322475"/>
    <w:rsid w:val="00323890"/>
    <w:rsid w:val="00324129"/>
    <w:rsid w:val="003247B0"/>
    <w:rsid w:val="003252DB"/>
    <w:rsid w:val="00325E81"/>
    <w:rsid w:val="00332491"/>
    <w:rsid w:val="00332E57"/>
    <w:rsid w:val="0033486D"/>
    <w:rsid w:val="003367C4"/>
    <w:rsid w:val="00336D8E"/>
    <w:rsid w:val="003376B3"/>
    <w:rsid w:val="00342AD6"/>
    <w:rsid w:val="00345EDE"/>
    <w:rsid w:val="003476EF"/>
    <w:rsid w:val="00347776"/>
    <w:rsid w:val="00351453"/>
    <w:rsid w:val="00351A91"/>
    <w:rsid w:val="003520C4"/>
    <w:rsid w:val="003533AE"/>
    <w:rsid w:val="00355E14"/>
    <w:rsid w:val="003563B1"/>
    <w:rsid w:val="00361280"/>
    <w:rsid w:val="003615F1"/>
    <w:rsid w:val="00361A6E"/>
    <w:rsid w:val="00362983"/>
    <w:rsid w:val="003638D1"/>
    <w:rsid w:val="00363D7F"/>
    <w:rsid w:val="0036427B"/>
    <w:rsid w:val="00364D2A"/>
    <w:rsid w:val="00366A58"/>
    <w:rsid w:val="00367C66"/>
    <w:rsid w:val="0037233D"/>
    <w:rsid w:val="003728DD"/>
    <w:rsid w:val="003736B2"/>
    <w:rsid w:val="003736EF"/>
    <w:rsid w:val="003737E3"/>
    <w:rsid w:val="00374F4A"/>
    <w:rsid w:val="003777FB"/>
    <w:rsid w:val="00380D80"/>
    <w:rsid w:val="00381E38"/>
    <w:rsid w:val="00385A7E"/>
    <w:rsid w:val="00386C66"/>
    <w:rsid w:val="003878DF"/>
    <w:rsid w:val="003906F8"/>
    <w:rsid w:val="00392D9D"/>
    <w:rsid w:val="003935EE"/>
    <w:rsid w:val="0039408A"/>
    <w:rsid w:val="00394A3E"/>
    <w:rsid w:val="0039673D"/>
    <w:rsid w:val="003972F1"/>
    <w:rsid w:val="00397893"/>
    <w:rsid w:val="00397F4B"/>
    <w:rsid w:val="003A091D"/>
    <w:rsid w:val="003A2CF0"/>
    <w:rsid w:val="003A31F0"/>
    <w:rsid w:val="003A3359"/>
    <w:rsid w:val="003A33C4"/>
    <w:rsid w:val="003A33D3"/>
    <w:rsid w:val="003A3880"/>
    <w:rsid w:val="003A3EB6"/>
    <w:rsid w:val="003A5BC5"/>
    <w:rsid w:val="003A5D55"/>
    <w:rsid w:val="003A75E6"/>
    <w:rsid w:val="003B22C6"/>
    <w:rsid w:val="003B255B"/>
    <w:rsid w:val="003B3317"/>
    <w:rsid w:val="003B52D4"/>
    <w:rsid w:val="003B5947"/>
    <w:rsid w:val="003B5AD5"/>
    <w:rsid w:val="003B7747"/>
    <w:rsid w:val="003B774A"/>
    <w:rsid w:val="003C0DE6"/>
    <w:rsid w:val="003C1CA5"/>
    <w:rsid w:val="003C1EC7"/>
    <w:rsid w:val="003C3BDE"/>
    <w:rsid w:val="003C51E9"/>
    <w:rsid w:val="003C64A0"/>
    <w:rsid w:val="003C672A"/>
    <w:rsid w:val="003C7BA3"/>
    <w:rsid w:val="003D21C8"/>
    <w:rsid w:val="003D2303"/>
    <w:rsid w:val="003D3AF0"/>
    <w:rsid w:val="003D4015"/>
    <w:rsid w:val="003D4E9C"/>
    <w:rsid w:val="003E038E"/>
    <w:rsid w:val="003E0D78"/>
    <w:rsid w:val="003E3277"/>
    <w:rsid w:val="003E3548"/>
    <w:rsid w:val="003E3A1D"/>
    <w:rsid w:val="003E6CA0"/>
    <w:rsid w:val="003F2FDE"/>
    <w:rsid w:val="003F330B"/>
    <w:rsid w:val="003F5756"/>
    <w:rsid w:val="003F6FDF"/>
    <w:rsid w:val="004016F5"/>
    <w:rsid w:val="00402FF6"/>
    <w:rsid w:val="004045AA"/>
    <w:rsid w:val="00404A0D"/>
    <w:rsid w:val="00405229"/>
    <w:rsid w:val="00405CC9"/>
    <w:rsid w:val="00410E7D"/>
    <w:rsid w:val="004138DE"/>
    <w:rsid w:val="00414B2F"/>
    <w:rsid w:val="00415E58"/>
    <w:rsid w:val="00416231"/>
    <w:rsid w:val="0041635F"/>
    <w:rsid w:val="0041687A"/>
    <w:rsid w:val="004179C1"/>
    <w:rsid w:val="0042068E"/>
    <w:rsid w:val="004208AB"/>
    <w:rsid w:val="004219EF"/>
    <w:rsid w:val="00422A69"/>
    <w:rsid w:val="0042446D"/>
    <w:rsid w:val="00426CD9"/>
    <w:rsid w:val="00430FEB"/>
    <w:rsid w:val="004310EE"/>
    <w:rsid w:val="00433677"/>
    <w:rsid w:val="00433DCE"/>
    <w:rsid w:val="004340D5"/>
    <w:rsid w:val="00434880"/>
    <w:rsid w:val="004359A0"/>
    <w:rsid w:val="00437B9B"/>
    <w:rsid w:val="004406C1"/>
    <w:rsid w:val="00440FC3"/>
    <w:rsid w:val="00442C1B"/>
    <w:rsid w:val="00445B16"/>
    <w:rsid w:val="004460E9"/>
    <w:rsid w:val="00447435"/>
    <w:rsid w:val="00447B6F"/>
    <w:rsid w:val="00453C11"/>
    <w:rsid w:val="004557B0"/>
    <w:rsid w:val="00457946"/>
    <w:rsid w:val="00457BB9"/>
    <w:rsid w:val="00457D8B"/>
    <w:rsid w:val="00460A17"/>
    <w:rsid w:val="004648A3"/>
    <w:rsid w:val="00464B3D"/>
    <w:rsid w:val="00470CB5"/>
    <w:rsid w:val="004711BC"/>
    <w:rsid w:val="00471EAB"/>
    <w:rsid w:val="004721FD"/>
    <w:rsid w:val="004723EE"/>
    <w:rsid w:val="0047451B"/>
    <w:rsid w:val="00475A92"/>
    <w:rsid w:val="00477BB9"/>
    <w:rsid w:val="00477FC7"/>
    <w:rsid w:val="00484793"/>
    <w:rsid w:val="00487366"/>
    <w:rsid w:val="004873E4"/>
    <w:rsid w:val="0049072C"/>
    <w:rsid w:val="00490EC8"/>
    <w:rsid w:val="00490FD1"/>
    <w:rsid w:val="0049122E"/>
    <w:rsid w:val="00491AD2"/>
    <w:rsid w:val="004935C0"/>
    <w:rsid w:val="00493B43"/>
    <w:rsid w:val="00494EB1"/>
    <w:rsid w:val="00494F35"/>
    <w:rsid w:val="004958FB"/>
    <w:rsid w:val="00496414"/>
    <w:rsid w:val="00497A38"/>
    <w:rsid w:val="00497F75"/>
    <w:rsid w:val="004A002C"/>
    <w:rsid w:val="004A2056"/>
    <w:rsid w:val="004A2690"/>
    <w:rsid w:val="004A3815"/>
    <w:rsid w:val="004A45BD"/>
    <w:rsid w:val="004A4656"/>
    <w:rsid w:val="004A77B0"/>
    <w:rsid w:val="004A7D6D"/>
    <w:rsid w:val="004B1CED"/>
    <w:rsid w:val="004B34A7"/>
    <w:rsid w:val="004B3B06"/>
    <w:rsid w:val="004B4643"/>
    <w:rsid w:val="004B4AD0"/>
    <w:rsid w:val="004B724E"/>
    <w:rsid w:val="004B76FB"/>
    <w:rsid w:val="004B7F67"/>
    <w:rsid w:val="004C1994"/>
    <w:rsid w:val="004C3B70"/>
    <w:rsid w:val="004C3C53"/>
    <w:rsid w:val="004D01A4"/>
    <w:rsid w:val="004D0809"/>
    <w:rsid w:val="004D4080"/>
    <w:rsid w:val="004E05FD"/>
    <w:rsid w:val="004E1A0D"/>
    <w:rsid w:val="004E23F5"/>
    <w:rsid w:val="004E4D60"/>
    <w:rsid w:val="004E55C0"/>
    <w:rsid w:val="004E63E5"/>
    <w:rsid w:val="004E6459"/>
    <w:rsid w:val="004E6B76"/>
    <w:rsid w:val="004E7BF4"/>
    <w:rsid w:val="004F3540"/>
    <w:rsid w:val="004F3AB1"/>
    <w:rsid w:val="004F5624"/>
    <w:rsid w:val="004F59B5"/>
    <w:rsid w:val="004F5DA4"/>
    <w:rsid w:val="004F6241"/>
    <w:rsid w:val="004F62B2"/>
    <w:rsid w:val="004F6424"/>
    <w:rsid w:val="005039E2"/>
    <w:rsid w:val="005040CD"/>
    <w:rsid w:val="00505229"/>
    <w:rsid w:val="00505EDB"/>
    <w:rsid w:val="00506D18"/>
    <w:rsid w:val="00507300"/>
    <w:rsid w:val="00507F98"/>
    <w:rsid w:val="005108A3"/>
    <w:rsid w:val="0051091F"/>
    <w:rsid w:val="00510F6E"/>
    <w:rsid w:val="005118AE"/>
    <w:rsid w:val="00512E4A"/>
    <w:rsid w:val="005151DA"/>
    <w:rsid w:val="0051587A"/>
    <w:rsid w:val="005158FA"/>
    <w:rsid w:val="005165AB"/>
    <w:rsid w:val="005169AD"/>
    <w:rsid w:val="00517983"/>
    <w:rsid w:val="005208B9"/>
    <w:rsid w:val="00520FE0"/>
    <w:rsid w:val="005221F0"/>
    <w:rsid w:val="00524807"/>
    <w:rsid w:val="00524D74"/>
    <w:rsid w:val="00525361"/>
    <w:rsid w:val="00525FF9"/>
    <w:rsid w:val="0053194C"/>
    <w:rsid w:val="00531D11"/>
    <w:rsid w:val="00532D3F"/>
    <w:rsid w:val="0053383B"/>
    <w:rsid w:val="0053386D"/>
    <w:rsid w:val="0053791F"/>
    <w:rsid w:val="005409F8"/>
    <w:rsid w:val="00545AEA"/>
    <w:rsid w:val="00547538"/>
    <w:rsid w:val="00551DD8"/>
    <w:rsid w:val="00553BFA"/>
    <w:rsid w:val="00553D8D"/>
    <w:rsid w:val="0055608E"/>
    <w:rsid w:val="00557755"/>
    <w:rsid w:val="0056077E"/>
    <w:rsid w:val="00561E41"/>
    <w:rsid w:val="005629EE"/>
    <w:rsid w:val="005648FA"/>
    <w:rsid w:val="00564D50"/>
    <w:rsid w:val="005655B6"/>
    <w:rsid w:val="00565AF2"/>
    <w:rsid w:val="00567346"/>
    <w:rsid w:val="00572982"/>
    <w:rsid w:val="0057371B"/>
    <w:rsid w:val="005737B4"/>
    <w:rsid w:val="005741B7"/>
    <w:rsid w:val="00574616"/>
    <w:rsid w:val="00574CDD"/>
    <w:rsid w:val="00574DB7"/>
    <w:rsid w:val="00575EB8"/>
    <w:rsid w:val="00582A9B"/>
    <w:rsid w:val="005832AB"/>
    <w:rsid w:val="0058437C"/>
    <w:rsid w:val="0058606E"/>
    <w:rsid w:val="00587706"/>
    <w:rsid w:val="005935F4"/>
    <w:rsid w:val="005A1875"/>
    <w:rsid w:val="005A346E"/>
    <w:rsid w:val="005A3D49"/>
    <w:rsid w:val="005A715D"/>
    <w:rsid w:val="005A73CF"/>
    <w:rsid w:val="005B14D5"/>
    <w:rsid w:val="005B409C"/>
    <w:rsid w:val="005B798B"/>
    <w:rsid w:val="005C1FAE"/>
    <w:rsid w:val="005C2162"/>
    <w:rsid w:val="005C39E8"/>
    <w:rsid w:val="005C5660"/>
    <w:rsid w:val="005D47F5"/>
    <w:rsid w:val="005D4B68"/>
    <w:rsid w:val="005D58D6"/>
    <w:rsid w:val="005D6B2D"/>
    <w:rsid w:val="005E11C1"/>
    <w:rsid w:val="005E2563"/>
    <w:rsid w:val="005E394C"/>
    <w:rsid w:val="005E42BF"/>
    <w:rsid w:val="005E4341"/>
    <w:rsid w:val="005E4E70"/>
    <w:rsid w:val="005E5CB1"/>
    <w:rsid w:val="005E65BB"/>
    <w:rsid w:val="005F0DA0"/>
    <w:rsid w:val="005F4914"/>
    <w:rsid w:val="005F6103"/>
    <w:rsid w:val="005F62B7"/>
    <w:rsid w:val="005F6869"/>
    <w:rsid w:val="005F6BB9"/>
    <w:rsid w:val="00603148"/>
    <w:rsid w:val="00604E42"/>
    <w:rsid w:val="00606FC7"/>
    <w:rsid w:val="0060762A"/>
    <w:rsid w:val="00610456"/>
    <w:rsid w:val="00611473"/>
    <w:rsid w:val="00611B36"/>
    <w:rsid w:val="00613A34"/>
    <w:rsid w:val="00613E52"/>
    <w:rsid w:val="00615ADA"/>
    <w:rsid w:val="00615CC5"/>
    <w:rsid w:val="006221CD"/>
    <w:rsid w:val="006237D8"/>
    <w:rsid w:val="006266A9"/>
    <w:rsid w:val="00630426"/>
    <w:rsid w:val="0063092E"/>
    <w:rsid w:val="00630C5F"/>
    <w:rsid w:val="006316C1"/>
    <w:rsid w:val="00631ED4"/>
    <w:rsid w:val="0063378D"/>
    <w:rsid w:val="00633BC7"/>
    <w:rsid w:val="006343B0"/>
    <w:rsid w:val="006348D2"/>
    <w:rsid w:val="00635E9C"/>
    <w:rsid w:val="00637163"/>
    <w:rsid w:val="00637B41"/>
    <w:rsid w:val="00640879"/>
    <w:rsid w:val="006414EE"/>
    <w:rsid w:val="00642D0A"/>
    <w:rsid w:val="00645A81"/>
    <w:rsid w:val="00646130"/>
    <w:rsid w:val="00646FE1"/>
    <w:rsid w:val="006470ED"/>
    <w:rsid w:val="00647E20"/>
    <w:rsid w:val="00660727"/>
    <w:rsid w:val="00661140"/>
    <w:rsid w:val="00665129"/>
    <w:rsid w:val="00667893"/>
    <w:rsid w:val="00670556"/>
    <w:rsid w:val="00670A3B"/>
    <w:rsid w:val="006710DD"/>
    <w:rsid w:val="006714D3"/>
    <w:rsid w:val="00673200"/>
    <w:rsid w:val="0067501E"/>
    <w:rsid w:val="00676F17"/>
    <w:rsid w:val="006773D2"/>
    <w:rsid w:val="00680204"/>
    <w:rsid w:val="00681A41"/>
    <w:rsid w:val="006821B2"/>
    <w:rsid w:val="00682EC4"/>
    <w:rsid w:val="006838C0"/>
    <w:rsid w:val="00685901"/>
    <w:rsid w:val="00685BB9"/>
    <w:rsid w:val="00685D08"/>
    <w:rsid w:val="0068605B"/>
    <w:rsid w:val="006879BC"/>
    <w:rsid w:val="00690127"/>
    <w:rsid w:val="00691BFF"/>
    <w:rsid w:val="00691ECB"/>
    <w:rsid w:val="00695227"/>
    <w:rsid w:val="006953C1"/>
    <w:rsid w:val="00696175"/>
    <w:rsid w:val="00696EB2"/>
    <w:rsid w:val="00697917"/>
    <w:rsid w:val="006A16E9"/>
    <w:rsid w:val="006A18FE"/>
    <w:rsid w:val="006A5450"/>
    <w:rsid w:val="006A56F7"/>
    <w:rsid w:val="006B0199"/>
    <w:rsid w:val="006B0A32"/>
    <w:rsid w:val="006B0BD8"/>
    <w:rsid w:val="006B1613"/>
    <w:rsid w:val="006B22A3"/>
    <w:rsid w:val="006B285F"/>
    <w:rsid w:val="006B3279"/>
    <w:rsid w:val="006B3977"/>
    <w:rsid w:val="006B4510"/>
    <w:rsid w:val="006B4A03"/>
    <w:rsid w:val="006B6D85"/>
    <w:rsid w:val="006B7663"/>
    <w:rsid w:val="006B769C"/>
    <w:rsid w:val="006B7CDB"/>
    <w:rsid w:val="006C0251"/>
    <w:rsid w:val="006C2B9A"/>
    <w:rsid w:val="006C38EA"/>
    <w:rsid w:val="006C39BB"/>
    <w:rsid w:val="006C4502"/>
    <w:rsid w:val="006C5D5D"/>
    <w:rsid w:val="006D159F"/>
    <w:rsid w:val="006D2F02"/>
    <w:rsid w:val="006D3583"/>
    <w:rsid w:val="006D5E91"/>
    <w:rsid w:val="006D75DA"/>
    <w:rsid w:val="006E14E6"/>
    <w:rsid w:val="006E1AEE"/>
    <w:rsid w:val="006E1F6F"/>
    <w:rsid w:val="006E23AC"/>
    <w:rsid w:val="006E3B9C"/>
    <w:rsid w:val="006E417F"/>
    <w:rsid w:val="006E51A2"/>
    <w:rsid w:val="006E67CF"/>
    <w:rsid w:val="006F0DE2"/>
    <w:rsid w:val="006F3495"/>
    <w:rsid w:val="006F417D"/>
    <w:rsid w:val="006F5C83"/>
    <w:rsid w:val="006F6078"/>
    <w:rsid w:val="006F67CC"/>
    <w:rsid w:val="006F7017"/>
    <w:rsid w:val="00700A59"/>
    <w:rsid w:val="00701C2D"/>
    <w:rsid w:val="00702162"/>
    <w:rsid w:val="00703930"/>
    <w:rsid w:val="00704070"/>
    <w:rsid w:val="0070435B"/>
    <w:rsid w:val="0070494E"/>
    <w:rsid w:val="00705744"/>
    <w:rsid w:val="00705FC6"/>
    <w:rsid w:val="0070610E"/>
    <w:rsid w:val="00706FEA"/>
    <w:rsid w:val="00707759"/>
    <w:rsid w:val="00710081"/>
    <w:rsid w:val="00710B0D"/>
    <w:rsid w:val="00713CB5"/>
    <w:rsid w:val="00714B89"/>
    <w:rsid w:val="007153E5"/>
    <w:rsid w:val="0071558B"/>
    <w:rsid w:val="00721189"/>
    <w:rsid w:val="007221C3"/>
    <w:rsid w:val="00722D5B"/>
    <w:rsid w:val="00722F2C"/>
    <w:rsid w:val="007253A4"/>
    <w:rsid w:val="007254D1"/>
    <w:rsid w:val="00725594"/>
    <w:rsid w:val="00725B32"/>
    <w:rsid w:val="00725B3C"/>
    <w:rsid w:val="007264B0"/>
    <w:rsid w:val="00733D54"/>
    <w:rsid w:val="00736A4F"/>
    <w:rsid w:val="00736E76"/>
    <w:rsid w:val="00737753"/>
    <w:rsid w:val="00740CE9"/>
    <w:rsid w:val="007428E3"/>
    <w:rsid w:val="00743511"/>
    <w:rsid w:val="0074394E"/>
    <w:rsid w:val="00744EE1"/>
    <w:rsid w:val="007471D2"/>
    <w:rsid w:val="00750ABC"/>
    <w:rsid w:val="00750D0A"/>
    <w:rsid w:val="00751863"/>
    <w:rsid w:val="00751D93"/>
    <w:rsid w:val="00752300"/>
    <w:rsid w:val="007532FB"/>
    <w:rsid w:val="007546F8"/>
    <w:rsid w:val="00755BAB"/>
    <w:rsid w:val="00755C9A"/>
    <w:rsid w:val="007568F2"/>
    <w:rsid w:val="00757BA2"/>
    <w:rsid w:val="0076080E"/>
    <w:rsid w:val="007615E5"/>
    <w:rsid w:val="0076411D"/>
    <w:rsid w:val="007670F8"/>
    <w:rsid w:val="007671D4"/>
    <w:rsid w:val="00770A85"/>
    <w:rsid w:val="00772F2D"/>
    <w:rsid w:val="00773DC9"/>
    <w:rsid w:val="007745C7"/>
    <w:rsid w:val="0077572E"/>
    <w:rsid w:val="00776671"/>
    <w:rsid w:val="0078031B"/>
    <w:rsid w:val="007812EE"/>
    <w:rsid w:val="00781EBC"/>
    <w:rsid w:val="00783FFB"/>
    <w:rsid w:val="00784F44"/>
    <w:rsid w:val="00786606"/>
    <w:rsid w:val="00786672"/>
    <w:rsid w:val="007872CF"/>
    <w:rsid w:val="0079201C"/>
    <w:rsid w:val="00792495"/>
    <w:rsid w:val="00792B2F"/>
    <w:rsid w:val="0079307F"/>
    <w:rsid w:val="0079354F"/>
    <w:rsid w:val="007947C4"/>
    <w:rsid w:val="00795CE1"/>
    <w:rsid w:val="007963CB"/>
    <w:rsid w:val="007A06AC"/>
    <w:rsid w:val="007A3B84"/>
    <w:rsid w:val="007B1014"/>
    <w:rsid w:val="007B103F"/>
    <w:rsid w:val="007B1484"/>
    <w:rsid w:val="007B1A10"/>
    <w:rsid w:val="007B1BC0"/>
    <w:rsid w:val="007B3E8F"/>
    <w:rsid w:val="007B6659"/>
    <w:rsid w:val="007B76AB"/>
    <w:rsid w:val="007B7DBD"/>
    <w:rsid w:val="007C45D3"/>
    <w:rsid w:val="007C597B"/>
    <w:rsid w:val="007C61CB"/>
    <w:rsid w:val="007C760C"/>
    <w:rsid w:val="007D08FD"/>
    <w:rsid w:val="007D0AD2"/>
    <w:rsid w:val="007D1584"/>
    <w:rsid w:val="007D2044"/>
    <w:rsid w:val="007D2D55"/>
    <w:rsid w:val="007D4F33"/>
    <w:rsid w:val="007D57CF"/>
    <w:rsid w:val="007D65C7"/>
    <w:rsid w:val="007D74D2"/>
    <w:rsid w:val="007D79B5"/>
    <w:rsid w:val="007E05AE"/>
    <w:rsid w:val="007E09F0"/>
    <w:rsid w:val="007E1DC8"/>
    <w:rsid w:val="007E2334"/>
    <w:rsid w:val="007E23CE"/>
    <w:rsid w:val="007E2CE7"/>
    <w:rsid w:val="007E43D0"/>
    <w:rsid w:val="007E4EA8"/>
    <w:rsid w:val="007E4FDA"/>
    <w:rsid w:val="007E52B2"/>
    <w:rsid w:val="007E54F8"/>
    <w:rsid w:val="007E5987"/>
    <w:rsid w:val="007E5BD8"/>
    <w:rsid w:val="007E6601"/>
    <w:rsid w:val="007E7BF9"/>
    <w:rsid w:val="007F02BC"/>
    <w:rsid w:val="007F1A40"/>
    <w:rsid w:val="007F1D17"/>
    <w:rsid w:val="007F2E65"/>
    <w:rsid w:val="007F2F4B"/>
    <w:rsid w:val="007F43BA"/>
    <w:rsid w:val="007F45D1"/>
    <w:rsid w:val="007F6DC3"/>
    <w:rsid w:val="008006B4"/>
    <w:rsid w:val="008014E1"/>
    <w:rsid w:val="00801A3F"/>
    <w:rsid w:val="00803695"/>
    <w:rsid w:val="00803B2D"/>
    <w:rsid w:val="00803FD4"/>
    <w:rsid w:val="0080481C"/>
    <w:rsid w:val="0080494A"/>
    <w:rsid w:val="00804A38"/>
    <w:rsid w:val="00804C54"/>
    <w:rsid w:val="008056DD"/>
    <w:rsid w:val="00805D10"/>
    <w:rsid w:val="0081104C"/>
    <w:rsid w:val="00811D2A"/>
    <w:rsid w:val="00812D16"/>
    <w:rsid w:val="00816F29"/>
    <w:rsid w:val="00817A54"/>
    <w:rsid w:val="00817A6B"/>
    <w:rsid w:val="00817C04"/>
    <w:rsid w:val="008215A7"/>
    <w:rsid w:val="00821865"/>
    <w:rsid w:val="0082327D"/>
    <w:rsid w:val="0082433D"/>
    <w:rsid w:val="00826197"/>
    <w:rsid w:val="00826509"/>
    <w:rsid w:val="00831714"/>
    <w:rsid w:val="0083354D"/>
    <w:rsid w:val="0083561B"/>
    <w:rsid w:val="0083685F"/>
    <w:rsid w:val="008371F6"/>
    <w:rsid w:val="00837D78"/>
    <w:rsid w:val="00840D79"/>
    <w:rsid w:val="00842A21"/>
    <w:rsid w:val="008431CC"/>
    <w:rsid w:val="008439BF"/>
    <w:rsid w:val="00844914"/>
    <w:rsid w:val="008450A5"/>
    <w:rsid w:val="00845DAD"/>
    <w:rsid w:val="00847AAF"/>
    <w:rsid w:val="00847D17"/>
    <w:rsid w:val="00853C1D"/>
    <w:rsid w:val="008548E7"/>
    <w:rsid w:val="00854B2F"/>
    <w:rsid w:val="008557E5"/>
    <w:rsid w:val="00856354"/>
    <w:rsid w:val="00856631"/>
    <w:rsid w:val="008568E1"/>
    <w:rsid w:val="008568F2"/>
    <w:rsid w:val="00856BE9"/>
    <w:rsid w:val="008578F8"/>
    <w:rsid w:val="00860566"/>
    <w:rsid w:val="0086165C"/>
    <w:rsid w:val="00861B26"/>
    <w:rsid w:val="00861B6F"/>
    <w:rsid w:val="00862920"/>
    <w:rsid w:val="00862EED"/>
    <w:rsid w:val="008643FC"/>
    <w:rsid w:val="00864529"/>
    <w:rsid w:val="008649B9"/>
    <w:rsid w:val="0086600F"/>
    <w:rsid w:val="0086721F"/>
    <w:rsid w:val="0086784F"/>
    <w:rsid w:val="00870394"/>
    <w:rsid w:val="0087073B"/>
    <w:rsid w:val="00872A0F"/>
    <w:rsid w:val="008770D4"/>
    <w:rsid w:val="0088127F"/>
    <w:rsid w:val="008815EF"/>
    <w:rsid w:val="008816CF"/>
    <w:rsid w:val="00884AEB"/>
    <w:rsid w:val="00885273"/>
    <w:rsid w:val="00885F2C"/>
    <w:rsid w:val="00886060"/>
    <w:rsid w:val="00886386"/>
    <w:rsid w:val="0088701C"/>
    <w:rsid w:val="00887BA4"/>
    <w:rsid w:val="00887E19"/>
    <w:rsid w:val="00887FCE"/>
    <w:rsid w:val="0089174C"/>
    <w:rsid w:val="00892EB4"/>
    <w:rsid w:val="0089499B"/>
    <w:rsid w:val="00894ACA"/>
    <w:rsid w:val="00894E87"/>
    <w:rsid w:val="00894EC5"/>
    <w:rsid w:val="008957AC"/>
    <w:rsid w:val="00895F73"/>
    <w:rsid w:val="008967B5"/>
    <w:rsid w:val="008A03AC"/>
    <w:rsid w:val="008A186D"/>
    <w:rsid w:val="008A20BE"/>
    <w:rsid w:val="008A2B4E"/>
    <w:rsid w:val="008A345A"/>
    <w:rsid w:val="008A3BF2"/>
    <w:rsid w:val="008A3DB9"/>
    <w:rsid w:val="008A53A7"/>
    <w:rsid w:val="008A6A5C"/>
    <w:rsid w:val="008A7316"/>
    <w:rsid w:val="008A75B8"/>
    <w:rsid w:val="008B2209"/>
    <w:rsid w:val="008B23F5"/>
    <w:rsid w:val="008B37F8"/>
    <w:rsid w:val="008B500A"/>
    <w:rsid w:val="008B6C53"/>
    <w:rsid w:val="008C1610"/>
    <w:rsid w:val="008C2969"/>
    <w:rsid w:val="008C2A14"/>
    <w:rsid w:val="008C2F1E"/>
    <w:rsid w:val="008C30E5"/>
    <w:rsid w:val="008C3B5B"/>
    <w:rsid w:val="008C409F"/>
    <w:rsid w:val="008C602D"/>
    <w:rsid w:val="008C60E3"/>
    <w:rsid w:val="008C6BCC"/>
    <w:rsid w:val="008D098D"/>
    <w:rsid w:val="008D10CC"/>
    <w:rsid w:val="008D135A"/>
    <w:rsid w:val="008D2205"/>
    <w:rsid w:val="008D2331"/>
    <w:rsid w:val="008D2E1C"/>
    <w:rsid w:val="008D2E9B"/>
    <w:rsid w:val="008D36CD"/>
    <w:rsid w:val="008D3824"/>
    <w:rsid w:val="008D4380"/>
    <w:rsid w:val="008D48D1"/>
    <w:rsid w:val="008D5B7E"/>
    <w:rsid w:val="008F2C49"/>
    <w:rsid w:val="008F2E86"/>
    <w:rsid w:val="008F4FB0"/>
    <w:rsid w:val="008F769E"/>
    <w:rsid w:val="008F7CFF"/>
    <w:rsid w:val="008F7ED1"/>
    <w:rsid w:val="00900BB2"/>
    <w:rsid w:val="00901C8D"/>
    <w:rsid w:val="009027BC"/>
    <w:rsid w:val="00903CE0"/>
    <w:rsid w:val="00904A4D"/>
    <w:rsid w:val="00905BFB"/>
    <w:rsid w:val="00905D16"/>
    <w:rsid w:val="00905EE9"/>
    <w:rsid w:val="009060A7"/>
    <w:rsid w:val="009062F2"/>
    <w:rsid w:val="009065F4"/>
    <w:rsid w:val="009075A7"/>
    <w:rsid w:val="009076AF"/>
    <w:rsid w:val="00910FBA"/>
    <w:rsid w:val="00911D39"/>
    <w:rsid w:val="00912B9F"/>
    <w:rsid w:val="00915D46"/>
    <w:rsid w:val="00916B4E"/>
    <w:rsid w:val="009178F7"/>
    <w:rsid w:val="00917C0F"/>
    <w:rsid w:val="0092040E"/>
    <w:rsid w:val="009207C2"/>
    <w:rsid w:val="00920C6C"/>
    <w:rsid w:val="00921986"/>
    <w:rsid w:val="009227D9"/>
    <w:rsid w:val="009253FC"/>
    <w:rsid w:val="00925D9E"/>
    <w:rsid w:val="00927791"/>
    <w:rsid w:val="00930607"/>
    <w:rsid w:val="00930D0A"/>
    <w:rsid w:val="009310FD"/>
    <w:rsid w:val="009329BA"/>
    <w:rsid w:val="0093304D"/>
    <w:rsid w:val="009356C6"/>
    <w:rsid w:val="009356D3"/>
    <w:rsid w:val="00936939"/>
    <w:rsid w:val="0094053B"/>
    <w:rsid w:val="009405BE"/>
    <w:rsid w:val="00942040"/>
    <w:rsid w:val="00942830"/>
    <w:rsid w:val="00942C9F"/>
    <w:rsid w:val="009451D5"/>
    <w:rsid w:val="00945631"/>
    <w:rsid w:val="009460FD"/>
    <w:rsid w:val="00947549"/>
    <w:rsid w:val="00951BDD"/>
    <w:rsid w:val="00955DC8"/>
    <w:rsid w:val="0095793C"/>
    <w:rsid w:val="0096111E"/>
    <w:rsid w:val="00961125"/>
    <w:rsid w:val="00961951"/>
    <w:rsid w:val="00963BD1"/>
    <w:rsid w:val="00966B1F"/>
    <w:rsid w:val="00970C06"/>
    <w:rsid w:val="00973F55"/>
    <w:rsid w:val="00974518"/>
    <w:rsid w:val="00975B88"/>
    <w:rsid w:val="00977527"/>
    <w:rsid w:val="00980FE0"/>
    <w:rsid w:val="00983A15"/>
    <w:rsid w:val="00983D7E"/>
    <w:rsid w:val="00986E59"/>
    <w:rsid w:val="009927BB"/>
    <w:rsid w:val="009928B7"/>
    <w:rsid w:val="0099321A"/>
    <w:rsid w:val="00994693"/>
    <w:rsid w:val="0099593D"/>
    <w:rsid w:val="009960B7"/>
    <w:rsid w:val="00996B53"/>
    <w:rsid w:val="00997986"/>
    <w:rsid w:val="009A09F6"/>
    <w:rsid w:val="009A0FEC"/>
    <w:rsid w:val="009A1B3A"/>
    <w:rsid w:val="009A324E"/>
    <w:rsid w:val="009A3D53"/>
    <w:rsid w:val="009A587D"/>
    <w:rsid w:val="009A6D92"/>
    <w:rsid w:val="009B39D3"/>
    <w:rsid w:val="009B484D"/>
    <w:rsid w:val="009B536C"/>
    <w:rsid w:val="009B56C8"/>
    <w:rsid w:val="009B6496"/>
    <w:rsid w:val="009B69D5"/>
    <w:rsid w:val="009C01DA"/>
    <w:rsid w:val="009C070E"/>
    <w:rsid w:val="009C20CC"/>
    <w:rsid w:val="009C3558"/>
    <w:rsid w:val="009C562E"/>
    <w:rsid w:val="009C7531"/>
    <w:rsid w:val="009D133B"/>
    <w:rsid w:val="009D220C"/>
    <w:rsid w:val="009D221F"/>
    <w:rsid w:val="009D3E93"/>
    <w:rsid w:val="009D53E0"/>
    <w:rsid w:val="009D5FB5"/>
    <w:rsid w:val="009E09F0"/>
    <w:rsid w:val="009E19E8"/>
    <w:rsid w:val="009E377C"/>
    <w:rsid w:val="009E458A"/>
    <w:rsid w:val="009E4B6E"/>
    <w:rsid w:val="009E5DFC"/>
    <w:rsid w:val="009F1789"/>
    <w:rsid w:val="009F2913"/>
    <w:rsid w:val="009F36D2"/>
    <w:rsid w:val="009F4504"/>
    <w:rsid w:val="009F502C"/>
    <w:rsid w:val="009F603B"/>
    <w:rsid w:val="009F6987"/>
    <w:rsid w:val="009F720F"/>
    <w:rsid w:val="00A00CFB"/>
    <w:rsid w:val="00A010E7"/>
    <w:rsid w:val="00A01A17"/>
    <w:rsid w:val="00A01A60"/>
    <w:rsid w:val="00A02C07"/>
    <w:rsid w:val="00A02C5F"/>
    <w:rsid w:val="00A0391D"/>
    <w:rsid w:val="00A04F67"/>
    <w:rsid w:val="00A0553A"/>
    <w:rsid w:val="00A0558B"/>
    <w:rsid w:val="00A07602"/>
    <w:rsid w:val="00A076F9"/>
    <w:rsid w:val="00A07997"/>
    <w:rsid w:val="00A07F87"/>
    <w:rsid w:val="00A11B05"/>
    <w:rsid w:val="00A12B81"/>
    <w:rsid w:val="00A1471B"/>
    <w:rsid w:val="00A15F86"/>
    <w:rsid w:val="00A206ED"/>
    <w:rsid w:val="00A20806"/>
    <w:rsid w:val="00A20C7F"/>
    <w:rsid w:val="00A210E1"/>
    <w:rsid w:val="00A212DF"/>
    <w:rsid w:val="00A21BD8"/>
    <w:rsid w:val="00A22DBA"/>
    <w:rsid w:val="00A25992"/>
    <w:rsid w:val="00A25BFF"/>
    <w:rsid w:val="00A27522"/>
    <w:rsid w:val="00A2796E"/>
    <w:rsid w:val="00A330C5"/>
    <w:rsid w:val="00A34D76"/>
    <w:rsid w:val="00A365D0"/>
    <w:rsid w:val="00A37137"/>
    <w:rsid w:val="00A37428"/>
    <w:rsid w:val="00A402B8"/>
    <w:rsid w:val="00A4259D"/>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297F"/>
    <w:rsid w:val="00A65BD9"/>
    <w:rsid w:val="00A65C1E"/>
    <w:rsid w:val="00A66718"/>
    <w:rsid w:val="00A66746"/>
    <w:rsid w:val="00A70750"/>
    <w:rsid w:val="00A70B31"/>
    <w:rsid w:val="00A71382"/>
    <w:rsid w:val="00A72A72"/>
    <w:rsid w:val="00A759FE"/>
    <w:rsid w:val="00A75B67"/>
    <w:rsid w:val="00A76D67"/>
    <w:rsid w:val="00A776B8"/>
    <w:rsid w:val="00A805BC"/>
    <w:rsid w:val="00A80DD3"/>
    <w:rsid w:val="00A827A3"/>
    <w:rsid w:val="00A85357"/>
    <w:rsid w:val="00A902DD"/>
    <w:rsid w:val="00A91617"/>
    <w:rsid w:val="00A920F9"/>
    <w:rsid w:val="00A93207"/>
    <w:rsid w:val="00A9482B"/>
    <w:rsid w:val="00A95230"/>
    <w:rsid w:val="00A95BF1"/>
    <w:rsid w:val="00A95FEB"/>
    <w:rsid w:val="00A96FA8"/>
    <w:rsid w:val="00A9770A"/>
    <w:rsid w:val="00A97A01"/>
    <w:rsid w:val="00A97A85"/>
    <w:rsid w:val="00A97E77"/>
    <w:rsid w:val="00AA0DD3"/>
    <w:rsid w:val="00AA1C07"/>
    <w:rsid w:val="00AA3688"/>
    <w:rsid w:val="00AA45A6"/>
    <w:rsid w:val="00AA5291"/>
    <w:rsid w:val="00AA5887"/>
    <w:rsid w:val="00AA7213"/>
    <w:rsid w:val="00AB19F8"/>
    <w:rsid w:val="00AB2A61"/>
    <w:rsid w:val="00AB3A12"/>
    <w:rsid w:val="00AB5A8D"/>
    <w:rsid w:val="00AB5C95"/>
    <w:rsid w:val="00AB5FA4"/>
    <w:rsid w:val="00AB6642"/>
    <w:rsid w:val="00AC2EFE"/>
    <w:rsid w:val="00AC3930"/>
    <w:rsid w:val="00AC3AB1"/>
    <w:rsid w:val="00AC68C6"/>
    <w:rsid w:val="00AC75AA"/>
    <w:rsid w:val="00AC79C1"/>
    <w:rsid w:val="00AC7CA4"/>
    <w:rsid w:val="00AD4A64"/>
    <w:rsid w:val="00AD598F"/>
    <w:rsid w:val="00AD6369"/>
    <w:rsid w:val="00AD6D09"/>
    <w:rsid w:val="00AD72A5"/>
    <w:rsid w:val="00AD7B84"/>
    <w:rsid w:val="00AE098E"/>
    <w:rsid w:val="00AE0BBA"/>
    <w:rsid w:val="00AE12FB"/>
    <w:rsid w:val="00AE2291"/>
    <w:rsid w:val="00AE25C8"/>
    <w:rsid w:val="00AE4113"/>
    <w:rsid w:val="00AE42BE"/>
    <w:rsid w:val="00AE4380"/>
    <w:rsid w:val="00AE52C0"/>
    <w:rsid w:val="00AE5525"/>
    <w:rsid w:val="00AE6381"/>
    <w:rsid w:val="00AE656F"/>
    <w:rsid w:val="00AE743A"/>
    <w:rsid w:val="00AE7D78"/>
    <w:rsid w:val="00AF06F3"/>
    <w:rsid w:val="00AF0902"/>
    <w:rsid w:val="00AF14B5"/>
    <w:rsid w:val="00AF438E"/>
    <w:rsid w:val="00AF45CA"/>
    <w:rsid w:val="00AF5CEE"/>
    <w:rsid w:val="00AF719C"/>
    <w:rsid w:val="00AF7506"/>
    <w:rsid w:val="00B007DD"/>
    <w:rsid w:val="00B0098A"/>
    <w:rsid w:val="00B01016"/>
    <w:rsid w:val="00B0146E"/>
    <w:rsid w:val="00B027CB"/>
    <w:rsid w:val="00B0330B"/>
    <w:rsid w:val="00B0352B"/>
    <w:rsid w:val="00B03A73"/>
    <w:rsid w:val="00B06321"/>
    <w:rsid w:val="00B06F6B"/>
    <w:rsid w:val="00B074F8"/>
    <w:rsid w:val="00B145CD"/>
    <w:rsid w:val="00B17FAB"/>
    <w:rsid w:val="00B2099F"/>
    <w:rsid w:val="00B22C5F"/>
    <w:rsid w:val="00B23687"/>
    <w:rsid w:val="00B243E7"/>
    <w:rsid w:val="00B25710"/>
    <w:rsid w:val="00B25B8C"/>
    <w:rsid w:val="00B26D96"/>
    <w:rsid w:val="00B26FBD"/>
    <w:rsid w:val="00B2724E"/>
    <w:rsid w:val="00B27A58"/>
    <w:rsid w:val="00B27B03"/>
    <w:rsid w:val="00B301B0"/>
    <w:rsid w:val="00B30903"/>
    <w:rsid w:val="00B30DCD"/>
    <w:rsid w:val="00B311B8"/>
    <w:rsid w:val="00B3147F"/>
    <w:rsid w:val="00B31B62"/>
    <w:rsid w:val="00B33711"/>
    <w:rsid w:val="00B3482A"/>
    <w:rsid w:val="00B34889"/>
    <w:rsid w:val="00B353AC"/>
    <w:rsid w:val="00B37550"/>
    <w:rsid w:val="00B402C6"/>
    <w:rsid w:val="00B41DC1"/>
    <w:rsid w:val="00B43058"/>
    <w:rsid w:val="00B46EC7"/>
    <w:rsid w:val="00B50A91"/>
    <w:rsid w:val="00B52022"/>
    <w:rsid w:val="00B52187"/>
    <w:rsid w:val="00B54691"/>
    <w:rsid w:val="00B5744E"/>
    <w:rsid w:val="00B60CCD"/>
    <w:rsid w:val="00B60EE8"/>
    <w:rsid w:val="00B61614"/>
    <w:rsid w:val="00B62854"/>
    <w:rsid w:val="00B62EF1"/>
    <w:rsid w:val="00B640CC"/>
    <w:rsid w:val="00B645B6"/>
    <w:rsid w:val="00B64DAE"/>
    <w:rsid w:val="00B651B2"/>
    <w:rsid w:val="00B667BF"/>
    <w:rsid w:val="00B6797D"/>
    <w:rsid w:val="00B67E87"/>
    <w:rsid w:val="00B735B8"/>
    <w:rsid w:val="00B73B5A"/>
    <w:rsid w:val="00B74858"/>
    <w:rsid w:val="00B752EB"/>
    <w:rsid w:val="00B7782D"/>
    <w:rsid w:val="00B77BE4"/>
    <w:rsid w:val="00B80119"/>
    <w:rsid w:val="00B812BE"/>
    <w:rsid w:val="00B8137B"/>
    <w:rsid w:val="00B816FE"/>
    <w:rsid w:val="00B81D87"/>
    <w:rsid w:val="00B84C66"/>
    <w:rsid w:val="00B8525B"/>
    <w:rsid w:val="00B86608"/>
    <w:rsid w:val="00B87847"/>
    <w:rsid w:val="00B87C6A"/>
    <w:rsid w:val="00B90477"/>
    <w:rsid w:val="00B90D6B"/>
    <w:rsid w:val="00B92AA5"/>
    <w:rsid w:val="00B96744"/>
    <w:rsid w:val="00BA1AC3"/>
    <w:rsid w:val="00BA5426"/>
    <w:rsid w:val="00BA6419"/>
    <w:rsid w:val="00BA644B"/>
    <w:rsid w:val="00BA6550"/>
    <w:rsid w:val="00BB0EDC"/>
    <w:rsid w:val="00BB2437"/>
    <w:rsid w:val="00BB2A5D"/>
    <w:rsid w:val="00BB2F21"/>
    <w:rsid w:val="00BB32A1"/>
    <w:rsid w:val="00BB3642"/>
    <w:rsid w:val="00BB6636"/>
    <w:rsid w:val="00BB66AB"/>
    <w:rsid w:val="00BC0AD6"/>
    <w:rsid w:val="00BC3584"/>
    <w:rsid w:val="00BC4673"/>
    <w:rsid w:val="00BC659C"/>
    <w:rsid w:val="00BC6910"/>
    <w:rsid w:val="00BC71A6"/>
    <w:rsid w:val="00BD3E46"/>
    <w:rsid w:val="00BD4A19"/>
    <w:rsid w:val="00BD59A3"/>
    <w:rsid w:val="00BD5B0B"/>
    <w:rsid w:val="00BE0AA9"/>
    <w:rsid w:val="00BE1905"/>
    <w:rsid w:val="00BE1CB6"/>
    <w:rsid w:val="00BE2A1F"/>
    <w:rsid w:val="00BE320D"/>
    <w:rsid w:val="00BE329D"/>
    <w:rsid w:val="00BE4479"/>
    <w:rsid w:val="00BE4ED6"/>
    <w:rsid w:val="00BE54F3"/>
    <w:rsid w:val="00BE5F67"/>
    <w:rsid w:val="00BE633D"/>
    <w:rsid w:val="00BE7920"/>
    <w:rsid w:val="00BE793B"/>
    <w:rsid w:val="00BF2CD1"/>
    <w:rsid w:val="00BF4B6A"/>
    <w:rsid w:val="00BF5135"/>
    <w:rsid w:val="00BF7649"/>
    <w:rsid w:val="00C009F5"/>
    <w:rsid w:val="00C01129"/>
    <w:rsid w:val="00C02239"/>
    <w:rsid w:val="00C022E1"/>
    <w:rsid w:val="00C0398D"/>
    <w:rsid w:val="00C04A0D"/>
    <w:rsid w:val="00C0539F"/>
    <w:rsid w:val="00C11E4C"/>
    <w:rsid w:val="00C12896"/>
    <w:rsid w:val="00C1300F"/>
    <w:rsid w:val="00C14792"/>
    <w:rsid w:val="00C14954"/>
    <w:rsid w:val="00C16BEB"/>
    <w:rsid w:val="00C1743B"/>
    <w:rsid w:val="00C17D23"/>
    <w:rsid w:val="00C20CA6"/>
    <w:rsid w:val="00C230CE"/>
    <w:rsid w:val="00C23398"/>
    <w:rsid w:val="00C23B23"/>
    <w:rsid w:val="00C26C22"/>
    <w:rsid w:val="00C27B03"/>
    <w:rsid w:val="00C3089B"/>
    <w:rsid w:val="00C319A2"/>
    <w:rsid w:val="00C3227C"/>
    <w:rsid w:val="00C34B40"/>
    <w:rsid w:val="00C35836"/>
    <w:rsid w:val="00C35E94"/>
    <w:rsid w:val="00C41CD3"/>
    <w:rsid w:val="00C43438"/>
    <w:rsid w:val="00C43DF2"/>
    <w:rsid w:val="00C44264"/>
    <w:rsid w:val="00C44A01"/>
    <w:rsid w:val="00C46251"/>
    <w:rsid w:val="00C4790F"/>
    <w:rsid w:val="00C47FC0"/>
    <w:rsid w:val="00C5072A"/>
    <w:rsid w:val="00C528CC"/>
    <w:rsid w:val="00C53ABD"/>
    <w:rsid w:val="00C53AD3"/>
    <w:rsid w:val="00C53C94"/>
    <w:rsid w:val="00C54CD4"/>
    <w:rsid w:val="00C56E1B"/>
    <w:rsid w:val="00C57741"/>
    <w:rsid w:val="00C60B41"/>
    <w:rsid w:val="00C6210E"/>
    <w:rsid w:val="00C62121"/>
    <w:rsid w:val="00C62568"/>
    <w:rsid w:val="00C63911"/>
    <w:rsid w:val="00C64143"/>
    <w:rsid w:val="00C6434D"/>
    <w:rsid w:val="00C652E5"/>
    <w:rsid w:val="00C659F1"/>
    <w:rsid w:val="00C65AD6"/>
    <w:rsid w:val="00C65B29"/>
    <w:rsid w:val="00C66261"/>
    <w:rsid w:val="00C67446"/>
    <w:rsid w:val="00C7356B"/>
    <w:rsid w:val="00C73FB1"/>
    <w:rsid w:val="00C75A78"/>
    <w:rsid w:val="00C7697F"/>
    <w:rsid w:val="00C811A4"/>
    <w:rsid w:val="00C8136C"/>
    <w:rsid w:val="00C82FFA"/>
    <w:rsid w:val="00C8535A"/>
    <w:rsid w:val="00C85521"/>
    <w:rsid w:val="00C863EE"/>
    <w:rsid w:val="00C879CA"/>
    <w:rsid w:val="00C925C9"/>
    <w:rsid w:val="00C92646"/>
    <w:rsid w:val="00C9316A"/>
    <w:rsid w:val="00C93B5E"/>
    <w:rsid w:val="00C93FF3"/>
    <w:rsid w:val="00C9524B"/>
    <w:rsid w:val="00C95988"/>
    <w:rsid w:val="00C95D8D"/>
    <w:rsid w:val="00C964F1"/>
    <w:rsid w:val="00C96D90"/>
    <w:rsid w:val="00CA24F2"/>
    <w:rsid w:val="00CA2883"/>
    <w:rsid w:val="00CA2AEF"/>
    <w:rsid w:val="00CA5029"/>
    <w:rsid w:val="00CA6136"/>
    <w:rsid w:val="00CA6BCC"/>
    <w:rsid w:val="00CA71DA"/>
    <w:rsid w:val="00CB0B0F"/>
    <w:rsid w:val="00CB0EE9"/>
    <w:rsid w:val="00CB109D"/>
    <w:rsid w:val="00CB169D"/>
    <w:rsid w:val="00CB5032"/>
    <w:rsid w:val="00CB5C65"/>
    <w:rsid w:val="00CB62AC"/>
    <w:rsid w:val="00CB77EA"/>
    <w:rsid w:val="00CB7DF6"/>
    <w:rsid w:val="00CC2E19"/>
    <w:rsid w:val="00CC303F"/>
    <w:rsid w:val="00CC3C96"/>
    <w:rsid w:val="00CC75BD"/>
    <w:rsid w:val="00CD077C"/>
    <w:rsid w:val="00CD1ACE"/>
    <w:rsid w:val="00CD342A"/>
    <w:rsid w:val="00CD3940"/>
    <w:rsid w:val="00CD4E32"/>
    <w:rsid w:val="00CD7E60"/>
    <w:rsid w:val="00CE3AE5"/>
    <w:rsid w:val="00CE4E3D"/>
    <w:rsid w:val="00CE5429"/>
    <w:rsid w:val="00CE6A0B"/>
    <w:rsid w:val="00CE737E"/>
    <w:rsid w:val="00CF0950"/>
    <w:rsid w:val="00CF1B84"/>
    <w:rsid w:val="00CF2019"/>
    <w:rsid w:val="00CF2099"/>
    <w:rsid w:val="00CF3B07"/>
    <w:rsid w:val="00CF4C13"/>
    <w:rsid w:val="00CF625A"/>
    <w:rsid w:val="00CF6384"/>
    <w:rsid w:val="00CF6902"/>
    <w:rsid w:val="00CF70BC"/>
    <w:rsid w:val="00CF72B7"/>
    <w:rsid w:val="00CF7924"/>
    <w:rsid w:val="00D02852"/>
    <w:rsid w:val="00D02D10"/>
    <w:rsid w:val="00D06E88"/>
    <w:rsid w:val="00D07BAC"/>
    <w:rsid w:val="00D11F90"/>
    <w:rsid w:val="00D13527"/>
    <w:rsid w:val="00D14697"/>
    <w:rsid w:val="00D15E4E"/>
    <w:rsid w:val="00D161AC"/>
    <w:rsid w:val="00D174E6"/>
    <w:rsid w:val="00D17601"/>
    <w:rsid w:val="00D20D6E"/>
    <w:rsid w:val="00D21300"/>
    <w:rsid w:val="00D21671"/>
    <w:rsid w:val="00D230DC"/>
    <w:rsid w:val="00D2769A"/>
    <w:rsid w:val="00D303E8"/>
    <w:rsid w:val="00D31BA6"/>
    <w:rsid w:val="00D31EB9"/>
    <w:rsid w:val="00D335E1"/>
    <w:rsid w:val="00D35FEA"/>
    <w:rsid w:val="00D366E4"/>
    <w:rsid w:val="00D37896"/>
    <w:rsid w:val="00D37ACC"/>
    <w:rsid w:val="00D423AC"/>
    <w:rsid w:val="00D43231"/>
    <w:rsid w:val="00D44DC6"/>
    <w:rsid w:val="00D450D4"/>
    <w:rsid w:val="00D501F4"/>
    <w:rsid w:val="00D514E5"/>
    <w:rsid w:val="00D5211E"/>
    <w:rsid w:val="00D539D5"/>
    <w:rsid w:val="00D544D5"/>
    <w:rsid w:val="00D5508E"/>
    <w:rsid w:val="00D56D44"/>
    <w:rsid w:val="00D602DE"/>
    <w:rsid w:val="00D6096A"/>
    <w:rsid w:val="00D60ABE"/>
    <w:rsid w:val="00D60CE5"/>
    <w:rsid w:val="00D61811"/>
    <w:rsid w:val="00D62055"/>
    <w:rsid w:val="00D63F9F"/>
    <w:rsid w:val="00D646D3"/>
    <w:rsid w:val="00D66264"/>
    <w:rsid w:val="00D662F2"/>
    <w:rsid w:val="00D665F1"/>
    <w:rsid w:val="00D6711E"/>
    <w:rsid w:val="00D67EF6"/>
    <w:rsid w:val="00D67F8F"/>
    <w:rsid w:val="00D73B08"/>
    <w:rsid w:val="00D73B53"/>
    <w:rsid w:val="00D74BE7"/>
    <w:rsid w:val="00D7517A"/>
    <w:rsid w:val="00D76ADD"/>
    <w:rsid w:val="00D774F5"/>
    <w:rsid w:val="00D80127"/>
    <w:rsid w:val="00D805D1"/>
    <w:rsid w:val="00D82CE9"/>
    <w:rsid w:val="00D82FD7"/>
    <w:rsid w:val="00D84FA6"/>
    <w:rsid w:val="00D85ECC"/>
    <w:rsid w:val="00D864C7"/>
    <w:rsid w:val="00D86552"/>
    <w:rsid w:val="00D86EB7"/>
    <w:rsid w:val="00D92B5E"/>
    <w:rsid w:val="00D93388"/>
    <w:rsid w:val="00D95457"/>
    <w:rsid w:val="00D9616A"/>
    <w:rsid w:val="00D97A7B"/>
    <w:rsid w:val="00DA0D4C"/>
    <w:rsid w:val="00DA1259"/>
    <w:rsid w:val="00DA1AAD"/>
    <w:rsid w:val="00DA1BE8"/>
    <w:rsid w:val="00DA1E08"/>
    <w:rsid w:val="00DA3A1D"/>
    <w:rsid w:val="00DA4A52"/>
    <w:rsid w:val="00DA4FBC"/>
    <w:rsid w:val="00DA557D"/>
    <w:rsid w:val="00DA7457"/>
    <w:rsid w:val="00DB055B"/>
    <w:rsid w:val="00DB110A"/>
    <w:rsid w:val="00DB2995"/>
    <w:rsid w:val="00DB2E22"/>
    <w:rsid w:val="00DB2ED0"/>
    <w:rsid w:val="00DB38F0"/>
    <w:rsid w:val="00DB3EE8"/>
    <w:rsid w:val="00DB4701"/>
    <w:rsid w:val="00DB4BAA"/>
    <w:rsid w:val="00DB59C0"/>
    <w:rsid w:val="00DB7D38"/>
    <w:rsid w:val="00DB7F22"/>
    <w:rsid w:val="00DC0146"/>
    <w:rsid w:val="00DC03EE"/>
    <w:rsid w:val="00DC1BA1"/>
    <w:rsid w:val="00DC36B8"/>
    <w:rsid w:val="00DC36BE"/>
    <w:rsid w:val="00DC4CAB"/>
    <w:rsid w:val="00DC53F2"/>
    <w:rsid w:val="00DC6B01"/>
    <w:rsid w:val="00DC7797"/>
    <w:rsid w:val="00DD078A"/>
    <w:rsid w:val="00DD0D3B"/>
    <w:rsid w:val="00DD1686"/>
    <w:rsid w:val="00DD1737"/>
    <w:rsid w:val="00DD34E1"/>
    <w:rsid w:val="00DD4065"/>
    <w:rsid w:val="00DD6391"/>
    <w:rsid w:val="00DD7667"/>
    <w:rsid w:val="00DD777C"/>
    <w:rsid w:val="00DD7C85"/>
    <w:rsid w:val="00DE0299"/>
    <w:rsid w:val="00DE0D75"/>
    <w:rsid w:val="00DE19EB"/>
    <w:rsid w:val="00DE2729"/>
    <w:rsid w:val="00DE5B0F"/>
    <w:rsid w:val="00DF2CB1"/>
    <w:rsid w:val="00DF33CF"/>
    <w:rsid w:val="00DF3EBE"/>
    <w:rsid w:val="00DF5463"/>
    <w:rsid w:val="00DF61AD"/>
    <w:rsid w:val="00DF69F9"/>
    <w:rsid w:val="00DF6C6F"/>
    <w:rsid w:val="00E00330"/>
    <w:rsid w:val="00E015D7"/>
    <w:rsid w:val="00E02B50"/>
    <w:rsid w:val="00E03CC9"/>
    <w:rsid w:val="00E04B08"/>
    <w:rsid w:val="00E04B3F"/>
    <w:rsid w:val="00E0526D"/>
    <w:rsid w:val="00E060C1"/>
    <w:rsid w:val="00E06B1E"/>
    <w:rsid w:val="00E07787"/>
    <w:rsid w:val="00E07FBC"/>
    <w:rsid w:val="00E10AAF"/>
    <w:rsid w:val="00E10CD0"/>
    <w:rsid w:val="00E115D0"/>
    <w:rsid w:val="00E1258C"/>
    <w:rsid w:val="00E14342"/>
    <w:rsid w:val="00E147D5"/>
    <w:rsid w:val="00E14C0E"/>
    <w:rsid w:val="00E1572B"/>
    <w:rsid w:val="00E16642"/>
    <w:rsid w:val="00E168EE"/>
    <w:rsid w:val="00E1787C"/>
    <w:rsid w:val="00E2249E"/>
    <w:rsid w:val="00E22B76"/>
    <w:rsid w:val="00E234F1"/>
    <w:rsid w:val="00E23566"/>
    <w:rsid w:val="00E239FB"/>
    <w:rsid w:val="00E244BD"/>
    <w:rsid w:val="00E24762"/>
    <w:rsid w:val="00E25AF8"/>
    <w:rsid w:val="00E26C55"/>
    <w:rsid w:val="00E26F6C"/>
    <w:rsid w:val="00E27EC3"/>
    <w:rsid w:val="00E320A0"/>
    <w:rsid w:val="00E326EA"/>
    <w:rsid w:val="00E33605"/>
    <w:rsid w:val="00E34CA3"/>
    <w:rsid w:val="00E37DA6"/>
    <w:rsid w:val="00E37FE3"/>
    <w:rsid w:val="00E43AAA"/>
    <w:rsid w:val="00E44BAA"/>
    <w:rsid w:val="00E44C62"/>
    <w:rsid w:val="00E4626B"/>
    <w:rsid w:val="00E50D4D"/>
    <w:rsid w:val="00E54EF2"/>
    <w:rsid w:val="00E55FD9"/>
    <w:rsid w:val="00E5671D"/>
    <w:rsid w:val="00E57589"/>
    <w:rsid w:val="00E60DC5"/>
    <w:rsid w:val="00E61A93"/>
    <w:rsid w:val="00E6231F"/>
    <w:rsid w:val="00E63559"/>
    <w:rsid w:val="00E64961"/>
    <w:rsid w:val="00E67180"/>
    <w:rsid w:val="00E676E2"/>
    <w:rsid w:val="00E709E5"/>
    <w:rsid w:val="00E74FA5"/>
    <w:rsid w:val="00E756A8"/>
    <w:rsid w:val="00E76032"/>
    <w:rsid w:val="00E768F2"/>
    <w:rsid w:val="00E77E9E"/>
    <w:rsid w:val="00E81DED"/>
    <w:rsid w:val="00E82316"/>
    <w:rsid w:val="00E825B3"/>
    <w:rsid w:val="00E849DE"/>
    <w:rsid w:val="00E85948"/>
    <w:rsid w:val="00E86536"/>
    <w:rsid w:val="00E87EE7"/>
    <w:rsid w:val="00E9167E"/>
    <w:rsid w:val="00E922A4"/>
    <w:rsid w:val="00E936B7"/>
    <w:rsid w:val="00E93F3F"/>
    <w:rsid w:val="00E97944"/>
    <w:rsid w:val="00EA05D9"/>
    <w:rsid w:val="00EA0C7F"/>
    <w:rsid w:val="00EA1104"/>
    <w:rsid w:val="00EA18E1"/>
    <w:rsid w:val="00EA3B8C"/>
    <w:rsid w:val="00EA5257"/>
    <w:rsid w:val="00EA59B6"/>
    <w:rsid w:val="00EB0433"/>
    <w:rsid w:val="00EB0698"/>
    <w:rsid w:val="00EB1221"/>
    <w:rsid w:val="00EB1B8B"/>
    <w:rsid w:val="00EB1E24"/>
    <w:rsid w:val="00EB3C54"/>
    <w:rsid w:val="00EB4951"/>
    <w:rsid w:val="00EB4F97"/>
    <w:rsid w:val="00EC098E"/>
    <w:rsid w:val="00EC0BCB"/>
    <w:rsid w:val="00EC0E71"/>
    <w:rsid w:val="00EC10FE"/>
    <w:rsid w:val="00EC221F"/>
    <w:rsid w:val="00EC4317"/>
    <w:rsid w:val="00EC6962"/>
    <w:rsid w:val="00EC6D2D"/>
    <w:rsid w:val="00ED281F"/>
    <w:rsid w:val="00ED50F6"/>
    <w:rsid w:val="00ED613A"/>
    <w:rsid w:val="00ED61F6"/>
    <w:rsid w:val="00ED6CFA"/>
    <w:rsid w:val="00ED6D53"/>
    <w:rsid w:val="00ED7874"/>
    <w:rsid w:val="00EE0FD4"/>
    <w:rsid w:val="00EE1855"/>
    <w:rsid w:val="00EE2B68"/>
    <w:rsid w:val="00EE6D70"/>
    <w:rsid w:val="00EF098C"/>
    <w:rsid w:val="00EF1386"/>
    <w:rsid w:val="00EF2491"/>
    <w:rsid w:val="00EF256B"/>
    <w:rsid w:val="00EF5277"/>
    <w:rsid w:val="00EF52FB"/>
    <w:rsid w:val="00EF54CA"/>
    <w:rsid w:val="00EF5CAD"/>
    <w:rsid w:val="00EF611F"/>
    <w:rsid w:val="00EF6A7E"/>
    <w:rsid w:val="00EF708D"/>
    <w:rsid w:val="00EF71DF"/>
    <w:rsid w:val="00F03A0A"/>
    <w:rsid w:val="00F079C1"/>
    <w:rsid w:val="00F1030E"/>
    <w:rsid w:val="00F10925"/>
    <w:rsid w:val="00F10C25"/>
    <w:rsid w:val="00F11C2D"/>
    <w:rsid w:val="00F121A2"/>
    <w:rsid w:val="00F12F6C"/>
    <w:rsid w:val="00F12F7D"/>
    <w:rsid w:val="00F13DAE"/>
    <w:rsid w:val="00F155BC"/>
    <w:rsid w:val="00F157D8"/>
    <w:rsid w:val="00F160F6"/>
    <w:rsid w:val="00F172C9"/>
    <w:rsid w:val="00F201AD"/>
    <w:rsid w:val="00F21481"/>
    <w:rsid w:val="00F222BB"/>
    <w:rsid w:val="00F222DB"/>
    <w:rsid w:val="00F2491A"/>
    <w:rsid w:val="00F24C6C"/>
    <w:rsid w:val="00F24EF6"/>
    <w:rsid w:val="00F254E4"/>
    <w:rsid w:val="00F25A18"/>
    <w:rsid w:val="00F27AE8"/>
    <w:rsid w:val="00F31B0C"/>
    <w:rsid w:val="00F34547"/>
    <w:rsid w:val="00F35D19"/>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4B28"/>
    <w:rsid w:val="00F55335"/>
    <w:rsid w:val="00F57D1C"/>
    <w:rsid w:val="00F6086A"/>
    <w:rsid w:val="00F62002"/>
    <w:rsid w:val="00F62824"/>
    <w:rsid w:val="00F62D7C"/>
    <w:rsid w:val="00F634C8"/>
    <w:rsid w:val="00F66E14"/>
    <w:rsid w:val="00F67155"/>
    <w:rsid w:val="00F7058F"/>
    <w:rsid w:val="00F70D21"/>
    <w:rsid w:val="00F70FEF"/>
    <w:rsid w:val="00F726B2"/>
    <w:rsid w:val="00F73073"/>
    <w:rsid w:val="00F7365E"/>
    <w:rsid w:val="00F74F3A"/>
    <w:rsid w:val="00F75C02"/>
    <w:rsid w:val="00F77ECB"/>
    <w:rsid w:val="00F81E47"/>
    <w:rsid w:val="00F824EF"/>
    <w:rsid w:val="00F837EC"/>
    <w:rsid w:val="00F85FED"/>
    <w:rsid w:val="00F86474"/>
    <w:rsid w:val="00F868B4"/>
    <w:rsid w:val="00F8730A"/>
    <w:rsid w:val="00F8786B"/>
    <w:rsid w:val="00F90601"/>
    <w:rsid w:val="00F92867"/>
    <w:rsid w:val="00F92941"/>
    <w:rsid w:val="00F94BDC"/>
    <w:rsid w:val="00F961BB"/>
    <w:rsid w:val="00F97406"/>
    <w:rsid w:val="00FA072C"/>
    <w:rsid w:val="00FA2635"/>
    <w:rsid w:val="00FA7FDD"/>
    <w:rsid w:val="00FB11BE"/>
    <w:rsid w:val="00FB1357"/>
    <w:rsid w:val="00FB13FA"/>
    <w:rsid w:val="00FB1B56"/>
    <w:rsid w:val="00FB4C6F"/>
    <w:rsid w:val="00FB6181"/>
    <w:rsid w:val="00FC04FC"/>
    <w:rsid w:val="00FC0EB1"/>
    <w:rsid w:val="00FC2815"/>
    <w:rsid w:val="00FC3636"/>
    <w:rsid w:val="00FC5E76"/>
    <w:rsid w:val="00FC69CF"/>
    <w:rsid w:val="00FC7214"/>
    <w:rsid w:val="00FD0B70"/>
    <w:rsid w:val="00FD11B8"/>
    <w:rsid w:val="00FD1440"/>
    <w:rsid w:val="00FD1489"/>
    <w:rsid w:val="00FD2DA9"/>
    <w:rsid w:val="00FD3E97"/>
    <w:rsid w:val="00FD48D3"/>
    <w:rsid w:val="00FD59F1"/>
    <w:rsid w:val="00FD6FE2"/>
    <w:rsid w:val="00FD7383"/>
    <w:rsid w:val="00FD74CB"/>
    <w:rsid w:val="00FD7543"/>
    <w:rsid w:val="00FD7BF5"/>
    <w:rsid w:val="00FE0DC0"/>
    <w:rsid w:val="00FE185C"/>
    <w:rsid w:val="00FE3C5F"/>
    <w:rsid w:val="00FE4705"/>
    <w:rsid w:val="00FE557C"/>
    <w:rsid w:val="00FE5D73"/>
    <w:rsid w:val="00FE617A"/>
    <w:rsid w:val="00FE6D45"/>
    <w:rsid w:val="00FF0AEC"/>
    <w:rsid w:val="00FF13D6"/>
    <w:rsid w:val="00FF3662"/>
    <w:rsid w:val="00FF4199"/>
    <w:rsid w:val="00FF47A7"/>
    <w:rsid w:val="00FF4C3A"/>
    <w:rsid w:val="00FF521E"/>
    <w:rsid w:val="00FF62F4"/>
    <w:rsid w:val="00FF6519"/>
    <w:rsid w:val="00FF6E86"/>
    <w:rsid w:val="00FF7F8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2B098E"/>
  <w15:chartTrackingRefBased/>
  <w15:docId w15:val="{7EE6AF06-4441-4E7A-943F-A9CA62BB1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lbany" w:hAnsi="Arial" w:cs="Arial"/>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tabs>
        <w:tab w:val="left" w:pos="567"/>
      </w:tabs>
      <w:spacing w:line="260" w:lineRule="exact"/>
    </w:pPr>
    <w:rPr>
      <w:sz w:val="22"/>
      <w:szCs w:val="22"/>
      <w:lang w:eastAsia="zh-CN"/>
    </w:rPr>
  </w:style>
  <w:style w:type="paragraph" w:styleId="Cmsor1">
    <w:name w:val="heading 1"/>
    <w:basedOn w:val="Norml"/>
    <w:next w:val="Norml"/>
    <w:link w:val="Cmsor1Char"/>
    <w:qFormat/>
    <w:pPr>
      <w:numPr>
        <w:numId w:val="2"/>
      </w:numPr>
      <w:tabs>
        <w:tab w:val="clear" w:pos="567"/>
      </w:tabs>
      <w:suppressAutoHyphens/>
      <w:spacing w:before="240" w:after="120"/>
      <w:outlineLvl w:val="0"/>
    </w:pPr>
    <w:rPr>
      <w:rFonts w:eastAsia="Arial"/>
      <w:b/>
      <w:bCs/>
      <w:caps/>
      <w:sz w:val="26"/>
      <w:szCs w:val="26"/>
      <w:lang w:val="en-US"/>
    </w:rPr>
  </w:style>
  <w:style w:type="paragraph" w:styleId="Cmsor2">
    <w:name w:val="heading 2"/>
    <w:basedOn w:val="Norml"/>
    <w:next w:val="Norml"/>
    <w:link w:val="Cmsor2Char"/>
    <w:qFormat/>
    <w:pPr>
      <w:keepNext/>
      <w:numPr>
        <w:ilvl w:val="1"/>
        <w:numId w:val="2"/>
      </w:numPr>
      <w:tabs>
        <w:tab w:val="clear" w:pos="567"/>
      </w:tabs>
      <w:suppressAutoHyphens/>
      <w:spacing w:before="240" w:after="60"/>
      <w:outlineLvl w:val="1"/>
    </w:pPr>
    <w:rPr>
      <w:rFonts w:ascii="HG Mincho Light J" w:eastAsia="Arial" w:hAnsi="HG Mincho Light J"/>
      <w:b/>
      <w:bCs/>
      <w:i/>
      <w:sz w:val="24"/>
      <w:szCs w:val="24"/>
    </w:rPr>
  </w:style>
  <w:style w:type="paragraph" w:styleId="Cmsor3">
    <w:name w:val="heading 3"/>
    <w:basedOn w:val="Norml"/>
    <w:next w:val="Norml"/>
    <w:link w:val="Cmsor3Char"/>
    <w:qFormat/>
    <w:pPr>
      <w:keepNext/>
      <w:keepLines/>
      <w:numPr>
        <w:ilvl w:val="2"/>
        <w:numId w:val="2"/>
      </w:numPr>
      <w:tabs>
        <w:tab w:val="clear" w:pos="567"/>
      </w:tabs>
      <w:suppressAutoHyphens/>
      <w:spacing w:before="120" w:after="80"/>
      <w:outlineLvl w:val="2"/>
    </w:pPr>
    <w:rPr>
      <w:rFonts w:eastAsia="Arial"/>
      <w:b/>
      <w:bCs/>
      <w:kern w:val="1"/>
      <w:sz w:val="24"/>
      <w:szCs w:val="24"/>
      <w:lang w:val="en-US"/>
    </w:rPr>
  </w:style>
  <w:style w:type="paragraph" w:styleId="Cmsor4">
    <w:name w:val="heading 4"/>
    <w:basedOn w:val="Norml"/>
    <w:next w:val="Norml"/>
    <w:link w:val="Cmsor4Char"/>
    <w:qFormat/>
    <w:pPr>
      <w:keepNext/>
      <w:numPr>
        <w:ilvl w:val="3"/>
        <w:numId w:val="2"/>
      </w:numPr>
      <w:tabs>
        <w:tab w:val="clear" w:pos="567"/>
      </w:tabs>
      <w:suppressAutoHyphens/>
      <w:jc w:val="both"/>
      <w:outlineLvl w:val="3"/>
    </w:pPr>
    <w:rPr>
      <w:rFonts w:eastAsia="Arial"/>
      <w:b/>
      <w:bCs/>
    </w:rPr>
  </w:style>
  <w:style w:type="paragraph" w:styleId="Cmsor5">
    <w:name w:val="heading 5"/>
    <w:basedOn w:val="Norml"/>
    <w:next w:val="Norml"/>
    <w:link w:val="Cmsor5Char"/>
    <w:qFormat/>
    <w:pPr>
      <w:keepNext/>
      <w:numPr>
        <w:ilvl w:val="4"/>
        <w:numId w:val="2"/>
      </w:numPr>
      <w:tabs>
        <w:tab w:val="clear" w:pos="567"/>
      </w:tabs>
      <w:suppressAutoHyphens/>
      <w:jc w:val="both"/>
      <w:outlineLvl w:val="4"/>
    </w:pPr>
    <w:rPr>
      <w:rFonts w:eastAsia="Arial"/>
    </w:rPr>
  </w:style>
  <w:style w:type="paragraph" w:styleId="Cmsor6">
    <w:name w:val="heading 6"/>
    <w:basedOn w:val="Norml"/>
    <w:next w:val="Norml"/>
    <w:link w:val="Cmsor6Char"/>
    <w:qFormat/>
    <w:pPr>
      <w:keepNext/>
      <w:numPr>
        <w:ilvl w:val="5"/>
        <w:numId w:val="2"/>
      </w:numPr>
      <w:tabs>
        <w:tab w:val="left" w:pos="4536"/>
      </w:tabs>
      <w:suppressAutoHyphens/>
      <w:outlineLvl w:val="5"/>
    </w:pPr>
    <w:rPr>
      <w:rFonts w:eastAsia="Arial"/>
      <w:i/>
    </w:rPr>
  </w:style>
  <w:style w:type="paragraph" w:styleId="Cmsor7">
    <w:name w:val="heading 7"/>
    <w:basedOn w:val="Norml"/>
    <w:next w:val="Norml"/>
    <w:link w:val="Cmsor7Char"/>
    <w:qFormat/>
    <w:pPr>
      <w:keepNext/>
      <w:numPr>
        <w:ilvl w:val="6"/>
        <w:numId w:val="2"/>
      </w:numPr>
      <w:tabs>
        <w:tab w:val="left" w:pos="4536"/>
      </w:tabs>
      <w:suppressAutoHyphens/>
      <w:jc w:val="both"/>
      <w:outlineLvl w:val="6"/>
    </w:pPr>
    <w:rPr>
      <w:rFonts w:eastAsia="Arial"/>
      <w:i/>
    </w:rPr>
  </w:style>
  <w:style w:type="paragraph" w:styleId="Cmsor8">
    <w:name w:val="heading 8"/>
    <w:basedOn w:val="Norml"/>
    <w:next w:val="Norml"/>
    <w:link w:val="Cmsor8Char"/>
    <w:qFormat/>
    <w:pPr>
      <w:keepNext/>
      <w:numPr>
        <w:ilvl w:val="7"/>
        <w:numId w:val="2"/>
      </w:numPr>
      <w:tabs>
        <w:tab w:val="clear" w:pos="567"/>
      </w:tabs>
      <w:suppressAutoHyphens/>
      <w:jc w:val="both"/>
      <w:outlineLvl w:val="7"/>
    </w:pPr>
    <w:rPr>
      <w:rFonts w:eastAsia="Arial"/>
      <w:b/>
      <w:bCs/>
      <w:i/>
    </w:rPr>
  </w:style>
  <w:style w:type="paragraph" w:styleId="Cmsor9">
    <w:name w:val="heading 9"/>
    <w:basedOn w:val="Norml"/>
    <w:next w:val="Norml"/>
    <w:link w:val="Cmsor9Char"/>
    <w:qFormat/>
    <w:pPr>
      <w:keepNext/>
      <w:numPr>
        <w:ilvl w:val="8"/>
        <w:numId w:val="2"/>
      </w:numPr>
      <w:tabs>
        <w:tab w:val="clear" w:pos="567"/>
      </w:tabs>
      <w:suppressAutoHyphens/>
      <w:jc w:val="both"/>
      <w:outlineLvl w:val="8"/>
    </w:pPr>
    <w:rPr>
      <w:rFonts w:eastAsia="Arial"/>
      <w:b/>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Thorndale" w:hAnsi="Thorndale"/>
      <w:noProof/>
      <w:sz w:val="16"/>
      <w:szCs w:val="16"/>
      <w:lang w:val="en-US"/>
    </w:rPr>
  </w:style>
  <w:style w:type="character" w:customStyle="1" w:styleId="llbChar">
    <w:name w:val="Élőláb Char"/>
    <w:link w:val="llb"/>
    <w:rPr>
      <w:rFonts w:ascii="Thorndale" w:hAnsi="Thorndale"/>
      <w:noProof/>
      <w:sz w:val="16"/>
      <w:szCs w:val="16"/>
    </w:rPr>
  </w:style>
  <w:style w:type="character" w:styleId="Oldalszm">
    <w:name w:val="page number"/>
    <w:rPr>
      <w:rFonts w:cs="Arial"/>
    </w:rPr>
  </w:style>
  <w:style w:type="character" w:styleId="Hiperhivatkozs">
    <w:name w:val="Hyperlink"/>
    <w:rPr>
      <w:rFonts w:cs="Arial"/>
      <w:color w:val="0000FF"/>
      <w:u w:val="single"/>
    </w:rPr>
  </w:style>
  <w:style w:type="character" w:customStyle="1" w:styleId="tw4winMark">
    <w:name w:val="tw4winMark"/>
    <w:uiPriority w:val="99"/>
    <w:rPr>
      <w:rFonts w:ascii="StarSymbol" w:hAnsi="StarSymbol"/>
      <w:vanish/>
      <w:color w:val="800080"/>
      <w:vertAlign w:val="subscript"/>
    </w:rPr>
  </w:style>
  <w:style w:type="character" w:customStyle="1" w:styleId="tw4winError">
    <w:name w:val="tw4winError"/>
    <w:uiPriority w:val="99"/>
    <w:rPr>
      <w:rFonts w:ascii="StarSymbol" w:hAnsi="StarSymbol"/>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StarSymbol" w:hAnsi="StarSymbol"/>
      <w:noProof/>
      <w:color w:val="008000"/>
    </w:rPr>
  </w:style>
  <w:style w:type="character" w:customStyle="1" w:styleId="tw4winJump">
    <w:name w:val="tw4winJump"/>
    <w:uiPriority w:val="99"/>
    <w:rPr>
      <w:rFonts w:ascii="StarSymbol" w:hAnsi="StarSymbol"/>
      <w:noProof/>
      <w:color w:val="008080"/>
    </w:rPr>
  </w:style>
  <w:style w:type="character" w:customStyle="1" w:styleId="tw4winExternal">
    <w:name w:val="tw4winExternal"/>
    <w:uiPriority w:val="99"/>
    <w:rPr>
      <w:rFonts w:ascii="StarSymbol" w:hAnsi="StarSymbol"/>
      <w:noProof/>
      <w:color w:val="808080"/>
    </w:rPr>
  </w:style>
  <w:style w:type="character" w:customStyle="1" w:styleId="tw4winInternal">
    <w:name w:val="tw4winInternal"/>
    <w:uiPriority w:val="99"/>
    <w:rPr>
      <w:rFonts w:ascii="StarSymbol" w:hAnsi="StarSymbol"/>
      <w:noProof/>
      <w:color w:val="FF0000"/>
    </w:rPr>
  </w:style>
  <w:style w:type="character" w:customStyle="1" w:styleId="DONOTTRANSLATE">
    <w:name w:val="DO_NOT_TRANSLATE"/>
    <w:uiPriority w:val="99"/>
    <w:rPr>
      <w:rFonts w:ascii="StarSymbol" w:hAnsi="StarSymbol"/>
      <w:noProof/>
      <w:color w:val="800000"/>
    </w:rPr>
  </w:style>
  <w:style w:type="paragraph" w:styleId="Buborkszveg">
    <w:name w:val="Balloon Text"/>
    <w:basedOn w:val="Norml"/>
    <w:link w:val="BuborkszvegChar"/>
    <w:pPr>
      <w:spacing w:line="240" w:lineRule="auto"/>
    </w:pPr>
    <w:rPr>
      <w:rFonts w:ascii="Symbol" w:hAnsi="Symbol" w:cs="Symbol"/>
      <w:sz w:val="16"/>
      <w:szCs w:val="16"/>
    </w:rPr>
  </w:style>
  <w:style w:type="character" w:customStyle="1" w:styleId="BuborkszvegChar">
    <w:name w:val="Buborékszöveg Char"/>
    <w:link w:val="Buborkszveg"/>
    <w:rPr>
      <w:rFonts w:ascii="Symbol" w:hAnsi="Symbol" w:cs="Symbol"/>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szCs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Arial"/>
      <w:lang w:val="en-US" w:eastAsia="en-US"/>
    </w:rPr>
  </w:style>
  <w:style w:type="character" w:customStyle="1" w:styleId="Cmsor1Char">
    <w:name w:val="Címsor 1 Char"/>
    <w:link w:val="Cmsor1"/>
    <w:rPr>
      <w:rFonts w:eastAsia="Arial"/>
      <w:b/>
      <w:bCs/>
      <w:caps/>
      <w:sz w:val="26"/>
      <w:szCs w:val="26"/>
    </w:rPr>
  </w:style>
  <w:style w:type="character" w:customStyle="1" w:styleId="Cmsor2Char">
    <w:name w:val="Címsor 2 Char"/>
    <w:link w:val="Cmsor2"/>
    <w:rPr>
      <w:rFonts w:ascii="HG Mincho Light J" w:eastAsia="Arial" w:hAnsi="HG Mincho Light J"/>
      <w:b/>
      <w:bCs/>
      <w:i/>
      <w:sz w:val="24"/>
      <w:szCs w:val="24"/>
      <w:lang w:val="hu-HU"/>
    </w:rPr>
  </w:style>
  <w:style w:type="character" w:customStyle="1" w:styleId="Cmsor3Char">
    <w:name w:val="Címsor 3 Char"/>
    <w:link w:val="Cmsor3"/>
    <w:rPr>
      <w:rFonts w:eastAsia="Arial"/>
      <w:b/>
      <w:bCs/>
      <w:kern w:val="1"/>
      <w:sz w:val="24"/>
      <w:szCs w:val="24"/>
    </w:rPr>
  </w:style>
  <w:style w:type="character" w:customStyle="1" w:styleId="Cmsor4Char">
    <w:name w:val="Címsor 4 Char"/>
    <w:link w:val="Cmsor4"/>
    <w:rPr>
      <w:rFonts w:eastAsia="Arial"/>
      <w:b/>
      <w:bCs/>
      <w:sz w:val="22"/>
      <w:szCs w:val="22"/>
    </w:rPr>
  </w:style>
  <w:style w:type="character" w:customStyle="1" w:styleId="Cmsor5Char">
    <w:name w:val="Címsor 5 Char"/>
    <w:link w:val="Cmsor5"/>
    <w:rPr>
      <w:rFonts w:eastAsia="Arial"/>
      <w:sz w:val="22"/>
      <w:szCs w:val="22"/>
    </w:rPr>
  </w:style>
  <w:style w:type="character" w:customStyle="1" w:styleId="Cmsor6Char">
    <w:name w:val="Címsor 6 Char"/>
    <w:link w:val="Cmsor6"/>
    <w:rPr>
      <w:rFonts w:eastAsia="Arial"/>
      <w:i/>
      <w:sz w:val="22"/>
      <w:szCs w:val="22"/>
      <w:lang w:val="hu-HU"/>
    </w:rPr>
  </w:style>
  <w:style w:type="character" w:customStyle="1" w:styleId="Cmsor7Char">
    <w:name w:val="Címsor 7 Char"/>
    <w:link w:val="Cmsor7"/>
    <w:rPr>
      <w:rFonts w:eastAsia="Arial"/>
      <w:i/>
      <w:sz w:val="22"/>
      <w:szCs w:val="22"/>
      <w:lang w:val="hu-HU"/>
    </w:rPr>
  </w:style>
  <w:style w:type="character" w:customStyle="1" w:styleId="Cmsor8Char">
    <w:name w:val="Címsor 8 Char"/>
    <w:link w:val="Cmsor8"/>
    <w:rPr>
      <w:rFonts w:eastAsia="Arial"/>
      <w:b/>
      <w:bCs/>
      <w:i/>
      <w:sz w:val="22"/>
      <w:szCs w:val="22"/>
      <w:lang w:val="hu-HU"/>
    </w:rPr>
  </w:style>
  <w:style w:type="character" w:customStyle="1" w:styleId="Cmsor9Char">
    <w:name w:val="Címsor 9 Char"/>
    <w:link w:val="Cmsor9"/>
    <w:rPr>
      <w:rFonts w:eastAsia="Arial"/>
      <w:b/>
      <w:bCs/>
      <w:i/>
      <w:sz w:val="22"/>
      <w:szCs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Arial"/>
      <w:b/>
      <w:bCs/>
      <w:i/>
    </w:rPr>
  </w:style>
  <w:style w:type="character" w:customStyle="1" w:styleId="SzvegtrzsChar">
    <w:name w:val="Szövegtörzs Char"/>
    <w:link w:val="Szvegtrzs"/>
    <w:rPr>
      <w:rFonts w:eastAsia="Arial"/>
      <w:b/>
      <w:bCs/>
      <w:i/>
      <w:sz w:val="22"/>
      <w:szCs w:val="22"/>
      <w:lang w:val="hu-HU"/>
    </w:rPr>
  </w:style>
  <w:style w:type="paragraph" w:styleId="Lista">
    <w:name w:val="List"/>
    <w:basedOn w:val="Szvegtrzs"/>
    <w:rPr>
      <w:rFonts w:cs="Symbol"/>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Arial"/>
      <w:b/>
      <w:bCs/>
      <w:color w:val="808080"/>
    </w:rPr>
  </w:style>
  <w:style w:type="character" w:customStyle="1" w:styleId="SzvegtrzsbehzssalChar">
    <w:name w:val="Szövegtörzs behúzással Char"/>
    <w:link w:val="Szvegtrzsbehzssal"/>
    <w:rPr>
      <w:rFonts w:eastAsia="Arial"/>
      <w:b/>
      <w:bCs/>
      <w:color w:val="808080"/>
      <w:sz w:val="22"/>
      <w:szCs w:val="22"/>
      <w:lang w:val="hu-HU"/>
    </w:rPr>
  </w:style>
  <w:style w:type="paragraph" w:styleId="Bortkcm">
    <w:name w:val="envelope address"/>
    <w:basedOn w:val="Norml"/>
    <w:next w:val="Szvegtrzs"/>
    <w:pPr>
      <w:keepNext/>
      <w:tabs>
        <w:tab w:val="clear" w:pos="567"/>
      </w:tabs>
      <w:suppressAutoHyphens/>
      <w:spacing w:before="240" w:after="120"/>
    </w:pPr>
    <w:rPr>
      <w:rFonts w:ascii="Cambria Math" w:eastAsia="TimesNewRomanPSMT" w:hAnsi="Cambria Math"/>
      <w:sz w:val="28"/>
      <w:szCs w:val="28"/>
    </w:rPr>
  </w:style>
  <w:style w:type="paragraph" w:styleId="Lbjegyzetszveg">
    <w:name w:val="footnote text"/>
    <w:basedOn w:val="Norml"/>
    <w:link w:val="LbjegyzetszvegChar"/>
    <w:pPr>
      <w:tabs>
        <w:tab w:val="clear" w:pos="567"/>
      </w:tabs>
      <w:suppressAutoHyphens/>
    </w:pPr>
    <w:rPr>
      <w:rFonts w:eastAsia="Arial"/>
      <w:sz w:val="20"/>
      <w:szCs w:val="20"/>
    </w:rPr>
  </w:style>
  <w:style w:type="character" w:customStyle="1" w:styleId="LbjegyzetszvegChar">
    <w:name w:val="Lábjegyzetszöveg Char"/>
    <w:link w:val="Lbjegyzetszveg"/>
    <w:rPr>
      <w:rFonts w:eastAsia="Arial"/>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Arial"/>
    </w:rPr>
  </w:style>
  <w:style w:type="character" w:customStyle="1" w:styleId="VgjegyzetszvegeChar">
    <w:name w:val="Végjegyzet szövege Char"/>
    <w:link w:val="Vgjegyzetszvege"/>
    <w:rPr>
      <w:rFonts w:eastAsia="Arial"/>
      <w:sz w:val="22"/>
      <w:szCs w:val="22"/>
      <w:lang w:val="hu-HU"/>
    </w:rPr>
  </w:style>
  <w:style w:type="paragraph" w:styleId="Szvegblokk">
    <w:name w:val="Block Text"/>
    <w:basedOn w:val="Norml"/>
    <w:pPr>
      <w:tabs>
        <w:tab w:val="clear" w:pos="567"/>
      </w:tabs>
      <w:suppressAutoHyphens/>
      <w:spacing w:line="260" w:lineRule="atLeast"/>
      <w:ind w:left="567" w:right="-2" w:hanging="567"/>
    </w:pPr>
    <w:rPr>
      <w:rFonts w:eastAsia="Arial"/>
      <w:b/>
      <w:bCs/>
    </w:rPr>
  </w:style>
  <w:style w:type="paragraph" w:customStyle="1" w:styleId="Buborkszveg1">
    <w:name w:val="Buborékszöveg1"/>
    <w:basedOn w:val="Norml"/>
    <w:semiHidden/>
    <w:pPr>
      <w:tabs>
        <w:tab w:val="clear" w:pos="567"/>
      </w:tabs>
      <w:suppressAutoHyphens/>
    </w:pPr>
    <w:rPr>
      <w:rFonts w:ascii="Symbol" w:eastAsia="Arial" w:hAnsi="Symbol" w:cs="Symbol"/>
      <w:sz w:val="16"/>
      <w:szCs w:val="16"/>
    </w:rPr>
  </w:style>
  <w:style w:type="paragraph" w:styleId="Listaszerbekezds">
    <w:name w:val="List Paragraph"/>
    <w:basedOn w:val="Norml"/>
    <w:uiPriority w:val="34"/>
    <w:qFormat/>
    <w:pPr>
      <w:ind w:left="708"/>
    </w:pPr>
  </w:style>
  <w:style w:type="paragraph" w:styleId="Nincstrkz">
    <w:name w:val="No Spacing"/>
    <w:uiPriority w:val="1"/>
    <w:qFormat/>
    <w:rPr>
      <w:rFonts w:ascii="Tahoma" w:eastAsia="Tahoma" w:hAnsi="Tahoma"/>
      <w:sz w:val="22"/>
      <w:szCs w:val="22"/>
      <w:lang w:eastAsia="en-US"/>
    </w:rPr>
  </w:style>
  <w:style w:type="paragraph" w:styleId="Vltozat">
    <w:name w:val="Revision"/>
    <w:uiPriority w:val="99"/>
    <w:semiHidden/>
    <w:rPr>
      <w:sz w:val="22"/>
      <w:szCs w:val="22"/>
      <w:lang w:val="en-GB" w:eastAsia="zh-CN"/>
    </w:rPr>
  </w:style>
  <w:style w:type="character" w:customStyle="1" w:styleId="text">
    <w:name w:val="text"/>
  </w:style>
  <w:style w:type="character" w:customStyle="1" w:styleId="JegyzetszvegChar">
    <w:name w:val="Jegyzetszöveg Char"/>
    <w:link w:val="Jegyzetszveg"/>
    <w:semiHidden/>
    <w:rPr>
      <w:lang w:val="en-GB" w:eastAsia="zh-CN"/>
    </w:rPr>
  </w:style>
  <w:style w:type="character" w:customStyle="1" w:styleId="lfejChar">
    <w:name w:val="Élőfej Char"/>
    <w:link w:val="lfej"/>
    <w:uiPriority w:val="99"/>
    <w:rPr>
      <w:sz w:val="22"/>
      <w:szCs w:val="22"/>
      <w:lang w:val="en-GB" w:eastAsia="zh-CN"/>
    </w:rPr>
  </w:style>
  <w:style w:type="character" w:styleId="Lbjegyzet-hivatkozs">
    <w:name w:val="footnote reference"/>
    <w:basedOn w:val="Bekezdsalapbettpusa"/>
    <w:uiPriority w:val="99"/>
    <w:semiHidden/>
    <w:unhideWhenUsed/>
    <w:qFormat/>
    <w:rPr>
      <w:vertAlign w:val="superscript"/>
    </w:rPr>
  </w:style>
  <w:style w:type="character" w:styleId="Vgjegyzet-hivatkozs">
    <w:name w:val="endnote reference"/>
    <w:basedOn w:val="Bekezdsalapbettpusa"/>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8095">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1113136636">
      <w:bodyDiv w:val="1"/>
      <w:marLeft w:val="0"/>
      <w:marRight w:val="0"/>
      <w:marTop w:val="0"/>
      <w:marBottom w:val="0"/>
      <w:divBdr>
        <w:top w:val="none" w:sz="0" w:space="0" w:color="auto"/>
        <w:left w:val="none" w:sz="0" w:space="0" w:color="auto"/>
        <w:bottom w:val="none" w:sz="0" w:space="0" w:color="auto"/>
        <w:right w:val="none" w:sz="0" w:space="0" w:color="auto"/>
      </w:divBdr>
    </w:div>
    <w:div w:id="1176917239">
      <w:bodyDiv w:val="1"/>
      <w:marLeft w:val="0"/>
      <w:marRight w:val="0"/>
      <w:marTop w:val="0"/>
      <w:marBottom w:val="0"/>
      <w:divBdr>
        <w:top w:val="none" w:sz="0" w:space="0" w:color="auto"/>
        <w:left w:val="none" w:sz="0" w:space="0" w:color="auto"/>
        <w:bottom w:val="none" w:sz="0" w:space="0" w:color="auto"/>
        <w:right w:val="none" w:sz="0" w:space="0" w:color="auto"/>
      </w:divBdr>
    </w:div>
    <w:div w:id="1677145814">
      <w:bodyDiv w:val="1"/>
      <w:marLeft w:val="0"/>
      <w:marRight w:val="0"/>
      <w:marTop w:val="0"/>
      <w:marBottom w:val="0"/>
      <w:divBdr>
        <w:top w:val="none" w:sz="0" w:space="0" w:color="auto"/>
        <w:left w:val="none" w:sz="0" w:space="0" w:color="auto"/>
        <w:bottom w:val="none" w:sz="0" w:space="0" w:color="auto"/>
        <w:right w:val="none" w:sz="0" w:space="0" w:color="auto"/>
      </w:divBdr>
    </w:div>
    <w:div w:id="21302034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86643-5891-446A-88EA-EBC53B15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6829</Words>
  <Characters>47124</Characters>
  <Application>Microsoft Office Word</Application>
  <DocSecurity>0</DocSecurity>
  <Lines>392</Lines>
  <Paragraphs>107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53846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HU-OGYI 59.1</dc:creator>
  <cp:lastModifiedBy>HU_NNGYK_56.1</cp:lastModifiedBy>
  <cp:revision>5</cp:revision>
  <dcterms:created xsi:type="dcterms:W3CDTF">2026-03-19T12:47:00Z</dcterms:created>
  <dcterms:modified xsi:type="dcterms:W3CDTF">2026-03-23T14:19:00Z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136270267</vt:lpwstr>
  </property>
</Properties>
</file>