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5E7" w:rsidRDefault="00F27BEE">
      <w:pPr>
        <w:widowControl w:val="0"/>
        <w:spacing w:line="240" w:lineRule="auto"/>
        <w:rPr>
          <w:lang w:val="hu-HU"/>
        </w:rPr>
      </w:pPr>
      <w:bookmarkStart w:id="0" w:name="_GoBack"/>
      <w:bookmarkEnd w:id="0"/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CB75E7" w:rsidRDefault="00CB75E7">
      <w:pPr>
        <w:widowControl w:val="0"/>
        <w:spacing w:line="240" w:lineRule="auto"/>
        <w:rPr>
          <w:lang w:val="hu-HU"/>
        </w:rPr>
      </w:pPr>
    </w:p>
    <w:p w:rsidR="00CB75E7" w:rsidRDefault="00F27BEE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Anvildis Duo 50 mg/850 mg filmtabletta</w:t>
      </w:r>
    </w:p>
    <w:p w:rsidR="00CB75E7" w:rsidRDefault="00F27BEE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Anvildis Duo 50 mg/1000 mg filmtabletta</w:t>
      </w:r>
    </w:p>
    <w:p w:rsidR="00CB75E7" w:rsidRDefault="00CB75E7">
      <w:pPr>
        <w:widowControl w:val="0"/>
        <w:spacing w:line="240" w:lineRule="auto"/>
        <w:rPr>
          <w:lang w:val="hu-HU"/>
        </w:rPr>
      </w:pPr>
    </w:p>
    <w:p w:rsidR="00CB75E7" w:rsidRDefault="00CB75E7">
      <w:pPr>
        <w:widowControl w:val="0"/>
        <w:spacing w:line="240" w:lineRule="auto"/>
        <w:rPr>
          <w:lang w:val="hu-HU"/>
        </w:rPr>
      </w:pPr>
    </w:p>
    <w:p w:rsidR="00CB75E7" w:rsidRDefault="00F27BEE">
      <w:pPr>
        <w:widowControl w:val="0"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MINŐSÉGI ÉS MENNYISÉGI ÖSSZETÉTEL</w:t>
      </w:r>
    </w:p>
    <w:p w:rsidR="00CB75E7" w:rsidRDefault="00CB75E7">
      <w:pPr>
        <w:widowControl w:val="0"/>
        <w:spacing w:line="240" w:lineRule="auto"/>
        <w:rPr>
          <w:noProof/>
          <w:u w:val="single"/>
          <w:lang w:val="sl-SI"/>
        </w:rPr>
      </w:pPr>
    </w:p>
    <w:p w:rsidR="00CB75E7" w:rsidRDefault="00F27BEE">
      <w:pPr>
        <w:widowControl w:val="0"/>
        <w:spacing w:line="240" w:lineRule="auto"/>
        <w:rPr>
          <w:lang w:val="hu-HU"/>
        </w:rPr>
      </w:pPr>
      <w:r>
        <w:rPr>
          <w:noProof/>
          <w:u w:val="single"/>
          <w:lang w:val="sl-SI"/>
        </w:rPr>
        <w:t>Anvildis Duo 50 mg/850 mg filmtabletta</w:t>
      </w:r>
    </w:p>
    <w:p w:rsidR="00CB75E7" w:rsidRDefault="00F27BEE">
      <w:pPr>
        <w:pStyle w:val="EMEAEnBodyText"/>
        <w:autoSpaceDE w:val="0"/>
        <w:autoSpaceDN w:val="0"/>
        <w:spacing w:before="0" w:after="0"/>
      </w:pPr>
      <w:r>
        <w:rPr>
          <w:lang w:val="hu-HU"/>
        </w:rPr>
        <w:t>50 mg vildagliptint és 850 mg metformin-hidrokloridot (660 mg metforminnak felel meg) tartalmaz filmtablettánként</w:t>
      </w:r>
      <w:r>
        <w:t>.</w:t>
      </w:r>
    </w:p>
    <w:p w:rsidR="00CB75E7" w:rsidRDefault="00CB75E7">
      <w:pPr>
        <w:pStyle w:val="EMEAEnBodyText"/>
        <w:autoSpaceDE w:val="0"/>
        <w:autoSpaceDN w:val="0"/>
        <w:spacing w:before="0" w:after="0"/>
        <w:rPr>
          <w:u w:val="single"/>
          <w:lang w:val="hu-HU"/>
        </w:rPr>
      </w:pPr>
    </w:p>
    <w:p w:rsidR="00CB75E7" w:rsidRDefault="00F27BEE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Anvildis Duo 50 mg/1000 mg filmtabletta</w:t>
      </w:r>
    </w:p>
    <w:p w:rsidR="00CB75E7" w:rsidRDefault="00F27BEE">
      <w:pPr>
        <w:widowControl w:val="0"/>
        <w:spacing w:line="240" w:lineRule="auto"/>
        <w:rPr>
          <w:lang w:val="hu-HU"/>
        </w:rPr>
      </w:pPr>
      <w:r>
        <w:rPr>
          <w:lang w:val="hu-HU"/>
        </w:rPr>
        <w:t>50 mg vildagliptint és 1000 mg metformin-hidrokloridot (780 mg metforminnak felel meg) tartalmaz filmtablettánként.</w:t>
      </w:r>
    </w:p>
    <w:p w:rsidR="00CB75E7" w:rsidRDefault="00CB75E7">
      <w:pPr>
        <w:pStyle w:val="EMEAEnBodyText"/>
        <w:autoSpaceDE w:val="0"/>
        <w:autoSpaceDN w:val="0"/>
        <w:spacing w:before="0" w:after="0"/>
        <w:rPr>
          <w:u w:val="single"/>
          <w:lang w:val="hu-HU"/>
        </w:rPr>
      </w:pPr>
    </w:p>
    <w:p w:rsidR="00CB75E7" w:rsidRDefault="00F27BEE">
      <w:pPr>
        <w:pStyle w:val="EMEAEnBodyText"/>
        <w:autoSpaceDE w:val="0"/>
        <w:autoSpaceDN w:val="0"/>
        <w:spacing w:before="0" w:after="0"/>
        <w:rPr>
          <w:lang w:val="hu-HU"/>
        </w:rPr>
      </w:pPr>
      <w:r>
        <w:rPr>
          <w:lang w:val="hu-HU"/>
        </w:rPr>
        <w:t>A segédanyagok teljes listáját lásd a 6.1 pontban.</w:t>
      </w:r>
    </w:p>
    <w:p w:rsidR="00CB75E7" w:rsidRDefault="00CB75E7">
      <w:pPr>
        <w:widowControl w:val="0"/>
        <w:spacing w:line="240" w:lineRule="auto"/>
        <w:rPr>
          <w:lang w:val="hu-HU"/>
        </w:rPr>
      </w:pPr>
    </w:p>
    <w:p w:rsidR="00CB75E7" w:rsidRDefault="00CB75E7">
      <w:pPr>
        <w:widowControl w:val="0"/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GYÓGYSZERFORMA</w:t>
      </w:r>
    </w:p>
    <w:p w:rsidR="00CB75E7" w:rsidRDefault="00CB75E7">
      <w:pPr>
        <w:widowControl w:val="0"/>
        <w:spacing w:line="240" w:lineRule="auto"/>
        <w:rPr>
          <w:lang w:val="hu-HU"/>
        </w:rPr>
      </w:pPr>
    </w:p>
    <w:p w:rsidR="00CB75E7" w:rsidRDefault="00F27BEE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 xml:space="preserve">Filmtabletta </w:t>
      </w:r>
    </w:p>
    <w:p w:rsidR="00CB75E7" w:rsidRDefault="00CB75E7">
      <w:pPr>
        <w:widowControl w:val="0"/>
        <w:spacing w:line="240" w:lineRule="auto"/>
        <w:rPr>
          <w:lang w:val="hu-HU"/>
        </w:rPr>
      </w:pPr>
    </w:p>
    <w:p w:rsidR="00CB75E7" w:rsidRDefault="00F27BEE">
      <w:pPr>
        <w:widowControl w:val="0"/>
        <w:spacing w:line="240" w:lineRule="auto"/>
        <w:rPr>
          <w:lang w:val="hu-HU"/>
        </w:rPr>
      </w:pPr>
      <w:r>
        <w:rPr>
          <w:noProof/>
          <w:u w:val="single"/>
          <w:lang w:val="sl-SI"/>
        </w:rPr>
        <w:t>Anvildis Duo 50 mg/850 mg filmtabletta</w:t>
      </w:r>
    </w:p>
    <w:p w:rsidR="00CB75E7" w:rsidRDefault="00F27BEE">
      <w:pPr>
        <w:tabs>
          <w:tab w:val="clear" w:pos="567"/>
          <w:tab w:val="left" w:pos="0"/>
        </w:tabs>
        <w:spacing w:line="240" w:lineRule="auto"/>
        <w:rPr>
          <w:lang w:val="hu-HU"/>
        </w:rPr>
      </w:pPr>
      <w:r>
        <w:rPr>
          <w:lang w:val="hu-HU"/>
        </w:rPr>
        <w:t>Sárga, ovális, 20,1 mm névleges hosszúságú és 8,1 mm névleges szélességű filmbevonatú tabletta, az egyik oldalán "MLV" mélynyomású jelöléssel ellátva, a másik oldala sima.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widowControl w:val="0"/>
        <w:spacing w:line="240" w:lineRule="auto"/>
        <w:rPr>
          <w:lang w:val="hu-HU"/>
        </w:rPr>
      </w:pPr>
      <w:r>
        <w:rPr>
          <w:noProof/>
          <w:u w:val="single"/>
          <w:lang w:val="sl-SI"/>
        </w:rPr>
        <w:t>Anvildis Duo 50 mg/1000 mg filmtabletta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Sötétsárga, ovális, 21,1 mm névleges hosszúságú és 9,1 mm névleges szélességű filmbevonatú tabletta, az egyik oldalán "MHV" </w:t>
      </w:r>
      <w:bookmarkStart w:id="1" w:name="_Hlk103683723"/>
      <w:r>
        <w:rPr>
          <w:lang w:val="hu-HU"/>
        </w:rPr>
        <w:t>mélynyomású jelöléssel ellátva</w:t>
      </w:r>
      <w:bookmarkEnd w:id="1"/>
      <w:r>
        <w:rPr>
          <w:lang w:val="hu-HU"/>
        </w:rPr>
        <w:t>, a másik oldala sima.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KLINIKAI JELLEMZŐK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4.1</w:t>
      </w:r>
      <w:r>
        <w:rPr>
          <w:b/>
          <w:bCs/>
          <w:lang w:val="hu-HU"/>
        </w:rPr>
        <w:tab/>
        <w:t>Terápiás javallatok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rPr>
          <w:lang w:val="hu-HU"/>
        </w:rPr>
      </w:pPr>
      <w:r>
        <w:rPr>
          <w:lang w:val="hu-HU"/>
        </w:rPr>
        <w:t>Az Anvildis Duo a 2</w:t>
      </w:r>
      <w:r>
        <w:rPr>
          <w:lang w:val="hu-HU"/>
        </w:rPr>
        <w:noBreakHyphen/>
        <w:t>es típusú cukorbetegségben szenvedő felnőttek glykaemiás kontrolljának javítására javallott a diéta és a testmozgás kiegészítéseként:</w:t>
      </w:r>
    </w:p>
    <w:p w:rsidR="00CB75E7" w:rsidRDefault="00F27BEE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olyan betegeknél, akiknél a monoterápiában alkalmazott metformin</w:t>
      </w:r>
      <w:r>
        <w:rPr>
          <w:lang w:val="hu-HU"/>
        </w:rPr>
        <w:noBreakHyphen/>
        <w:t>hidroklorid nem biztosít megfelelő kontrollt.</w:t>
      </w:r>
    </w:p>
    <w:p w:rsidR="00CB75E7" w:rsidRDefault="00F27BEE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olyan betegeknél, akiket már különálló tablettákban adott vildagliptin és metformin</w:t>
      </w:r>
      <w:r>
        <w:rPr>
          <w:lang w:val="hu-HU"/>
        </w:rPr>
        <w:noBreakHyphen/>
        <w:t>hidroklorid kombinációval kezelnek.</w:t>
      </w:r>
    </w:p>
    <w:p w:rsidR="00CB75E7" w:rsidRDefault="00F27BEE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más gyógyszerekkel, köztük inzulinnal kombinálva a cukorbetegség kezelésére abban az esetben, ha ezek az egyéb gyógyszerek nem biztosítanak megfelelő glykaemiás kontrollt (a különböző kombinációkról rendelkezésre álló adatokat lásd a 4.4, 4.5 és 5.1 pontokban).</w:t>
      </w:r>
    </w:p>
    <w:p w:rsidR="00CB75E7" w:rsidRDefault="00CB75E7">
      <w:pPr>
        <w:spacing w:line="240" w:lineRule="auto"/>
        <w:ind w:left="567" w:hanging="567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4.2</w:t>
      </w:r>
      <w:r>
        <w:rPr>
          <w:b/>
          <w:bCs/>
          <w:lang w:val="hu-HU"/>
        </w:rPr>
        <w:tab/>
        <w:t>Adagolás és alkalmazás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Adagolás</w:t>
      </w:r>
    </w:p>
    <w:p w:rsidR="00CB75E7" w:rsidRDefault="00CB75E7">
      <w:pPr>
        <w:pStyle w:val="Nincstrkz"/>
        <w:rPr>
          <w:i/>
          <w:lang w:val="hu-HU"/>
        </w:rPr>
      </w:pPr>
    </w:p>
    <w:p w:rsidR="00CB75E7" w:rsidRDefault="00F27BEE">
      <w:pPr>
        <w:pStyle w:val="Nincstrkz"/>
        <w:rPr>
          <w:i/>
          <w:u w:val="single"/>
          <w:lang w:val="hu-HU"/>
        </w:rPr>
      </w:pPr>
      <w:r>
        <w:rPr>
          <w:i/>
          <w:u w:val="single"/>
          <w:lang w:val="hu-HU"/>
        </w:rPr>
        <w:t>Normál veseműködésű felnőttek (GFR ≥ 90 ml/perc)</w:t>
      </w:r>
    </w:p>
    <w:p w:rsidR="00CB75E7" w:rsidRDefault="00F27BEE">
      <w:pPr>
        <w:pStyle w:val="Nincstrkz"/>
        <w:rPr>
          <w:lang w:val="hu-HU"/>
        </w:rPr>
      </w:pPr>
      <w:r>
        <w:rPr>
          <w:lang w:val="hu-HU"/>
        </w:rPr>
        <w:t>Az Anvildis Duo</w:t>
      </w:r>
      <w:r>
        <w:rPr>
          <w:lang w:val="hu-HU"/>
        </w:rPr>
        <w:noBreakHyphen/>
        <w:t>val végzett antihyperglykaemiás kezelés dózisát a beteg aktuális kezelési rendje, a gyógyszer hatásossága és tolerabilitása alapján egyénileg kell beállítani, úgy, hogy eközben a vildagliptin dózisa ne haladja meg a javasolt 100 mg</w:t>
      </w:r>
      <w:r>
        <w:rPr>
          <w:lang w:val="hu-HU"/>
        </w:rPr>
        <w:noBreakHyphen/>
        <w:t>os maximális napi dózist. Az Anvildis Duo adagolása vagy az 50 mg/850 mg</w:t>
      </w:r>
      <w:r>
        <w:rPr>
          <w:lang w:val="hu-HU"/>
        </w:rPr>
        <w:noBreakHyphen/>
        <w:t>os vagy az 50 mg/1000 mg</w:t>
      </w:r>
      <w:r>
        <w:rPr>
          <w:lang w:val="hu-HU"/>
        </w:rPr>
        <w:noBreakHyphen/>
        <w:t>os hatáserősségű tablettával kezdhető el, naponta kétszer adva, az egyik tabletta reggel és a másik este.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 metformin</w:t>
      </w:r>
      <w:r>
        <w:rPr>
          <w:lang w:val="hu-HU"/>
        </w:rPr>
        <w:noBreakHyphen/>
        <w:t>monoterápia maximális tolerált dózisával nem megfelelően kontrollált betegek:</w:t>
      </w:r>
    </w:p>
    <w:p w:rsidR="00CB75E7" w:rsidRDefault="00F27BEE">
      <w:pPr>
        <w:pStyle w:val="Nincstrkz"/>
        <w:ind w:left="567"/>
        <w:rPr>
          <w:lang w:val="hu-HU"/>
        </w:rPr>
      </w:pPr>
      <w:r>
        <w:rPr>
          <w:lang w:val="hu-HU"/>
        </w:rPr>
        <w:t>Az Anvildis Duo kezdő dózisának naponta kétszer 50 mg vildagliptint (100 mg teljes napi dózist), plusz a már szedett metformin dózist kell biztosítania.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 külön adott vildagliptin és metformin tablettákról átállított betegek:</w:t>
      </w:r>
    </w:p>
    <w:p w:rsidR="00CB75E7" w:rsidRDefault="00F27BEE">
      <w:pPr>
        <w:pStyle w:val="Nincstrkz"/>
        <w:ind w:left="567"/>
        <w:rPr>
          <w:lang w:val="hu-HU"/>
        </w:rPr>
      </w:pPr>
      <w:r>
        <w:rPr>
          <w:lang w:val="hu-HU"/>
        </w:rPr>
        <w:t>Az Anvildis Duo</w:t>
      </w:r>
      <w:r>
        <w:rPr>
          <w:lang w:val="hu-HU"/>
        </w:rPr>
        <w:noBreakHyphen/>
        <w:t>t a már szedett vildagliptin és metformin dózisban kell elkezdeni.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Metformin és egy szulfonilurea kettős kombinációjával nem megfelelően kontrollált betegek:</w:t>
      </w:r>
    </w:p>
    <w:p w:rsidR="00CB75E7" w:rsidRDefault="00F27BEE">
      <w:pPr>
        <w:pStyle w:val="Nincstrkz"/>
        <w:ind w:left="567"/>
        <w:rPr>
          <w:lang w:val="hu-HU"/>
        </w:rPr>
      </w:pPr>
      <w:r>
        <w:rPr>
          <w:lang w:val="hu-HU"/>
        </w:rPr>
        <w:t>Az Anvildis Duo dózisának naponta kétszer 50 mg vildagliptint (100 mg teljes napi dózist) és a már szedett metformin dózishoz hasonló dózist kell biztosítania. Ha az Anvildis Duo</w:t>
      </w:r>
      <w:r>
        <w:rPr>
          <w:lang w:val="hu-HU"/>
        </w:rPr>
        <w:noBreakHyphen/>
        <w:t>t szulfonilureával kombinációban alkalmazzák, akkor a hypoglykaemia kockázatának csökkentése érdekében a szulfonilurea kisebb dózisban történő adását kell mérlegelni.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Inzulin és metformin maximális tolerált dózisának kettős kombinációjával nem megfelelően kontrollált betegek:</w:t>
      </w:r>
    </w:p>
    <w:p w:rsidR="00CB75E7" w:rsidRDefault="00F27BEE">
      <w:pPr>
        <w:pStyle w:val="Nincstrkz"/>
        <w:ind w:left="567"/>
        <w:rPr>
          <w:lang w:val="hu-HU"/>
        </w:rPr>
      </w:pPr>
      <w:r>
        <w:rPr>
          <w:lang w:val="hu-HU"/>
        </w:rPr>
        <w:t>Az Anvildis Duo dózisának naponta kétszer 50 mg vildagliptint (100 mg teljes napi dózist) és a már szedett metformin dózishoz hasonló dózist kell biztosítania.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rPr>
          <w:lang w:val="hu-HU"/>
        </w:rPr>
      </w:pPr>
      <w:r>
        <w:rPr>
          <w:lang w:val="hu-HU"/>
        </w:rPr>
        <w:t>A vildagliptin és metformin biztonságosságát és hatásosságát tiazolidindiont is tartalmazó hármas, orális kombinációban nem igazolták.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rPr>
          <w:i/>
          <w:u w:val="single"/>
          <w:lang w:val="hu-HU"/>
        </w:rPr>
      </w:pPr>
      <w:r>
        <w:rPr>
          <w:i/>
          <w:u w:val="single"/>
          <w:lang w:val="hu-HU"/>
        </w:rPr>
        <w:t>Különleges betegcsoportok</w:t>
      </w:r>
    </w:p>
    <w:p w:rsidR="00CB75E7" w:rsidRDefault="00F27BEE">
      <w:pPr>
        <w:pStyle w:val="Nincstrkz"/>
        <w:rPr>
          <w:i/>
          <w:lang w:val="hu-HU"/>
        </w:rPr>
      </w:pPr>
      <w:r>
        <w:rPr>
          <w:i/>
          <w:lang w:val="hu-HU"/>
        </w:rPr>
        <w:t>Idősek (≥ 65 év)</w:t>
      </w:r>
    </w:p>
    <w:p w:rsidR="00CB75E7" w:rsidRDefault="00F27BEE">
      <w:pPr>
        <w:pStyle w:val="Nincstrkz"/>
        <w:rPr>
          <w:lang w:val="hu-HU"/>
        </w:rPr>
      </w:pPr>
      <w:r>
        <w:rPr>
          <w:lang w:val="hu-HU"/>
        </w:rPr>
        <w:t>Mivel a metformin a vesén keresztül választódik ki, és az időseknél jellemző a vesekárosodás kialakulása, az Anvildis Duo</w:t>
      </w:r>
      <w:r>
        <w:rPr>
          <w:lang w:val="hu-HU"/>
        </w:rPr>
        <w:noBreakHyphen/>
        <w:t>t szedő idősek veseműködését rendszeresen ellenőrizni kell (lásd 4.4 és 5.2 pont).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rPr>
          <w:i/>
          <w:lang w:val="hu-HU"/>
        </w:rPr>
      </w:pPr>
      <w:r>
        <w:rPr>
          <w:i/>
          <w:lang w:val="hu-HU"/>
        </w:rPr>
        <w:t>Vesekárosodás</w:t>
      </w:r>
    </w:p>
    <w:p w:rsidR="00CB75E7" w:rsidRDefault="00F27BEE">
      <w:pPr>
        <w:pStyle w:val="Nincstrkz"/>
        <w:rPr>
          <w:lang w:val="hu-HU"/>
        </w:rPr>
      </w:pPr>
      <w:r>
        <w:rPr>
          <w:lang w:val="hu-HU"/>
        </w:rPr>
        <w:t>A GFR értékét a metformin</w:t>
      </w:r>
      <w:r>
        <w:rPr>
          <w:lang w:val="hu-HU"/>
        </w:rPr>
        <w:noBreakHyphen/>
        <w:t>tartalmú készítménnyel folytatott kezelés megkezdése előtt és a kezelés során legalább évente ellenőrizni kell. A vesekárosodás további romlása szempontjából fokozott kockázatnak kitett betegeknél és időseknél a veseműködés gyakoribb, például 3</w:t>
      </w:r>
      <w:r>
        <w:rPr>
          <w:lang w:val="hu-HU"/>
        </w:rPr>
        <w:noBreakHyphen/>
        <w:t>6 havonta történő ellenőrzése szükséges.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rPr>
          <w:lang w:val="hu-HU"/>
        </w:rPr>
      </w:pPr>
      <w:r>
        <w:rPr>
          <w:lang w:val="hu-HU"/>
        </w:rPr>
        <w:t>A metformin maximális napi dózisát lehetőleg naponta 2</w:t>
      </w:r>
      <w:r>
        <w:rPr>
          <w:lang w:val="hu-HU"/>
        </w:rPr>
        <w:noBreakHyphen/>
        <w:t>3 részre kell elosztani. Azon betegeknél, akiknél a GFR &lt; 60 ml/perc, a laktátacidózis kockázatát esetlegesen növelő faktorokat (lásd 4.4 pont) figyelembe kell venni, mielőtt megfontolják a metformin</w:t>
      </w:r>
      <w:r>
        <w:rPr>
          <w:lang w:val="hu-HU"/>
        </w:rPr>
        <w:noBreakHyphen/>
        <w:t>kezelést.</w:t>
      </w:r>
    </w:p>
    <w:p w:rsidR="00CB75E7" w:rsidRDefault="00CB75E7">
      <w:pPr>
        <w:pStyle w:val="Nincstrkz"/>
        <w:rPr>
          <w:lang w:val="hu-HU"/>
        </w:rPr>
      </w:pPr>
    </w:p>
    <w:p w:rsidR="00CB75E7" w:rsidRDefault="00F27BEE">
      <w:pPr>
        <w:pStyle w:val="Nincstrkz"/>
        <w:rPr>
          <w:lang w:val="hu-HU"/>
        </w:rPr>
      </w:pPr>
      <w:r>
        <w:rPr>
          <w:lang w:val="hu-HU"/>
        </w:rPr>
        <w:t>Amennyiben nem áll rendelkezésre az Anvildis Duo megfelelő hatáserősségű formája, a fix dózisú kombináció helyett az egyedi monokomponenseket kell alkalmazni.</w:t>
      </w:r>
    </w:p>
    <w:p w:rsidR="00CB75E7" w:rsidRDefault="00CB75E7">
      <w:pPr>
        <w:pStyle w:val="Nincstrkz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675"/>
        <w:gridCol w:w="3689"/>
      </w:tblGrid>
      <w:tr w:rsidR="00CB75E7">
        <w:trPr>
          <w:trHeight w:val="455"/>
        </w:trPr>
        <w:tc>
          <w:tcPr>
            <w:tcW w:w="1696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GFR ml/perc</w:t>
            </w:r>
          </w:p>
        </w:tc>
        <w:tc>
          <w:tcPr>
            <w:tcW w:w="3675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Metformin</w:t>
            </w:r>
          </w:p>
        </w:tc>
        <w:tc>
          <w:tcPr>
            <w:tcW w:w="3689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Vildagliptin</w:t>
            </w:r>
          </w:p>
        </w:tc>
      </w:tr>
      <w:tr w:rsidR="00CB75E7">
        <w:tc>
          <w:tcPr>
            <w:tcW w:w="1696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60</w:t>
            </w:r>
            <w:r>
              <w:rPr>
                <w:lang w:val="hu-HU"/>
              </w:rPr>
              <w:noBreakHyphen/>
              <w:t>89</w:t>
            </w:r>
          </w:p>
        </w:tc>
        <w:tc>
          <w:tcPr>
            <w:tcW w:w="3675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maximális napi dózis 3000 mg.</w:t>
            </w:r>
          </w:p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vesekárosodáshoz mérten megfontolandó a dózis csökkentése.</w:t>
            </w:r>
          </w:p>
        </w:tc>
        <w:tc>
          <w:tcPr>
            <w:tcW w:w="3689" w:type="dxa"/>
          </w:tcPr>
          <w:p w:rsidR="00CB75E7" w:rsidRDefault="00F27BEE">
            <w:pPr>
              <w:tabs>
                <w:tab w:val="clear" w:pos="567"/>
              </w:tabs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rFonts w:eastAsia="Calibri"/>
                <w:color w:val="333333"/>
                <w:lang w:val="hu-HU" w:eastAsia="hu-HU"/>
              </w:rPr>
              <w:t>A dózis módosítása nem szükséges</w:t>
            </w:r>
            <w:r>
              <w:rPr>
                <w:lang w:val="hu-HU"/>
              </w:rPr>
              <w:t>.</w:t>
            </w:r>
          </w:p>
        </w:tc>
      </w:tr>
      <w:tr w:rsidR="00CB75E7">
        <w:trPr>
          <w:trHeight w:val="916"/>
        </w:trPr>
        <w:tc>
          <w:tcPr>
            <w:tcW w:w="1696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45</w:t>
            </w:r>
            <w:r>
              <w:rPr>
                <w:lang w:val="hu-HU"/>
              </w:rPr>
              <w:noBreakHyphen/>
              <w:t>59</w:t>
            </w:r>
          </w:p>
        </w:tc>
        <w:tc>
          <w:tcPr>
            <w:tcW w:w="3675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maximális napi dózis 2000 mg.</w:t>
            </w:r>
          </w:p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kezdő dózis legfeljebb a maximális dózis fele.</w:t>
            </w:r>
          </w:p>
        </w:tc>
        <w:tc>
          <w:tcPr>
            <w:tcW w:w="3689" w:type="dxa"/>
            <w:vMerge w:val="restart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maximális napi dózis 50 mg.</w:t>
            </w:r>
          </w:p>
        </w:tc>
      </w:tr>
      <w:tr w:rsidR="00CB75E7">
        <w:trPr>
          <w:trHeight w:val="47"/>
        </w:trPr>
        <w:tc>
          <w:tcPr>
            <w:tcW w:w="1696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30</w:t>
            </w:r>
            <w:r>
              <w:rPr>
                <w:lang w:val="hu-HU"/>
              </w:rPr>
              <w:noBreakHyphen/>
              <w:t>44</w:t>
            </w:r>
          </w:p>
        </w:tc>
        <w:tc>
          <w:tcPr>
            <w:tcW w:w="3675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maximális napi dózis 1000 mg.</w:t>
            </w:r>
          </w:p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kezdő dózis legfeljebb a maximális dózis fele.</w:t>
            </w:r>
          </w:p>
        </w:tc>
        <w:tc>
          <w:tcPr>
            <w:tcW w:w="0" w:type="auto"/>
            <w:vMerge/>
          </w:tcPr>
          <w:p w:rsidR="00CB75E7" w:rsidRDefault="00CB75E7">
            <w:pPr>
              <w:autoSpaceDE w:val="0"/>
              <w:autoSpaceDN w:val="0"/>
              <w:rPr>
                <w:lang w:val="hu-HU"/>
              </w:rPr>
            </w:pPr>
          </w:p>
        </w:tc>
      </w:tr>
      <w:tr w:rsidR="00CB75E7">
        <w:trPr>
          <w:trHeight w:val="47"/>
        </w:trPr>
        <w:tc>
          <w:tcPr>
            <w:tcW w:w="1696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&lt; 30</w:t>
            </w:r>
          </w:p>
        </w:tc>
        <w:tc>
          <w:tcPr>
            <w:tcW w:w="3675" w:type="dxa"/>
          </w:tcPr>
          <w:p w:rsidR="00CB75E7" w:rsidRDefault="00F27BEE">
            <w:pPr>
              <w:autoSpaceDE w:val="0"/>
              <w:autoSpaceDN w:val="0"/>
              <w:rPr>
                <w:lang w:val="hu-HU"/>
              </w:rPr>
            </w:pPr>
            <w:r>
              <w:rPr>
                <w:lang w:val="hu-HU"/>
              </w:rPr>
              <w:t>A metformin ellenjavallt.</w:t>
            </w:r>
          </w:p>
        </w:tc>
        <w:tc>
          <w:tcPr>
            <w:tcW w:w="0" w:type="auto"/>
            <w:vMerge/>
          </w:tcPr>
          <w:p w:rsidR="00CB75E7" w:rsidRDefault="00CB75E7">
            <w:pPr>
              <w:autoSpaceDE w:val="0"/>
              <w:autoSpaceDN w:val="0"/>
              <w:rPr>
                <w:lang w:val="hu-HU"/>
              </w:rPr>
            </w:pPr>
          </w:p>
        </w:tc>
      </w:tr>
    </w:tbl>
    <w:p w:rsidR="00CB75E7" w:rsidRDefault="00CB75E7">
      <w:pPr>
        <w:autoSpaceDE w:val="0"/>
        <w:autoSpaceDN w:val="0"/>
        <w:rPr>
          <w:lang w:val="hu-HU"/>
        </w:rPr>
      </w:pP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i/>
          <w:lang w:val="hu-HU"/>
        </w:rPr>
      </w:pPr>
      <w:r>
        <w:rPr>
          <w:i/>
          <w:lang w:val="hu-HU"/>
        </w:rPr>
        <w:t>Májkárosodás</w:t>
      </w: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lastRenderedPageBreak/>
        <w:t>Az Anvildis Duo</w:t>
      </w:r>
      <w:r>
        <w:rPr>
          <w:lang w:val="hu-HU"/>
        </w:rPr>
        <w:noBreakHyphen/>
        <w:t>t nem szabad májkárosodásban szenvedő betegeknél alkalmazni, beleértve azokat a betegeket is, akiknél a kezelés előtt a glutamát-piruvát-transzamináz (GPT [ALAT]) vagy a glutamát-oxálacetát-transzamináz (GOT [ASAT]) szintje meghaladja a normálérték felső határának 3</w:t>
      </w:r>
      <w:r>
        <w:rPr>
          <w:lang w:val="hu-HU"/>
        </w:rPr>
        <w:noBreakHyphen/>
        <w:t>szorosát (lásd 4.3, 4.4 és 4.8 pont).</w:t>
      </w:r>
    </w:p>
    <w:p w:rsidR="00CB75E7" w:rsidRDefault="00CB75E7">
      <w:pPr>
        <w:spacing w:line="240" w:lineRule="auto"/>
        <w:ind w:left="567" w:hanging="567"/>
        <w:outlineLvl w:val="0"/>
        <w:rPr>
          <w:noProof/>
          <w:lang w:val="hu-HU"/>
        </w:rPr>
      </w:pP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i/>
          <w:noProof/>
          <w:lang w:val="hu-HU"/>
        </w:rPr>
      </w:pPr>
      <w:r>
        <w:rPr>
          <w:i/>
          <w:noProof/>
          <w:lang w:val="hu-HU"/>
        </w:rPr>
        <w:t>Gyermekek és serdülők</w:t>
      </w: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>Az Anvildis</w:t>
      </w:r>
      <w:r>
        <w:rPr>
          <w:lang w:val="hu-HU"/>
        </w:rPr>
        <w:t xml:space="preserve"> Duo alkalmazása </w:t>
      </w:r>
      <w:r>
        <w:rPr>
          <w:noProof/>
          <w:lang w:val="hu-HU"/>
        </w:rPr>
        <w:t>nem javasolt gyermekek és 18 év alatti serdülők számára. A vildagliptin és metformin biztonságosságát és hatásosságát gyermekek és 18 év alatti serdülők esetében nem igazolták. Nincsenek rendelkezésre álló adatok.</w:t>
      </w:r>
    </w:p>
    <w:p w:rsidR="00CB75E7" w:rsidRDefault="00CB75E7">
      <w:pPr>
        <w:spacing w:line="240" w:lineRule="auto"/>
        <w:ind w:left="567" w:hanging="567"/>
        <w:outlineLvl w:val="0"/>
        <w:rPr>
          <w:noProof/>
          <w:lang w:val="hu-HU"/>
        </w:rPr>
      </w:pP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Az alkalmazás módja</w:t>
      </w:r>
    </w:p>
    <w:p w:rsidR="00CB75E7" w:rsidRDefault="00CB75E7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>Szájon át történő alkalmazásra.</w:t>
      </w: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>Az Anvildis</w:t>
      </w:r>
      <w:r>
        <w:rPr>
          <w:lang w:val="hu-HU"/>
        </w:rPr>
        <w:t xml:space="preserve"> Duo </w:t>
      </w:r>
      <w:r>
        <w:rPr>
          <w:noProof/>
          <w:lang w:val="hu-HU"/>
        </w:rPr>
        <w:t xml:space="preserve">étkezés közben történő vagy közvetlenül az étkezést követő bevétele csökkentheti a metforminnal összefüggő emésztőrendszeri tüneteket (lásd még 5.2 pont). </w:t>
      </w:r>
    </w:p>
    <w:p w:rsidR="00CB75E7" w:rsidRDefault="00CB75E7">
      <w:pPr>
        <w:spacing w:line="240" w:lineRule="auto"/>
        <w:ind w:left="567" w:hanging="567"/>
        <w:outlineLvl w:val="0"/>
        <w:rPr>
          <w:noProof/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4.3</w:t>
      </w:r>
      <w:r>
        <w:rPr>
          <w:b/>
          <w:bCs/>
          <w:lang w:val="hu-HU"/>
        </w:rPr>
        <w:tab/>
        <w:t>Ellenjavallatok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 készítmény hatóanyagaival vagy a 6.1 pontban felsorolt bármely segédanyagával szembeni túlérzékenység.</w:t>
      </w:r>
    </w:p>
    <w:p w:rsidR="00CB75E7" w:rsidRDefault="00F27BEE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Az akut metabolikus acidózis bármely formája (például laktátacidózis, diabeteses ketoacidózis).</w:t>
      </w:r>
    </w:p>
    <w:p w:rsidR="00CB75E7" w:rsidRDefault="00F27BEE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Diabeteses prekóma.</w:t>
      </w:r>
    </w:p>
    <w:p w:rsidR="00CB75E7" w:rsidRDefault="00F27BEE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Súlyos vesekárosodás (GRF &lt; 30 ml/perc) (lásd 4.4 pont).</w:t>
      </w:r>
    </w:p>
    <w:p w:rsidR="00CB75E7" w:rsidRDefault="00F27BEE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Olyan akut állapotok, amelyek megváltoztathatják a veseműködést, mint például:</w:t>
      </w:r>
    </w:p>
    <w:p w:rsidR="00CB75E7" w:rsidRDefault="00F27BEE">
      <w:pPr>
        <w:pStyle w:val="Listaszerbekezds"/>
        <w:numPr>
          <w:ilvl w:val="0"/>
          <w:numId w:val="3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dehidráció,</w:t>
      </w:r>
    </w:p>
    <w:p w:rsidR="00CB75E7" w:rsidRDefault="00F27BEE">
      <w:pPr>
        <w:pStyle w:val="Listaszerbekezds"/>
        <w:numPr>
          <w:ilvl w:val="0"/>
          <w:numId w:val="3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súlyos infekció,</w:t>
      </w:r>
    </w:p>
    <w:p w:rsidR="00CB75E7" w:rsidRDefault="00F27BEE">
      <w:pPr>
        <w:pStyle w:val="Listaszerbekezds"/>
        <w:numPr>
          <w:ilvl w:val="0"/>
          <w:numId w:val="3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sokk,</w:t>
      </w:r>
    </w:p>
    <w:p w:rsidR="00CB75E7" w:rsidRDefault="00F27BEE">
      <w:pPr>
        <w:pStyle w:val="Listaszerbekezds"/>
        <w:numPr>
          <w:ilvl w:val="0"/>
          <w:numId w:val="3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jódozott kontrasztanyagok intravascularis alkalmazása (lásd 4.4 pont).</w:t>
      </w:r>
    </w:p>
    <w:p w:rsidR="00CB75E7" w:rsidRDefault="00F27BEE">
      <w:pPr>
        <w:pStyle w:val="Listaszerbekezds"/>
        <w:numPr>
          <w:ilvl w:val="0"/>
          <w:numId w:val="2"/>
        </w:numPr>
        <w:ind w:left="1134" w:hanging="1134"/>
        <w:rPr>
          <w:lang w:val="hu-HU"/>
        </w:rPr>
      </w:pPr>
      <w:r>
        <w:rPr>
          <w:lang w:val="hu-HU"/>
        </w:rPr>
        <w:t>Olyan akut vagy krónikus kórképek, amelyek szöveti hypoxiát idézhetnek elő, mint például:</w:t>
      </w:r>
    </w:p>
    <w:p w:rsidR="00CB75E7" w:rsidRDefault="00F27BEE">
      <w:pPr>
        <w:pStyle w:val="Listaszerbekezds"/>
        <w:numPr>
          <w:ilvl w:val="0"/>
          <w:numId w:val="3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keringési vagy légzési elégtelenség,</w:t>
      </w:r>
    </w:p>
    <w:p w:rsidR="00CB75E7" w:rsidRDefault="00F27BEE">
      <w:pPr>
        <w:pStyle w:val="Listaszerbekezds"/>
        <w:numPr>
          <w:ilvl w:val="0"/>
          <w:numId w:val="3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szívinfarktus a közelmúltban,</w:t>
      </w:r>
    </w:p>
    <w:p w:rsidR="00CB75E7" w:rsidRDefault="00F27BEE">
      <w:pPr>
        <w:pStyle w:val="Listaszerbekezds"/>
        <w:numPr>
          <w:ilvl w:val="0"/>
          <w:numId w:val="3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sokk.</w:t>
      </w:r>
    </w:p>
    <w:p w:rsidR="00CB75E7" w:rsidRDefault="00F27BEE">
      <w:pPr>
        <w:pStyle w:val="Listaszerbekezds"/>
        <w:numPr>
          <w:ilvl w:val="0"/>
          <w:numId w:val="2"/>
        </w:numPr>
        <w:ind w:left="1134" w:hanging="1134"/>
        <w:rPr>
          <w:lang w:val="hu-HU"/>
        </w:rPr>
      </w:pPr>
      <w:r>
        <w:rPr>
          <w:lang w:val="hu-HU"/>
        </w:rPr>
        <w:t>Májkárosodás (lásd 4.2, 4.4 és 4.8 pont).</w:t>
      </w:r>
    </w:p>
    <w:p w:rsidR="00CB75E7" w:rsidRDefault="00F27BEE">
      <w:pPr>
        <w:pStyle w:val="Listaszerbekezds"/>
        <w:numPr>
          <w:ilvl w:val="0"/>
          <w:numId w:val="2"/>
        </w:numPr>
        <w:ind w:left="1134" w:hanging="1134"/>
        <w:rPr>
          <w:lang w:val="hu-HU"/>
        </w:rPr>
      </w:pPr>
      <w:r>
        <w:rPr>
          <w:lang w:val="hu-HU"/>
        </w:rPr>
        <w:t>Akut alkoholintoxikáció, alkoholizmus.</w:t>
      </w:r>
    </w:p>
    <w:p w:rsidR="00CB75E7" w:rsidRDefault="00F27BEE">
      <w:pPr>
        <w:pStyle w:val="Listaszerbekezds"/>
        <w:numPr>
          <w:ilvl w:val="0"/>
          <w:numId w:val="2"/>
        </w:numPr>
        <w:ind w:left="1134" w:hanging="1134"/>
        <w:rPr>
          <w:lang w:val="hu-HU"/>
        </w:rPr>
      </w:pPr>
      <w:r>
        <w:rPr>
          <w:lang w:val="hu-HU"/>
        </w:rPr>
        <w:t>Szoptatás (lásd 4.6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4.4</w:t>
      </w:r>
      <w:r>
        <w:rPr>
          <w:b/>
          <w:bCs/>
          <w:lang w:val="hu-HU"/>
        </w:rPr>
        <w:tab/>
        <w:t>Különleges figyelmeztetések és az alkalmazással kapcsolatos óvintézkedések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Általános megfontolások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Anvildis Duo nem helyettesíti az inzulint az inzulint igénylő betegeknél, és nem alkalmazható 1</w:t>
      </w:r>
      <w:r>
        <w:rPr>
          <w:lang w:val="hu-HU"/>
        </w:rPr>
        <w:noBreakHyphen/>
        <w:t>es típusú cukorbetegségben szenvedő betegeknél.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Laktátacidózis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laktátacidózis, amely egy nagyon ritka, de súlyos metabolikus szövődmény, leggyakrabban a veseműködés akut romlásakor, szív- és légzőszervi megbetegedésben vagy szepszisben lép fel. A veseműködés akut romlásakor a metformin felhalmozódása következik be, ami növeli a laktátacidózis kockázatát.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Dehidráció (súlyos hasmenés vagy hányás, láz vagy csökkent folyadékbevitel) esetén a metformin adagolását átmenetileg fel kell függeszteni, és ajánlott felvenni a kapcsolatot egészségügyi szakemberrel.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Metforminnal kezelt betegeknél a veseműködést esetlegesen akutan károsító gyógyszerek (például vérnyomáscsökkentők, vízhajtók és nem</w:t>
      </w:r>
      <w:r>
        <w:rPr>
          <w:lang w:val="hu-HU"/>
        </w:rPr>
        <w:noBreakHyphen/>
        <w:t>szteroid gyulladáscsökkentők [NSAID</w:t>
      </w:r>
      <w:r>
        <w:rPr>
          <w:lang w:val="hu-HU"/>
        </w:rPr>
        <w:noBreakHyphen/>
        <w:t xml:space="preserve">ok]) adásának </w:t>
      </w:r>
      <w:r>
        <w:rPr>
          <w:lang w:val="hu-HU"/>
        </w:rPr>
        <w:lastRenderedPageBreak/>
        <w:t>megkezdésekor elővigyázatosság szükséges. A laktátacidózis egyéb kockázati tényezői a túlzott alkoholfogyasztás, a májelégtelenség, a rosszul beállított diabetes, a ketosis, a tartós éhezés és bármilyen, hypoxiával társuló állapot, valamint laktátacidózist kiváltani képes gyógyszerek együttadása (lásd 4.3 és 4.5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betegeket és/vagy gondozóikat tájékoztatni kell a laktátacidózis kockázatáról. A laktátacidózisra jellemző az acidotikus dispnoe, a hasi fájdalom, az izomgörcsök, az astenia és a hypothermia, amit kóma követ. Feltételezett tünetek esetén a betegnek abba kell hagynia a metformin szedését, és azonnal orvoshoz kell fordulnia. Diagnosztikai laboratóriumi eredmények a vér csökkent pH értéke (&lt; 7,35), az emelkedett plazma laktátszint (&gt; 5 mmol/l), valamint az emelkedett anionrés és laktát/piruvát arány.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Mitokondriális betegségben ismerten vagy feltételezetten szenvedő betegek: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metformin alkalmazása nem ajánlott mitokondriális betegségben – ilyen például a laktátacidózissal és stroke-szerű epizódokkal járó mitokondriális encephalopathia (Mitochondrial Encephalopathy with Lactic Acidosis, and Stroke-like episodes, MELAS) szindróma és az anyai ágon öröklődő diabetes és süketség (Maternal inherited diabetes and deafness, MIDD) – ismerten szenvedő betegeknél, mivel a laktátacidózis exacerbatiója és a neurológiai szövődmények kockázatot jelentenek – mindkettő a betegség súlyosbodásához vezethet.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Ha a metformin bevételét követően MELAS szindrómára vagy MIDD-re utaló jelek és tünetek alakulnak ki, a metformin adagolását azonnal fel kell függeszteni, és mihamarabb diagnosztikus vizsgálatokat kell elvégezni.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Jódtartalmú kontrasztanyagok alkalmazása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Jódtartalmú kontrasztanyagok intravascularis alkalmazása kontrasztanyag-indukált nephropathiához vezethet, ami a metformin felhalmozódásával és a laktátacidózis kockázatának növekedésével jár. A metformin adását fel kell függeszteni a vizsgálatot megelőzően vagy a vizsgálat idejére, és csak legalább 48 óra elteltével kezdhető újra, akkor is csak abban az esetben, ha a veseműködést újra ellenőrizték, és az stabilnak bizonyult (lásd 4.2 és 4.5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Veseműködés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GFR</w:t>
      </w:r>
      <w:r>
        <w:rPr>
          <w:lang w:val="hu-HU"/>
        </w:rPr>
        <w:noBreakHyphen/>
        <w:t>értéket a kezelés megkezdése előtt és a kezelés során rendszeresen ellenőrizni kell (lásd 4.2 pont). A metformin ellenjavallt azoknál a betegeknél, akiknél a GFR &lt; 30 ml/perc, és a gyógyszer adását átmenetileg fel kell függeszteni olyan állapotokban, amelyek a veseműködést módosítják (lásd 4.3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Elővigyázatosság szükséges olyan gyógyszerek egyidejű alkalmazása esetén, amelyek befolyásolhatják a vesefunkciót, jelentős hemodinamikai változást okoznak, illetve gátolják a renalis transzportot és fokozzák a metformin szisztémás expozícióját (lásd 4.5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Májkárosodás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májkárosodásban szenvedő betegeket, beleértve azokat a betegeket is, akiknél a kezelés előtt a GPT vagy a GOT szintje meghaladja a normálérték felső határának 3</w:t>
      </w:r>
      <w:r>
        <w:rPr>
          <w:lang w:val="hu-HU"/>
        </w:rPr>
        <w:noBreakHyphen/>
        <w:t>szorosát, nem szabad Anvildis Duo</w:t>
      </w:r>
      <w:r>
        <w:rPr>
          <w:lang w:val="hu-HU"/>
        </w:rPr>
        <w:noBreakHyphen/>
        <w:t>val kezelni (lásd 4.2, 4.3 és 4.8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A májenzimek ellenőrzése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Beszámoltak májműködési zavar (beleértve a hepatitist is) ritka eseteiről vildagliptin-kezelés során. Ezekben az esetekben a betegek általában tünetmentesek voltak, klinikai következmények nélkül, és a kezelés felfüggesztését követően a májfunkciós vizsgálatok eredményei visszatértek a normálértékre. A beteg kiindulási enzimértékeinek ismerete érdekében az Anvildis Duo-kezelés megkezdése előtt májfunkciós vizsgálatokat kell végezni. A májfunkciót az Anvildis Duo-kezelés első évében háromhavonta, majd azt követően időszakosan ellenőrizni kell. Azoknál a betegeknél, akiknél emelkedett a transzaminázszint, egy második májfunkciós vizsgálattal kell ellenőrizni az eredményeket, majd a továbbiakban gyakori májfunkciós vizsgálatokat kell végezni a </w:t>
      </w:r>
      <w:r>
        <w:rPr>
          <w:lang w:val="hu-HU"/>
        </w:rPr>
        <w:lastRenderedPageBreak/>
        <w:t>rendellenesség(ek) rendeződéséig. Amennyiben a GOT vagy a GPT értéke tartósan meghaladja a normálérték felső határának a háromszorosát, javasolt az Anvildis Duo-kezelés megszakítása. Azoknál a betegeknél, akiknél sárgaság vagy májműködési zavarra utaló egyéb tünet alakul ki, az Anvildis Duo adását abba kell hagyni.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Anvildis Duo-kezelés abbahagyását és a májfunkciós vizsgálatok eredményeinek normalizálódását követően az Anvildis Duo-kezelést nem szabad újra elkezdeni.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Bőrbetegségek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vildagliptinnel folytatott preklinikai toxikológiai vizsgálatok során majmoknál bőrléziókról, köztük a végtagokon kialakuló hólyagképződésről és kifekélyesedésről számoltak be (lásd 5.3 pont). Noha a klinikai vizsgálatokban nem észlelték a bőrléziók magasabb incidenciáját, a betegek diabeteses bőrlézióival a tapasztalat korlátozott volt. Ezenkívül, a forgalomba hozatalt követően beszámoltak hólyagos és hámló bőrelváltozásokról. Ezért a cukorbetegek rutinszerű gondozása mellett a bőrbetegségek, mint például a hólyag- vagy fekélyképződés ellenőrzése javasolt.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Akut pancreatitis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 alkalmazását az akut pancreatitis kialakulásának kockázatával hozták összefüggésbe. A betegekkel ismertetni kell az akut pancreatitis jellemző tünetét.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Pancreatitis gyanúja esetén a vildagliptin szedését abba kell hagyni; ha az akut pancreatitis igazolódott, a vildagliptin szedését nem szabad újrakezdeni. Elővigyázatosság szükséges az olyan betegeknél, akiknek az anamnézisében akut pancreatitis szerepel.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Hypoglykaemia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Ismert, hogy a szulfonilureák hypoglykaemiát okoznak. Szulfonilurea és vildagliptin kombinációját szedő betegeknél fennállhat a hypoglykaemia kockázata. Ezért a hypoglykaemia kockázatának csökkentése érdekében a szulfonilurea kisebb dózisban történő adása mérlegelhető.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Sebészeti beavatkozások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metformin alkalmazását az általános, spinális vagy epidurális anesztéziával járó műtét idejére fel kell függeszteni. A készítmény leghamarabb 48 órával a műtét, illetve az orális táplálásra való visszatérés után adható újra, akkor is csak abban az esetben, ha a veseműködést ismét ellenőrizték, és az stabilnak bizonyult.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4.5</w:t>
      </w:r>
      <w:r>
        <w:rPr>
          <w:b/>
          <w:bCs/>
          <w:lang w:val="hu-HU"/>
        </w:rPr>
        <w:tab/>
        <w:t>Gyógyszerkölcsönhatások és egyéb interakciók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Szabályos interakciós vizsgálatokat nem végeztek vildagliptinnel és metformin-hidrokloriddal. Az alábbi állítások az egyes hatóanyagok esetén rendelkezésre álló információkat tükrözik.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Vildagliptin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 esetében alacsony az egyidejűleg alkalmazott gyógyszerekkel létrejövő kölcsönhatások valószínűsége. Mivel a vildagliptin nem szubsztrátja a citokróm P (CYP) 450 enzimnek, és nem gátolja, illetve nem indukálja a CYP 450 enzimeket, valószínűleg nem lép interakcióba azokkal a hatóanyagokkal, amelyek ezen enzimek szubsztrátjai, inhibitorai vagy induktorai.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vildagliptinnel kombinált pioglitazon, metformin és glibenklamid orális antidiabetikumokkal végzett klinikai vizsgálatok eredményei nem mutattak klinikailag releváns farmakokinetikai interakciókat a célpopulációban.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lastRenderedPageBreak/>
        <w:t>A digoxinnal (P-glikoprotein szubsztrát) és warfarinnal (CYP2C9 szubsztrát) egészséges önkéntesekkel végzett gyógyszerkölcsönhatás vizsgálatok nem mutattak klinikailag releváns farmakokinetikai interakciókat a vildagliptinnel történő egyidejű alkalmazást követően.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Egészséges önkéntesek bevonásával végeztek gyógyszerkölcsönhatás vizsgálatokat amlodipinnel, ramiprillel, valzartánnal és szimvasztatinnal. Ezekben a vizsgálatokban a vildagliptinnel egyidejű alkalmazást követően nem észleltek klinikailag releváns farmakokinetikai interakciókat. Ezt azonban a célpopulációban nem állapították meg.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Kombináció ACE-gátlókkal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egyidejűleg ACE</w:t>
      </w:r>
      <w:r>
        <w:rPr>
          <w:lang w:val="hu-HU"/>
        </w:rPr>
        <w:noBreakHyphen/>
        <w:t>gátlót szedő betegeknél megnövekedhet az angiooedema kockázata (lásd 4.8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Más orális antidiabetikumokhoz hasonlóan, a vildagliptin hypoglykaemiás hatását csökkenthetik bizonyos hatóanyagok, így például tiazidok, kortikoszteroidok, pajzsmirigyre ható gyógyszerek és szimpatomimetikumok.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Metformin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Együttadása nem ajánlott</w:t>
      </w:r>
    </w:p>
    <w:p w:rsidR="00CB75E7" w:rsidRDefault="00F27BEE">
      <w:pPr>
        <w:spacing w:line="240" w:lineRule="auto"/>
        <w:rPr>
          <w:i/>
          <w:lang w:val="hu-HU"/>
        </w:rPr>
      </w:pPr>
      <w:r>
        <w:rPr>
          <w:i/>
          <w:lang w:val="hu-HU"/>
        </w:rPr>
        <w:t>Alkohol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alkoholintoxikáció fokozza a laktátacidózis kockázatát, különösen éhezés, alultápláltság vagy májkárosodás fennállásakor.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lang w:val="hu-HU"/>
        </w:rPr>
      </w:pPr>
      <w:r>
        <w:rPr>
          <w:i/>
          <w:lang w:val="hu-HU"/>
        </w:rPr>
        <w:t xml:space="preserve">Jódtartalmú kontrasztanyagok 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metformin alkalmazását fel kell függeszteni a vizsgálatot megelőzően vagy a vizsgálat idejére, és csak legalább 48 óra elteltével állítható vissza, akkor is csak abban az esetben, ha a veseműködést újra ellenőrizték, és az stabilnak bizonyult (lásd 4.2 és 4.4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Elővigyázatosságot igénylő kombinációk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Egyes gyógyszerek, például az NSAID</w:t>
      </w:r>
      <w:r>
        <w:rPr>
          <w:lang w:val="hu-HU"/>
        </w:rPr>
        <w:noBreakHyphen/>
        <w:t>ok, köztük a szelektív ciklooxigenáz- (COX) 2</w:t>
      </w:r>
      <w:r>
        <w:rPr>
          <w:lang w:val="hu-HU"/>
        </w:rPr>
        <w:noBreakHyphen/>
        <w:t>inhibitorok, az ACE</w:t>
      </w:r>
      <w:r>
        <w:rPr>
          <w:lang w:val="hu-HU"/>
        </w:rPr>
        <w:noBreakHyphen/>
        <w:t>gátlók, az angiotenzin II-receptor-blokkolók, valamint a vízhajtók, különösen a kacsdiuretikumok károsan befolyásolhatják a veseműködést, és ezáltal növelhetik a laktátacidózis kockázatát. Ezen készítmények metforminnal történő együttes adásának megkezdésekor, illetve a kombinációs kezelés során a veseműködés szoros ellenőrzése szükséges.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glükokortikoidok, a béta</w:t>
      </w:r>
      <w:r>
        <w:rPr>
          <w:lang w:val="hu-HU"/>
        </w:rPr>
        <w:noBreakHyphen/>
        <w:t>2</w:t>
      </w:r>
      <w:r>
        <w:rPr>
          <w:lang w:val="hu-HU"/>
        </w:rPr>
        <w:noBreakHyphen/>
        <w:t>agonisták és a diuretikumok intrinsic hyperglykaemiás aktivitással rendelkeznek. A beteget tájékoztatni kell erről, és gyakoribb vércukorszint-ellenőrzés szükséges, különösen a kezelés kezdetén. Amennyiben szükséges, az Anvildis Duo adagolását az egyidejű kezelés alatt és annak abbahagyásakor módosítani kell.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angiotenzin konvertáló enzim (ACE) inhibitorok csökkenthetik a vércukorszintet. Amennyiben szükséges, a vércukorszint-csökkentő gyógyszer adagolását a másik gyógyszerrel végezett egyidejű kezelés alatt és annak abbahagyásakor módosítani kell.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metformin vesén keresztül történő kiválasztásában érintett renális tubuláris transzportrendszerekkel interferáló gyógyszerek (pl. az organikus kationtranszporter 2 [OCT2] vagy a multidrog és toxikus ágenseket kilökő fehérje [multidrug and toxin extrusion; MATE] gátlói, mint a ranolazin, vandetanib, dolutegravir és cimetidin) egyidejű alkalmazás esetén fokozhatják a metformin szisztémás expozícióját.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4.6</w:t>
      </w:r>
      <w:r>
        <w:rPr>
          <w:b/>
          <w:bCs/>
          <w:lang w:val="hu-HU"/>
        </w:rPr>
        <w:tab/>
        <w:t>Termékenység, terhesség és szoptatás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Terhes nőknél történő alkalmazásra nincs megfelelő adat a vildagliptin és metformin-hidroklorid tekintetében. A vildagliptinnel végzett állatkísérletek során nagy dózisok mellett reprodukciós </w:t>
      </w:r>
      <w:r>
        <w:rPr>
          <w:lang w:val="hu-HU"/>
        </w:rPr>
        <w:lastRenderedPageBreak/>
        <w:t>toxicitást igazoltak. A metformin esetében az állatkísérletek során nem igazoltak reprodukciós toxicitást. A vildagliptinnel és metforminnal végzett állatkísérletek teratogenitásra utaló jeleket nem, de foetotoxikus hatást kimutattak az anya számára toxikus dózisok mellett (lásd 5.3 pont). Embernél a potenciális kockázat nem ismert. Az Anvildis Duo</w:t>
      </w:r>
      <w:r>
        <w:rPr>
          <w:lang w:val="hu-HU"/>
        </w:rPr>
        <w:noBreakHyphen/>
        <w:t>t a terhesség ideje alatt nem szabad alkalmazni.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Állatkísérletek kimutatták, hogy mind a metformin, mind a vildagliptin kiválasztódik az anyatejbe. Nem ismert, hogy a vildagliptin kiválasztódik-e a humán anyatejbe, de a metformin kis mennyiségekben kiválasztódik a humán anyatejbe. Mind az újszülött metformin miatti hypoglykaemiájának potenciális kockázata, mind a vildagliptinre vonatkozó humán adatok hiánya miatt az Anvildis Duo alkalmazása szoptatás alatt ellenjavallt (lásd 4.3 pont).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Anvildis Duo</w:t>
      </w:r>
      <w:r>
        <w:rPr>
          <w:lang w:val="hu-HU"/>
        </w:rPr>
        <w:noBreakHyphen/>
        <w:t>val nem végeztek humán termékenységre gyakorolt hatásokra vonatkozó vizsgálatokat (lásd 5.3 pont).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4.7</w:t>
      </w:r>
      <w:r>
        <w:rPr>
          <w:b/>
          <w:bCs/>
          <w:lang w:val="hu-HU"/>
        </w:rPr>
        <w:tab/>
        <w:t>A készítmény hatásai a gépjárművezetéshez és a gépek kezeléséhez szükséges képességekre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készítménynek a gépjárművezetéshez és gépek kezeléséhez szükséges képességeket befolyásoló hatásait nem vizsgálták. A mellékhatásként esetleg szédülést tapasztaló betegeknek kerülniük kell a gépjárművezetést, illetve a gépek kezelését.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4.8</w:t>
      </w:r>
      <w:r>
        <w:rPr>
          <w:b/>
          <w:bCs/>
          <w:lang w:val="hu-HU"/>
        </w:rPr>
        <w:tab/>
        <w:t>Nemkívánatos hatások, mellékhatások</w:t>
      </w:r>
    </w:p>
    <w:p w:rsidR="00CB75E7" w:rsidRDefault="00CB75E7">
      <w:pPr>
        <w:spacing w:line="240" w:lineRule="auto"/>
        <w:rPr>
          <w:i/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vildagliptin/metformin kombinációjával nem végeztek terápiás klinikai vizsgálatokat, azonban a kombinációs termék, valamint az egyidejűleg alkalmazott vildagliptin és metformin kombináció közötti bioekvivalenciát igazolták (lásd 5.2 pont). Az itt bemutatott adatok a vildagliptin és metformin egyidejű alkalmazására vonatkoznak, amikor a vildagliptint metformin mellé adták. Nem végeztek olyan vizsgálatokat, amikor a metformint adták vildagliptin mellé.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biztonságossági profil összefoglalása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mellékhatások többsége enyhe és átmeneti volt, és nem igényelték a kezelés felfüggesztését. Nem találtak összefüggést a mellékhatások, valamint az életkor, etnikai hovatartozás, az expozíció időtartama, illetve a napi dózis között.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Májműködési zavar (beleértve a hepatitist is) ritka eseteiről számoltak be vildagliptin-kezelés során. Ezek az esetek nem jártak klinikai következménnyel, a betegek rendszerint tünetmentesek voltak, és a májfunkciós vizsgálatok eredményei a kezelés felfüggesztését követően visszatértek a normálértékre. 24 hétig tartó monoterápiával és kiegészítő kezeléssel folytatott kontrollos vizsgálatok adatai alapján a normálérték 3</w:t>
      </w:r>
      <w:r>
        <w:rPr>
          <w:lang w:val="hu-HU"/>
        </w:rPr>
        <w:noBreakHyphen/>
        <w:t>szorosát elérő vagy meghaladó GPT- vagy GOT-szint-emelkedés (ami a meghatározása szerint legalább két, egymást követő méréskor vagy a kezelés alatti utolsó ellenőrzéskor fennállt) incidenciája napi egyszer 50 mg vildagliptin esetén 0,2%, napi kétszer 50 mg vildagliptin esetén 0,3% és az összes komparátor esetén 0,2% volt. A transzaminázszintek ezen emelkedései általában tünetmentesek voltak, nem progrediáltak, és nem jártak cholestasissal vagy sárgasággal.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 mellett angiooedema ritka eseteiről számoltak be, hasonló arányban, mint a kontrollok esetén. Az esetek nagyobb részét akkor jelentették, amikor a vildagliptint egy ACE</w:t>
      </w:r>
      <w:r>
        <w:rPr>
          <w:lang w:val="hu-HU"/>
        </w:rPr>
        <w:noBreakHyphen/>
        <w:t>gátlóval kombinációban alkalmazták. Az események többsége enyhe fokú volt, és a vildagliptin-kezelés folytatása mellett megszűnt.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mellékhatások táblázatos felsorolása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Az alábbiakban szervrendszerenként és abszolút gyakoriság szerint kerülnek felsorolásra azok a mellékhatások, amelyekről a kettős vak vizsgálatokban monoterápiában, illetve kiegészítő kezelésként </w:t>
      </w:r>
      <w:r>
        <w:rPr>
          <w:lang w:val="hu-HU"/>
        </w:rPr>
        <w:lastRenderedPageBreak/>
        <w:t>vildagliptint kapó betegeknél számoltak be. Az 5. táblázatban felsorolt mellékhatások alapját az Európai Unióban kapható metformin alkalmazási előírásában található információk képezik. A gyakorisági kategóriák meghatározása: nagyon gyakori (≥1/10), gyakori (≥1/100 – &lt;1/10), nem gyakori (≥1/1000 – &lt;1/100), ritka (≥1/10 000 – &lt;1/1000) nagyon ritka (&lt;1/10 000), nem ismert (a gyakoriság a rendelkezésre álló adatokból nem állapítható meg). Az egyes gyakorisági kategóriákon belül a mellékhatások csökkenő súlyosság szerint kerülnek megadásra.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ind w:left="1410" w:hanging="1410"/>
        <w:rPr>
          <w:b/>
          <w:bCs/>
          <w:lang w:val="hu-HU"/>
        </w:rPr>
      </w:pPr>
      <w:r>
        <w:rPr>
          <w:b/>
          <w:bCs/>
          <w:lang w:val="hu-HU"/>
        </w:rPr>
        <w:t>1. táblázat</w:t>
      </w:r>
      <w:r>
        <w:rPr>
          <w:b/>
          <w:bCs/>
          <w:lang w:val="hu-HU"/>
        </w:rPr>
        <w:tab/>
        <w:t xml:space="preserve">A kettős vak vizsgálatokban a metformin mellé kiegészítésként adott, napi 100 mg vildagliptint kapó betegeknél jelentett mellékhatások, összehasonlítva azokkal, akik a metformin mellé placebót kaptak (n=208) 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972"/>
        <w:gridCol w:w="6088"/>
      </w:tblGrid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Anyagcsere- és táplálkozási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Hypoglykaemia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Tremor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Fejfájás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Szédülés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ab/>
              <w:t>Nem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Fáradtság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Hányinger</w:t>
            </w:r>
          </w:p>
        </w:tc>
      </w:tr>
    </w:tbl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i/>
          <w:lang w:val="hu-HU"/>
        </w:rPr>
      </w:pPr>
      <w:r>
        <w:rPr>
          <w:i/>
          <w:lang w:val="hu-HU"/>
        </w:rPr>
        <w:t>Egyes kiválasztott mellékhatások leírása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napi 100 mg vildagliptinnel + metforminnal végzett kontrollos klinikai vizsgálatokban a kezelés mellékhatások miatti elhagyásáról sem a napi 100 mg vildagliptin + metformin, sem a placebo + metformin terápiás csoport esetén nem számoltak be.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klinikai vizsgálatokban a hypoglykaemia incidenciája „gyakori” volt a vildagliptint metforminnal kombinációban kapó betegeknél (1%), és „nem gyakori” a placebót + metformint kapó betegeknél (0,4%). Nem számoltak be súlyos hypoglykaemiás eseményekről a vildagliptin karokon.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klinikai vizsgálatokban a testtömeg nem változott a kiindulási értékhez képest, ha napi 100 mg vildagliptint adtak a metforminhoz (+0,2 ttkg a vildagliptin és -1,0 ttkg a placebo esetén).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több mint 2 éven át tartó klinikai vizsgálatok semmilyen további biztonságossági jelzést vagy előre nem látható kockázatot nem mutattak, ha a vildagliptint a metformin-terápia kiegészítésére adták.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Kombináció egy szulfonilureával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1410" w:hanging="1410"/>
        <w:rPr>
          <w:b/>
          <w:bCs/>
          <w:lang w:val="hu-HU"/>
        </w:rPr>
      </w:pPr>
      <w:r>
        <w:rPr>
          <w:b/>
          <w:bCs/>
          <w:lang w:val="hu-HU"/>
        </w:rPr>
        <w:t>2. táblázat</w:t>
      </w:r>
      <w:r>
        <w:rPr>
          <w:b/>
          <w:bCs/>
          <w:lang w:val="hu-HU"/>
        </w:rPr>
        <w:tab/>
        <w:t>A naponta kétszer 50 mg vildagliptint metforminnal és egy szulfonilureával kombinációban kapó betegeknél (n=157) jelentett mellékhatások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972"/>
        <w:gridCol w:w="6088"/>
      </w:tblGrid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Anyagcsere- és táplálkozási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Hypoglykaemia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Szédülés, tremor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 bőr és a bőr alatti szövet betegségei és tünetei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Hyperhidrosis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Általános tünetek, az alkalmazás helyén fellépő reakciók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Gyengeség</w:t>
            </w:r>
          </w:p>
        </w:tc>
      </w:tr>
    </w:tbl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i/>
          <w:lang w:val="hu-HU"/>
        </w:rPr>
      </w:pPr>
      <w:r>
        <w:rPr>
          <w:i/>
          <w:lang w:val="hu-HU"/>
        </w:rPr>
        <w:t>Egyes kiválasztott mellékhatások leírása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Nem számoltak be a kezelés mellékhatások miatti elhagyásáról a vildagliptin + metformin + glimepirid terápiás csoportban, szemben a placebo + metformin + glimepirid terápiás csoportban jelentett 0,6%</w:t>
      </w:r>
      <w:r>
        <w:rPr>
          <w:lang w:val="hu-HU"/>
        </w:rPr>
        <w:noBreakHyphen/>
        <w:t>kal.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lastRenderedPageBreak/>
        <w:t>A hypoglykaemia előfordulási gyakorisága mindkét terápiás csoportban „gyakori” volt (5,1% a vildagliptin + metformin + glimepirid-csoportban, szemben a placebo + metformin + glimepirid-csoportban észlelt 1,9%</w:t>
      </w:r>
      <w:r>
        <w:rPr>
          <w:lang w:val="hu-HU"/>
        </w:rPr>
        <w:noBreakHyphen/>
        <w:t xml:space="preserve">kal). A vildagliptin-csoportban egy súlyos hypoglykaemiás eseményt jelentettek. 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A vizsgálat végén az átlagos testtömegre gyakorolt hatás semleges volt (+0,6 ttkg a vildagliptin-csoportban és -0,1 ttkg a placebocsoportban). 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Kombináció inzulinnal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ind w:left="1410" w:hanging="1410"/>
        <w:rPr>
          <w:b/>
          <w:bCs/>
          <w:lang w:val="hu-HU"/>
        </w:rPr>
      </w:pPr>
      <w:r>
        <w:rPr>
          <w:b/>
          <w:bCs/>
          <w:lang w:val="hu-HU"/>
        </w:rPr>
        <w:t>3. táblázat</w:t>
      </w:r>
      <w:r>
        <w:rPr>
          <w:b/>
          <w:bCs/>
          <w:lang w:val="hu-HU"/>
        </w:rPr>
        <w:tab/>
        <w:t>A kettős vak vizsgálatokban naponta 100 mg vildagliptint inzulinnal (metforminnal vagy anélkül) kombinációban kapó betegeknél (n=371) jelentett mellékhatások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972"/>
        <w:gridCol w:w="6088"/>
      </w:tblGrid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Anyagcsere- és táplálkozási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 xml:space="preserve">Gyakori 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Csökkent vércukorszint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Fejfájás, hidegrázás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Hányinger, gastrooesophagealis refluxbetegség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Hasmenés, flatulencia</w:t>
            </w:r>
          </w:p>
        </w:tc>
      </w:tr>
    </w:tbl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i/>
          <w:lang w:val="hu-HU"/>
        </w:rPr>
      </w:pPr>
      <w:r>
        <w:rPr>
          <w:i/>
          <w:lang w:val="hu-HU"/>
        </w:rPr>
        <w:t>Egyes kiválasztott mellékhatások leírása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kontrollos klinikai vizsgálatokban a naponta kétszer 50 mg vildagliptint plusz inzulint – metforminnal vagy anélkül – kapó betegeknél a kezelés mellékhatások miatti elhagyásának összesített incidenciája 0,3% volt a vildagliptin terápiás csoportban, míg a placebocsoportban nem kellett kezelést abbahagyni.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hypoglykaemia előfordulási gyakorisága mindkét terápiás csoportban hasonló volt (14,0% a vildagliptin-csoportban, szemben a placebocsoportban észlelt 16,4%</w:t>
      </w:r>
      <w:r>
        <w:rPr>
          <w:lang w:val="hu-HU"/>
        </w:rPr>
        <w:noBreakHyphen/>
        <w:t>kal). Két betegnél számoltak be súlyos hypoglykaemiás eseményekről a vildagliptin-csoportban és 6 betegnél a placebocsoportban.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vizsgálat végén az átlagos testtömegre gyakorolt hatás semleges volt (+0,6 ttkg a kiindulási értékhez képest a vildagliptin-csoportban és nem volt változás a placebocsoportban).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fix kombináció egyes hatóanyagaival kapcsolatos további információk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Vildagliptin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ind w:left="1410" w:hanging="1410"/>
        <w:rPr>
          <w:b/>
          <w:bCs/>
          <w:lang w:val="hu-HU"/>
        </w:rPr>
      </w:pPr>
      <w:r>
        <w:rPr>
          <w:b/>
          <w:bCs/>
          <w:lang w:val="hu-HU"/>
        </w:rPr>
        <w:t>4. táblázat</w:t>
      </w:r>
      <w:r>
        <w:rPr>
          <w:b/>
          <w:bCs/>
          <w:lang w:val="hu-HU"/>
        </w:rPr>
        <w:tab/>
        <w:t xml:space="preserve">A kettős vak vizsgálatokban napi 100 mg vildagliptin-monoterápiában részesülő betegeknél (n=1855) jelentett mellékhatások 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972"/>
        <w:gridCol w:w="6088"/>
      </w:tblGrid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Fertőző betegségek és parazitafertőzések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Nagyon ritka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Felső légúti fertőzés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Nagyon ritka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Nasopharyngitis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Anyagcsere- és táplálkozási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Hypoglykaemia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Szédülés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Fejfájás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Érbetegségek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Perifériás ödéma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Székrekedés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 csont- és izomrendszer, valamint a kötőszövet betegségei és tünetei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Arthralgia</w:t>
            </w:r>
          </w:p>
        </w:tc>
      </w:tr>
    </w:tbl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i/>
          <w:lang w:val="hu-HU"/>
        </w:rPr>
      </w:pPr>
      <w:r>
        <w:rPr>
          <w:i/>
          <w:lang w:val="hu-HU"/>
        </w:rPr>
        <w:t>Egyes kiválasztott mellékhatások leírása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kontrollos, monoterápiás vizsgálatokban a kezelés mellékhatások miatti elhagyásának összesített incidenciája nem volt nagyobb a napi 100 mg</w:t>
      </w:r>
      <w:r>
        <w:rPr>
          <w:lang w:val="hu-HU"/>
        </w:rPr>
        <w:noBreakHyphen/>
        <w:t>os vildagliptin dózissal kezelt betegeknél (0,3%), mint a placebo (0,6%) vagy a komparátor szerek esetén (0,5%).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Összehasonlító, kontrollos, monoterápiás vizsgálatokban a hypoglykaemia nem volt gyakori, a napi 100 mg vildagliptinnel kezelt betegek 0,4%</w:t>
      </w:r>
      <w:r>
        <w:rPr>
          <w:lang w:val="hu-HU"/>
        </w:rPr>
        <w:noBreakHyphen/>
        <w:t>ánál (1855</w:t>
      </w:r>
      <w:r>
        <w:rPr>
          <w:lang w:val="hu-HU"/>
        </w:rPr>
        <w:noBreakHyphen/>
        <w:t>ből 7</w:t>
      </w:r>
      <w:r>
        <w:rPr>
          <w:lang w:val="hu-HU"/>
        </w:rPr>
        <w:noBreakHyphen/>
        <w:t>nél) számoltak be róla, szemben az aktív komparátorral vagy placebóval kezelt betegek csoportjában észlelt 0,2%</w:t>
      </w:r>
      <w:r>
        <w:rPr>
          <w:lang w:val="hu-HU"/>
        </w:rPr>
        <w:noBreakHyphen/>
        <w:t>kal (1082</w:t>
      </w:r>
      <w:r>
        <w:rPr>
          <w:lang w:val="hu-HU"/>
        </w:rPr>
        <w:noBreakHyphen/>
        <w:t>ből 2</w:t>
      </w:r>
      <w:r>
        <w:rPr>
          <w:lang w:val="hu-HU"/>
        </w:rPr>
        <w:noBreakHyphen/>
        <w:t>nél). Komoly vagy súlyos eseményről nem számoltak be.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klinikai vizsgálatokban a testtömeg nem változott a kiindulási értékhez képest, ha napi 100 mg vildagliptint monoterápiában adtak (-0,3 ttkg a vildagliptin és -1,3 ttkg a placebo esetén).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legfeljebb 2 éven át tartó klinikai vizsgálatok semmilyen további biztonságossági jelzést vagy előre nem látható kockázatot nem mutattak a vildagliptin-monoterápia esetén.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 xml:space="preserve">Metformin 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5. táblázat</w:t>
      </w:r>
      <w:r>
        <w:rPr>
          <w:b/>
          <w:bCs/>
          <w:lang w:val="hu-HU"/>
        </w:rPr>
        <w:tab/>
        <w:t>A metformin összetevő mellékhatásai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972"/>
        <w:gridCol w:w="6088"/>
      </w:tblGrid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Anyagcsere- és táplálkozási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Nagyon ritka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Csökkent B</w:t>
            </w:r>
            <w:r>
              <w:rPr>
                <w:vertAlign w:val="subscript"/>
                <w:lang w:val="hu-HU"/>
              </w:rPr>
              <w:t>12</w:t>
            </w:r>
            <w:r>
              <w:rPr>
                <w:lang w:val="hu-HU"/>
              </w:rPr>
              <w:noBreakHyphen/>
              <w:t>vitamin-felszívódás és laktátacidózis*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Fémes íz érzése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Nagyon gyakori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Hányinger, hányás, hasmenés, hasi fájdalom és étvágytalanság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Máj- és epebetegségek, illetve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Nagyon ritka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Májfunkciós vizsgálatok kóros eredményei vagy hepatitis**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 bőr és a bőr alatti szövet betegségei és tünetei</w:t>
            </w:r>
          </w:p>
        </w:tc>
      </w:tr>
      <w:tr w:rsidR="00CB75E7">
        <w:tc>
          <w:tcPr>
            <w:tcW w:w="2972" w:type="dxa"/>
            <w:tcBorders>
              <w:bottom w:val="single" w:sz="4" w:space="0" w:color="auto"/>
            </w:tcBorders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Nagyon ritka</w:t>
            </w:r>
          </w:p>
        </w:tc>
        <w:tc>
          <w:tcPr>
            <w:tcW w:w="6088" w:type="dxa"/>
            <w:tcBorders>
              <w:bottom w:val="single" w:sz="4" w:space="0" w:color="auto"/>
            </w:tcBorders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Bőrreakciók, mint például erythema, pruritus és urticaria</w:t>
            </w:r>
          </w:p>
        </w:tc>
      </w:tr>
      <w:tr w:rsidR="00CB75E7">
        <w:tc>
          <w:tcPr>
            <w:tcW w:w="9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B75E7" w:rsidRDefault="00F27BEE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*Nagyon ritkán a B</w:t>
            </w:r>
            <w:r>
              <w:rPr>
                <w:vertAlign w:val="subscript"/>
                <w:lang w:val="hu-HU"/>
              </w:rPr>
              <w:t>12</w:t>
            </w:r>
            <w:r>
              <w:rPr>
                <w:lang w:val="hu-HU"/>
              </w:rPr>
              <w:noBreakHyphen/>
              <w:t>vitamin-felszívódás csökkenését és emellett a szérumszintek csökkenését</w:t>
            </w:r>
            <w:r>
              <w:rPr>
                <w:lang w:val="hu-HU"/>
              </w:rPr>
              <w:br/>
              <w:t>figyelték meg a hosszú ideig metforminnal kezelt betegeknél. Megaloblastos anaemiával jelentkező betegnél ennek az etiológiának a megfontolása javasolt.</w:t>
            </w:r>
          </w:p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**A kóros májfunkciós vizsgálati eredmények vagy a hepatitis egyedülálló eseteinek a metformin abbahagyását követő megszűnéséről számoltak be.</w:t>
            </w:r>
          </w:p>
        </w:tc>
      </w:tr>
    </w:tbl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emésztőrendszeri mellékhatások leggyakrabban a kezelés megkezdésekor jelentkeznek, és a legtöbb esetben spontán megszűnnek. Megelőzésükre javasolt a metformint naponta 2 adagban, étkezések közben vagy azok után bevenni. A dózis lassú emelése szintén javíthatja az emésztőrendszeri toleranciát.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forgalomba hozatalt követő tapasztalat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6. táblázat</w:t>
      </w:r>
      <w:r>
        <w:rPr>
          <w:b/>
          <w:bCs/>
          <w:lang w:val="hu-HU"/>
        </w:rPr>
        <w:tab/>
        <w:t>A forgalomba hozatalt követően jelentett mellékhatások</w:t>
      </w:r>
    </w:p>
    <w:p w:rsidR="00CB75E7" w:rsidRDefault="00CB75E7">
      <w:pPr>
        <w:spacing w:line="240" w:lineRule="auto"/>
        <w:rPr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972"/>
        <w:gridCol w:w="6088"/>
      </w:tblGrid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ismert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Pancreatitis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Máj- és epebetegségek, illetve tünetek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ismert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Hepatitis (a gyógyszer abbahagyása esetén reverzibilis)</w:t>
            </w:r>
          </w:p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Kóros májfunkciós vizsgálati eredmények (a gyógyszer abbahagyása esetén reverzibilis)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 csont- és izomrendszer, valamint a kötőszövet betegségei és tünetei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ismert</w:t>
            </w:r>
          </w:p>
        </w:tc>
        <w:tc>
          <w:tcPr>
            <w:tcW w:w="6088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Myalgia</w:t>
            </w:r>
          </w:p>
        </w:tc>
      </w:tr>
      <w:tr w:rsidR="00CB75E7">
        <w:tc>
          <w:tcPr>
            <w:tcW w:w="9060" w:type="dxa"/>
            <w:gridSpan w:val="2"/>
          </w:tcPr>
          <w:p w:rsidR="00CB75E7" w:rsidRDefault="00F27BEE">
            <w:pPr>
              <w:spacing w:line="240" w:lineRule="auto"/>
              <w:rPr>
                <w:b/>
                <w:bCs/>
                <w:u w:val="single"/>
                <w:lang w:val="hu-HU"/>
              </w:rPr>
            </w:pPr>
            <w:r>
              <w:rPr>
                <w:b/>
                <w:bCs/>
                <w:lang w:val="hu-HU"/>
              </w:rPr>
              <w:t>A bőr és a bőr alatti szövet betegségei és tünetei</w:t>
            </w:r>
          </w:p>
        </w:tc>
      </w:tr>
      <w:tr w:rsidR="00CB75E7">
        <w:tc>
          <w:tcPr>
            <w:tcW w:w="2972" w:type="dxa"/>
          </w:tcPr>
          <w:p w:rsidR="00CB75E7" w:rsidRDefault="00F27BEE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ab/>
              <w:t>Nem ismert</w:t>
            </w:r>
          </w:p>
        </w:tc>
        <w:tc>
          <w:tcPr>
            <w:tcW w:w="6088" w:type="dxa"/>
          </w:tcPr>
          <w:p w:rsidR="00CB75E7" w:rsidRDefault="00F27BEE">
            <w:pPr>
              <w:rPr>
                <w:lang w:val="hu-HU"/>
              </w:rPr>
            </w:pPr>
            <w:r>
              <w:rPr>
                <w:lang w:val="hu-HU"/>
              </w:rPr>
              <w:t>Urticaria</w:t>
            </w:r>
          </w:p>
          <w:p w:rsidR="00CB75E7" w:rsidRDefault="00F27BEE">
            <w:pPr>
              <w:rPr>
                <w:u w:val="single"/>
                <w:lang w:val="hu-HU"/>
              </w:rPr>
            </w:pPr>
            <w:r>
              <w:rPr>
                <w:lang w:val="hu-HU"/>
              </w:rPr>
              <w:lastRenderedPageBreak/>
              <w:t xml:space="preserve">Exfoliativ és bullosus bőrléziók, beleértve a </w:t>
            </w:r>
            <w:r>
              <w:rPr>
                <w:color w:val="000000"/>
                <w:lang w:val="hu-HU"/>
              </w:rPr>
              <w:t>bullous pemphigoidot is.</w:t>
            </w:r>
          </w:p>
        </w:tc>
      </w:tr>
    </w:tbl>
    <w:p w:rsidR="00CB75E7" w:rsidRDefault="00CB75E7">
      <w:pPr>
        <w:spacing w:line="240" w:lineRule="auto"/>
        <w:rPr>
          <w:u w:val="single"/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Az egészségügyi szakembereket kérjük, hogy jelentsék be a feltételezett mellékhatásokat a hatóság részére az </w:t>
      </w:r>
      <w:hyperlink r:id="rId7">
        <w:r>
          <w:rPr>
            <w:color w:val="0000FF"/>
            <w:highlight w:val="lightGray"/>
            <w:u w:val="single"/>
          </w:rPr>
          <w:t>V. függelékben</w:t>
        </w:r>
      </w:hyperlink>
      <w:r>
        <w:rPr>
          <w:color w:val="0000FF"/>
          <w:u w:val="single"/>
        </w:rPr>
        <w:t xml:space="preserve"> </w:t>
      </w:r>
      <w:r>
        <w:rPr>
          <w:lang w:val="hu-HU"/>
        </w:rPr>
        <w:t>található elérhetőségek valamelyikén keresztül</w:t>
      </w:r>
      <w:r>
        <w:rPr>
          <w:color w:val="008000"/>
          <w:lang w:val="hu-HU"/>
        </w:rPr>
        <w:t>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4.9</w:t>
      </w:r>
      <w:r>
        <w:rPr>
          <w:b/>
          <w:bCs/>
          <w:lang w:val="hu-HU"/>
        </w:rPr>
        <w:tab/>
        <w:t>Túladagolás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A vildagliptin és</w:t>
      </w:r>
      <w:r>
        <w:t xml:space="preserve"> metformin-hidroklorid</w:t>
      </w:r>
      <w:r>
        <w:rPr>
          <w:lang w:val="hu-HU"/>
        </w:rPr>
        <w:t xml:space="preserve"> túladagolására vonatkozóan nem áll rendelkezésre adat.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u w:val="single"/>
          <w:lang w:val="hu-HU"/>
        </w:rPr>
      </w:pPr>
      <w:r>
        <w:rPr>
          <w:u w:val="single"/>
          <w:lang w:val="hu-HU"/>
        </w:rPr>
        <w:t>Vildagliptin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A vildagliptin túladagolására vonatkozó információk korlátozottak.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i/>
          <w:u w:val="single"/>
          <w:lang w:val="hu-HU"/>
        </w:rPr>
      </w:pPr>
      <w:r>
        <w:rPr>
          <w:i/>
          <w:u w:val="single"/>
          <w:lang w:val="hu-HU"/>
        </w:rPr>
        <w:t>Tünetek</w:t>
      </w: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t>A túladagolás valószínű tüneteivel kapcsolatos információk egy dózisnövelő tolerabilitási vizsgálatból származnak, melyben az egészséges önkéntesek 10 napon keresztül kaptak vildagliptint. A 400 mg</w:t>
      </w:r>
      <w:r>
        <w:rPr>
          <w:lang w:val="hu-HU"/>
        </w:rPr>
        <w:noBreakHyphen/>
        <w:t>os dózis mellett három esetben lépett fel izomfájdalom, és egyedi esetekben előfordult enyhe és átmeneti paresztézia, láz, ödéma, illetve átmeneti lipázszint-emelkedés. A 600 mg</w:t>
      </w:r>
      <w:r>
        <w:rPr>
          <w:lang w:val="hu-HU"/>
        </w:rPr>
        <w:noBreakHyphen/>
        <w:t>os dózis mellett egy betegnél lépett fel kéz- és lábödéma, valamint a kreatin foszfokináz (CPK), GOT, C</w:t>
      </w:r>
      <w:r>
        <w:rPr>
          <w:lang w:val="hu-HU"/>
        </w:rPr>
        <w:noBreakHyphen/>
        <w:t>reaktív protein (CRP) és a mioglobin szintjének emelkedése. Három további betegnél lépett fel lábödéma, melyet két esetben paresztézia kísért. A vizsgálati gyógyszer adagolásának felfüggesztését követően minden tünet és laboratóriumi eltérés kezelés nélkül rendeződött.</w:t>
      </w:r>
    </w:p>
    <w:p w:rsidR="00CB75E7" w:rsidRDefault="00CB75E7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u w:val="single"/>
          <w:lang w:val="hu-HU"/>
        </w:rPr>
      </w:pPr>
      <w:r>
        <w:rPr>
          <w:u w:val="single"/>
          <w:lang w:val="hu-HU"/>
        </w:rPr>
        <w:t>Metformin</w:t>
      </w:r>
    </w:p>
    <w:p w:rsidR="00CB75E7" w:rsidRDefault="00CB75E7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t>A metformin jelentős túladagolása (vagy a laktátacidózis egyidejű kockázata) laktátacidózishoz vezethet, ami sürgősségi állapot, és kórházban kell kezelni.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i/>
          <w:u w:val="single"/>
          <w:lang w:val="hu-HU"/>
        </w:rPr>
      </w:pPr>
      <w:r>
        <w:rPr>
          <w:i/>
          <w:u w:val="single"/>
          <w:lang w:val="hu-HU"/>
        </w:rPr>
        <w:t>Kezelés</w:t>
      </w:r>
    </w:p>
    <w:p w:rsidR="00CB75E7" w:rsidRDefault="00F27BEE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t>A metformin eltávolításának leghatékonyabb módszere a hemodialízis. A vildagliptin azonban nem távolítható el hemodialízissel, míg az elsődleges hidrolizációs metabolit (LAY 151) igen. Szupportív kezelés javasolt.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FARMAKOLÓGIAI TULAJDONSÁGOK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5.1</w:t>
      </w:r>
      <w:r>
        <w:rPr>
          <w:b/>
          <w:bCs/>
          <w:lang w:val="hu-HU"/>
        </w:rPr>
        <w:tab/>
        <w:t>Farmakodinámiás tulajdonságok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Farmakoterápiás csoport: Vércukorszint-csökkentő gyógyszerek, orális vércukorszint-csökkentők kombinációja, ATC kód: A10BD08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Anvildis Duo a 2</w:t>
      </w:r>
      <w:r>
        <w:rPr>
          <w:lang w:val="hu-HU"/>
        </w:rPr>
        <w:noBreakHyphen/>
        <w:t>es típusú dibeteses betegek glykaemiás kontrolljának javítása érdekében két, egymást kiegészítő hatásmechanizmusú antihyperglykaemiás szert egyesít: a vildagliptint, a szigetsejt-serkentők osztályának egyik tagját, és a metformin-hidrokloridot, ami a biguanidok osztályába tartozik.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vildagliptin, a szigetsejt-serkentők osztályába tartozó vegyület potens és szelektív dipeptidil-peptidáz</w:t>
      </w:r>
      <w:r>
        <w:rPr>
          <w:lang w:val="hu-HU"/>
        </w:rPr>
        <w:noBreakHyphen/>
        <w:t>4- (DPP</w:t>
      </w:r>
      <w:r>
        <w:rPr>
          <w:lang w:val="hu-HU"/>
        </w:rPr>
        <w:noBreakHyphen/>
        <w:t>4) inhibitor. A metformin főként a májban zajló endogén glükóztermelés csökkentésével hat.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Farmakodinámiás hatások</w:t>
      </w:r>
    </w:p>
    <w:p w:rsidR="00CB75E7" w:rsidRDefault="00CB75E7">
      <w:pPr>
        <w:spacing w:line="240" w:lineRule="auto"/>
        <w:rPr>
          <w:i/>
          <w:u w:val="single"/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Vildagliptin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 elsősorban a DPP</w:t>
      </w:r>
      <w:r>
        <w:rPr>
          <w:lang w:val="hu-HU"/>
        </w:rPr>
        <w:noBreakHyphen/>
        <w:t>4 gátlásával hat, ami a GLP</w:t>
      </w:r>
      <w:r>
        <w:rPr>
          <w:lang w:val="hu-HU"/>
        </w:rPr>
        <w:noBreakHyphen/>
        <w:t>1 (glükagon-szerű fehérje</w:t>
      </w:r>
      <w:r>
        <w:rPr>
          <w:lang w:val="hu-HU"/>
        </w:rPr>
        <w:noBreakHyphen/>
        <w:t>1) és GIP (glükózdependens inzulinotrop polipeptid) inkretin hormonok lebomlásáért felelős enzim.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vildagliptin alkalmazása a DPP</w:t>
      </w:r>
      <w:r>
        <w:rPr>
          <w:lang w:val="hu-HU"/>
        </w:rPr>
        <w:noBreakHyphen/>
        <w:t>4 aktivitás gyors és teljes gátlását eredményezi, ami a GLP</w:t>
      </w:r>
      <w:r>
        <w:rPr>
          <w:lang w:val="hu-HU"/>
        </w:rPr>
        <w:noBreakHyphen/>
        <w:t>1 és GIP inkretin hormonok éhomi és posztprandiális endogén szintjének növekedését okozza.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Ezen inkretin hormonok endogén szintjeinek növelése révén a vildagliptin javítja a béta</w:t>
      </w:r>
      <w:r>
        <w:rPr>
          <w:lang w:val="hu-HU"/>
        </w:rPr>
        <w:noBreakHyphen/>
        <w:t>sejtek érzékenységét a glükózzal szemben, ami jobb glükózdependens inzulinszekréciót eredményez. A napi 50</w:t>
      </w:r>
      <w:r>
        <w:rPr>
          <w:lang w:val="hu-HU"/>
        </w:rPr>
        <w:noBreakHyphen/>
        <w:t>100 mg vildagliptinnel végzett kezelés a 2</w:t>
      </w:r>
      <w:r>
        <w:rPr>
          <w:lang w:val="hu-HU"/>
        </w:rPr>
        <w:noBreakHyphen/>
        <w:t>es típusú cukorbetegségben szenvedő betegeknél lényegesen javította a béta</w:t>
      </w:r>
      <w:r>
        <w:rPr>
          <w:lang w:val="hu-HU"/>
        </w:rPr>
        <w:noBreakHyphen/>
        <w:t>sejt működés markereit, köztük a HOMA</w:t>
      </w:r>
      <w:r>
        <w:rPr>
          <w:lang w:val="hu-HU"/>
        </w:rPr>
        <w:noBreakHyphen/>
        <w:t>β</w:t>
      </w:r>
      <w:r>
        <w:rPr>
          <w:lang w:val="hu-HU"/>
        </w:rPr>
        <w:noBreakHyphen/>
        <w:t>t (Homeostasis Model Assessment–β), a proinzulin</w:t>
      </w:r>
      <w:r>
        <w:rPr>
          <w:lang w:val="hu-HU"/>
        </w:rPr>
        <w:noBreakHyphen/>
        <w:t>inzulin arányt, valamint a gyakori mintavétellel végzett étkezési tolerancia teszttel mért béta</w:t>
      </w:r>
      <w:r>
        <w:rPr>
          <w:lang w:val="hu-HU"/>
        </w:rPr>
        <w:noBreakHyphen/>
        <w:t>sejt válaszkészség mértékét. Nem diabeteses (normoglykaemiás) egyéneknél a vildagliptin nem serkenti az inzulinszekréciót, és nem csökkenti a vércukorszinteket.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endogén GLP</w:t>
      </w:r>
      <w:r>
        <w:rPr>
          <w:lang w:val="hu-HU"/>
        </w:rPr>
        <w:noBreakHyphen/>
        <w:t>1</w:t>
      </w:r>
      <w:r>
        <w:rPr>
          <w:lang w:val="hu-HU"/>
        </w:rPr>
        <w:noBreakHyphen/>
        <w:t>szintek növelése révén a vildagliptin fokozza az alfa</w:t>
      </w:r>
      <w:r>
        <w:rPr>
          <w:lang w:val="hu-HU"/>
        </w:rPr>
        <w:noBreakHyphen/>
        <w:t>sejtek glükózérzékenységét is, ami javítja a glükózszintnek megfelelő mértékű glükagonelválasztást.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magasabb inkretin hormon szintek hatására fokozódik a hyperglykaemia során fellépő inzulin/glükagon arány növekedésének mértéke, ennek következtében csökken az éhomi és posztprandiális hepatikus glükóztermelés, ami csökkent vércukorszintet eredményez.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magasabb GLP</w:t>
      </w:r>
      <w:r>
        <w:rPr>
          <w:lang w:val="hu-HU"/>
        </w:rPr>
        <w:noBreakHyphen/>
        <w:t>1</w:t>
      </w:r>
      <w:r>
        <w:rPr>
          <w:lang w:val="hu-HU"/>
        </w:rPr>
        <w:noBreakHyphen/>
        <w:t>szint gyomorürülést késleltető, ismert hatását vildagliptin-kezelés kapcsán nem észlelték.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Metformin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metformin egy antihyperglykaemiás hatású biguanid, ami a bazális és a posztprandiális plazma glükózszintet egyaránt csökkenti. Nem serkenti az inzulinszekréciót, ezért nem okoz hypoglykaemiát, sem testtömeg-növekedést.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metformin három mechanizmuson keresztül fejtheti ki glükózszintcsökkentő hatását:</w:t>
      </w:r>
    </w:p>
    <w:p w:rsidR="00CB75E7" w:rsidRDefault="00F27BEE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 glükoneogenezis és a glikogenolízis gátlásán keresztül a májban zajló glükóztermelés csökkentésével;</w:t>
      </w:r>
    </w:p>
    <w:p w:rsidR="00CB75E7" w:rsidRDefault="00F27BEE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az izomban, az inzulin-szenzitivitás mérsékelt növelésével javítja a perifériás glükózfelvételt és glükózhasznosítást;</w:t>
      </w:r>
    </w:p>
    <w:p w:rsidR="00CB75E7" w:rsidRDefault="00F27BEE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 belekben zajló glükózfelszívódás lassításával.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glikogén-szintetázra hatva a metformin serkenti az intracelluláris glikogénszintézist, és fokozza a membránban lévő specifikus glükóztranszporterek (GLUT</w:t>
      </w:r>
      <w:r>
        <w:rPr>
          <w:lang w:val="hu-HU"/>
        </w:rPr>
        <w:noBreakHyphen/>
        <w:t>1 és GLUT</w:t>
      </w:r>
      <w:r>
        <w:rPr>
          <w:lang w:val="hu-HU"/>
        </w:rPr>
        <w:noBreakHyphen/>
        <w:t>4) transzportkapacitását.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Emberekben, a vércukorszintre kifejtett hatásától függetlenül, a metformin kedvezően hat a lipidanyagcserére. Terápiás dózisokkal végzett, kontrollos közép- vagy hosszú távú klinikai vizsgálatok során kimutatták: a metformin csökkenti az összkoleszterin-, az LDL</w:t>
      </w:r>
      <w:r>
        <w:rPr>
          <w:lang w:val="hu-HU"/>
        </w:rPr>
        <w:noBreakHyphen/>
        <w:t>koleszterin és a triglicerid szérumszinteket.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prospektív, randomizált UKPDS</w:t>
      </w:r>
      <w:r>
        <w:rPr>
          <w:lang w:val="hu-HU"/>
        </w:rPr>
        <w:noBreakHyphen/>
        <w:t>vizsgálat (UK Prospective Diabetes Study) megállapította az intenzív vércukorszint-beállítás hosszú távú előnyeit 2</w:t>
      </w:r>
      <w:r>
        <w:rPr>
          <w:lang w:val="hu-HU"/>
        </w:rPr>
        <w:noBreakHyphen/>
        <w:t>es típusú diabetesben. Az önmagában alkalmazott diéta sikertelensége után metforminnal kezelt túlsúlyos betegek eredményeinek elemzése a következőket mutatta:</w:t>
      </w:r>
    </w:p>
    <w:p w:rsidR="00CB75E7" w:rsidRDefault="00F27BEE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 diabetes okozta valamennyi szövődmény abszolút kockázatának szignifikáns csökkenését a metformin-csoportban (29,8 esemény/1000 betegév), a csak diétázó csoporttal szemben (43,3 esemény/1000 betegév), p=0,0023, és az összevont szulfonilurea és inzulin monoterápiás csoportokkal szemben (40,1 esemény/1000 betegév), p=0,0034;</w:t>
      </w:r>
    </w:p>
    <w:p w:rsidR="00CB75E7" w:rsidRDefault="00F27BEE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 diabetessel összefüggő mortalitás abszolút kockázatának szignifikáns csökkenését: metformin 7,5 esemény/1000 betegév, csak diéta 12,7 esemény/1000 betegév, p=0,017;</w:t>
      </w:r>
    </w:p>
    <w:p w:rsidR="00CB75E7" w:rsidRDefault="00F27BEE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>az összmortalitás abszolút kockázatának szignifikáns csökkenését: metformin 13,5 esemény/1000 betegév, szemben a csak diétával, 20,6 esemény/1000 betegév (p=0,011), és a kombinált szulfonilurea és inzulin monoterápiás csoportokkal, 18,9 esemény/1000 betegév (p=0,021);</w:t>
      </w:r>
    </w:p>
    <w:p w:rsidR="00CB75E7" w:rsidRDefault="00F27BEE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 szívinfarktus abszolút kockázatának szignifikáns csökkenését: metformin 11 esemény/1000 betegév, csak diéta 18 esemény/1000 betegév (p=0,01).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u w:val="single"/>
          <w:lang w:val="hu-HU"/>
        </w:rPr>
        <w:t>Klinikai hatásosság és biztonságosság</w:t>
      </w:r>
      <w:r>
        <w:rPr>
          <w:lang w:val="hu-HU"/>
        </w:rPr>
        <w:t xml:space="preserve"> </w:t>
      </w:r>
      <w:r>
        <w:rPr>
          <w:lang w:val="hu-HU"/>
        </w:rPr>
        <w:br/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Ha a vildagliptint olyan betegeknek adták, akiknek a vércukorszint beállítása a metformin-monoterápia ellenére nem volt kielégítő, akkor az 6 hónapos kezelés után a palcebóhoz viszonyítva további, statisztikailag szignifikáns átlagos HbA</w:t>
      </w:r>
      <w:r>
        <w:rPr>
          <w:vertAlign w:val="subscript"/>
          <w:lang w:val="hu-HU"/>
        </w:rPr>
        <w:t>1c</w:t>
      </w:r>
      <w:r>
        <w:rPr>
          <w:lang w:val="hu-HU"/>
        </w:rPr>
        <w:t>-csökkenést eredményezett (a csoportok közötti különbség 50 mg vildagliptin esetén -0,7% és 100 mg vildagliptin esetén -1,1% közé esik). A kiindulási szinthez képest ≥ 0,7%</w:t>
      </w:r>
      <w:r>
        <w:rPr>
          <w:lang w:val="hu-HU"/>
        </w:rPr>
        <w:noBreakHyphen/>
        <w:t>os HbA</w:t>
      </w:r>
      <w:r>
        <w:rPr>
          <w:vertAlign w:val="subscript"/>
          <w:lang w:val="hu-HU"/>
        </w:rPr>
        <w:t>1c</w:t>
      </w:r>
      <w:r>
        <w:rPr>
          <w:lang w:val="hu-HU"/>
        </w:rPr>
        <w:t>-csökkenést elérő betegek aránya statisztikailag szignifikánsan magasabb volt mindkét vildagliptin + metformin csoportban (sorrendben 46% és 60%), mint a metformin + placebocsoportban (20%).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24 hetes vizsgálatban a vildagliptint (naponta kétszer 50 mg) a pioglitazonnal (napi egyszer 30 mg) hasonlították össze, metforminnal (átlagos napi dózis: 2020 mg) nem megfelelően kontrollált betegek esetén. A 8,4%</w:t>
      </w:r>
      <w:r>
        <w:rPr>
          <w:lang w:val="hu-HU"/>
        </w:rPr>
        <w:noBreakHyphen/>
        <w:t>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>-szint átlagos csökkenése -0,9% volt, ha a metformin mellé vildagliptint, és -1,0% volt, ha a metformin mellé pioglitazont adtak. Azoknál a betegeknél, akik metformin mellé pioglitazont kaptak, +1,9 ttkg</w:t>
      </w:r>
      <w:r>
        <w:rPr>
          <w:lang w:val="hu-HU"/>
        </w:rPr>
        <w:noBreakHyphen/>
        <w:t>os átlagos testtömeg-növekedést figyeltek meg, míg a metformin mellé vildagliptint kapóknál +0,3 ttkg</w:t>
      </w:r>
      <w:r>
        <w:rPr>
          <w:lang w:val="hu-HU"/>
        </w:rPr>
        <w:noBreakHyphen/>
        <w:t>os volt a testtömeg-növekedés.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2 évig tartó klinikai vizsgálatban a vildagliptint (naponta kétszer 50 mg) glimepiriddel (legfeljebb naponta 6 mg – átlagos dózis a két év alatt: 4,6 mg) hasonlították össze metforminnal (átlagos napi dózis: 1894 mg) kezelt betegeknél. A 7,3%</w:t>
      </w:r>
      <w:r>
        <w:rPr>
          <w:lang w:val="hu-HU"/>
        </w:rPr>
        <w:noBreakHyphen/>
        <w:t>os átlagos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>-szintről 1 év után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átlagos csökkenése -0,4% volt a metformin mellé adott vildagliptin és -0,5% volt a metformin mellé adott glimepirid esetén. A testtömegváltozás a vildagliptin mellett -0,2 ttkg, míg a glimepirid mellett +1,6 ttkg volt. A hypoglykaemia előfordulási gyakorisága szignifikánsan alacsonyabb volt a vildagliptin-csoportban (1,7%), mint a glimepirid-csoportban (16,2%). A vizsgálati végpontnál (2 év)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mindkét terápiás csoportban a kiindulási értékhez volt hasonló, és a testtömegváltozás és a hypoglykaemia közti különbségek fennmaradtak.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52 hetes vizsgálatban a (naponta kétszer 50 mg) vildagliptint gliklaziddal (átlagos napi dózis: 229,5 mg) hasonlították össze a metforminnal (a metformin kiindulási dózisa 1928 mg/nap) nem megfelelően kontrollált betegeknél. Egy év után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átlagos csökkenése -0,81% volt a metforminhoz adott vildagliptin (a kiindulási átlagos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8,4%) és -0,85% volt a metforminhoz adott gliklazid esetén (az átlagos kiindulási HbA</w:t>
      </w:r>
      <w:r>
        <w:rPr>
          <w:vertAlign w:val="subscript"/>
          <w:lang w:val="hu-HU"/>
        </w:rPr>
        <w:t xml:space="preserve">1c </w:t>
      </w:r>
      <w:r>
        <w:rPr>
          <w:lang w:val="hu-HU"/>
        </w:rPr>
        <w:t>8,5%); a statisztikai „non-inferioritás” („nem rosszabb, mint”) igazolódott (95%</w:t>
      </w:r>
      <w:r>
        <w:rPr>
          <w:lang w:val="hu-HU"/>
        </w:rPr>
        <w:noBreakHyphen/>
        <w:t>os CI -0,11 – 0,20). A vildagliptin mellett a testtömegváltozás +0,1 ttkg, míg a gliklazid melletti testtömeg-növekedés +1,4 ttkg volt.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24 hetes vizsgálatban a fix dózisú vildagliptin és metformin kombináció (melynek dózisát fokozatosan emelték naponta kétszer 50 mg/500 mg</w:t>
      </w:r>
      <w:r>
        <w:rPr>
          <w:lang w:val="hu-HU"/>
        </w:rPr>
        <w:noBreakHyphen/>
        <w:t>ra vagy naponta kétszer 50 mg/1000 mg</w:t>
      </w:r>
      <w:r>
        <w:rPr>
          <w:lang w:val="hu-HU"/>
        </w:rPr>
        <w:noBreakHyphen/>
        <w:t>ra), mint kezdeti kezelés hatásosságát értékelték a gyógyszert korábban még nem kapó betegeknél. A 8,6%</w:t>
      </w:r>
      <w:r>
        <w:rPr>
          <w:lang w:val="hu-HU"/>
        </w:rPr>
        <w:noBreakHyphen/>
        <w:t>os átlagos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>-szintet a naponta kétszer 50 mg/1000 mg dózisban alkalmazott vildagliptin/metformin -1,82%</w:t>
      </w:r>
      <w:r>
        <w:rPr>
          <w:lang w:val="hu-HU"/>
        </w:rPr>
        <w:noBreakHyphen/>
        <w:t>kal, a naponta kétszer 50 mg/500 mg dózisban adott vildagliptin/metformin -1,61%</w:t>
      </w:r>
      <w:r>
        <w:rPr>
          <w:lang w:val="hu-HU"/>
        </w:rPr>
        <w:noBreakHyphen/>
        <w:t>kal, a naponta kétszer 1000 mg metformin -1,36%</w:t>
      </w:r>
      <w:r>
        <w:rPr>
          <w:lang w:val="hu-HU"/>
        </w:rPr>
        <w:noBreakHyphen/>
        <w:t>kal és a naponta kétszer 50 mg vildagliptin -1,09%</w:t>
      </w:r>
      <w:r>
        <w:rPr>
          <w:lang w:val="hu-HU"/>
        </w:rPr>
        <w:noBreakHyphen/>
        <w:t>kal csökkentette. Azoknál a betegeknél, akiknél a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>-szint ≥10,0% volt, nagyobb csökkenést észleltek.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24 hetes randomizált, kettős vak, placebokontrollos vizsgálatot végeztek 318 beteggel, hogy értékeljék a metforminnal (naponta ≥1500 mg) és glimepiriddel (naponta ≥4 mg) kombinációban adott vildagliptin (naponta kétszer 50 mg) hatásosságát és biztonságosságát. A metforminnal és glimepiriddel kombinációban adott vildagliptin a placebóhoz képest jelentősen csökkentette a HbA</w:t>
      </w:r>
      <w:r>
        <w:rPr>
          <w:vertAlign w:val="subscript"/>
          <w:lang w:val="hu-HU"/>
        </w:rPr>
        <w:t>1c</w:t>
      </w:r>
      <w:r>
        <w:rPr>
          <w:lang w:val="hu-HU"/>
        </w:rPr>
        <w:noBreakHyphen/>
        <w:t>szintet. A 8,8%</w:t>
      </w:r>
      <w:r>
        <w:rPr>
          <w:lang w:val="hu-HU"/>
        </w:rPr>
        <w:noBreakHyphen/>
        <w:t>os átlagos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>-szinttől mért, placebóra korrigált átlagos csökkenés -0,76% volt.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VERIFY egy öt éves, multicentrikus, randomizált, kettős vak vizsgálat, melyet 2</w:t>
      </w:r>
      <w:r>
        <w:rPr>
          <w:lang w:val="hu-HU"/>
        </w:rPr>
        <w:noBreakHyphen/>
        <w:t>es típusú cukorbetegek részvételével végeztek. A vizsgálat során a vildagliptin és metformin alkotta korai kombinációs terápia (N=998) hatását tanulmányozták, a standard ellátást jelentő, metformin-monoterápiával induló, majd vildagliptinnel kombinált (lépcsőzetes felépítésű terápiás csoport, N=1003) kezelés hatásával szemben, újonnan diagnosztizált 2</w:t>
      </w:r>
      <w:r>
        <w:rPr>
          <w:lang w:val="hu-HU"/>
        </w:rPr>
        <w:noBreakHyphen/>
        <w:t>es típusú cukorbetegeknél. A vizsgálat 5 éves időtartama alatt igazolódott, hogy a napi kétszer 50 mg vildagliptin és metformin alkotta kombinációs kezelési protokoll statisztikailag és klinikailag szignifikánsan csökkentette az „igazolt kezdeti terápiás kudarcig eltelt idővel” (HbA</w:t>
      </w:r>
      <w:r>
        <w:rPr>
          <w:vertAlign w:val="subscript"/>
          <w:lang w:val="hu-HU"/>
        </w:rPr>
        <w:t>1c</w:t>
      </w:r>
      <w:r>
        <w:rPr>
          <w:lang w:val="hu-HU"/>
        </w:rPr>
        <w:noBreakHyphen/>
        <w:t>érték ≥7%) kapcsolatos relatív kockázatot a metformin-monoterápiához képest, a kezelést korábban még nem kapó 2</w:t>
      </w:r>
      <w:r>
        <w:rPr>
          <w:lang w:val="hu-HU"/>
        </w:rPr>
        <w:noBreakHyphen/>
        <w:t>es típusú cukorbetegek körében (HR [95%</w:t>
      </w:r>
      <w:r>
        <w:rPr>
          <w:lang w:val="hu-HU"/>
        </w:rPr>
        <w:noBreakHyphen/>
        <w:t>os CI]: 0,51 [0,45, 0,58]; p&lt;0,001). A kezdeti terápiás kudarc (HbA</w:t>
      </w:r>
      <w:r>
        <w:rPr>
          <w:vertAlign w:val="subscript"/>
          <w:lang w:val="hu-HU"/>
        </w:rPr>
        <w:t>1c</w:t>
      </w:r>
      <w:r>
        <w:rPr>
          <w:lang w:val="hu-HU"/>
        </w:rPr>
        <w:noBreakHyphen/>
        <w:t>érték ≥7%) incidenciája 43,6% (429 beteg) volt a kombinációs, illetve 62,1% (614 beteg) a lépcsőzetes felépítésű terápiás csoportban.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24 hetes randomizált, kettős vak, placebokontrollos vizsgálatot végeztek 449 beteggel, hogy értékeljék a metforminnal együtt (n=276) vagy metformin nélkül adott (n=173) stabil dózisú bazális vagy premix inzulinnal (átlagos napi dózis 41 egység) kombinációban alkalmazott vildagliptin (naponta kétszer 50 mg) hatásosságát és biztonságosságát. Az inzulinnal kombinációban adott vildagliptin a placebóhoz képest jelentősen csökkentette a HbA</w:t>
      </w:r>
      <w:r>
        <w:rPr>
          <w:vertAlign w:val="subscript"/>
          <w:lang w:val="hu-HU"/>
        </w:rPr>
        <w:t>1c</w:t>
      </w:r>
      <w:r>
        <w:rPr>
          <w:lang w:val="hu-HU"/>
        </w:rPr>
        <w:noBreakHyphen/>
        <w:t>szintet. A teljes populációban az átlagos 8,8%</w:t>
      </w:r>
      <w:r>
        <w:rPr>
          <w:lang w:val="hu-HU"/>
        </w:rPr>
        <w:noBreakHyphen/>
        <w:t>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noBreakHyphen/>
        <w:t>szintről mért, placebóra korrigált átlagos csökkenés -0,72% volt. Az egyidejűleg metforminnal vagy metformin nélkül adott inzulinnal kezelt alcsoportokban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placebóra korrigált átlagos csökkenése sorrendben -0,63% és -0,84% volt. A teljes populációban a hypoglykaemia előfordulási gyakorisága a vildagliptin-csoportban 8,4% és a placebocsoportban 7,2% volt. A vildagliptint kapó betegeknél nem észleltek testtömeg-növekedést (+0,2 kg), míg a placebót kapóknál testtömegcsökkenést tapasztaltak (-0,7 kg).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másik, 24 hetes vizsgálatban, amit olyan betegekkel végeztek, akiknek előrehaladottabb 2</w:t>
      </w:r>
      <w:r>
        <w:rPr>
          <w:lang w:val="hu-HU"/>
        </w:rPr>
        <w:noBreakHyphen/>
        <w:t>es típusú cukorbetegségük volt, és nem voltak megfelelően beállítva inzulinnal (rövid- és hosszú hatású, átlagos inzulin dózis 80 NE/nap), a HbA</w:t>
      </w:r>
      <w:r>
        <w:rPr>
          <w:vertAlign w:val="subscript"/>
          <w:lang w:val="hu-HU"/>
        </w:rPr>
        <w:t>1c</w:t>
      </w:r>
      <w:r>
        <w:rPr>
          <w:lang w:val="hu-HU"/>
        </w:rPr>
        <w:noBreakHyphen/>
        <w:t>szint átlagos csökkenése statisztikailag szignifikánsan nagyobb volt, amikor vildagliptint (naponta kétszer 50 mg) adtak az inzulinhoz, mint a placebo plusz inzulin esetén (0,5% vs. 0,2%). A hypoglykaemia előfordulási gyakorisága alacsonyabb volt a vildagliptin-csoportban, mint a placebocsoportban (22,9% vs. 29,6%).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Cardiovascularis kockázat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Harminchét, akár 2 évnél is hosszabb (vildagliptin esetében átlag 50 hetes, a komparátorok esetében átlag 49 hetes) időtartamú, III. fázisú és IV. fázisú, monoterápiával és kombinált terápiával végzett klinikai vizsgálatból származó, függetlenül és prospektíven igazolt cardiovascularis események meta-analízisét végezték el, ami azt mutatta, hogy a vildagliptin-kezelés nem járt a cardiovascularis kockázat emelkedésével a komparátorokhoz viszonyítva. Az igazolt major cardiovascularis nemkívánatos események (major adverse cardiovascular events; MACE) – beleértve az akut myocardiális infarctust, a stroke</w:t>
      </w:r>
      <w:r>
        <w:rPr>
          <w:lang w:val="hu-HU"/>
        </w:rPr>
        <w:noBreakHyphen/>
        <w:t>ot vagy a cardiovascularis halálozást is – összetett végpontja hasonló volt a vildagliptin, illetve az aktív és placebo komparátorok esetén (Mantel–Haenszel-féle kockázati arány [M-H RR] 0,82 [95%</w:t>
      </w:r>
      <w:r>
        <w:rPr>
          <w:lang w:val="hu-HU"/>
        </w:rPr>
        <w:noBreakHyphen/>
        <w:t>os CI 0,61 – 1,11]). A vildagliptin</w:t>
      </w:r>
      <w:r>
        <w:rPr>
          <w:lang w:val="hu-HU"/>
        </w:rPr>
        <w:noBreakHyphen/>
        <w:t>csoport 9599 betege közül 83</w:t>
      </w:r>
      <w:r>
        <w:rPr>
          <w:lang w:val="hu-HU"/>
        </w:rPr>
        <w:noBreakHyphen/>
        <w:t>nál (0,86%), míg a komparátorcsoport 7102 betege közül 85</w:t>
      </w:r>
      <w:r>
        <w:rPr>
          <w:lang w:val="hu-HU"/>
        </w:rPr>
        <w:noBreakHyphen/>
        <w:t>nél (1,20%) számoltak be major cardiovascularis nemkívánatos eseményről. A MACE komponensek mindegyikének egyenkénti értékelése nem mutatott megnövekedett kockázatot (hasonló M-H RR). Bizonyított szívelégtelenség eseményeket, vagyis a definíciója szerint hospitalizációt igénylő szívelégtelenséget, vagy újonnan fellépő szívelégtelenséget 41, a vildagliptin-csoportba tartozó betegnél (0,43%), illetve 32, a komparátorcsoportba tartozó betegnél (0,45%) jelentettek – M-H RR 1,08 (95%</w:t>
      </w:r>
      <w:r>
        <w:rPr>
          <w:lang w:val="hu-HU"/>
        </w:rPr>
        <w:noBreakHyphen/>
        <w:t>os CI 0,68 – 1,70).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Gyermekek és serdülők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Az Európai Gyógyszerügynökség a gyermekek esetén minden korosztálynál eltekint a vildagliptin és metformin kombinációt tartalmazó referencia készítmény vizsgálati eredményeinek benyújtási kötelezettségétől 2</w:t>
      </w:r>
      <w:r>
        <w:rPr>
          <w:lang w:val="hu-HU"/>
        </w:rPr>
        <w:noBreakHyphen/>
        <w:t>es típusú diabetesben (lásd 4.2 pont, gyermekekre és serdülőkre vonatkozó információk).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5.2</w:t>
      </w:r>
      <w:r>
        <w:rPr>
          <w:b/>
          <w:bCs/>
          <w:lang w:val="hu-HU"/>
        </w:rPr>
        <w:tab/>
        <w:t>Farmakokinetikai tulajdonságok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Vildagliptin/metformin-hidroklorid</w:t>
      </w:r>
    </w:p>
    <w:p w:rsidR="00CB75E7" w:rsidRDefault="00CB75E7">
      <w:pPr>
        <w:spacing w:line="240" w:lineRule="auto"/>
        <w:ind w:right="-2"/>
        <w:rPr>
          <w:u w:val="single"/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Felszívódás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Bizonyították a fix kombinációjú vildagliptin és metformin-hidroklorid három dóziserőssége (50 mg/500 mg, 50 mg/850 mg és 50 mg/1000 mg) és a vildagliptin és metformin-hidroklorid tabletták megfelelő dózisainak különálló kombinációja közötti bioekvivalenciát.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A táplálék nem befolyásolja a vildagliptin felszívódásának mértékét vagy sebességét. A vildagliptin/metformin-hidroklorid 50 mg/1000 mg</w:t>
      </w:r>
      <w:r>
        <w:rPr>
          <w:lang w:val="hu-HU"/>
        </w:rPr>
        <w:noBreakHyphen/>
        <w:t>os kombinációban lévő metformin felszívódásának sebessége és mértéke csökkent, ha táplálékkal együtt adták, amit a C</w:t>
      </w:r>
      <w:r>
        <w:rPr>
          <w:vertAlign w:val="subscript"/>
          <w:lang w:val="hu-HU"/>
        </w:rPr>
        <w:t>max</w:t>
      </w:r>
      <w:r>
        <w:rPr>
          <w:lang w:val="hu-HU"/>
        </w:rPr>
        <w:t xml:space="preserve"> 26%</w:t>
      </w:r>
      <w:r>
        <w:rPr>
          <w:lang w:val="hu-HU"/>
        </w:rPr>
        <w:noBreakHyphen/>
        <w:t>os, az AUC 7%</w:t>
      </w:r>
      <w:r>
        <w:rPr>
          <w:lang w:val="hu-HU"/>
        </w:rPr>
        <w:noBreakHyphen/>
        <w:t>os csökkenése, valamint a t</w:t>
      </w:r>
      <w:r>
        <w:rPr>
          <w:vertAlign w:val="subscript"/>
          <w:lang w:val="hu-HU"/>
        </w:rPr>
        <w:t>max</w:t>
      </w:r>
      <w:r>
        <w:rPr>
          <w:lang w:val="hu-HU"/>
        </w:rPr>
        <w:t xml:space="preserve"> megnyúlása (2,0</w:t>
      </w:r>
      <w:r>
        <w:rPr>
          <w:lang w:val="hu-HU"/>
        </w:rPr>
        <w:noBreakHyphen/>
        <w:t>4,0 óra) tükröz.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Az alábbi megállapítások az egyes hatóanyagok farmakokinetikai tulajdonságait tükrözik.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Vildagliptin</w:t>
      </w:r>
    </w:p>
    <w:p w:rsidR="00CB75E7" w:rsidRDefault="00CB75E7">
      <w:pPr>
        <w:spacing w:line="240" w:lineRule="auto"/>
        <w:ind w:right="-2"/>
        <w:rPr>
          <w:u w:val="single"/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Felszívódás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Éhomi állapotban, orális adagolást követően a vildagliptin gyorsan felszívódik, és a plazma csúcskoncentráció 1,7 óra elteltével mérhető. Az ételek kismértékben, 2,5 órára nyújtják a plazma csúcskoncentráció kialakulásáig eltelt időt, de nem változtatják meg a teljes expozíciót (AUC). A vildagliptin étkezés közben történő adása az éhomra történő adagoláshoz képest a C</w:t>
      </w:r>
      <w:r>
        <w:rPr>
          <w:vertAlign w:val="subscript"/>
          <w:lang w:val="hu-HU"/>
        </w:rPr>
        <w:t>max</w:t>
      </w:r>
      <w:r>
        <w:rPr>
          <w:lang w:val="hu-HU"/>
        </w:rPr>
        <w:noBreakHyphen/>
        <w:t>érték csökkenését eredményezte (19%). A változás nagyságrendje azonban klinikailag nem jelentős, így a vildagliptin étkezés közben vagy attól függetlenül is bevehető. Az abszolút biohasznosulás 85%.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Eloszlás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A vildagliptin kismértékben kötődik a plazmafehérjékhez (9,3%), és egyenlő mértékben oszlik meg a plazma és a vörösvértestek között. A vildagliptin átlagos megoszlási térfogata dinamikus egyensúlyi állapotban, intravénás alkalmazást követően (V</w:t>
      </w:r>
      <w:r>
        <w:rPr>
          <w:vertAlign w:val="subscript"/>
          <w:lang w:val="hu-HU"/>
        </w:rPr>
        <w:t>ss</w:t>
      </w:r>
      <w:r>
        <w:rPr>
          <w:lang w:val="hu-HU"/>
        </w:rPr>
        <w:t>) 71 liter, ami extravaszkuláris megoszlásra utal.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Biotranszformáció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Humán vonatkozásban a vildagliptin elsődleges eliminációs útvonala a metabolizáció, ami a bevitt dózis 69%</w:t>
      </w:r>
      <w:r>
        <w:rPr>
          <w:lang w:val="hu-HU"/>
        </w:rPr>
        <w:noBreakHyphen/>
        <w:t>át érinti. A legfontosabb metabolit (LAY 151) farmakológiailag inaktív, a ciano-rész hidrolízisének terméke, amely a bevitt dózis 57%</w:t>
      </w:r>
      <w:r>
        <w:rPr>
          <w:lang w:val="hu-HU"/>
        </w:rPr>
        <w:noBreakHyphen/>
        <w:t>ából jön létre, amit az amid-hidrolízis terméke követ (a bevitt dózis 4%</w:t>
      </w:r>
      <w:r>
        <w:rPr>
          <w:lang w:val="hu-HU"/>
        </w:rPr>
        <w:noBreakHyphen/>
        <w:t>a). Egy DPP</w:t>
      </w:r>
      <w:r>
        <w:rPr>
          <w:lang w:val="hu-HU"/>
        </w:rPr>
        <w:noBreakHyphen/>
        <w:t xml:space="preserve">4-hiányos patkányokkal végzett </w:t>
      </w:r>
      <w:r>
        <w:rPr>
          <w:i/>
          <w:lang w:val="hu-HU"/>
        </w:rPr>
        <w:t>in vivo</w:t>
      </w:r>
      <w:r>
        <w:rPr>
          <w:lang w:val="hu-HU"/>
        </w:rPr>
        <w:t xml:space="preserve"> vizsgálat alapján a DPP</w:t>
      </w:r>
      <w:r>
        <w:rPr>
          <w:lang w:val="hu-HU"/>
        </w:rPr>
        <w:noBreakHyphen/>
        <w:t>4 részlegesen hozzájárul a vildagliptin hidrolíziséhez. A vildaglitpin metabolizációjában mérhető módon nem vesznek részt a CYP 450 enzimek. Ennek megfelelően a vildagliptin metabolikus clearance</w:t>
      </w:r>
      <w:r>
        <w:rPr>
          <w:lang w:val="hu-HU"/>
        </w:rPr>
        <w:noBreakHyphen/>
        <w:t xml:space="preserve">ét várhatóan nem befolyásolják az egyidejűleg adott CYP 450 inhibitor és/vagy induktor gyógyszerek. </w:t>
      </w:r>
      <w:r>
        <w:rPr>
          <w:i/>
          <w:lang w:val="hu-HU"/>
        </w:rPr>
        <w:t>In vitro</w:t>
      </w:r>
      <w:r>
        <w:rPr>
          <w:lang w:val="hu-HU"/>
        </w:rPr>
        <w:t xml:space="preserve"> vizsgálatokban kimutatták, hogy a vildagliptin nem gátol, illetve nem indukál CYP 450 enzimeket. Ebből adódóan a vildagliptin várhatóan nem befolyásolja a CYP 1A2, CYP 2C8, CYP 2C9, CYP 2C19, CYP 2D6, CYP 2E1 vagy CYP 3A4/5 által metabolizált, egyidejűleg alkalmazott gyógyszerek metabolikus clearance</w:t>
      </w:r>
      <w:r>
        <w:rPr>
          <w:lang w:val="hu-HU"/>
        </w:rPr>
        <w:noBreakHyphen/>
        <w:t>ét.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Elimináció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vertAlign w:val="superscript"/>
          <w:lang w:val="hu-HU"/>
        </w:rPr>
        <w:t>14</w:t>
      </w:r>
      <w:r>
        <w:rPr>
          <w:lang w:val="hu-HU"/>
        </w:rPr>
        <w:t>C</w:t>
      </w:r>
      <w:r>
        <w:rPr>
          <w:lang w:val="hu-HU"/>
        </w:rPr>
        <w:noBreakHyphen/>
        <w:t>pal jelölt vildagliptin orális alkalmazását követően a bevitt dózis megközelítőleg 85%</w:t>
      </w:r>
      <w:r>
        <w:rPr>
          <w:lang w:val="hu-HU"/>
        </w:rPr>
        <w:noBreakHyphen/>
        <w:t>a ürült a vizeletben, és 15%</w:t>
      </w:r>
      <w:r>
        <w:rPr>
          <w:lang w:val="hu-HU"/>
        </w:rPr>
        <w:noBreakHyphen/>
        <w:t>a volt visszanyerhető a székletből. A szájon át bevitt dózis 23%</w:t>
      </w:r>
      <w:r>
        <w:rPr>
          <w:lang w:val="hu-HU"/>
        </w:rPr>
        <w:noBreakHyphen/>
        <w:t>a változatlan formában ürült a vesén keresztül. Egészséges önkénteseknél intravénás bevitelt követően a vildagliptin összplazma- és renalis clearance</w:t>
      </w:r>
      <w:r>
        <w:rPr>
          <w:lang w:val="hu-HU"/>
        </w:rPr>
        <w:noBreakHyphen/>
        <w:t>értéke sorrendben 41, illetve 13 l/óra. Intravénás bevitelt követően az átlagos eliminációs felezési idő megközelítőleg 2 óra. Orális alkalmazást követően az eliminációs felezési idő megközelítőleg 3 óra.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Linearitás/nem-linearitás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A vildagliptin C</w:t>
      </w:r>
      <w:r>
        <w:rPr>
          <w:vertAlign w:val="subscript"/>
          <w:lang w:val="hu-HU"/>
        </w:rPr>
        <w:t>max</w:t>
      </w:r>
      <w:r>
        <w:rPr>
          <w:lang w:val="hu-HU"/>
        </w:rPr>
        <w:noBreakHyphen/>
        <w:t>értéke, valamint a plazmakoncentráció/idő függvény görbe alatti területe (AUC) megközelítőleg dózisarányos módon növekedett a terápiás dózistartományban.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A betegeknél megfigyelt jellemzők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lastRenderedPageBreak/>
        <w:t>Nem: Széles, életkor- és testtömegindex (BMI) tartományba tartozó egészséges férfi és női önkéntesek között nem figyeltek meg klinikailag lényeges különbségeket a vildagliptin farmakokinetikájában. A vildagliptin DPP</w:t>
      </w:r>
      <w:r>
        <w:rPr>
          <w:lang w:val="hu-HU"/>
        </w:rPr>
        <w:noBreakHyphen/>
        <w:t>4 gátlását nem befolyásolja a beteg neme.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Életkor: Egészséges időseknél (≥ 70 év), a teljes vildagliptin-expozíció (100 mg naponta egyszer) 32%</w:t>
      </w:r>
      <w:r>
        <w:rPr>
          <w:lang w:val="hu-HU"/>
        </w:rPr>
        <w:noBreakHyphen/>
        <w:t>kal, míg a plazma csúcskoncentráció 18%</w:t>
      </w:r>
      <w:r>
        <w:rPr>
          <w:lang w:val="hu-HU"/>
        </w:rPr>
        <w:noBreakHyphen/>
        <w:t>kal nőtt a fiatal (18</w:t>
      </w:r>
      <w:r>
        <w:rPr>
          <w:lang w:val="hu-HU"/>
        </w:rPr>
        <w:noBreakHyphen/>
        <w:t>40 év) egészséges önkéntesekkel összehasonlítva. Ezeket a változásokat ugyanakkor nem tekintik klinikailag lényegesnek. A vildagliptin DPP</w:t>
      </w:r>
      <w:r>
        <w:rPr>
          <w:lang w:val="hu-HU"/>
        </w:rPr>
        <w:noBreakHyphen/>
        <w:t>4 gátlását nem befolyásolja a beteg kora.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Májkárosodás: Enyhe, közepesen súlyos vagy súlyos májkárosodásban (Child</w:t>
      </w:r>
      <w:r>
        <w:rPr>
          <w:lang w:val="hu-HU"/>
        </w:rPr>
        <w:noBreakHyphen/>
        <w:t>Pugh A</w:t>
      </w:r>
      <w:r>
        <w:rPr>
          <w:lang w:val="hu-HU"/>
        </w:rPr>
        <w:noBreakHyphen/>
        <w:t>C) a vildagliptin expozíciójában nem volt klinikailag jelentős változás (maximum ~30%).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Vesekárosodás: Enyhe, közepesen súlyos, illetve súlyos vesekárosodás esetén a vildagliptin szisztémás expozíciója növekedett (C</w:t>
      </w:r>
      <w:r>
        <w:rPr>
          <w:vertAlign w:val="subscript"/>
          <w:lang w:val="hu-HU"/>
        </w:rPr>
        <w:t>max</w:t>
      </w:r>
      <w:r>
        <w:rPr>
          <w:lang w:val="hu-HU"/>
        </w:rPr>
        <w:t xml:space="preserve"> 8</w:t>
      </w:r>
      <w:r>
        <w:rPr>
          <w:lang w:val="hu-HU"/>
        </w:rPr>
        <w:noBreakHyphen/>
        <w:t>66%; AUC 32</w:t>
      </w:r>
      <w:r>
        <w:rPr>
          <w:lang w:val="hu-HU"/>
        </w:rPr>
        <w:noBreakHyphen/>
        <w:t>134%), és a teljestest-clearance csökkent a normál veseműködésű egyénekhez viszonyítva.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Etnikai csoportok: Korlátozott mennyiségű adatok arra utalnak, hogy a rassznak nincs jelentős befolyása a vildagliptin farmakokinetikájára.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Metformin</w:t>
      </w:r>
    </w:p>
    <w:p w:rsidR="00CB75E7" w:rsidRDefault="00CB75E7">
      <w:pPr>
        <w:spacing w:line="240" w:lineRule="auto"/>
        <w:ind w:right="-2"/>
        <w:rPr>
          <w:u w:val="single"/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Felszívódás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Egyetlen </w:t>
      </w:r>
      <w:r>
        <w:rPr>
          <w:i/>
          <w:lang w:val="hu-HU"/>
        </w:rPr>
        <w:t>per os</w:t>
      </w:r>
      <w:r>
        <w:rPr>
          <w:lang w:val="hu-HU"/>
        </w:rPr>
        <w:t xml:space="preserve"> metformin dózis után a maximális plazmakoncentráció (C</w:t>
      </w:r>
      <w:r>
        <w:rPr>
          <w:vertAlign w:val="subscript"/>
          <w:lang w:val="hu-HU"/>
        </w:rPr>
        <w:t>max</w:t>
      </w:r>
      <w:r>
        <w:rPr>
          <w:lang w:val="hu-HU"/>
        </w:rPr>
        <w:t>) kb. 2,5 óra múlva alakul ki. Egészséges önkénteseknél egy 500 mg</w:t>
      </w:r>
      <w:r>
        <w:rPr>
          <w:lang w:val="hu-HU"/>
        </w:rPr>
        <w:noBreakHyphen/>
        <w:t>os metformin tabletta abszolút biohasznosulása kb. 50</w:t>
      </w:r>
      <w:r>
        <w:rPr>
          <w:lang w:val="hu-HU"/>
        </w:rPr>
        <w:noBreakHyphen/>
        <w:t>60%. Egy orális dózis után a székletből visszanyerhető, nem felszívódott frakció 20</w:t>
      </w:r>
      <w:r>
        <w:rPr>
          <w:lang w:val="hu-HU"/>
        </w:rPr>
        <w:noBreakHyphen/>
        <w:t>30% volt.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Szájon át történő alkalmazást követően a metformin felszívódása telíthető és nem teljes. Feltételezések szerint a metformin felszívódásának farmakokinetikája nem lineáris. A szokásos metformin dózisok és adagolási rend esetén az egyensúlyi plazmakoncentráció 24</w:t>
      </w:r>
      <w:r>
        <w:rPr>
          <w:lang w:val="hu-HU"/>
        </w:rPr>
        <w:noBreakHyphen/>
        <w:t>48 órán belül alakul ki, és általában kevesebb mint 1 μg/ml. Kontrollos klinikai vizsgálatokban a legmagasabb metformin plazmaszintek (C</w:t>
      </w:r>
      <w:r>
        <w:rPr>
          <w:vertAlign w:val="subscript"/>
          <w:lang w:val="hu-HU"/>
        </w:rPr>
        <w:t>max</w:t>
      </w:r>
      <w:r>
        <w:rPr>
          <w:lang w:val="hu-HU"/>
        </w:rPr>
        <w:t>) nem haladták meg a 4 μg/ml</w:t>
      </w:r>
      <w:r>
        <w:rPr>
          <w:lang w:val="hu-HU"/>
        </w:rPr>
        <w:noBreakHyphen/>
        <w:t>t, még maximális dózisoknál sem.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A táplálék némiképp hátráltatja a metformin felszívódását, és csökkenti annak mértékét. Egy 850 mg</w:t>
      </w:r>
      <w:r>
        <w:rPr>
          <w:lang w:val="hu-HU"/>
        </w:rPr>
        <w:noBreakHyphen/>
        <w:t>os dózis alkalmazását követően a plazma csúcskoncentráció 40%</w:t>
      </w:r>
      <w:r>
        <w:rPr>
          <w:lang w:val="hu-HU"/>
        </w:rPr>
        <w:noBreakHyphen/>
        <w:t>kal alacsonyabb volt, az AUC 25%</w:t>
      </w:r>
      <w:r>
        <w:rPr>
          <w:lang w:val="hu-HU"/>
        </w:rPr>
        <w:noBreakHyphen/>
        <w:t>kal csökkent, és a plazma csúcskoncentráció eléréséig szükséges idő 35 perccel megnyúlt. Ennek a csökkenésnek a klinikai jelentősége nem ismert.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Eloszlás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A plazmafehérjékhez való kötődés elhanyagolható. A metformin a vörösvértestekben oszlik szét. Az átlagos megoszlási volumen (V</w:t>
      </w:r>
      <w:r>
        <w:rPr>
          <w:vertAlign w:val="subscript"/>
          <w:lang w:val="hu-HU"/>
        </w:rPr>
        <w:t>d</w:t>
      </w:r>
      <w:r>
        <w:rPr>
          <w:lang w:val="hu-HU"/>
        </w:rPr>
        <w:t>) a 63</w:t>
      </w:r>
      <w:r>
        <w:rPr>
          <w:lang w:val="hu-HU"/>
        </w:rPr>
        <w:noBreakHyphen/>
        <w:t>276 l közti tartományba esik.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Biotranszformáció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>A metformin változatlan formában ürül a vizelettel. Embernél nem azonosítottak metabolitokat.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Elimináció</w:t>
      </w: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metformin renális excretióval eliminálódik. A metformin renális clearance-e &gt; 400 ml/perc, ami arra utal, hogy a metformin glomerulusfiltrációval és tubuláris szekrécióval eliminálódik. Egyetlen </w:t>
      </w:r>
      <w:r>
        <w:rPr>
          <w:i/>
          <w:lang w:val="hu-HU"/>
        </w:rPr>
        <w:t>per os</w:t>
      </w:r>
      <w:r>
        <w:rPr>
          <w:lang w:val="hu-HU"/>
        </w:rPr>
        <w:t xml:space="preserve"> dózis után a látszólagos terminális felezési idő körülbelül 6,5 óra. Vesekárosodás esetén a renális clearance a kreatinin-clearance csökkenés mértékével arányosan csökken, és így az eliminációs felezési idő megnyúlik, ami a metformin plazmaszintjének emelkedéséhez vezet.</w:t>
      </w:r>
    </w:p>
    <w:p w:rsidR="00CB75E7" w:rsidRDefault="00CB75E7">
      <w:pPr>
        <w:spacing w:line="240" w:lineRule="auto"/>
        <w:ind w:right="-2"/>
        <w:rPr>
          <w:i/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5.3</w:t>
      </w:r>
      <w:r>
        <w:rPr>
          <w:b/>
          <w:bCs/>
          <w:lang w:val="hu-HU"/>
        </w:rPr>
        <w:tab/>
        <w:t>A preklinikai biztonságossági vizsgálatok eredményei</w:t>
      </w:r>
    </w:p>
    <w:p w:rsidR="00CB75E7" w:rsidRDefault="00CB75E7">
      <w:pPr>
        <w:spacing w:line="240" w:lineRule="auto"/>
        <w:ind w:right="-2"/>
        <w:rPr>
          <w:i/>
          <w:lang w:val="hu-HU"/>
        </w:rPr>
      </w:pPr>
    </w:p>
    <w:p w:rsidR="00CB75E7" w:rsidRDefault="00F27BE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>
        <w:t>vildagliptin/metformin-hidroklorid</w:t>
      </w:r>
      <w:r>
        <w:rPr>
          <w:lang w:val="hu-HU"/>
        </w:rPr>
        <w:t xml:space="preserve"> hatóanyagok kombinációjával legfeljebb 13 hétig tartó állatkísérleteket végeztek. A kombinációval kapcsolatba hozható, új toxicitásokat nem észleltek. Az alábbi adatok a vildagliptinnel vagy metforminnal külön-külön végzett vizsgálatokból származó eredmények.</w:t>
      </w:r>
    </w:p>
    <w:p w:rsidR="00CB75E7" w:rsidRDefault="00CB75E7">
      <w:pPr>
        <w:spacing w:line="240" w:lineRule="auto"/>
        <w:ind w:right="-2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Vildagliptin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Kutyáknál az intracardialis ingerületvezetés lassulását figyelték meg, a „hatást nem okozó” dózis15 mg/ttkg volt (a C</w:t>
      </w:r>
      <w:r>
        <w:rPr>
          <w:vertAlign w:val="subscript"/>
          <w:lang w:val="hu-HU"/>
        </w:rPr>
        <w:t>max</w:t>
      </w:r>
      <w:r>
        <w:rPr>
          <w:lang w:val="hu-HU"/>
        </w:rPr>
        <w:t xml:space="preserve"> alapján a humán expozíció 7</w:t>
      </w:r>
      <w:r>
        <w:rPr>
          <w:lang w:val="hu-HU"/>
        </w:rPr>
        <w:noBreakHyphen/>
        <w:t>szerese).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Patkányoknál és egereknél habos alveoláris makrofágok akkumulációját figyelték meg a tüdőkben. A „hatást nem okozó” dózis patkányoknál 25 mg/ttkg (az AUC alapján a humán expozíció 5</w:t>
      </w:r>
      <w:r>
        <w:rPr>
          <w:lang w:val="hu-HU"/>
        </w:rPr>
        <w:noBreakHyphen/>
        <w:t>szöröse), míg egereknél 750 mg/ttkg (a humán expozíció 142</w:t>
      </w:r>
      <w:r>
        <w:rPr>
          <w:lang w:val="hu-HU"/>
        </w:rPr>
        <w:noBreakHyphen/>
        <w:t>szerese) volt.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Kutyáknál emésztőrendszeri tüneteket figyeltek meg, elsősorban laza székletet, nyákos székletet, hasmenést és nagyobb dózisok mellett véres székletet. A „hatást nem okozó” dózist nem határozták meg.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A hagyományos </w:t>
      </w:r>
      <w:r>
        <w:rPr>
          <w:i/>
          <w:lang w:val="hu-HU"/>
        </w:rPr>
        <w:t>in vitro</w:t>
      </w:r>
      <w:r>
        <w:rPr>
          <w:lang w:val="hu-HU"/>
        </w:rPr>
        <w:t xml:space="preserve"> és </w:t>
      </w:r>
      <w:r>
        <w:rPr>
          <w:i/>
          <w:lang w:val="hu-HU"/>
        </w:rPr>
        <w:t>in vivo</w:t>
      </w:r>
      <w:r>
        <w:rPr>
          <w:lang w:val="hu-HU"/>
        </w:rPr>
        <w:t xml:space="preserve"> genotoxicitási vizsgálatokban a vildagliptin nem volt mutagén.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patkányokkal végzett, a fertilitást és a korai embrionális fejlődést tanulmányozó vizsgálat nem utalt arra, hogy a vildagliptin károsan hatna a fertilitásra, a reprodukciós teljesítményre vagy a korai embrionális fejlődésre. Az embryofoetalis toxicitást patkányoknál és nyulaknál vizsgálták. Patkányoknál a lengőbordák incidenciájának növekedését észlelték, ami az anyai testtömeg-paraméterek csökkenéséhez társult, és a „hatást nem okozó” dózis 75 mg/ttkg volt (a humán expozíció 10</w:t>
      </w:r>
      <w:r>
        <w:rPr>
          <w:lang w:val="hu-HU"/>
        </w:rPr>
        <w:noBreakHyphen/>
        <w:t>szerese). Nyulaknál a retardált fejlődésre utaló magzati súlycsökkenést és csontdeformitásokat kizárólag súlyos anyai toxicitás jelenlétében figyeltek meg, a „hatást nem okozó” dózis 50 mg/ttkg volt (a humán expozíció 9</w:t>
      </w:r>
      <w:r>
        <w:rPr>
          <w:lang w:val="hu-HU"/>
        </w:rPr>
        <w:noBreakHyphen/>
        <w:t>szerese). Egy pre- és posztnatális fejlődési vizsgálatot végeztek patkányokkal. Elváltozásokat csak anyai toxicitás mellett, ≥ 150 mg/ttkg</w:t>
      </w:r>
      <w:r>
        <w:rPr>
          <w:lang w:val="hu-HU"/>
        </w:rPr>
        <w:noBreakHyphen/>
        <w:t>nál figyeltek meg az F1 generációban, köztük a testtömeg átmeneti csökkenését és a motoros aktivitás csökkenését.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kétéves karcinogenitási vizsgálatot végeztek patkányokkal, 900 mg/ttkg</w:t>
      </w:r>
      <w:r>
        <w:rPr>
          <w:lang w:val="hu-HU"/>
        </w:rPr>
        <w:noBreakHyphen/>
        <w:t>ig terjedő orális dózisokkal (a maximális ajánlott dózisok melletti humán expozíció megközelítőleg 200</w:t>
      </w:r>
      <w:r>
        <w:rPr>
          <w:lang w:val="hu-HU"/>
        </w:rPr>
        <w:noBreakHyphen/>
        <w:t>szorosa). Nem észlelték a tumorok incidenciájának vildagliptinnek tulajdonítható növekedését. Egy másik kétéves karcinogenitási vizsgálatot egerekkel végeztek, 1000 mg/ttkg</w:t>
      </w:r>
      <w:r>
        <w:rPr>
          <w:lang w:val="hu-HU"/>
        </w:rPr>
        <w:noBreakHyphen/>
        <w:t>ig terjedő orális dózisokkal. Az emlő adenokarcinómák és a hemangioszarkómák incidenciájának növekedését figyelték meg, az adenokarcinómák esetén 500 mg/ttkg (a humán expozíció 59</w:t>
      </w:r>
      <w:r>
        <w:rPr>
          <w:lang w:val="hu-HU"/>
        </w:rPr>
        <w:noBreakHyphen/>
        <w:t>szerese), a hemangioszarkómák esetén 100 mg/ttkg (a humán expozíció 16</w:t>
      </w:r>
      <w:r>
        <w:rPr>
          <w:lang w:val="hu-HU"/>
        </w:rPr>
        <w:noBreakHyphen/>
        <w:t>szorosa) „hatást nem okozó” dózissal. Ezen tumorok incidenciájának egereknél észlelt növekedése nem jelent jelentős kockázatot emberek számára, mivel a vildagliptin és az elsődleges metabolitja nem genotoxikus, a tumorok előfordulását csak egyetlen fajban és csak nagyon magas szisztémás expozíció mellett észlelték.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Egy 13 hetes toxikológiai vizsgálatban makákóknál bőrléziókat írtak le ≥ 5 mg/ttkg/nap dózisok mellett. Ezek következetesen az akrális részeken (kezek, lábak, fülek és farok) helyezkedtek el. Az 5 mg/ttkg/nap dózis mellett (ami megközelítőleg megfelel a 100 mg</w:t>
      </w:r>
      <w:r>
        <w:rPr>
          <w:lang w:val="hu-HU"/>
        </w:rPr>
        <w:noBreakHyphen/>
        <w:t>os dózis melletti humán AUC-expozíciónak) csak hólyagokat figyeltek meg. Ezek a kezelés folytatása ellenére reverzibilisek voltak, és nem jártak kórszövettani eltérésekkel. Leírtak pikkelyes, illetve lemezes hámlást, pörkképződést és farokfekélyeket, a megfelelő kórszövettani elváltozásokkal, ≥ 20 mg/ttkg/nap dózis mellett (a 100 mg</w:t>
      </w:r>
      <w:r>
        <w:rPr>
          <w:lang w:val="hu-HU"/>
        </w:rPr>
        <w:noBreakHyphen/>
        <w:t>os humán dózis melletti AUC</w:t>
      </w:r>
      <w:r>
        <w:rPr>
          <w:lang w:val="hu-HU"/>
        </w:rPr>
        <w:noBreakHyphen/>
        <w:t>expozíció megközelítőleg 3</w:t>
      </w:r>
      <w:r>
        <w:rPr>
          <w:lang w:val="hu-HU"/>
        </w:rPr>
        <w:noBreakHyphen/>
        <w:t>szorosa). A farok nekrotikus lézióit figyelték meg ≥ 80 mg/ttkg dózis mellett. A 160 mg/ttkg/nap dózissal kezelt majmoknál egy négyhetes gyógyulási időszak alatt a bőrléziók irreverzibilisnek bizonyultak.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Metformin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hagyományos – farmakológiai biztonságossági, ismételt adagolású dózistoxicitási, genotoxicitási, karcinogenitási, reprodukcióra kifejtett toxicitási – vizsgálatokból származó nem klinikai jellegű adatok azt igazolták, hogy a készítmény alkalmazásakor humán vonatkozásban különleges kockázat nem várható.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GYÓGYSZERÉSZETI JELLEMZŐK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6.1</w:t>
      </w:r>
      <w:r>
        <w:rPr>
          <w:b/>
          <w:bCs/>
          <w:lang w:val="hu-HU"/>
        </w:rPr>
        <w:tab/>
        <w:t>Segédanyagok felsorolása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i/>
          <w:lang w:val="hu-HU"/>
        </w:rPr>
      </w:pPr>
      <w:r>
        <w:rPr>
          <w:u w:val="single"/>
          <w:lang w:val="hu-HU"/>
        </w:rPr>
        <w:t>Tablettamag</w:t>
      </w:r>
    </w:p>
    <w:p w:rsidR="00CB75E7" w:rsidRDefault="00F27BEE">
      <w:pPr>
        <w:spacing w:line="240" w:lineRule="auto"/>
        <w:rPr>
          <w:lang w:val="hu-HU"/>
        </w:rPr>
      </w:pPr>
      <w:bookmarkStart w:id="2" w:name="_Hlk103683841"/>
      <w:r>
        <w:rPr>
          <w:lang w:eastAsia="pl-PL"/>
        </w:rPr>
        <w:t>mikrokristályos cellulóz</w:t>
      </w:r>
    </w:p>
    <w:bookmarkEnd w:id="2"/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hidroxipropilcellulóz</w:t>
      </w:r>
    </w:p>
    <w:p w:rsidR="00CB75E7" w:rsidRDefault="00F27BEE">
      <w:pPr>
        <w:spacing w:line="240" w:lineRule="auto"/>
        <w:rPr>
          <w:lang w:val="hu-HU"/>
        </w:rPr>
      </w:pPr>
      <w:bookmarkStart w:id="3" w:name="_Hlk103683855"/>
      <w:r>
        <w:rPr>
          <w:lang w:eastAsia="pl-PL"/>
        </w:rPr>
        <w:t>kroszpovidon</w:t>
      </w:r>
    </w:p>
    <w:bookmarkEnd w:id="3"/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magnézium-sztearát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Filmbevonat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hipromellóz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 xml:space="preserve">titán-dioxid </w:t>
      </w:r>
      <w:r>
        <w:rPr>
          <w:lang w:eastAsia="pl-PL"/>
        </w:rPr>
        <w:t>(E 171)</w:t>
      </w:r>
    </w:p>
    <w:p w:rsidR="00CB75E7" w:rsidRDefault="00F27BEE">
      <w:pPr>
        <w:tabs>
          <w:tab w:val="clear" w:pos="567"/>
        </w:tabs>
        <w:spacing w:after="16" w:line="248" w:lineRule="auto"/>
        <w:ind w:left="-5" w:right="4" w:hanging="10"/>
        <w:rPr>
          <w:lang w:val="hu-HU"/>
        </w:rPr>
      </w:pPr>
      <w:bookmarkStart w:id="4" w:name="_Hlk103683875"/>
      <w:r>
        <w:rPr>
          <w:lang w:eastAsia="pl-PL"/>
        </w:rPr>
        <w:t>makrogol</w:t>
      </w:r>
      <w:bookmarkEnd w:id="4"/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talkum (E553b)</w:t>
      </w: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sárga vas-oxid (E172)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6.2</w:t>
      </w:r>
      <w:r>
        <w:rPr>
          <w:b/>
          <w:bCs/>
          <w:lang w:val="hu-HU"/>
        </w:rPr>
        <w:tab/>
        <w:t>Inkompatibilitások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Nem értelmezhető.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6.3</w:t>
      </w:r>
      <w:r>
        <w:rPr>
          <w:b/>
          <w:bCs/>
          <w:lang w:val="hu-HU"/>
        </w:rPr>
        <w:tab/>
        <w:t>Felhasználhatósági időtartam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 év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6.4</w:t>
      </w:r>
      <w:r>
        <w:rPr>
          <w:b/>
          <w:bCs/>
          <w:lang w:val="hu-HU"/>
        </w:rPr>
        <w:tab/>
        <w:t>Különleges tárolási előírások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Legfeljebb 25 °C</w:t>
      </w:r>
      <w:r>
        <w:rPr>
          <w:lang w:val="hu-HU"/>
        </w:rPr>
        <w:noBreakHyphen/>
        <w:t>on tárolandó. A nedvességtől való védelem érdekében az eredeti csomagolásban tárolandó.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6.5</w:t>
      </w:r>
      <w:r>
        <w:rPr>
          <w:b/>
          <w:bCs/>
          <w:lang w:val="hu-HU"/>
        </w:rPr>
        <w:tab/>
        <w:t xml:space="preserve">Csomagolás típusa és kiszerelése 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OPA/Al/PVC//Al buborékcsomagolásban.</w:t>
      </w:r>
    </w:p>
    <w:p w:rsidR="00CB75E7" w:rsidRDefault="00F27BEE">
      <w:pPr>
        <w:pStyle w:val="Default"/>
        <w:rPr>
          <w:sz w:val="22"/>
          <w:szCs w:val="22"/>
          <w:lang w:val="hu-HU"/>
        </w:rPr>
      </w:pPr>
      <w:bookmarkStart w:id="5" w:name="_Hlk103683790"/>
      <w:r>
        <w:rPr>
          <w:sz w:val="22"/>
          <w:szCs w:val="22"/>
          <w:lang w:val="hu-HU"/>
        </w:rPr>
        <w:t>10 db, 30 db, 60 db, filmtablettát tartalmazó csomagolásban kapható.</w:t>
      </w:r>
    </w:p>
    <w:bookmarkEnd w:id="5"/>
    <w:p w:rsidR="00CB75E7" w:rsidRDefault="00CB75E7">
      <w:pPr>
        <w:pStyle w:val="Default"/>
        <w:rPr>
          <w:sz w:val="22"/>
          <w:szCs w:val="22"/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6.6</w:t>
      </w:r>
      <w:r>
        <w:rPr>
          <w:b/>
          <w:bCs/>
          <w:lang w:val="hu-HU"/>
        </w:rPr>
        <w:tab/>
        <w:t>A megsemmisítésre vonatkozó különleges óvintézkedések és egyéb, a készítmény kezelésével kapcsolatos információk</w:t>
      </w:r>
    </w:p>
    <w:p w:rsidR="00CB75E7" w:rsidRDefault="00CB75E7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Bármilyen fel nem használt gyógyszer, illetve hulladékanyag megsemmisítését a gyógyszerekre vonatkozó előírások szerint kell végrehajtani.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widowControl w:val="0"/>
        <w:suppressAutoHyphens/>
        <w:autoSpaceDE w:val="0"/>
        <w:autoSpaceDN w:val="0"/>
        <w:spacing w:line="240" w:lineRule="auto"/>
        <w:rPr>
          <w:lang w:val="hu-HU"/>
        </w:rPr>
      </w:pPr>
      <w:r>
        <w:rPr>
          <w:rFonts w:eastAsia="TimesNewRoman,Bold"/>
          <w:b/>
          <w:bCs/>
          <w:color w:val="000000"/>
          <w:lang w:val="hu-HU"/>
        </w:rPr>
        <w:t>Megjegyzés:</w:t>
      </w:r>
      <w:r>
        <w:rPr>
          <w:rFonts w:eastAsia="TimesNewRoman,Bold"/>
          <w:color w:val="000000"/>
          <w:lang w:val="hu-HU"/>
        </w:rPr>
        <w:t xml:space="preserve"> </w:t>
      </w:r>
      <w:r>
        <w:rPr>
          <w:rFonts w:ascii="Wingdings" w:eastAsia="Wingdings" w:hAnsi="Wingdings" w:cs="Wingdings"/>
          <w:lang w:val="hu-HU"/>
        </w:rPr>
        <w:t></w:t>
      </w:r>
      <w:r>
        <w:rPr>
          <w:lang w:val="hu-HU"/>
        </w:rPr>
        <w:t xml:space="preserve"> </w:t>
      </w:r>
      <w:r>
        <w:rPr>
          <w:rFonts w:eastAsia="Lucida Sans Unicode"/>
          <w:lang w:val="hu-HU"/>
        </w:rPr>
        <w:t>(egy keresztes)</w:t>
      </w:r>
    </w:p>
    <w:p w:rsidR="00CB75E7" w:rsidRDefault="00F27BEE">
      <w:pPr>
        <w:widowControl w:val="0"/>
        <w:suppressAutoHyphens/>
        <w:autoSpaceDE w:val="0"/>
        <w:autoSpaceDN w:val="0"/>
        <w:spacing w:line="240" w:lineRule="auto"/>
        <w:rPr>
          <w:rFonts w:eastAsia="TimesNewRoman,Bold"/>
          <w:b/>
          <w:bCs/>
          <w:color w:val="000000"/>
          <w:lang w:val="hu-HU"/>
        </w:rPr>
      </w:pPr>
      <w:r>
        <w:rPr>
          <w:rFonts w:eastAsia="TimesNewRoman,Bold"/>
          <w:b/>
          <w:bCs/>
          <w:color w:val="000000"/>
          <w:lang w:val="hu-HU"/>
        </w:rPr>
        <w:t>Osztályozás: II. csoport</w:t>
      </w:r>
    </w:p>
    <w:p w:rsidR="00CB75E7" w:rsidRDefault="00F27BEE">
      <w:pPr>
        <w:spacing w:line="240" w:lineRule="auto"/>
        <w:rPr>
          <w:rFonts w:eastAsia="TimesNewRoman,Bold"/>
          <w:color w:val="000000"/>
          <w:lang w:val="hu-HU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 w:rsidDel="00F27BEE">
        <w:rPr>
          <w:rFonts w:eastAsia="TimesNewRoman,Bold"/>
          <w:color w:val="000000"/>
          <w:lang w:val="hu-HU"/>
        </w:rPr>
        <w:t xml:space="preserve"> </w:t>
      </w:r>
      <w:r>
        <w:rPr>
          <w:rFonts w:eastAsia="TimesNewRoman,Bold"/>
          <w:color w:val="000000"/>
          <w:lang w:val="hu-HU"/>
        </w:rPr>
        <w:t>(V).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A FORGALOMBA HOZATALI ENGEDÉLY JOGOSULTJA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pStyle w:val="Default"/>
        <w:rPr>
          <w:sz w:val="22"/>
          <w:szCs w:val="22"/>
          <w:lang w:val="pl-PL" w:eastAsia="pl-PL"/>
        </w:rPr>
      </w:pPr>
      <w:r>
        <w:rPr>
          <w:sz w:val="22"/>
          <w:szCs w:val="22"/>
          <w:lang w:val="pl-PL" w:eastAsia="pl-PL"/>
        </w:rPr>
        <w:t xml:space="preserve">Vipharm S.A. </w:t>
      </w:r>
    </w:p>
    <w:p w:rsidR="00CB75E7" w:rsidRDefault="00F27BEE">
      <w:pPr>
        <w:tabs>
          <w:tab w:val="clear" w:pos="567"/>
        </w:tabs>
        <w:autoSpaceDE w:val="0"/>
        <w:autoSpaceDN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ul. A. i F. Radziwiłłów 9 </w:t>
      </w:r>
    </w:p>
    <w:p w:rsidR="00CB75E7" w:rsidRDefault="00F27BEE">
      <w:pPr>
        <w:tabs>
          <w:tab w:val="clear" w:pos="567"/>
        </w:tabs>
        <w:autoSpaceDE w:val="0"/>
        <w:autoSpaceDN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05-850 Ożarów Mazowiecki </w:t>
      </w:r>
    </w:p>
    <w:p w:rsidR="00CB75E7" w:rsidRDefault="00F27BEE">
      <w:pPr>
        <w:spacing w:line="240" w:lineRule="auto"/>
        <w:ind w:left="567" w:hanging="567"/>
        <w:outlineLvl w:val="0"/>
        <w:rPr>
          <w:lang w:val="hu-HU"/>
        </w:rPr>
      </w:pPr>
      <w:r>
        <w:rPr>
          <w:color w:val="000000"/>
          <w:lang w:val="pl-PL" w:eastAsia="pl-PL"/>
        </w:rPr>
        <w:t>Lengyelország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A FORGALOMBA HOZATALI ENGEDÉLY SZÁMA(I)</w:t>
      </w:r>
    </w:p>
    <w:p w:rsidR="00CB75E7" w:rsidRDefault="00CB75E7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:rsidR="00CB75E7" w:rsidRDefault="00F27BEE">
      <w:pPr>
        <w:pStyle w:val="NormlWeb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Anvildis Duo 50 mg/850 mg filmtabletta</w:t>
      </w:r>
    </w:p>
    <w:p w:rsidR="00CB75E7" w:rsidRDefault="00F27BEE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OGYI-T-24097/01     10×</w:t>
      </w:r>
    </w:p>
    <w:p w:rsidR="00CB75E7" w:rsidRDefault="00F27BEE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OGYI-T-24097/02     30×</w:t>
      </w:r>
    </w:p>
    <w:p w:rsidR="00CB75E7" w:rsidRDefault="00F27BEE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OGYI-T-24097/03     60×</w:t>
      </w:r>
    </w:p>
    <w:p w:rsidR="00CB75E7" w:rsidRDefault="00CB75E7">
      <w:pPr>
        <w:pStyle w:val="NormlWeb"/>
        <w:jc w:val="both"/>
        <w:rPr>
          <w:color w:val="000000"/>
          <w:sz w:val="22"/>
          <w:szCs w:val="22"/>
        </w:rPr>
      </w:pPr>
    </w:p>
    <w:p w:rsidR="00CB75E7" w:rsidRDefault="00F27BEE">
      <w:pPr>
        <w:pStyle w:val="NormlWeb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Anvildis Duo 50 mg/1000 mg filmtabletta</w:t>
      </w:r>
    </w:p>
    <w:p w:rsidR="00CB75E7" w:rsidRDefault="00F27BEE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OGYI-T-24097/04     10×</w:t>
      </w:r>
    </w:p>
    <w:p w:rsidR="00CB75E7" w:rsidRDefault="00F27BEE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OGYI-T-24097/05     30×</w:t>
      </w:r>
    </w:p>
    <w:p w:rsidR="00CB75E7" w:rsidRDefault="00F27BEE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OGYI-T-24097/06     60×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A FORGALOMBA HOZATALI ENGEDÉLY ELSŐ KIADÁSÁNAK/ MEGÚJÍTÁSÁNAK DÁTUMA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rPr>
          <w:lang w:val="hu-HU"/>
        </w:rPr>
      </w:pPr>
      <w:r>
        <w:rPr>
          <w:lang w:val="hu-HU"/>
        </w:rPr>
        <w:t>A forgalomba hozatali engedély első kiadásának dátuma: 2022. július 27.</w:t>
      </w:r>
    </w:p>
    <w:p w:rsidR="00CB75E7" w:rsidRDefault="00CB75E7">
      <w:pPr>
        <w:spacing w:line="240" w:lineRule="auto"/>
        <w:rPr>
          <w:lang w:val="hu-HU"/>
        </w:rPr>
      </w:pPr>
    </w:p>
    <w:p w:rsidR="00CB75E7" w:rsidRDefault="00CB75E7">
      <w:pPr>
        <w:spacing w:line="240" w:lineRule="auto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A SZÖVEG ELLENŐRZÉSÉNEK DÁTUMA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p w:rsidR="00CB75E7" w:rsidRDefault="00F27BEE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2026. március 23.</w:t>
      </w:r>
    </w:p>
    <w:p w:rsidR="00CB75E7" w:rsidRDefault="00CB75E7">
      <w:pPr>
        <w:spacing w:line="240" w:lineRule="auto"/>
        <w:ind w:left="567" w:hanging="567"/>
        <w:outlineLvl w:val="0"/>
        <w:rPr>
          <w:lang w:val="hu-HU"/>
        </w:rPr>
      </w:pPr>
    </w:p>
    <w:sectPr w:rsidR="00CB75E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C43" w:rsidRDefault="00F27BEE">
      <w:pPr>
        <w:spacing w:line="240" w:lineRule="auto"/>
      </w:pPr>
      <w:r>
        <w:separator/>
      </w:r>
    </w:p>
  </w:endnote>
  <w:endnote w:type="continuationSeparator" w:id="0">
    <w:p w:rsidR="00DA7C43" w:rsidRDefault="00F27B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5E7" w:rsidRDefault="00CB75E7">
    <w:pPr>
      <w:pStyle w:val="llb"/>
      <w:jc w:val="center"/>
    </w:pPr>
  </w:p>
  <w:p w:rsidR="00CB75E7" w:rsidRDefault="00CB75E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5E7" w:rsidRDefault="00F27BEE">
    <w:pPr>
      <w:pStyle w:val="llb"/>
      <w:rPr>
        <w:sz w:val="18"/>
        <w:szCs w:val="18"/>
      </w:rPr>
    </w:pPr>
    <w:r>
      <w:rPr>
        <w:sz w:val="18"/>
        <w:szCs w:val="18"/>
      </w:rPr>
      <w:t>NNGYK/ETGY/4504/2026</w:t>
    </w:r>
  </w:p>
  <w:p w:rsidR="00CB75E7" w:rsidRDefault="00F27BEE">
    <w:pPr>
      <w:pStyle w:val="llb"/>
      <w:rPr>
        <w:sz w:val="18"/>
        <w:szCs w:val="18"/>
      </w:rPr>
    </w:pPr>
    <w:r>
      <w:rPr>
        <w:sz w:val="18"/>
        <w:szCs w:val="18"/>
      </w:rPr>
      <w:t>NNGYK/ETGY/4505/2026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C43" w:rsidRDefault="00F27BEE">
      <w:pPr>
        <w:spacing w:line="240" w:lineRule="auto"/>
      </w:pPr>
      <w:r>
        <w:separator/>
      </w:r>
    </w:p>
  </w:footnote>
  <w:footnote w:type="continuationSeparator" w:id="0">
    <w:p w:rsidR="00DA7C43" w:rsidRDefault="00F27B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5E7" w:rsidRDefault="00F27BEE" w:rsidP="00416B12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\* MERGEFORMAT</w:instrText>
    </w:r>
    <w:r>
      <w:rPr>
        <w:sz w:val="18"/>
        <w:szCs w:val="18"/>
      </w:rPr>
      <w:fldChar w:fldCharType="separate"/>
    </w:r>
    <w:r w:rsidR="00416B12" w:rsidRPr="00416B12">
      <w:rPr>
        <w:noProof/>
        <w:sz w:val="18"/>
        <w:szCs w:val="18"/>
        <w:lang w:val="hu-HU"/>
      </w:rPr>
      <w:t>18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5E7" w:rsidRDefault="00CB75E7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8721E"/>
    <w:multiLevelType w:val="hybridMultilevel"/>
    <w:tmpl w:val="50B81524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2797F"/>
    <w:multiLevelType w:val="hybridMultilevel"/>
    <w:tmpl w:val="83E45D3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9656A"/>
    <w:multiLevelType w:val="hybridMultilevel"/>
    <w:tmpl w:val="CA360F8C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32597"/>
    <w:multiLevelType w:val="hybridMultilevel"/>
    <w:tmpl w:val="909C5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877D7"/>
    <w:multiLevelType w:val="hybridMultilevel"/>
    <w:tmpl w:val="52F29F1E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002"/>
    <w:rsid w:val="000024E2"/>
    <w:rsid w:val="000035B5"/>
    <w:rsid w:val="000068FF"/>
    <w:rsid w:val="00011986"/>
    <w:rsid w:val="0001237D"/>
    <w:rsid w:val="000225D4"/>
    <w:rsid w:val="00025C48"/>
    <w:rsid w:val="00035E81"/>
    <w:rsid w:val="000418B7"/>
    <w:rsid w:val="000430C5"/>
    <w:rsid w:val="000469D5"/>
    <w:rsid w:val="00047E2B"/>
    <w:rsid w:val="0005771E"/>
    <w:rsid w:val="0006350E"/>
    <w:rsid w:val="0007385C"/>
    <w:rsid w:val="00076C46"/>
    <w:rsid w:val="00092392"/>
    <w:rsid w:val="00093F76"/>
    <w:rsid w:val="000C0E71"/>
    <w:rsid w:val="000C3129"/>
    <w:rsid w:val="000E0D14"/>
    <w:rsid w:val="000E11BD"/>
    <w:rsid w:val="000E5304"/>
    <w:rsid w:val="000F11AF"/>
    <w:rsid w:val="000F5936"/>
    <w:rsid w:val="0010289D"/>
    <w:rsid w:val="001028ED"/>
    <w:rsid w:val="00105347"/>
    <w:rsid w:val="00113159"/>
    <w:rsid w:val="00115380"/>
    <w:rsid w:val="00117B95"/>
    <w:rsid w:val="00131F98"/>
    <w:rsid w:val="00132619"/>
    <w:rsid w:val="0013429E"/>
    <w:rsid w:val="0013565D"/>
    <w:rsid w:val="001401F8"/>
    <w:rsid w:val="001417A5"/>
    <w:rsid w:val="00142486"/>
    <w:rsid w:val="00145048"/>
    <w:rsid w:val="00147120"/>
    <w:rsid w:val="001473B5"/>
    <w:rsid w:val="00156E51"/>
    <w:rsid w:val="00157496"/>
    <w:rsid w:val="0015793D"/>
    <w:rsid w:val="001675A2"/>
    <w:rsid w:val="00167D10"/>
    <w:rsid w:val="00172490"/>
    <w:rsid w:val="0017709D"/>
    <w:rsid w:val="00181B65"/>
    <w:rsid w:val="00182CF9"/>
    <w:rsid w:val="00185C91"/>
    <w:rsid w:val="00190918"/>
    <w:rsid w:val="00195944"/>
    <w:rsid w:val="001A2F12"/>
    <w:rsid w:val="001A635D"/>
    <w:rsid w:val="001A6A5C"/>
    <w:rsid w:val="001C2A2D"/>
    <w:rsid w:val="001C3EF4"/>
    <w:rsid w:val="001C55A7"/>
    <w:rsid w:val="001D38D9"/>
    <w:rsid w:val="001E2A92"/>
    <w:rsid w:val="001E461B"/>
    <w:rsid w:val="001E6F5D"/>
    <w:rsid w:val="001F0459"/>
    <w:rsid w:val="001F10D7"/>
    <w:rsid w:val="001F2238"/>
    <w:rsid w:val="001F718E"/>
    <w:rsid w:val="00200002"/>
    <w:rsid w:val="00206D23"/>
    <w:rsid w:val="002178CF"/>
    <w:rsid w:val="0022134C"/>
    <w:rsid w:val="00230E3B"/>
    <w:rsid w:val="002338AD"/>
    <w:rsid w:val="002359B2"/>
    <w:rsid w:val="00235A4B"/>
    <w:rsid w:val="00237970"/>
    <w:rsid w:val="002415E6"/>
    <w:rsid w:val="00242027"/>
    <w:rsid w:val="0024381B"/>
    <w:rsid w:val="00244F71"/>
    <w:rsid w:val="00245FD9"/>
    <w:rsid w:val="00251CEC"/>
    <w:rsid w:val="00255C48"/>
    <w:rsid w:val="00257400"/>
    <w:rsid w:val="00260804"/>
    <w:rsid w:val="00265337"/>
    <w:rsid w:val="00265D3D"/>
    <w:rsid w:val="0027091B"/>
    <w:rsid w:val="00270ACC"/>
    <w:rsid w:val="00272FA9"/>
    <w:rsid w:val="00274D55"/>
    <w:rsid w:val="002808CF"/>
    <w:rsid w:val="00285A44"/>
    <w:rsid w:val="00287145"/>
    <w:rsid w:val="002878AF"/>
    <w:rsid w:val="00295816"/>
    <w:rsid w:val="002A20C2"/>
    <w:rsid w:val="002A529C"/>
    <w:rsid w:val="002A70F5"/>
    <w:rsid w:val="002B0276"/>
    <w:rsid w:val="002B561F"/>
    <w:rsid w:val="002B56F6"/>
    <w:rsid w:val="002D1724"/>
    <w:rsid w:val="002D31B0"/>
    <w:rsid w:val="002D3F1B"/>
    <w:rsid w:val="002D4460"/>
    <w:rsid w:val="002E4A97"/>
    <w:rsid w:val="002E75E3"/>
    <w:rsid w:val="002F097E"/>
    <w:rsid w:val="002F4377"/>
    <w:rsid w:val="002F7176"/>
    <w:rsid w:val="003000ED"/>
    <w:rsid w:val="003043E6"/>
    <w:rsid w:val="0030756E"/>
    <w:rsid w:val="00313582"/>
    <w:rsid w:val="003201DB"/>
    <w:rsid w:val="00330392"/>
    <w:rsid w:val="00331DB2"/>
    <w:rsid w:val="00332BEE"/>
    <w:rsid w:val="00335C35"/>
    <w:rsid w:val="00336F39"/>
    <w:rsid w:val="003401C3"/>
    <w:rsid w:val="00340AC7"/>
    <w:rsid w:val="00341C8B"/>
    <w:rsid w:val="00341DA9"/>
    <w:rsid w:val="00342AFE"/>
    <w:rsid w:val="00342DE8"/>
    <w:rsid w:val="00345BAE"/>
    <w:rsid w:val="00347E9B"/>
    <w:rsid w:val="00357287"/>
    <w:rsid w:val="003655C8"/>
    <w:rsid w:val="0036582B"/>
    <w:rsid w:val="0037630E"/>
    <w:rsid w:val="00385DC0"/>
    <w:rsid w:val="00387035"/>
    <w:rsid w:val="003944C8"/>
    <w:rsid w:val="003A2188"/>
    <w:rsid w:val="003A2D19"/>
    <w:rsid w:val="003B3939"/>
    <w:rsid w:val="003B74BE"/>
    <w:rsid w:val="003C36C5"/>
    <w:rsid w:val="003D037D"/>
    <w:rsid w:val="003E078A"/>
    <w:rsid w:val="003F0F3A"/>
    <w:rsid w:val="003F5752"/>
    <w:rsid w:val="003F57B6"/>
    <w:rsid w:val="00410AD0"/>
    <w:rsid w:val="0041176D"/>
    <w:rsid w:val="0041250C"/>
    <w:rsid w:val="00415989"/>
    <w:rsid w:val="0041659D"/>
    <w:rsid w:val="00416B12"/>
    <w:rsid w:val="00447A27"/>
    <w:rsid w:val="004549AD"/>
    <w:rsid w:val="00454D45"/>
    <w:rsid w:val="00456349"/>
    <w:rsid w:val="00462930"/>
    <w:rsid w:val="00467845"/>
    <w:rsid w:val="00471D59"/>
    <w:rsid w:val="00474A61"/>
    <w:rsid w:val="00480084"/>
    <w:rsid w:val="00483320"/>
    <w:rsid w:val="00486BD8"/>
    <w:rsid w:val="00487D69"/>
    <w:rsid w:val="00491419"/>
    <w:rsid w:val="00491716"/>
    <w:rsid w:val="00493CC6"/>
    <w:rsid w:val="004A1564"/>
    <w:rsid w:val="004B3DB6"/>
    <w:rsid w:val="004C513C"/>
    <w:rsid w:val="004C687F"/>
    <w:rsid w:val="004C6A73"/>
    <w:rsid w:val="004D26C2"/>
    <w:rsid w:val="0050704A"/>
    <w:rsid w:val="00510109"/>
    <w:rsid w:val="0052618B"/>
    <w:rsid w:val="00534698"/>
    <w:rsid w:val="00544ECB"/>
    <w:rsid w:val="005455B6"/>
    <w:rsid w:val="005478CC"/>
    <w:rsid w:val="00556715"/>
    <w:rsid w:val="005602CD"/>
    <w:rsid w:val="0057398B"/>
    <w:rsid w:val="00573A2E"/>
    <w:rsid w:val="00575E7D"/>
    <w:rsid w:val="00577E39"/>
    <w:rsid w:val="0058145D"/>
    <w:rsid w:val="00590A22"/>
    <w:rsid w:val="00590BF6"/>
    <w:rsid w:val="005A4200"/>
    <w:rsid w:val="005A67E2"/>
    <w:rsid w:val="005B0649"/>
    <w:rsid w:val="005B0AE4"/>
    <w:rsid w:val="005B0BE0"/>
    <w:rsid w:val="005B11B0"/>
    <w:rsid w:val="005B3BF6"/>
    <w:rsid w:val="005B7CA5"/>
    <w:rsid w:val="005C1642"/>
    <w:rsid w:val="005D19DD"/>
    <w:rsid w:val="005D284E"/>
    <w:rsid w:val="005D36E5"/>
    <w:rsid w:val="005E16DD"/>
    <w:rsid w:val="005E5948"/>
    <w:rsid w:val="005F2F94"/>
    <w:rsid w:val="005F67CA"/>
    <w:rsid w:val="00602D2D"/>
    <w:rsid w:val="00604C4A"/>
    <w:rsid w:val="0061036D"/>
    <w:rsid w:val="00622263"/>
    <w:rsid w:val="00623EC9"/>
    <w:rsid w:val="006409B9"/>
    <w:rsid w:val="00642662"/>
    <w:rsid w:val="00650CE1"/>
    <w:rsid w:val="00655B18"/>
    <w:rsid w:val="006569F4"/>
    <w:rsid w:val="006571EA"/>
    <w:rsid w:val="00667E29"/>
    <w:rsid w:val="00671D11"/>
    <w:rsid w:val="0068303F"/>
    <w:rsid w:val="00683CC3"/>
    <w:rsid w:val="00687B7E"/>
    <w:rsid w:val="006918CF"/>
    <w:rsid w:val="00693CAE"/>
    <w:rsid w:val="006A101F"/>
    <w:rsid w:val="006A786B"/>
    <w:rsid w:val="006C026E"/>
    <w:rsid w:val="006C159A"/>
    <w:rsid w:val="006C73CB"/>
    <w:rsid w:val="006D06D7"/>
    <w:rsid w:val="006D35B0"/>
    <w:rsid w:val="006D6936"/>
    <w:rsid w:val="006D7463"/>
    <w:rsid w:val="006D79A9"/>
    <w:rsid w:val="006E0E36"/>
    <w:rsid w:val="006E3FBA"/>
    <w:rsid w:val="006E78A4"/>
    <w:rsid w:val="006F5D00"/>
    <w:rsid w:val="00701C3C"/>
    <w:rsid w:val="007055CE"/>
    <w:rsid w:val="007064AE"/>
    <w:rsid w:val="00706D12"/>
    <w:rsid w:val="00716A48"/>
    <w:rsid w:val="0071747E"/>
    <w:rsid w:val="00733B34"/>
    <w:rsid w:val="00734F90"/>
    <w:rsid w:val="007362D0"/>
    <w:rsid w:val="00741653"/>
    <w:rsid w:val="007424AE"/>
    <w:rsid w:val="00743751"/>
    <w:rsid w:val="00743FC2"/>
    <w:rsid w:val="00752690"/>
    <w:rsid w:val="0076301C"/>
    <w:rsid w:val="00763036"/>
    <w:rsid w:val="007703E6"/>
    <w:rsid w:val="00770D1F"/>
    <w:rsid w:val="007714F7"/>
    <w:rsid w:val="007721E6"/>
    <w:rsid w:val="007748DD"/>
    <w:rsid w:val="0078448B"/>
    <w:rsid w:val="00786E76"/>
    <w:rsid w:val="00787D03"/>
    <w:rsid w:val="00793D74"/>
    <w:rsid w:val="007942BB"/>
    <w:rsid w:val="00796C74"/>
    <w:rsid w:val="00796D38"/>
    <w:rsid w:val="007A0006"/>
    <w:rsid w:val="007A1011"/>
    <w:rsid w:val="007A2B78"/>
    <w:rsid w:val="007A75EE"/>
    <w:rsid w:val="007A7677"/>
    <w:rsid w:val="007C7356"/>
    <w:rsid w:val="007D40C2"/>
    <w:rsid w:val="007D5097"/>
    <w:rsid w:val="007E00DE"/>
    <w:rsid w:val="007E5050"/>
    <w:rsid w:val="007F042E"/>
    <w:rsid w:val="00800869"/>
    <w:rsid w:val="00813F67"/>
    <w:rsid w:val="00816A95"/>
    <w:rsid w:val="00820EA0"/>
    <w:rsid w:val="008222F3"/>
    <w:rsid w:val="00823655"/>
    <w:rsid w:val="008236CE"/>
    <w:rsid w:val="00823D4A"/>
    <w:rsid w:val="008246D8"/>
    <w:rsid w:val="00826B27"/>
    <w:rsid w:val="008306CC"/>
    <w:rsid w:val="00833080"/>
    <w:rsid w:val="00841D4C"/>
    <w:rsid w:val="008566A9"/>
    <w:rsid w:val="00864C7D"/>
    <w:rsid w:val="00866123"/>
    <w:rsid w:val="00866AD8"/>
    <w:rsid w:val="008762F4"/>
    <w:rsid w:val="00883386"/>
    <w:rsid w:val="008941C1"/>
    <w:rsid w:val="008962EA"/>
    <w:rsid w:val="008A1CAA"/>
    <w:rsid w:val="008B5AE2"/>
    <w:rsid w:val="008C3253"/>
    <w:rsid w:val="008D118E"/>
    <w:rsid w:val="008D1BA1"/>
    <w:rsid w:val="008D7C13"/>
    <w:rsid w:val="008E03BC"/>
    <w:rsid w:val="008E0F73"/>
    <w:rsid w:val="008E607F"/>
    <w:rsid w:val="008F4A95"/>
    <w:rsid w:val="008F5C06"/>
    <w:rsid w:val="00904278"/>
    <w:rsid w:val="009044F7"/>
    <w:rsid w:val="00906FA3"/>
    <w:rsid w:val="0090737A"/>
    <w:rsid w:val="00913EE0"/>
    <w:rsid w:val="00926853"/>
    <w:rsid w:val="009302CF"/>
    <w:rsid w:val="0093039E"/>
    <w:rsid w:val="00930A4A"/>
    <w:rsid w:val="00930FD3"/>
    <w:rsid w:val="00931054"/>
    <w:rsid w:val="00933998"/>
    <w:rsid w:val="00944CDE"/>
    <w:rsid w:val="00950029"/>
    <w:rsid w:val="00955048"/>
    <w:rsid w:val="00965BE1"/>
    <w:rsid w:val="00965D71"/>
    <w:rsid w:val="00981075"/>
    <w:rsid w:val="00982C58"/>
    <w:rsid w:val="009841B6"/>
    <w:rsid w:val="0098659E"/>
    <w:rsid w:val="00987A9A"/>
    <w:rsid w:val="009901D7"/>
    <w:rsid w:val="0099040C"/>
    <w:rsid w:val="009955C7"/>
    <w:rsid w:val="00996115"/>
    <w:rsid w:val="00997046"/>
    <w:rsid w:val="009C1585"/>
    <w:rsid w:val="009C5E80"/>
    <w:rsid w:val="009C70E6"/>
    <w:rsid w:val="009D1C15"/>
    <w:rsid w:val="009E2038"/>
    <w:rsid w:val="009E443A"/>
    <w:rsid w:val="009F5ECD"/>
    <w:rsid w:val="009F6878"/>
    <w:rsid w:val="00A00CC9"/>
    <w:rsid w:val="00A020F1"/>
    <w:rsid w:val="00A02CE9"/>
    <w:rsid w:val="00A07044"/>
    <w:rsid w:val="00A24BC4"/>
    <w:rsid w:val="00A2510A"/>
    <w:rsid w:val="00A30D72"/>
    <w:rsid w:val="00A52FC1"/>
    <w:rsid w:val="00A5799B"/>
    <w:rsid w:val="00A60755"/>
    <w:rsid w:val="00A66AF7"/>
    <w:rsid w:val="00A67F57"/>
    <w:rsid w:val="00A747F7"/>
    <w:rsid w:val="00A81888"/>
    <w:rsid w:val="00A84900"/>
    <w:rsid w:val="00A85B25"/>
    <w:rsid w:val="00A85F02"/>
    <w:rsid w:val="00AB2789"/>
    <w:rsid w:val="00AB28C8"/>
    <w:rsid w:val="00AB6079"/>
    <w:rsid w:val="00AB77D7"/>
    <w:rsid w:val="00AC22EE"/>
    <w:rsid w:val="00AD1646"/>
    <w:rsid w:val="00AD2192"/>
    <w:rsid w:val="00AD30C5"/>
    <w:rsid w:val="00AE4DE1"/>
    <w:rsid w:val="00AE7263"/>
    <w:rsid w:val="00AF6C1E"/>
    <w:rsid w:val="00B07AFD"/>
    <w:rsid w:val="00B118F8"/>
    <w:rsid w:val="00B138D9"/>
    <w:rsid w:val="00B21B4A"/>
    <w:rsid w:val="00B23F51"/>
    <w:rsid w:val="00B3060F"/>
    <w:rsid w:val="00B34496"/>
    <w:rsid w:val="00B4129D"/>
    <w:rsid w:val="00B43CAE"/>
    <w:rsid w:val="00B5095E"/>
    <w:rsid w:val="00B5236D"/>
    <w:rsid w:val="00B56DF1"/>
    <w:rsid w:val="00B62446"/>
    <w:rsid w:val="00B62E3F"/>
    <w:rsid w:val="00B703E7"/>
    <w:rsid w:val="00B71DB7"/>
    <w:rsid w:val="00B72F8C"/>
    <w:rsid w:val="00B745CE"/>
    <w:rsid w:val="00B775C4"/>
    <w:rsid w:val="00B77FB7"/>
    <w:rsid w:val="00B80603"/>
    <w:rsid w:val="00B809F5"/>
    <w:rsid w:val="00B8252B"/>
    <w:rsid w:val="00B82BA5"/>
    <w:rsid w:val="00B92A4B"/>
    <w:rsid w:val="00B949B8"/>
    <w:rsid w:val="00B95322"/>
    <w:rsid w:val="00BA4442"/>
    <w:rsid w:val="00BC0244"/>
    <w:rsid w:val="00BC1582"/>
    <w:rsid w:val="00BC1D5B"/>
    <w:rsid w:val="00BC371B"/>
    <w:rsid w:val="00BD0FC4"/>
    <w:rsid w:val="00BE1171"/>
    <w:rsid w:val="00BE23CE"/>
    <w:rsid w:val="00BE7DCF"/>
    <w:rsid w:val="00BF0EF0"/>
    <w:rsid w:val="00BF2692"/>
    <w:rsid w:val="00BF5EB4"/>
    <w:rsid w:val="00C167B2"/>
    <w:rsid w:val="00C24A46"/>
    <w:rsid w:val="00C24D3A"/>
    <w:rsid w:val="00C272E3"/>
    <w:rsid w:val="00C34793"/>
    <w:rsid w:val="00C36E85"/>
    <w:rsid w:val="00C37E62"/>
    <w:rsid w:val="00C5754F"/>
    <w:rsid w:val="00C63C4D"/>
    <w:rsid w:val="00C656AD"/>
    <w:rsid w:val="00C75A90"/>
    <w:rsid w:val="00C8515A"/>
    <w:rsid w:val="00C92066"/>
    <w:rsid w:val="00CA67E1"/>
    <w:rsid w:val="00CA6C11"/>
    <w:rsid w:val="00CA78F0"/>
    <w:rsid w:val="00CB59B4"/>
    <w:rsid w:val="00CB75E7"/>
    <w:rsid w:val="00CD3AC7"/>
    <w:rsid w:val="00CD605B"/>
    <w:rsid w:val="00CD65D2"/>
    <w:rsid w:val="00CE5673"/>
    <w:rsid w:val="00CE5FA7"/>
    <w:rsid w:val="00CF5DC8"/>
    <w:rsid w:val="00CF6B16"/>
    <w:rsid w:val="00CF6DA1"/>
    <w:rsid w:val="00D0246D"/>
    <w:rsid w:val="00D02FD8"/>
    <w:rsid w:val="00D077CE"/>
    <w:rsid w:val="00D10D13"/>
    <w:rsid w:val="00D14DA1"/>
    <w:rsid w:val="00D174DF"/>
    <w:rsid w:val="00D24075"/>
    <w:rsid w:val="00D3351C"/>
    <w:rsid w:val="00D342EA"/>
    <w:rsid w:val="00D41ADB"/>
    <w:rsid w:val="00D50694"/>
    <w:rsid w:val="00D50D22"/>
    <w:rsid w:val="00D53CD7"/>
    <w:rsid w:val="00D61555"/>
    <w:rsid w:val="00D64B10"/>
    <w:rsid w:val="00D65053"/>
    <w:rsid w:val="00D74744"/>
    <w:rsid w:val="00D862A9"/>
    <w:rsid w:val="00D87615"/>
    <w:rsid w:val="00D90B6B"/>
    <w:rsid w:val="00D94C30"/>
    <w:rsid w:val="00D94DA6"/>
    <w:rsid w:val="00DA625B"/>
    <w:rsid w:val="00DA7C43"/>
    <w:rsid w:val="00DB2DB9"/>
    <w:rsid w:val="00DC2811"/>
    <w:rsid w:val="00DC6D17"/>
    <w:rsid w:val="00DD0FD5"/>
    <w:rsid w:val="00DF1574"/>
    <w:rsid w:val="00E008A3"/>
    <w:rsid w:val="00E02B35"/>
    <w:rsid w:val="00E135E4"/>
    <w:rsid w:val="00E13704"/>
    <w:rsid w:val="00E20926"/>
    <w:rsid w:val="00E266F5"/>
    <w:rsid w:val="00E402AB"/>
    <w:rsid w:val="00E408D7"/>
    <w:rsid w:val="00E419BF"/>
    <w:rsid w:val="00E54075"/>
    <w:rsid w:val="00E544C8"/>
    <w:rsid w:val="00E659CB"/>
    <w:rsid w:val="00E66965"/>
    <w:rsid w:val="00E7382A"/>
    <w:rsid w:val="00E91080"/>
    <w:rsid w:val="00E962E6"/>
    <w:rsid w:val="00EA68BB"/>
    <w:rsid w:val="00EB0C97"/>
    <w:rsid w:val="00EB1039"/>
    <w:rsid w:val="00EB47FB"/>
    <w:rsid w:val="00EC4868"/>
    <w:rsid w:val="00EC746C"/>
    <w:rsid w:val="00ED43CA"/>
    <w:rsid w:val="00EF39B0"/>
    <w:rsid w:val="00EF4618"/>
    <w:rsid w:val="00EF4772"/>
    <w:rsid w:val="00EF484C"/>
    <w:rsid w:val="00F01E35"/>
    <w:rsid w:val="00F03CDB"/>
    <w:rsid w:val="00F04911"/>
    <w:rsid w:val="00F15C64"/>
    <w:rsid w:val="00F2289B"/>
    <w:rsid w:val="00F24696"/>
    <w:rsid w:val="00F27BEE"/>
    <w:rsid w:val="00F35AD3"/>
    <w:rsid w:val="00F37F05"/>
    <w:rsid w:val="00F40925"/>
    <w:rsid w:val="00F40BBA"/>
    <w:rsid w:val="00F4348E"/>
    <w:rsid w:val="00F44542"/>
    <w:rsid w:val="00F47159"/>
    <w:rsid w:val="00F5348E"/>
    <w:rsid w:val="00F60CE5"/>
    <w:rsid w:val="00F61E4D"/>
    <w:rsid w:val="00F70D98"/>
    <w:rsid w:val="00F7326B"/>
    <w:rsid w:val="00F73D09"/>
    <w:rsid w:val="00F73FD7"/>
    <w:rsid w:val="00F75FFD"/>
    <w:rsid w:val="00F76290"/>
    <w:rsid w:val="00F839D7"/>
    <w:rsid w:val="00F85A9B"/>
    <w:rsid w:val="00F91239"/>
    <w:rsid w:val="00FA512F"/>
    <w:rsid w:val="00FA5641"/>
    <w:rsid w:val="00FA7AF6"/>
    <w:rsid w:val="00FC6451"/>
    <w:rsid w:val="00FD7D73"/>
    <w:rsid w:val="00FE0D3D"/>
    <w:rsid w:val="00FE4606"/>
    <w:rsid w:val="00FE4BA5"/>
    <w:rsid w:val="00FF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52513126-180F-4D5B-91D7-A85C3A2F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Cmsor2">
    <w:name w:val="heading 2"/>
    <w:basedOn w:val="Norml"/>
    <w:next w:val="Norml"/>
    <w:link w:val="Cmsor2Char"/>
    <w:qFormat/>
    <w:pPr>
      <w:keepNext/>
      <w:tabs>
        <w:tab w:val="clear" w:pos="567"/>
      </w:tabs>
      <w:spacing w:line="240" w:lineRule="auto"/>
      <w:outlineLvl w:val="1"/>
    </w:pPr>
    <w:rPr>
      <w:b/>
      <w:bCs/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uiPriority w:val="99"/>
    <w:semiHidden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Pr>
      <w:rFonts w:ascii="Times New Roman" w:eastAsia="Times New Roman" w:hAnsi="Times New Roman" w:cs="Times New Roman"/>
      <w:lang w:val="en-GB" w:eastAsia="hu-HU"/>
    </w:rPr>
  </w:style>
  <w:style w:type="paragraph" w:customStyle="1" w:styleId="EMEAEnBodyText">
    <w:name w:val="EMEA En Body Text"/>
    <w:basedOn w:val="Norml"/>
    <w:uiPriority w:val="99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paragraph" w:styleId="Listaszerbekezds">
    <w:name w:val="List Paragraph"/>
    <w:basedOn w:val="Norml"/>
    <w:uiPriority w:val="99"/>
    <w:qFormat/>
    <w:pPr>
      <w:ind w:left="720"/>
    </w:pPr>
  </w:style>
  <w:style w:type="paragraph" w:styleId="Nincstrkz">
    <w:name w:val="No Spacing"/>
    <w:uiPriority w:val="1"/>
    <w:qFormat/>
    <w:pPr>
      <w:tabs>
        <w:tab w:val="left" w:pos="567"/>
      </w:tabs>
    </w:pPr>
    <w:rPr>
      <w:rFonts w:ascii="Times New Roman" w:eastAsia="Times New Roman" w:hAnsi="Times New Roman"/>
      <w:sz w:val="22"/>
      <w:szCs w:val="22"/>
      <w:lang w:val="en-GB" w:eastAsia="en-US"/>
    </w:rPr>
  </w:style>
  <w:style w:type="table" w:styleId="Rcsostblzat">
    <w:name w:val="Table Grid"/>
    <w:basedOn w:val="Normltblzat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Default">
    <w:name w:val="Default"/>
    <w:pPr>
      <w:autoSpaceDE w:val="0"/>
      <w:autoSpaceDN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link w:val="lfej"/>
    <w:uiPriority w:val="99"/>
    <w:rPr>
      <w:rFonts w:ascii="Times New Roman" w:eastAsia="Times New Roman" w:hAnsi="Times New Roman" w:cs="Times New Roman"/>
      <w:lang w:val="en-GB"/>
    </w:rPr>
  </w:style>
  <w:style w:type="character" w:customStyle="1" w:styleId="Cmsor2Char">
    <w:name w:val="Címsor 2 Char"/>
    <w:link w:val="Cmsor2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eastAsia="Times New Roman" w:hAnsi="Times New Roman"/>
      <w:b/>
      <w:bCs/>
      <w:lang w:val="en-GB" w:eastAsia="en-US"/>
    </w:rPr>
  </w:style>
  <w:style w:type="paragraph" w:styleId="Vltozat">
    <w:name w:val="Revision"/>
    <w:uiPriority w:val="99"/>
    <w:semiHidden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NormlWeb">
    <w:name w:val="Normal (Web)"/>
    <w:basedOn w:val="Norml"/>
    <w:uiPriority w:val="99"/>
    <w:semiHidden/>
    <w:unhideWhenUsed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7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7083</Words>
  <Characters>48875</Characters>
  <Application>Microsoft Office Word</Application>
  <DocSecurity>0</DocSecurity>
  <Lines>407</Lines>
  <Paragraphs>111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55847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HU-OGYI 59.1</dc:creator>
  <cp:lastModifiedBy>HU OGYI 49.1</cp:lastModifiedBy>
  <cp:revision>4</cp:revision>
  <dcterms:created xsi:type="dcterms:W3CDTF">2026-03-26T08:29:00Z</dcterms:created>
  <dcterms:modified xsi:type="dcterms:W3CDTF">2026-03-26T08:40:00Z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136504187</vt:lpwstr>
  </property>
</Properties>
</file>