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41DEA" w14:textId="77777777" w:rsidR="00C74610" w:rsidRPr="00E47E83" w:rsidRDefault="00C74610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1.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 GYÓGYSZER NEVE</w:t>
      </w:r>
    </w:p>
    <w:p w14:paraId="221C7DF7" w14:textId="77777777" w:rsidR="00DC203D" w:rsidRPr="00CA29AC" w:rsidRDefault="00DC203D" w:rsidP="00E92AEE">
      <w:pPr>
        <w:suppressAutoHyphens/>
        <w:spacing w:after="0" w:line="240" w:lineRule="auto"/>
        <w:ind w:left="567" w:hanging="567"/>
        <w:rPr>
          <w:rFonts w:ascii="Times New Roman" w:hAnsi="Times New Roman"/>
          <w:lang w:val="hu-HU"/>
        </w:rPr>
      </w:pPr>
    </w:p>
    <w:p w14:paraId="3A192C0C" w14:textId="622E1EB7" w:rsidR="00685B76" w:rsidRPr="00E47E83" w:rsidRDefault="00E47365" w:rsidP="00AE15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bidi="en-US"/>
        </w:rPr>
      </w:pPr>
      <w:r w:rsidRPr="00E47E83">
        <w:rPr>
          <w:rFonts w:ascii="Times New Roman" w:hAnsi="Times New Roman"/>
          <w:lang w:val="hu-HU"/>
        </w:rPr>
        <w:t>Radicut 50</w:t>
      </w:r>
      <w:r w:rsidR="00403946" w:rsidRPr="00E47E83">
        <w:rPr>
          <w:rFonts w:ascii="Times New Roman" w:hAnsi="Times New Roman"/>
          <w:lang w:val="hu-HU"/>
        </w:rPr>
        <w:t xml:space="preserve"> mg</w:t>
      </w:r>
      <w:r w:rsidRPr="00E47E83">
        <w:rPr>
          <w:rFonts w:ascii="Times New Roman" w:hAnsi="Times New Roman"/>
          <w:lang w:val="hu-HU"/>
        </w:rPr>
        <w:t>/850 mg</w:t>
      </w:r>
      <w:r w:rsidR="00685B76" w:rsidRPr="00E47E83">
        <w:rPr>
          <w:rFonts w:ascii="Times New Roman" w:hAnsi="Times New Roman"/>
          <w:lang w:val="hu-HU"/>
        </w:rPr>
        <w:t xml:space="preserve"> filmtabletta</w:t>
      </w:r>
    </w:p>
    <w:p w14:paraId="72BB8E7D" w14:textId="6685004F" w:rsidR="00685B76" w:rsidRPr="00CA29AC" w:rsidRDefault="00E4736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Radicut 50</w:t>
      </w:r>
      <w:r w:rsidR="00403946" w:rsidRPr="00E47E83">
        <w:rPr>
          <w:rFonts w:ascii="Times New Roman" w:hAnsi="Times New Roman"/>
          <w:lang w:val="hu-HU"/>
        </w:rPr>
        <w:t xml:space="preserve"> mg</w:t>
      </w:r>
      <w:r w:rsidRPr="00E47E83">
        <w:rPr>
          <w:rFonts w:ascii="Times New Roman" w:hAnsi="Times New Roman"/>
          <w:lang w:val="hu-HU"/>
        </w:rPr>
        <w:t>/1000 mg</w:t>
      </w:r>
      <w:r w:rsidR="00685B76" w:rsidRPr="00E47E83">
        <w:rPr>
          <w:rFonts w:ascii="Times New Roman" w:hAnsi="Times New Roman"/>
          <w:lang w:val="hu-HU"/>
        </w:rPr>
        <w:t xml:space="preserve"> filmtabletta</w:t>
      </w:r>
    </w:p>
    <w:p w14:paraId="20565237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A9CC4C0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B34B923" w14:textId="77777777" w:rsidR="00247390" w:rsidRPr="00CA29AC" w:rsidRDefault="00247390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2.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MINŐSÉGI ÉS MENNYISÉGI ÖSSZETÉTEL</w:t>
      </w:r>
    </w:p>
    <w:p w14:paraId="10AF672F" w14:textId="77777777" w:rsidR="00DC203D" w:rsidRPr="00CA29AC" w:rsidRDefault="00DC203D" w:rsidP="00E92AEE">
      <w:pPr>
        <w:suppressAutoHyphens/>
        <w:spacing w:after="0" w:line="240" w:lineRule="auto"/>
        <w:ind w:left="567" w:hanging="567"/>
        <w:rPr>
          <w:rFonts w:ascii="Times New Roman" w:hAnsi="Times New Roman"/>
          <w:lang w:val="hu-HU"/>
        </w:rPr>
      </w:pPr>
    </w:p>
    <w:p w14:paraId="34162608" w14:textId="335F564A" w:rsidR="00247390" w:rsidRPr="00CA29AC" w:rsidRDefault="00E4736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Radicut 50</w:t>
      </w:r>
      <w:r w:rsidR="00133E46">
        <w:rPr>
          <w:rFonts w:ascii="Times New Roman" w:hAnsi="Times New Roman"/>
          <w:u w:val="single"/>
          <w:lang w:val="hu-HU"/>
        </w:rPr>
        <w:t xml:space="preserve"> mg</w:t>
      </w:r>
      <w:r w:rsidRPr="00E47E83">
        <w:rPr>
          <w:rFonts w:ascii="Times New Roman" w:hAnsi="Times New Roman"/>
          <w:u w:val="single"/>
          <w:lang w:val="hu-HU"/>
        </w:rPr>
        <w:t>/850 mg</w:t>
      </w:r>
      <w:r w:rsidR="00247390" w:rsidRPr="00E47E83">
        <w:rPr>
          <w:rFonts w:ascii="Times New Roman" w:hAnsi="Times New Roman"/>
          <w:u w:val="single"/>
          <w:lang w:val="hu-HU"/>
        </w:rPr>
        <w:t xml:space="preserve"> filmtabletta </w:t>
      </w:r>
    </w:p>
    <w:p w14:paraId="1A2DD4B9" w14:textId="0A893A7E" w:rsidR="00224947" w:rsidRPr="00CA29AC" w:rsidRDefault="00224947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color w:val="000000"/>
          <w:lang w:val="hu-HU"/>
        </w:rPr>
        <w:t>50</w:t>
      </w:r>
      <w:r w:rsidRPr="00E47E83">
        <w:rPr>
          <w:rFonts w:ascii="Times New Roman" w:eastAsia="TimesNewRoman,Bold" w:hAnsi="Times New Roman"/>
          <w:color w:val="000000"/>
          <w:lang w:val="hu-HU"/>
        </w:rPr>
        <w:t> </w:t>
      </w:r>
      <w:r w:rsidRPr="00E47E83">
        <w:rPr>
          <w:rFonts w:ascii="Times New Roman" w:hAnsi="Times New Roman"/>
          <w:color w:val="000000"/>
          <w:lang w:val="hu-HU"/>
        </w:rPr>
        <w:t xml:space="preserve">mg </w:t>
      </w:r>
      <w:r w:rsidRPr="00E47E83">
        <w:rPr>
          <w:rFonts w:ascii="Times New Roman" w:hAnsi="Times New Roman"/>
          <w:lang w:val="hu-HU"/>
        </w:rPr>
        <w:t>vildagliptin</w:t>
      </w:r>
      <w:r w:rsidR="0045333A" w:rsidRPr="00E47E83">
        <w:rPr>
          <w:rFonts w:ascii="Times New Roman" w:hAnsi="Times New Roman"/>
          <w:lang w:val="hu-HU"/>
        </w:rPr>
        <w:t>t</w:t>
      </w:r>
      <w:r w:rsidRPr="00E47E83">
        <w:rPr>
          <w:rFonts w:ascii="Times New Roman" w:hAnsi="Times New Roman"/>
          <w:lang w:val="hu-HU"/>
        </w:rPr>
        <w:t xml:space="preserve"> és 850 mg metformin</w:t>
      </w:r>
      <w:r w:rsidR="00255F39"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h</w:t>
      </w:r>
      <w:r w:rsidR="009B2992" w:rsidRPr="00E47E83">
        <w:rPr>
          <w:rFonts w:ascii="Times New Roman" w:hAnsi="Times New Roman"/>
          <w:lang w:val="hu-HU"/>
        </w:rPr>
        <w:t>idroklorid</w:t>
      </w:r>
      <w:r w:rsidR="0045333A" w:rsidRPr="00E47E83">
        <w:rPr>
          <w:rFonts w:ascii="Times New Roman" w:hAnsi="Times New Roman"/>
          <w:lang w:val="hu-HU"/>
        </w:rPr>
        <w:t>ot</w:t>
      </w:r>
      <w:r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color w:val="000000"/>
          <w:lang w:val="hu-HU"/>
        </w:rPr>
        <w:t>(</w:t>
      </w:r>
      <w:r w:rsidR="00BE0AB3" w:rsidRPr="00E47E83">
        <w:rPr>
          <w:rFonts w:ascii="Times New Roman" w:hAnsi="Times New Roman"/>
          <w:color w:val="000000"/>
          <w:lang w:val="hu-HU"/>
        </w:rPr>
        <w:t xml:space="preserve">ami </w:t>
      </w:r>
      <w:r w:rsidRPr="00E47E83">
        <w:rPr>
          <w:rFonts w:ascii="Times New Roman" w:hAnsi="Times New Roman"/>
          <w:color w:val="000000"/>
          <w:lang w:val="hu-HU"/>
        </w:rPr>
        <w:t>660</w:t>
      </w:r>
      <w:r w:rsidR="004B0F12" w:rsidRPr="00E47E83">
        <w:rPr>
          <w:rFonts w:ascii="Times New Roman" w:eastAsia="TimesNewRoman,Bold" w:hAnsi="Times New Roman"/>
          <w:color w:val="000000"/>
          <w:lang w:val="hu-HU"/>
        </w:rPr>
        <w:t> </w:t>
      </w:r>
      <w:r w:rsidRPr="00E47E83">
        <w:rPr>
          <w:rFonts w:ascii="Times New Roman" w:hAnsi="Times New Roman"/>
          <w:color w:val="000000"/>
          <w:lang w:val="hu-HU"/>
        </w:rPr>
        <w:t>mg metforminnak</w:t>
      </w:r>
      <w:r w:rsidR="00BE0AB3" w:rsidRPr="00E47E83">
        <w:rPr>
          <w:rFonts w:ascii="Times New Roman" w:hAnsi="Times New Roman"/>
          <w:color w:val="000000"/>
          <w:lang w:val="hu-HU"/>
        </w:rPr>
        <w:t xml:space="preserve"> felel meg</w:t>
      </w:r>
      <w:r w:rsidRPr="00E47E83">
        <w:rPr>
          <w:rFonts w:ascii="Times New Roman" w:hAnsi="Times New Roman"/>
          <w:color w:val="000000"/>
          <w:lang w:val="hu-HU"/>
        </w:rPr>
        <w:t xml:space="preserve">) </w:t>
      </w:r>
      <w:r w:rsidR="0045333A" w:rsidRPr="00E47E83">
        <w:rPr>
          <w:rFonts w:ascii="Times New Roman" w:hAnsi="Times New Roman"/>
          <w:color w:val="000000"/>
          <w:lang w:val="hu-HU"/>
        </w:rPr>
        <w:t xml:space="preserve">tartalmaz </w:t>
      </w:r>
      <w:r w:rsidRPr="00E47E83">
        <w:rPr>
          <w:rFonts w:ascii="Times New Roman" w:hAnsi="Times New Roman"/>
          <w:color w:val="000000"/>
          <w:lang w:val="hu-HU"/>
        </w:rPr>
        <w:t>filmtablettánként.</w:t>
      </w:r>
    </w:p>
    <w:p w14:paraId="6B4679D2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9BC6B79" w14:textId="074F5855" w:rsidR="00247390" w:rsidRPr="00CA29AC" w:rsidRDefault="00E4736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Radicut 50</w:t>
      </w:r>
      <w:r w:rsidR="00133E46">
        <w:rPr>
          <w:rFonts w:ascii="Times New Roman" w:hAnsi="Times New Roman"/>
          <w:u w:val="single"/>
          <w:lang w:val="hu-HU"/>
        </w:rPr>
        <w:t xml:space="preserve"> mg</w:t>
      </w:r>
      <w:r w:rsidRPr="00E47E83">
        <w:rPr>
          <w:rFonts w:ascii="Times New Roman" w:hAnsi="Times New Roman"/>
          <w:u w:val="single"/>
          <w:lang w:val="hu-HU"/>
        </w:rPr>
        <w:t>/1000 mg</w:t>
      </w:r>
      <w:r w:rsidR="00247390" w:rsidRPr="00E47E83">
        <w:rPr>
          <w:rFonts w:ascii="Times New Roman" w:hAnsi="Times New Roman"/>
          <w:u w:val="single"/>
          <w:lang w:val="hu-HU"/>
        </w:rPr>
        <w:t xml:space="preserve"> filmtabletta</w:t>
      </w:r>
    </w:p>
    <w:p w14:paraId="1D315FC2" w14:textId="2B8E2440" w:rsidR="00CF4005" w:rsidRPr="00CA29AC" w:rsidRDefault="00CF400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50</w:t>
      </w:r>
      <w:r w:rsidR="004B0F12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vildagliptin</w:t>
      </w:r>
      <w:r w:rsidR="0045333A" w:rsidRPr="00E47E83">
        <w:rPr>
          <w:rFonts w:ascii="Times New Roman" w:hAnsi="Times New Roman"/>
          <w:lang w:val="hu-HU"/>
        </w:rPr>
        <w:t>t</w:t>
      </w:r>
      <w:r w:rsidRPr="00E47E83">
        <w:rPr>
          <w:rFonts w:ascii="Times New Roman" w:hAnsi="Times New Roman"/>
          <w:lang w:val="hu-HU"/>
        </w:rPr>
        <w:t xml:space="preserve"> és 1000</w:t>
      </w:r>
      <w:r w:rsidR="004B0F12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metformin-hidroklorid</w:t>
      </w:r>
      <w:r w:rsidR="0045333A" w:rsidRPr="00E47E83">
        <w:rPr>
          <w:rFonts w:ascii="Times New Roman" w:hAnsi="Times New Roman"/>
          <w:lang w:val="hu-HU"/>
        </w:rPr>
        <w:t>ot</w:t>
      </w:r>
      <w:r w:rsidRPr="00E47E83">
        <w:rPr>
          <w:rFonts w:ascii="Times New Roman" w:hAnsi="Times New Roman"/>
          <w:lang w:val="hu-HU"/>
        </w:rPr>
        <w:t xml:space="preserve"> (ami 780</w:t>
      </w:r>
      <w:r w:rsidR="004B0F12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metforminnak felel meg)</w:t>
      </w:r>
      <w:r w:rsidR="0045333A" w:rsidRPr="00E47E83">
        <w:rPr>
          <w:rFonts w:ascii="Times New Roman" w:hAnsi="Times New Roman"/>
          <w:lang w:val="hu-HU"/>
        </w:rPr>
        <w:t xml:space="preserve"> tartalmaz </w:t>
      </w:r>
      <w:r w:rsidRPr="00E47E83">
        <w:rPr>
          <w:rFonts w:ascii="Times New Roman" w:hAnsi="Times New Roman"/>
          <w:lang w:val="hu-HU"/>
        </w:rPr>
        <w:t>filmtablettánként.</w:t>
      </w:r>
    </w:p>
    <w:p w14:paraId="0A335997" w14:textId="77777777" w:rsidR="00CF4005" w:rsidRPr="00CA29AC" w:rsidRDefault="00CF400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F00AD99" w14:textId="07117655" w:rsidR="00CF4005" w:rsidRPr="00CA29AC" w:rsidRDefault="00CF400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segédanyagok teljes listáját lásd a 6.1 pontban</w:t>
      </w:r>
    </w:p>
    <w:p w14:paraId="0810CC2F" w14:textId="77777777" w:rsidR="00CF4005" w:rsidRPr="00CA29AC" w:rsidRDefault="00CF400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775D575" w14:textId="77777777" w:rsidR="0045333A" w:rsidRPr="00CA29AC" w:rsidRDefault="0045333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E8AADB0" w14:textId="77777777" w:rsidR="00E73521" w:rsidRPr="00CA29AC" w:rsidRDefault="00E73521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3.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GYÓGYSZERFORMA</w:t>
      </w:r>
    </w:p>
    <w:p w14:paraId="39361E04" w14:textId="77777777" w:rsidR="00E73521" w:rsidRPr="00CA29AC" w:rsidRDefault="00E73521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</w:p>
    <w:p w14:paraId="6C2A5A90" w14:textId="43F54E81" w:rsidR="00E73521" w:rsidRPr="00CA29AC" w:rsidRDefault="00E73521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color w:val="000000"/>
          <w:lang w:val="hu-HU"/>
        </w:rPr>
        <w:t>Filmtabletta</w:t>
      </w:r>
    </w:p>
    <w:p w14:paraId="2FE141B9" w14:textId="77777777" w:rsidR="004E45CA" w:rsidRPr="00CA29AC" w:rsidRDefault="004E45C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DA8C562" w14:textId="7B61793F" w:rsidR="00E73521" w:rsidRPr="00CA29AC" w:rsidRDefault="00E4736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Radicut 50</w:t>
      </w:r>
      <w:r w:rsidR="00133E46">
        <w:rPr>
          <w:rFonts w:ascii="Times New Roman" w:hAnsi="Times New Roman"/>
          <w:u w:val="single"/>
          <w:lang w:val="hu-HU"/>
        </w:rPr>
        <w:t xml:space="preserve"> mg</w:t>
      </w:r>
      <w:r w:rsidRPr="00E47E83">
        <w:rPr>
          <w:rFonts w:ascii="Times New Roman" w:hAnsi="Times New Roman"/>
          <w:u w:val="single"/>
          <w:lang w:val="hu-HU"/>
        </w:rPr>
        <w:t>/850 mg</w:t>
      </w:r>
      <w:r w:rsidR="00E73521" w:rsidRPr="00E47E83">
        <w:rPr>
          <w:rFonts w:ascii="Times New Roman" w:hAnsi="Times New Roman"/>
          <w:u w:val="single"/>
          <w:lang w:val="hu-HU"/>
        </w:rPr>
        <w:t xml:space="preserve"> filmtabletta </w:t>
      </w:r>
    </w:p>
    <w:p w14:paraId="2F705F6D" w14:textId="58DF79E8" w:rsidR="00675892" w:rsidRPr="00E47E83" w:rsidRDefault="00675892" w:rsidP="006758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47365" w:rsidRPr="00E47E83">
        <w:rPr>
          <w:rFonts w:ascii="Times New Roman" w:hAnsi="Times New Roman"/>
          <w:lang w:val="hu-HU"/>
        </w:rPr>
        <w:t>Radicut 50</w:t>
      </w:r>
      <w:r w:rsidR="00133E46">
        <w:rPr>
          <w:rFonts w:ascii="Times New Roman" w:hAnsi="Times New Roman"/>
          <w:lang w:val="hu-HU"/>
        </w:rPr>
        <w:t xml:space="preserve"> mg</w:t>
      </w:r>
      <w:r w:rsidR="00E47365" w:rsidRPr="00E47E83">
        <w:rPr>
          <w:rFonts w:ascii="Times New Roman" w:hAnsi="Times New Roman"/>
          <w:lang w:val="hu-HU"/>
        </w:rPr>
        <w:t>/850 mg</w:t>
      </w:r>
      <w:r w:rsidRPr="00E47E83">
        <w:rPr>
          <w:rFonts w:ascii="Times New Roman" w:hAnsi="Times New Roman"/>
          <w:lang w:val="hu-HU"/>
        </w:rPr>
        <w:t xml:space="preserve"> filmtabletta sárga, ovális, </w:t>
      </w:r>
      <w:r w:rsidRPr="00CA29AC">
        <w:rPr>
          <w:rFonts w:ascii="Times New Roman" w:hAnsi="Times New Roman"/>
          <w:lang w:val="hu-HU"/>
        </w:rPr>
        <w:t xml:space="preserve">20,1 mm </w:t>
      </w:r>
      <w:r w:rsidRPr="00E47E83">
        <w:rPr>
          <w:rFonts w:ascii="Times New Roman" w:hAnsi="Times New Roman"/>
          <w:lang w:val="hu-HU"/>
        </w:rPr>
        <w:t>névleges hosszú</w:t>
      </w:r>
      <w:r w:rsidRPr="00CA29AC">
        <w:rPr>
          <w:rFonts w:ascii="Times New Roman" w:hAnsi="Times New Roman"/>
          <w:lang w:val="hu-HU"/>
        </w:rPr>
        <w:t>ságú</w:t>
      </w:r>
      <w:r w:rsidRPr="00E47E83">
        <w:rPr>
          <w:rFonts w:ascii="Times New Roman" w:hAnsi="Times New Roman"/>
          <w:lang w:val="hu-HU"/>
        </w:rPr>
        <w:t xml:space="preserve"> és 8</w:t>
      </w:r>
      <w:r w:rsidRPr="00CA29AC">
        <w:rPr>
          <w:rFonts w:ascii="Times New Roman" w:hAnsi="Times New Roman"/>
          <w:lang w:val="hu-HU"/>
        </w:rPr>
        <w:t>,</w:t>
      </w:r>
      <w:r w:rsidRPr="00E47E83">
        <w:rPr>
          <w:rFonts w:ascii="Times New Roman" w:hAnsi="Times New Roman"/>
          <w:lang w:val="hu-HU"/>
        </w:rPr>
        <w:t>1 </w:t>
      </w:r>
      <w:r w:rsidRPr="00CA29AC">
        <w:rPr>
          <w:rFonts w:ascii="Times New Roman" w:hAnsi="Times New Roman"/>
          <w:lang w:val="hu-HU"/>
        </w:rPr>
        <w:t xml:space="preserve">mm </w:t>
      </w:r>
      <w:r w:rsidRPr="00E47E83">
        <w:rPr>
          <w:rFonts w:ascii="Times New Roman" w:hAnsi="Times New Roman"/>
          <w:lang w:val="hu-HU"/>
        </w:rPr>
        <w:t>névleges széles</w:t>
      </w:r>
      <w:r w:rsidRPr="00CA29AC">
        <w:rPr>
          <w:rFonts w:ascii="Times New Roman" w:hAnsi="Times New Roman"/>
          <w:lang w:val="hu-HU"/>
        </w:rPr>
        <w:t>ségű</w:t>
      </w:r>
      <w:r w:rsidR="00E47E83">
        <w:rPr>
          <w:rFonts w:ascii="Times New Roman" w:hAnsi="Times New Roman"/>
          <w:lang w:val="hu-HU"/>
        </w:rPr>
        <w:t xml:space="preserve"> filmbevonatú tabletta</w:t>
      </w:r>
      <w:r w:rsidRPr="00E47E83">
        <w:rPr>
          <w:rFonts w:ascii="Times New Roman" w:hAnsi="Times New Roman"/>
          <w:lang w:val="hu-HU"/>
        </w:rPr>
        <w:t>,</w:t>
      </w:r>
      <w:r w:rsidR="00E47E83">
        <w:rPr>
          <w:rFonts w:ascii="Times New Roman" w:hAnsi="Times New Roman"/>
          <w:lang w:val="hu-HU"/>
        </w:rPr>
        <w:t xml:space="preserve"> az</w:t>
      </w:r>
      <w:r w:rsidRPr="00E47E83">
        <w:rPr>
          <w:rFonts w:ascii="Times New Roman" w:hAnsi="Times New Roman"/>
          <w:lang w:val="hu-HU"/>
        </w:rPr>
        <w:t xml:space="preserve"> egyik oldalán „</w:t>
      </w:r>
      <w:r w:rsidRPr="00CA29AC">
        <w:rPr>
          <w:rFonts w:ascii="Times New Roman" w:hAnsi="Times New Roman"/>
          <w:lang w:val="hu-HU"/>
        </w:rPr>
        <w:t>MLV”</w:t>
      </w:r>
      <w:r w:rsidR="00E47E83">
        <w:rPr>
          <w:rFonts w:ascii="Times New Roman" w:hAnsi="Times New Roman"/>
          <w:lang w:val="hu-HU"/>
        </w:rPr>
        <w:t xml:space="preserve"> mélynyomású</w:t>
      </w:r>
      <w:r w:rsidRPr="00CA29AC">
        <w:rPr>
          <w:rFonts w:ascii="Times New Roman" w:hAnsi="Times New Roman"/>
          <w:lang w:val="hu-HU"/>
        </w:rPr>
        <w:t xml:space="preserve"> </w:t>
      </w:r>
      <w:r w:rsidR="00E47E83">
        <w:rPr>
          <w:rFonts w:ascii="Times New Roman" w:hAnsi="Times New Roman"/>
          <w:lang w:val="hu-HU"/>
        </w:rPr>
        <w:t>felirattal ellátva,</w:t>
      </w:r>
      <w:r w:rsidR="00E47E83" w:rsidRPr="00E47E83">
        <w:rPr>
          <w:rFonts w:ascii="Times New Roman" w:hAnsi="Times New Roman"/>
          <w:lang w:val="hu-HU"/>
        </w:rPr>
        <w:t xml:space="preserve"> </w:t>
      </w:r>
      <w:r w:rsidR="00E47E83">
        <w:rPr>
          <w:rFonts w:ascii="Times New Roman" w:hAnsi="Times New Roman"/>
          <w:lang w:val="hu-HU"/>
        </w:rPr>
        <w:t>a</w:t>
      </w:r>
      <w:r w:rsidRPr="00E47E83">
        <w:rPr>
          <w:rFonts w:ascii="Times New Roman" w:hAnsi="Times New Roman"/>
          <w:lang w:val="hu-HU"/>
        </w:rPr>
        <w:t xml:space="preserve"> másik oldal</w:t>
      </w:r>
      <w:r w:rsidRPr="00CA29AC">
        <w:rPr>
          <w:rFonts w:ascii="Times New Roman" w:hAnsi="Times New Roman"/>
          <w:lang w:val="hu-HU"/>
        </w:rPr>
        <w:t>a</w:t>
      </w:r>
      <w:r w:rsidR="00E47E83">
        <w:rPr>
          <w:rFonts w:ascii="Times New Roman" w:hAnsi="Times New Roman"/>
          <w:lang w:val="hu-HU"/>
        </w:rPr>
        <w:t xml:space="preserve"> </w:t>
      </w:r>
      <w:r w:rsidR="00E47E83" w:rsidRPr="00E47E83">
        <w:rPr>
          <w:rFonts w:ascii="Times New Roman" w:hAnsi="Times New Roman"/>
          <w:lang w:val="hu-HU"/>
        </w:rPr>
        <w:t>sima</w:t>
      </w:r>
      <w:r w:rsidRPr="00E47E83">
        <w:rPr>
          <w:rFonts w:ascii="Times New Roman" w:hAnsi="Times New Roman"/>
          <w:lang w:val="hu-HU"/>
        </w:rPr>
        <w:t>.</w:t>
      </w:r>
    </w:p>
    <w:p w14:paraId="5C081E58" w14:textId="77777777" w:rsidR="004E45CA" w:rsidRPr="00E47E83" w:rsidRDefault="004E45CA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698E60B" w14:textId="1440B05F" w:rsidR="00EF31E8" w:rsidRPr="00E47E83" w:rsidRDefault="00E47365" w:rsidP="00AE15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bidi="en-US"/>
        </w:rPr>
      </w:pPr>
      <w:r w:rsidRPr="00E47E83">
        <w:rPr>
          <w:rFonts w:ascii="Times New Roman" w:hAnsi="Times New Roman"/>
          <w:u w:val="single"/>
          <w:lang w:val="hu-HU"/>
        </w:rPr>
        <w:t>Radicut 50</w:t>
      </w:r>
      <w:r w:rsidR="00133E46">
        <w:rPr>
          <w:rFonts w:ascii="Times New Roman" w:hAnsi="Times New Roman"/>
          <w:u w:val="single"/>
          <w:lang w:val="hu-HU"/>
        </w:rPr>
        <w:t xml:space="preserve"> mg</w:t>
      </w:r>
      <w:r w:rsidRPr="00E47E83">
        <w:rPr>
          <w:rFonts w:ascii="Times New Roman" w:hAnsi="Times New Roman"/>
          <w:u w:val="single"/>
          <w:lang w:val="hu-HU"/>
        </w:rPr>
        <w:t>/1000 mg</w:t>
      </w:r>
      <w:r w:rsidR="00E73521" w:rsidRPr="00E47E83">
        <w:rPr>
          <w:rFonts w:ascii="Times New Roman" w:hAnsi="Times New Roman"/>
          <w:u w:val="single"/>
          <w:lang w:val="hu-HU"/>
        </w:rPr>
        <w:t xml:space="preserve"> filmtabletta</w:t>
      </w:r>
    </w:p>
    <w:p w14:paraId="62BE3D1D" w14:textId="4F9788AE" w:rsidR="009A5986" w:rsidRPr="00CA29AC" w:rsidRDefault="0062194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47365" w:rsidRPr="00E47E83">
        <w:rPr>
          <w:rFonts w:ascii="Times New Roman" w:hAnsi="Times New Roman"/>
          <w:lang w:val="hu-HU"/>
        </w:rPr>
        <w:t>Radicut 50</w:t>
      </w:r>
      <w:r w:rsidR="00133E46">
        <w:rPr>
          <w:rFonts w:ascii="Times New Roman" w:hAnsi="Times New Roman"/>
          <w:lang w:val="hu-HU"/>
        </w:rPr>
        <w:t xml:space="preserve"> mg</w:t>
      </w:r>
      <w:r w:rsidR="00E47365" w:rsidRPr="00E47E83">
        <w:rPr>
          <w:rFonts w:ascii="Times New Roman" w:hAnsi="Times New Roman"/>
          <w:lang w:val="hu-HU"/>
        </w:rPr>
        <w:t>/1000 mg</w:t>
      </w:r>
      <w:r w:rsidRPr="00E47E83">
        <w:rPr>
          <w:rFonts w:ascii="Times New Roman" w:hAnsi="Times New Roman"/>
          <w:lang w:val="hu-HU"/>
        </w:rPr>
        <w:t xml:space="preserve"> filmtabletta sötétsárga, ovális, 21,1 mm névleges hosszúságú és 9,1 mm névleges szélességű</w:t>
      </w:r>
      <w:r w:rsidR="00E47E83" w:rsidRPr="00E47E83">
        <w:rPr>
          <w:rFonts w:ascii="Times New Roman" w:hAnsi="Times New Roman"/>
          <w:lang w:val="hu-HU"/>
        </w:rPr>
        <w:t xml:space="preserve"> </w:t>
      </w:r>
      <w:r w:rsidR="00E47E83">
        <w:rPr>
          <w:rFonts w:ascii="Times New Roman" w:hAnsi="Times New Roman"/>
          <w:lang w:val="hu-HU"/>
        </w:rPr>
        <w:t>filmbevonatú tabletta</w:t>
      </w:r>
      <w:r w:rsidRPr="00E47E83">
        <w:rPr>
          <w:rFonts w:ascii="Times New Roman" w:hAnsi="Times New Roman"/>
          <w:lang w:val="hu-HU"/>
        </w:rPr>
        <w:t xml:space="preserve">, egyik oldalán „MHV” </w:t>
      </w:r>
      <w:r w:rsidR="00E47E83">
        <w:rPr>
          <w:rFonts w:ascii="Times New Roman" w:hAnsi="Times New Roman"/>
          <w:lang w:val="hu-HU"/>
        </w:rPr>
        <w:t>mélynyomású felirattal ellátva,</w:t>
      </w:r>
      <w:r w:rsidR="00E47E83" w:rsidRPr="00E47E83">
        <w:rPr>
          <w:rFonts w:ascii="Times New Roman" w:hAnsi="Times New Roman"/>
          <w:lang w:val="hu-HU"/>
        </w:rPr>
        <w:t xml:space="preserve"> </w:t>
      </w:r>
      <w:r w:rsidR="00E47E83">
        <w:rPr>
          <w:rFonts w:ascii="Times New Roman" w:hAnsi="Times New Roman"/>
          <w:lang w:val="hu-HU"/>
        </w:rPr>
        <w:t>a</w:t>
      </w:r>
      <w:r w:rsidRPr="00E47E83">
        <w:rPr>
          <w:rFonts w:ascii="Times New Roman" w:hAnsi="Times New Roman"/>
          <w:lang w:val="hu-HU"/>
        </w:rPr>
        <w:t xml:space="preserve"> másik oldala</w:t>
      </w:r>
      <w:r w:rsidR="00E47E83" w:rsidRPr="00E47E83">
        <w:rPr>
          <w:rFonts w:ascii="Times New Roman" w:hAnsi="Times New Roman"/>
          <w:lang w:val="hu-HU"/>
        </w:rPr>
        <w:t xml:space="preserve"> </w:t>
      </w:r>
      <w:r w:rsidR="00E47E83" w:rsidRPr="00B953CD">
        <w:rPr>
          <w:rFonts w:ascii="Times New Roman" w:hAnsi="Times New Roman"/>
          <w:lang w:val="hu-HU"/>
        </w:rPr>
        <w:t>sima</w:t>
      </w:r>
      <w:r w:rsidRPr="00E47E83">
        <w:rPr>
          <w:rFonts w:ascii="Times New Roman" w:hAnsi="Times New Roman"/>
          <w:lang w:val="hu-HU"/>
        </w:rPr>
        <w:t>.</w:t>
      </w:r>
    </w:p>
    <w:p w14:paraId="7D8328A5" w14:textId="77777777" w:rsidR="0034453E" w:rsidRPr="00E47E83" w:rsidRDefault="0034453E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BBB3482" w14:textId="77777777" w:rsidR="006B5569" w:rsidRPr="00E47E83" w:rsidRDefault="006B5569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bookmarkStart w:id="0" w:name="_Hlk57208814"/>
    </w:p>
    <w:p w14:paraId="47DA2EBA" w14:textId="77777777" w:rsidR="006B5569" w:rsidRPr="00CA29AC" w:rsidRDefault="006B5569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4.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KLINIKAI JELLEMZŐK</w:t>
      </w:r>
    </w:p>
    <w:p w14:paraId="183F64B3" w14:textId="77777777" w:rsidR="00BC3019" w:rsidRPr="00CA29AC" w:rsidRDefault="00BC3019" w:rsidP="00E92AEE">
      <w:pPr>
        <w:spacing w:after="0" w:line="240" w:lineRule="auto"/>
        <w:rPr>
          <w:rFonts w:ascii="Times New Roman" w:hAnsi="Times New Roman"/>
          <w:caps/>
          <w:lang w:val="hu-HU"/>
        </w:rPr>
      </w:pPr>
    </w:p>
    <w:p w14:paraId="5306D34F" w14:textId="77777777" w:rsidR="00AD559C" w:rsidRPr="00E47E83" w:rsidRDefault="00AD559C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4.1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Terápiás javallatok</w:t>
      </w:r>
    </w:p>
    <w:p w14:paraId="47E564F3" w14:textId="77777777" w:rsidR="000D7DA3" w:rsidRPr="00CA29AC" w:rsidRDefault="000D7DA3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465EA3A8" w14:textId="4AB4C002" w:rsidR="00EF31E8" w:rsidRPr="00CA29AC" w:rsidRDefault="00FC7E1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a 2-es típusú cukorbetegség</w:t>
      </w:r>
      <w:r w:rsidR="007C0539" w:rsidRPr="00E47E83">
        <w:rPr>
          <w:rFonts w:ascii="Times New Roman" w:hAnsi="Times New Roman"/>
          <w:lang w:val="hu-HU"/>
        </w:rPr>
        <w:t>ben</w:t>
      </w:r>
      <w:r w:rsidR="007C0539" w:rsidRPr="00E47E83">
        <w:rPr>
          <w:rFonts w:ascii="Times New Roman" w:hAnsi="Times New Roman"/>
          <w:color w:val="000000"/>
          <w:sz w:val="24"/>
          <w:lang w:val="hu-HU"/>
        </w:rPr>
        <w:t xml:space="preserve"> </w:t>
      </w:r>
      <w:r w:rsidR="007C0539" w:rsidRPr="00E47E83">
        <w:rPr>
          <w:rFonts w:ascii="Times New Roman" w:hAnsi="Times New Roman"/>
          <w:lang w:val="hu-HU"/>
        </w:rPr>
        <w:t>szenvedő felnőttek glykaemiás kontrolljának javítására javallott a diéta és a testmozgás kiegészítéseként</w:t>
      </w:r>
      <w:r w:rsidRPr="00E47E83">
        <w:rPr>
          <w:rFonts w:ascii="Times New Roman" w:hAnsi="Times New Roman"/>
          <w:lang w:val="hu-HU"/>
        </w:rPr>
        <w:t>:</w:t>
      </w:r>
    </w:p>
    <w:p w14:paraId="37B934A8" w14:textId="2932865C" w:rsidR="007C0539" w:rsidRPr="00E47E83" w:rsidRDefault="007C0539" w:rsidP="00E92AEE">
      <w:pPr>
        <w:pStyle w:val="Listaszerbekezds"/>
        <w:numPr>
          <w:ilvl w:val="0"/>
          <w:numId w:val="17"/>
        </w:numPr>
        <w:spacing w:line="240" w:lineRule="auto"/>
        <w:ind w:left="567" w:right="746" w:hanging="346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O</w:t>
      </w:r>
      <w:r w:rsidR="003678B5" w:rsidRPr="00E47E83">
        <w:rPr>
          <w:rFonts w:ascii="Times New Roman" w:hAnsi="Times New Roman"/>
          <w:lang w:val="hu-HU"/>
        </w:rPr>
        <w:t>lyan betegek</w:t>
      </w:r>
      <w:r w:rsidRPr="00E47E83">
        <w:rPr>
          <w:rFonts w:ascii="Times New Roman" w:hAnsi="Times New Roman"/>
          <w:lang w:val="hu-HU"/>
        </w:rPr>
        <w:t>nél</w:t>
      </w:r>
      <w:r w:rsidR="003678B5" w:rsidRPr="00E47E83">
        <w:rPr>
          <w:rFonts w:ascii="Times New Roman" w:hAnsi="Times New Roman"/>
          <w:lang w:val="hu-HU"/>
        </w:rPr>
        <w:t>, akiknél a monoterápiában alkalmazott metformin</w:t>
      </w:r>
      <w:r w:rsidR="00065EA2" w:rsidRPr="00E47E83">
        <w:rPr>
          <w:rFonts w:ascii="Times New Roman" w:hAnsi="Times New Roman"/>
          <w:lang w:val="hu-HU"/>
        </w:rPr>
        <w:t>-</w:t>
      </w:r>
      <w:r w:rsidR="00E64551" w:rsidRPr="00E47E83">
        <w:rPr>
          <w:rFonts w:ascii="Times New Roman" w:hAnsi="Times New Roman"/>
          <w:lang w:val="hu-HU"/>
        </w:rPr>
        <w:t>hidroklorid</w:t>
      </w:r>
      <w:r w:rsidR="003678B5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>nem biztosít megfelelő kontrollt.</w:t>
      </w:r>
    </w:p>
    <w:p w14:paraId="5725D597" w14:textId="48DD9062" w:rsidR="007C0539" w:rsidRPr="00E47E83" w:rsidRDefault="007C0539" w:rsidP="00E92AEE">
      <w:pPr>
        <w:pStyle w:val="Listaszerbekezds"/>
        <w:numPr>
          <w:ilvl w:val="0"/>
          <w:numId w:val="17"/>
        </w:numPr>
        <w:spacing w:after="0" w:line="240" w:lineRule="auto"/>
        <w:ind w:left="567" w:right="476" w:hanging="346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Olyan betegeknél, akiket már különálló tablettákban adott vildagliptin és metformin</w:t>
      </w:r>
      <w:r w:rsidR="00065EA2" w:rsidRPr="00E47E83">
        <w:rPr>
          <w:rFonts w:ascii="Times New Roman" w:hAnsi="Times New Roman"/>
          <w:lang w:val="hu-HU"/>
        </w:rPr>
        <w:t>-</w:t>
      </w:r>
      <w:r w:rsidR="00E64551" w:rsidRPr="00E47E83">
        <w:rPr>
          <w:rFonts w:ascii="Times New Roman" w:hAnsi="Times New Roman"/>
          <w:lang w:val="hu-HU"/>
        </w:rPr>
        <w:t>hidroklorid</w:t>
      </w:r>
      <w:r w:rsidRPr="00E47E83">
        <w:rPr>
          <w:rFonts w:ascii="Times New Roman" w:hAnsi="Times New Roman"/>
          <w:lang w:val="hu-HU"/>
        </w:rPr>
        <w:t xml:space="preserve"> kombinációval kezelnek. </w:t>
      </w:r>
    </w:p>
    <w:p w14:paraId="617FE369" w14:textId="77777777" w:rsidR="007C0539" w:rsidRPr="00E47E83" w:rsidRDefault="007C0539" w:rsidP="00E92AEE">
      <w:pPr>
        <w:autoSpaceDE w:val="0"/>
        <w:autoSpaceDN w:val="0"/>
        <w:adjustRightInd w:val="0"/>
        <w:spacing w:after="0" w:line="240" w:lineRule="auto"/>
        <w:ind w:left="567" w:hanging="346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ab/>
        <w:t xml:space="preserve">Más gyógyszerekkel, köztük inzulinnal kombinálva a cukorbetegség kezelésére abban az esetben, ha ezek az egyéb gyógyszerek nem biztosítanak megfelelő glykaemiás kontrollt (a különböző kombinációkkal rendelkezésre álló adatokat lásd a 4.4, 4.5 és 5.1 pontban). </w:t>
      </w:r>
    </w:p>
    <w:p w14:paraId="02442005" w14:textId="77777777" w:rsidR="00EF31E8" w:rsidRPr="00E47E83" w:rsidRDefault="00EF31E8" w:rsidP="007C0539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lang w:val="hu-HU"/>
        </w:rPr>
      </w:pPr>
    </w:p>
    <w:p w14:paraId="0A8D1060" w14:textId="77777777" w:rsidR="00EF31E8" w:rsidRPr="00E47E83" w:rsidRDefault="00EF31E8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0B9DAF6" w14:textId="77777777" w:rsidR="009D22C9" w:rsidRPr="00CA29AC" w:rsidRDefault="009D22C9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4.2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Adagolás és alkalmazás</w:t>
      </w:r>
    </w:p>
    <w:p w14:paraId="55120704" w14:textId="77777777" w:rsidR="000D7DA3" w:rsidRPr="00CA29AC" w:rsidRDefault="000D7DA3" w:rsidP="00E92AEE">
      <w:pPr>
        <w:spacing w:after="0" w:line="240" w:lineRule="auto"/>
        <w:outlineLvl w:val="0"/>
        <w:rPr>
          <w:rFonts w:ascii="Times New Roman" w:hAnsi="Times New Roman"/>
          <w:lang w:val="hu-HU"/>
        </w:rPr>
      </w:pPr>
    </w:p>
    <w:p w14:paraId="2FA41872" w14:textId="77777777" w:rsidR="003E3592" w:rsidRPr="00CA29AC" w:rsidRDefault="00C52A0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Adagolás</w:t>
      </w:r>
    </w:p>
    <w:p w14:paraId="454A87C9" w14:textId="77777777" w:rsidR="00915C02" w:rsidRPr="00CA29AC" w:rsidRDefault="00915C02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747F09A" w14:textId="609831C2" w:rsidR="00EF31E8" w:rsidRPr="00E47E83" w:rsidRDefault="00AD129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lang w:val="hu-HU"/>
        </w:rPr>
      </w:pPr>
      <w:r w:rsidRPr="00E47E83">
        <w:rPr>
          <w:rFonts w:ascii="Times New Roman" w:hAnsi="Times New Roman"/>
          <w:i/>
          <w:lang w:val="hu-HU"/>
        </w:rPr>
        <w:t xml:space="preserve">Normál </w:t>
      </w:r>
      <w:r w:rsidRPr="00CA29AC">
        <w:rPr>
          <w:rFonts w:ascii="Times New Roman" w:hAnsi="Times New Roman"/>
          <w:i/>
          <w:lang w:val="hu-HU"/>
        </w:rPr>
        <w:t xml:space="preserve">veseműködésű </w:t>
      </w:r>
      <w:r w:rsidRPr="00E47E83">
        <w:rPr>
          <w:rFonts w:ascii="Times New Roman" w:eastAsia="Times New Roman" w:hAnsi="Times New Roman"/>
          <w:i/>
          <w:lang w:val="hu-HU" w:bidi="en-US"/>
        </w:rPr>
        <w:t>felnőttek (GFR</w:t>
      </w:r>
      <w:r w:rsidR="00692A2C" w:rsidRPr="00CA29AC">
        <w:rPr>
          <w:rFonts w:ascii="Times New Roman" w:hAnsi="Times New Roman"/>
          <w:i/>
          <w:iCs/>
          <w:lang w:val="hu-HU"/>
        </w:rPr>
        <w:t> </w:t>
      </w:r>
      <w:r w:rsidRPr="00E47E83">
        <w:rPr>
          <w:rFonts w:ascii="Times New Roman" w:hAnsi="Times New Roman"/>
          <w:i/>
          <w:iCs/>
          <w:lang w:val="hu-HU"/>
        </w:rPr>
        <w:t>≥</w:t>
      </w:r>
      <w:r w:rsidR="00692A2C" w:rsidRPr="00E47E83">
        <w:rPr>
          <w:rFonts w:ascii="Times New Roman" w:hAnsi="Times New Roman"/>
          <w:i/>
          <w:iCs/>
          <w:lang w:val="hu-HU"/>
        </w:rPr>
        <w:t> </w:t>
      </w:r>
      <w:r w:rsidRPr="00E47E83">
        <w:rPr>
          <w:rFonts w:ascii="Times New Roman" w:hAnsi="Times New Roman"/>
          <w:i/>
          <w:lang w:val="hu-HU"/>
        </w:rPr>
        <w:t>90</w:t>
      </w:r>
      <w:r w:rsidR="00692A2C" w:rsidRPr="00E47E83">
        <w:rPr>
          <w:rFonts w:ascii="Times New Roman" w:hAnsi="Times New Roman"/>
          <w:i/>
          <w:iCs/>
          <w:lang w:val="hu-HU"/>
        </w:rPr>
        <w:t> </w:t>
      </w:r>
      <w:r w:rsidRPr="00E47E83">
        <w:rPr>
          <w:rFonts w:ascii="Times New Roman" w:hAnsi="Times New Roman"/>
          <w:i/>
          <w:lang w:val="hu-HU"/>
        </w:rPr>
        <w:t>ml/perc</w:t>
      </w:r>
      <w:r w:rsidRPr="00CA29AC">
        <w:rPr>
          <w:rFonts w:ascii="Times New Roman" w:hAnsi="Times New Roman"/>
          <w:i/>
          <w:lang w:val="hu-HU"/>
        </w:rPr>
        <w:t>)</w:t>
      </w:r>
    </w:p>
    <w:p w14:paraId="7DE621D4" w14:textId="3E0BE9DA" w:rsidR="00EF31E8" w:rsidRPr="00CA29AC" w:rsidRDefault="0040239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 xml:space="preserve">A </w:t>
      </w:r>
      <w:r w:rsidR="00EA0649" w:rsidRPr="00E47E83">
        <w:rPr>
          <w:rFonts w:ascii="Times New Roman" w:eastAsia="Times New Roman" w:hAnsi="Times New Roman"/>
          <w:lang w:val="hu-HU" w:bidi="en-US"/>
        </w:rPr>
        <w:t>Radicut</w:t>
      </w:r>
      <w:r w:rsidRPr="00E47E83">
        <w:rPr>
          <w:rFonts w:ascii="Times New Roman" w:eastAsia="Times New Roman" w:hAnsi="Times New Roman"/>
          <w:lang w:val="hu-HU" w:bidi="en-US"/>
        </w:rPr>
        <w:t>-</w:t>
      </w:r>
      <w:r w:rsidR="00A11C9D" w:rsidRPr="00E47E83">
        <w:rPr>
          <w:rFonts w:ascii="Times New Roman" w:eastAsia="Times New Roman" w:hAnsi="Times New Roman"/>
          <w:lang w:val="hu-HU" w:bidi="en-US"/>
        </w:rPr>
        <w:t>t</w:t>
      </w:r>
      <w:r w:rsidRPr="00E47E83">
        <w:rPr>
          <w:rFonts w:ascii="Times New Roman" w:eastAsia="Times New Roman" w:hAnsi="Times New Roman"/>
          <w:lang w:val="hu-HU" w:bidi="en-US"/>
        </w:rPr>
        <w:t>al végzett antih</w:t>
      </w:r>
      <w:r w:rsidR="00CA7916" w:rsidRPr="00E47E83">
        <w:rPr>
          <w:rFonts w:ascii="Times New Roman" w:eastAsia="Times New Roman" w:hAnsi="Times New Roman"/>
          <w:lang w:val="hu-HU" w:bidi="en-US"/>
        </w:rPr>
        <w:t>y</w:t>
      </w:r>
      <w:r w:rsidRPr="00E47E83">
        <w:rPr>
          <w:rFonts w:ascii="Times New Roman" w:eastAsia="Times New Roman" w:hAnsi="Times New Roman"/>
          <w:lang w:val="hu-HU" w:bidi="en-US"/>
        </w:rPr>
        <w:t>pergl</w:t>
      </w:r>
      <w:r w:rsidR="00CA7916" w:rsidRPr="00E47E83">
        <w:rPr>
          <w:rFonts w:ascii="Times New Roman" w:eastAsia="Times New Roman" w:hAnsi="Times New Roman"/>
          <w:lang w:val="hu-HU" w:bidi="en-US"/>
        </w:rPr>
        <w:t>y</w:t>
      </w:r>
      <w:r w:rsidRPr="00E47E83">
        <w:rPr>
          <w:rFonts w:ascii="Times New Roman" w:eastAsia="Times New Roman" w:hAnsi="Times New Roman"/>
          <w:lang w:val="hu-HU" w:bidi="en-US"/>
        </w:rPr>
        <w:t>k</w:t>
      </w:r>
      <w:r w:rsidR="00CA7916" w:rsidRPr="00E47E83">
        <w:rPr>
          <w:rFonts w:ascii="Times New Roman" w:eastAsia="Times New Roman" w:hAnsi="Times New Roman"/>
          <w:lang w:val="hu-HU" w:bidi="en-US"/>
        </w:rPr>
        <w:t>ae</w:t>
      </w:r>
      <w:r w:rsidRPr="00E47E83">
        <w:rPr>
          <w:rFonts w:ascii="Times New Roman" w:eastAsia="Times New Roman" w:hAnsi="Times New Roman"/>
          <w:lang w:val="hu-HU" w:bidi="en-US"/>
        </w:rPr>
        <w:t xml:space="preserve">miás kezelés dózisát a beteg aktuális </w:t>
      </w:r>
      <w:r w:rsidR="00E34602" w:rsidRPr="00E47E83">
        <w:rPr>
          <w:rFonts w:ascii="Times New Roman" w:eastAsia="Times New Roman" w:hAnsi="Times New Roman"/>
          <w:lang w:val="hu-HU" w:bidi="en-US"/>
        </w:rPr>
        <w:t>kezelési rendje</w:t>
      </w:r>
      <w:r w:rsidRPr="00E47E83">
        <w:rPr>
          <w:rFonts w:ascii="Times New Roman" w:eastAsia="Times New Roman" w:hAnsi="Times New Roman"/>
          <w:lang w:val="hu-HU" w:bidi="en-US"/>
        </w:rPr>
        <w:t xml:space="preserve">, </w:t>
      </w:r>
      <w:r w:rsidR="00305A9A" w:rsidRPr="00E47E83">
        <w:rPr>
          <w:rFonts w:ascii="Times New Roman" w:eastAsia="Times New Roman" w:hAnsi="Times New Roman"/>
          <w:lang w:val="hu-HU" w:bidi="en-US"/>
        </w:rPr>
        <w:t xml:space="preserve">a gyógyszer </w:t>
      </w:r>
      <w:r w:rsidRPr="00E47E83">
        <w:rPr>
          <w:rFonts w:ascii="Times New Roman" w:eastAsia="Times New Roman" w:hAnsi="Times New Roman"/>
          <w:lang w:val="hu-HU" w:bidi="en-US"/>
        </w:rPr>
        <w:t>hatásossága és tolerabilitása alapján egyénre kell szabni, úgy</w:t>
      </w:r>
      <w:r w:rsidR="0046797C" w:rsidRPr="00E47E83">
        <w:rPr>
          <w:rFonts w:ascii="Times New Roman" w:eastAsia="Times New Roman" w:hAnsi="Times New Roman"/>
          <w:lang w:val="hu-HU" w:bidi="en-US"/>
        </w:rPr>
        <w:t>,</w:t>
      </w:r>
      <w:r w:rsidRPr="00E47E83">
        <w:rPr>
          <w:rFonts w:ascii="Times New Roman" w:eastAsia="Times New Roman" w:hAnsi="Times New Roman"/>
          <w:lang w:val="hu-HU" w:bidi="en-US"/>
        </w:rPr>
        <w:t xml:space="preserve"> hogy eközben a vildagliptin ne haladja meg a javasolt 100</w:t>
      </w:r>
      <w:r w:rsidR="0084394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 xml:space="preserve">mg-os maximális napi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>t</w:t>
      </w:r>
      <w:r w:rsidR="00415918" w:rsidRPr="00E47E83">
        <w:rPr>
          <w:rFonts w:ascii="Times New Roman" w:eastAsia="Times New Roman" w:hAnsi="Times New Roman"/>
          <w:lang w:val="hu-HU" w:bidi="en-US"/>
        </w:rPr>
        <w:t>.</w:t>
      </w:r>
      <w:r w:rsidR="00EF31E8" w:rsidRPr="00E47E83">
        <w:rPr>
          <w:rFonts w:ascii="Times New Roman" w:eastAsia="Times New Roman" w:hAnsi="Times New Roman"/>
          <w:lang w:val="hu-HU" w:bidi="en-US"/>
        </w:rPr>
        <w:t xml:space="preserve"> </w:t>
      </w:r>
      <w:r w:rsidR="00C1798B" w:rsidRPr="00E47E83">
        <w:rPr>
          <w:rFonts w:ascii="Times New Roman" w:eastAsia="Times New Roman" w:hAnsi="Times New Roman"/>
          <w:lang w:val="hu-HU" w:bidi="en-US"/>
        </w:rPr>
        <w:t xml:space="preserve">A </w:t>
      </w:r>
      <w:r w:rsidR="00EA0649" w:rsidRPr="00E47E83">
        <w:rPr>
          <w:rFonts w:ascii="Times New Roman" w:eastAsia="Times New Roman" w:hAnsi="Times New Roman"/>
          <w:lang w:val="hu-HU" w:bidi="en-US"/>
        </w:rPr>
        <w:t>Radicut</w:t>
      </w:r>
      <w:r w:rsidR="00C1798B" w:rsidRPr="00E47E83">
        <w:rPr>
          <w:rFonts w:ascii="Times New Roman" w:eastAsia="Times New Roman" w:hAnsi="Times New Roman"/>
          <w:lang w:val="hu-HU" w:bidi="en-US"/>
        </w:rPr>
        <w:t xml:space="preserve"> ad</w:t>
      </w:r>
      <w:r w:rsidR="00FE27A3" w:rsidRPr="00E47E83">
        <w:rPr>
          <w:rFonts w:ascii="Times New Roman" w:eastAsia="Times New Roman" w:hAnsi="Times New Roman"/>
          <w:lang w:val="hu-HU" w:bidi="en-US"/>
        </w:rPr>
        <w:t>agol</w:t>
      </w:r>
      <w:r w:rsidR="00C1798B" w:rsidRPr="00E47E83">
        <w:rPr>
          <w:rFonts w:ascii="Times New Roman" w:eastAsia="Times New Roman" w:hAnsi="Times New Roman"/>
          <w:lang w:val="hu-HU" w:bidi="en-US"/>
        </w:rPr>
        <w:t>ása vagy az</w:t>
      </w:r>
      <w:r w:rsidR="00C1798B" w:rsidRPr="00E47E83">
        <w:rPr>
          <w:rFonts w:ascii="Times New Roman" w:hAnsi="Times New Roman"/>
          <w:lang w:val="hu-HU"/>
        </w:rPr>
        <w:t xml:space="preserve"> </w:t>
      </w:r>
      <w:r w:rsidR="00C1798B" w:rsidRPr="00E47E83">
        <w:rPr>
          <w:rFonts w:ascii="Times New Roman" w:hAnsi="Times New Roman"/>
          <w:lang w:val="hu-HU"/>
        </w:rPr>
        <w:lastRenderedPageBreak/>
        <w:t>50</w:t>
      </w:r>
      <w:r w:rsidR="00692A2C" w:rsidRPr="00E47E83">
        <w:rPr>
          <w:rFonts w:ascii="Times New Roman" w:hAnsi="Times New Roman"/>
          <w:lang w:val="hu-HU"/>
        </w:rPr>
        <w:t> </w:t>
      </w:r>
      <w:r w:rsidR="00C1798B" w:rsidRPr="00E47E83">
        <w:rPr>
          <w:rFonts w:ascii="Times New Roman" w:hAnsi="Times New Roman"/>
          <w:lang w:val="hu-HU"/>
        </w:rPr>
        <w:t>mg/850</w:t>
      </w:r>
      <w:r w:rsidR="00692A2C" w:rsidRPr="00E47E83">
        <w:rPr>
          <w:rFonts w:ascii="Times New Roman" w:hAnsi="Times New Roman"/>
          <w:lang w:val="hu-HU"/>
        </w:rPr>
        <w:t> </w:t>
      </w:r>
      <w:r w:rsidR="00C1798B" w:rsidRPr="00E47E83">
        <w:rPr>
          <w:rFonts w:ascii="Times New Roman" w:hAnsi="Times New Roman"/>
          <w:lang w:val="hu-HU"/>
        </w:rPr>
        <w:t>mg-os vagy az 50</w:t>
      </w:r>
      <w:r w:rsidR="00692A2C" w:rsidRPr="00E47E83">
        <w:rPr>
          <w:rFonts w:ascii="Times New Roman" w:hAnsi="Times New Roman"/>
          <w:lang w:val="hu-HU"/>
        </w:rPr>
        <w:t> </w:t>
      </w:r>
      <w:r w:rsidR="00C1798B" w:rsidRPr="00E47E83">
        <w:rPr>
          <w:rFonts w:ascii="Times New Roman" w:hAnsi="Times New Roman"/>
          <w:lang w:val="hu-HU"/>
        </w:rPr>
        <w:t>mg/1000</w:t>
      </w:r>
      <w:r w:rsidR="00692A2C" w:rsidRPr="00E47E83">
        <w:rPr>
          <w:rFonts w:ascii="Times New Roman" w:hAnsi="Times New Roman"/>
          <w:lang w:val="hu-HU"/>
        </w:rPr>
        <w:t> </w:t>
      </w:r>
      <w:r w:rsidR="00C1798B" w:rsidRPr="00E47E83">
        <w:rPr>
          <w:rFonts w:ascii="Times New Roman" w:hAnsi="Times New Roman"/>
          <w:lang w:val="hu-HU"/>
        </w:rPr>
        <w:t>mg-os hatáserősségű tablettával kezdhető el, naponta kétszer</w:t>
      </w:r>
      <w:r w:rsidR="00305A9A" w:rsidRPr="00E47E83">
        <w:rPr>
          <w:rFonts w:ascii="Times New Roman" w:hAnsi="Times New Roman"/>
          <w:lang w:val="hu-HU"/>
        </w:rPr>
        <w:t xml:space="preserve"> adva</w:t>
      </w:r>
      <w:r w:rsidR="00C1798B" w:rsidRPr="00E47E83">
        <w:rPr>
          <w:rFonts w:ascii="Times New Roman" w:hAnsi="Times New Roman"/>
          <w:lang w:val="hu-HU"/>
        </w:rPr>
        <w:t>, egy</w:t>
      </w:r>
      <w:r w:rsidR="00305A9A" w:rsidRPr="00E47E83">
        <w:rPr>
          <w:rFonts w:ascii="Times New Roman" w:hAnsi="Times New Roman"/>
          <w:lang w:val="hu-HU"/>
        </w:rPr>
        <w:t>ik</w:t>
      </w:r>
      <w:r w:rsidR="00C1798B" w:rsidRPr="00E47E83">
        <w:rPr>
          <w:rFonts w:ascii="Times New Roman" w:hAnsi="Times New Roman"/>
          <w:lang w:val="hu-HU"/>
        </w:rPr>
        <w:t xml:space="preserve"> tabletta reggel és a másik este</w:t>
      </w:r>
      <w:r w:rsidR="00415918" w:rsidRPr="00E47E83">
        <w:rPr>
          <w:rFonts w:ascii="Times New Roman" w:hAnsi="Times New Roman"/>
          <w:lang w:val="hu-HU"/>
        </w:rPr>
        <w:t>.</w:t>
      </w:r>
    </w:p>
    <w:p w14:paraId="00ACB2B6" w14:textId="77777777" w:rsidR="0032526B" w:rsidRPr="00CA29AC" w:rsidRDefault="0032526B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C50AAC8" w14:textId="03635EB8" w:rsidR="001C7471" w:rsidRPr="00E47E83" w:rsidRDefault="00EF31E8" w:rsidP="00E92AE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="00415918" w:rsidRPr="00E47E83">
        <w:rPr>
          <w:rFonts w:ascii="Times New Roman" w:hAnsi="Times New Roman"/>
          <w:lang w:val="hu-HU"/>
        </w:rPr>
        <w:tab/>
      </w:r>
      <w:r w:rsidR="00163890" w:rsidRPr="00E47E83">
        <w:rPr>
          <w:rFonts w:ascii="Times New Roman" w:hAnsi="Times New Roman"/>
          <w:lang w:val="hu-HU"/>
        </w:rPr>
        <w:t>A metformin</w:t>
      </w:r>
      <w:r w:rsidR="00E47E83">
        <w:rPr>
          <w:rFonts w:ascii="Times New Roman" w:hAnsi="Times New Roman"/>
          <w:lang w:val="hu-HU"/>
        </w:rPr>
        <w:t>-</w:t>
      </w:r>
      <w:r w:rsidR="00163890" w:rsidRPr="00E47E83">
        <w:rPr>
          <w:rFonts w:ascii="Times New Roman" w:hAnsi="Times New Roman"/>
          <w:lang w:val="hu-HU"/>
        </w:rPr>
        <w:t xml:space="preserve">monoterápia maximális tolerált dózisával nem megfelelően </w:t>
      </w:r>
      <w:r w:rsidR="00305A9A" w:rsidRPr="00CA29AC">
        <w:rPr>
          <w:rFonts w:ascii="Times New Roman" w:hAnsi="Times New Roman"/>
          <w:lang w:val="hu-HU"/>
        </w:rPr>
        <w:t xml:space="preserve">kontrollált </w:t>
      </w:r>
      <w:r w:rsidR="00163890" w:rsidRPr="00CA29AC">
        <w:rPr>
          <w:rFonts w:ascii="Times New Roman" w:hAnsi="Times New Roman"/>
          <w:lang w:val="hu-HU"/>
        </w:rPr>
        <w:t>betegek</w:t>
      </w:r>
      <w:r w:rsidRPr="00CA29AC">
        <w:rPr>
          <w:rFonts w:ascii="Times New Roman" w:hAnsi="Times New Roman"/>
          <w:lang w:val="hu-HU"/>
        </w:rPr>
        <w:t>:</w:t>
      </w:r>
    </w:p>
    <w:p w14:paraId="3DB4C37A" w14:textId="5D8F8B38" w:rsidR="00EF31E8" w:rsidRPr="00E47E83" w:rsidRDefault="002F4DD6" w:rsidP="00E92AEE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kezdő dózis</w:t>
      </w:r>
      <w:r w:rsidR="00305A9A" w:rsidRPr="00E47E83">
        <w:rPr>
          <w:rFonts w:ascii="Times New Roman" w:hAnsi="Times New Roman"/>
          <w:lang w:val="hu-HU"/>
        </w:rPr>
        <w:t>ának</w:t>
      </w:r>
      <w:r w:rsidRPr="00E47E83">
        <w:rPr>
          <w:rFonts w:ascii="Times New Roman" w:hAnsi="Times New Roman"/>
          <w:lang w:val="hu-HU"/>
        </w:rPr>
        <w:t xml:space="preserve"> naponta kétszer 50</w:t>
      </w:r>
      <w:r w:rsidR="00692A2C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vildagliptint (100</w:t>
      </w:r>
      <w:r w:rsidR="00692A2C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 teljes napi dózist), plusz a már szedett metformin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t kell biztosít</w:t>
      </w:r>
      <w:r w:rsidR="00305A9A" w:rsidRPr="00E47E83">
        <w:rPr>
          <w:rFonts w:ascii="Times New Roman" w:hAnsi="Times New Roman"/>
          <w:lang w:val="hu-HU"/>
        </w:rPr>
        <w:t>ania</w:t>
      </w:r>
      <w:r w:rsidR="00EF31E8" w:rsidRPr="00E47E83">
        <w:rPr>
          <w:rFonts w:ascii="Times New Roman" w:hAnsi="Times New Roman"/>
          <w:lang w:val="hu-HU"/>
        </w:rPr>
        <w:t>.</w:t>
      </w:r>
    </w:p>
    <w:p w14:paraId="5ABBF842" w14:textId="77777777" w:rsidR="001C7471" w:rsidRPr="00CA29AC" w:rsidRDefault="001C7471" w:rsidP="00E92AE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lang w:val="hu-HU"/>
        </w:rPr>
      </w:pPr>
    </w:p>
    <w:p w14:paraId="782FED1D" w14:textId="77777777" w:rsidR="00635FDE" w:rsidRPr="00E47E83" w:rsidRDefault="00415918" w:rsidP="00E92AE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ab/>
      </w:r>
      <w:r w:rsidR="00635FDE" w:rsidRPr="00E47E83">
        <w:rPr>
          <w:rFonts w:ascii="Times New Roman" w:hAnsi="Times New Roman"/>
          <w:lang w:val="hu-HU"/>
        </w:rPr>
        <w:t xml:space="preserve">A külön-külön adott vildagliptin és metformin tablettákról </w:t>
      </w:r>
      <w:r w:rsidR="00635FDE" w:rsidRPr="00CA29AC">
        <w:rPr>
          <w:rFonts w:ascii="Times New Roman" w:hAnsi="Times New Roman"/>
          <w:lang w:val="hu-HU"/>
        </w:rPr>
        <w:t xml:space="preserve">átállításra </w:t>
      </w:r>
      <w:r w:rsidR="00635FDE" w:rsidRPr="00E47E83">
        <w:rPr>
          <w:rFonts w:ascii="Times New Roman" w:eastAsia="Times New Roman" w:hAnsi="Times New Roman"/>
          <w:lang w:val="hu-HU" w:bidi="en-US"/>
        </w:rPr>
        <w:t xml:space="preserve">kerülő betegek: </w:t>
      </w:r>
    </w:p>
    <w:p w14:paraId="61A87C60" w14:textId="6C76CD3B" w:rsidR="00EF31E8" w:rsidRPr="00E47E83" w:rsidRDefault="00635FDE" w:rsidP="00E92AEE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adását a már szedett vildagliptin és metformin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ban kell elkezdeni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7B85F0C" w14:textId="77777777" w:rsidR="001C7471" w:rsidRPr="00CA29AC" w:rsidRDefault="001C7471" w:rsidP="00E92AE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lang w:val="hu-HU"/>
        </w:rPr>
      </w:pPr>
    </w:p>
    <w:p w14:paraId="1722FF9E" w14:textId="01988F39" w:rsidR="001C7471" w:rsidRPr="00E47E83" w:rsidRDefault="00415918" w:rsidP="00E92AE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ab/>
      </w:r>
      <w:r w:rsidR="006252D5" w:rsidRPr="00E47E83">
        <w:rPr>
          <w:rFonts w:ascii="Times New Roman" w:hAnsi="Times New Roman"/>
          <w:lang w:val="hu-HU"/>
        </w:rPr>
        <w:t>A metformin és egy szulfonilurea kettős kombináció</w:t>
      </w:r>
      <w:r w:rsidR="00305A9A" w:rsidRPr="00CA29AC">
        <w:rPr>
          <w:rFonts w:ascii="Times New Roman" w:hAnsi="Times New Roman"/>
          <w:lang w:val="hu-HU"/>
        </w:rPr>
        <w:t>já</w:t>
      </w:r>
      <w:r w:rsidR="006252D5" w:rsidRPr="00CA29AC">
        <w:rPr>
          <w:rFonts w:ascii="Times New Roman" w:hAnsi="Times New Roman"/>
          <w:lang w:val="hu-HU"/>
        </w:rPr>
        <w:t xml:space="preserve">val nem megfelelően </w:t>
      </w:r>
      <w:r w:rsidR="00305A9A" w:rsidRPr="00CA29AC">
        <w:rPr>
          <w:rFonts w:ascii="Times New Roman" w:hAnsi="Times New Roman"/>
          <w:lang w:val="hu-HU"/>
        </w:rPr>
        <w:t xml:space="preserve">kontrollált </w:t>
      </w:r>
      <w:r w:rsidR="006252D5" w:rsidRPr="00CA29AC">
        <w:rPr>
          <w:rFonts w:ascii="Times New Roman" w:hAnsi="Times New Roman"/>
          <w:lang w:val="hu-HU"/>
        </w:rPr>
        <w:t>betegek</w:t>
      </w:r>
      <w:r w:rsidR="00EF31E8" w:rsidRPr="00CA29AC">
        <w:rPr>
          <w:rFonts w:ascii="Times New Roman" w:hAnsi="Times New Roman"/>
          <w:lang w:val="hu-HU"/>
        </w:rPr>
        <w:t>:</w:t>
      </w:r>
    </w:p>
    <w:p w14:paraId="34B502FA" w14:textId="163574B7" w:rsidR="00EF31E8" w:rsidRPr="00E47E83" w:rsidRDefault="00492A89" w:rsidP="00E92AEE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="00D47312" w:rsidRPr="00E47E83">
        <w:rPr>
          <w:rFonts w:ascii="Times New Roman" w:hAnsi="Times New Roman"/>
          <w:lang w:val="hu-HU"/>
        </w:rPr>
        <w:t xml:space="preserve"> dózi</w:t>
      </w:r>
      <w:r w:rsidR="00305A9A" w:rsidRPr="00E47E83">
        <w:rPr>
          <w:rFonts w:ascii="Times New Roman" w:hAnsi="Times New Roman"/>
          <w:lang w:val="hu-HU"/>
        </w:rPr>
        <w:t>sának</w:t>
      </w:r>
      <w:r w:rsidR="00D47312" w:rsidRPr="00E47E83">
        <w:rPr>
          <w:rFonts w:ascii="Times New Roman" w:hAnsi="Times New Roman"/>
          <w:lang w:val="hu-HU"/>
        </w:rPr>
        <w:t xml:space="preserve"> naponta kétszer 50</w:t>
      </w:r>
      <w:r w:rsidR="00692A2C" w:rsidRPr="00E47E83">
        <w:rPr>
          <w:rFonts w:ascii="Times New Roman" w:hAnsi="Times New Roman"/>
          <w:lang w:val="hu-HU"/>
        </w:rPr>
        <w:t> </w:t>
      </w:r>
      <w:r w:rsidR="00D47312" w:rsidRPr="00E47E83">
        <w:rPr>
          <w:rFonts w:ascii="Times New Roman" w:hAnsi="Times New Roman"/>
          <w:lang w:val="hu-HU"/>
        </w:rPr>
        <w:t>mg vildagliptint (100</w:t>
      </w:r>
      <w:r w:rsidR="00692A2C" w:rsidRPr="00E47E83">
        <w:rPr>
          <w:rFonts w:ascii="Times New Roman" w:hAnsi="Times New Roman"/>
          <w:lang w:val="hu-HU"/>
        </w:rPr>
        <w:t> </w:t>
      </w:r>
      <w:r w:rsidR="00D47312" w:rsidRPr="00E47E83">
        <w:rPr>
          <w:rFonts w:ascii="Times New Roman" w:hAnsi="Times New Roman"/>
          <w:lang w:val="hu-HU"/>
        </w:rPr>
        <w:t xml:space="preserve">mg teljes napi dózist) és a már szedett metformin </w:t>
      </w:r>
      <w:r w:rsidR="00931044" w:rsidRPr="00E47E83">
        <w:rPr>
          <w:rFonts w:ascii="Times New Roman" w:hAnsi="Times New Roman"/>
          <w:lang w:val="hu-HU"/>
        </w:rPr>
        <w:t>dózis</w:t>
      </w:r>
      <w:r w:rsidR="00D47312" w:rsidRPr="00E47E83">
        <w:rPr>
          <w:rFonts w:ascii="Times New Roman" w:hAnsi="Times New Roman"/>
          <w:lang w:val="hu-HU"/>
        </w:rPr>
        <w:t xml:space="preserve">hoz hasonló </w:t>
      </w:r>
      <w:r w:rsidR="00931044" w:rsidRPr="00E47E83">
        <w:rPr>
          <w:rFonts w:ascii="Times New Roman" w:hAnsi="Times New Roman"/>
          <w:lang w:val="hu-HU"/>
        </w:rPr>
        <w:t>dózis</w:t>
      </w:r>
      <w:r w:rsidR="00D47312" w:rsidRPr="00E47E83">
        <w:rPr>
          <w:rFonts w:ascii="Times New Roman" w:hAnsi="Times New Roman"/>
          <w:lang w:val="hu-HU"/>
        </w:rPr>
        <w:t>t kell biztosít</w:t>
      </w:r>
      <w:r w:rsidR="00305A9A" w:rsidRPr="00E47E83">
        <w:rPr>
          <w:rFonts w:ascii="Times New Roman" w:hAnsi="Times New Roman"/>
          <w:lang w:val="hu-HU"/>
        </w:rPr>
        <w:t>ania</w:t>
      </w:r>
      <w:r w:rsidR="00D47312" w:rsidRPr="00E47E83">
        <w:rPr>
          <w:rFonts w:ascii="Times New Roman" w:hAnsi="Times New Roman"/>
          <w:lang w:val="hu-HU"/>
        </w:rPr>
        <w:t xml:space="preserve">. Ha a </w:t>
      </w:r>
      <w:r w:rsidR="00EA0649" w:rsidRPr="00E47E83">
        <w:rPr>
          <w:rFonts w:ascii="Times New Roman" w:hAnsi="Times New Roman"/>
          <w:lang w:val="hu-HU"/>
        </w:rPr>
        <w:t>Radicut</w:t>
      </w:r>
      <w:r w:rsidR="00D47312" w:rsidRPr="00E47E83">
        <w:rPr>
          <w:rFonts w:ascii="Times New Roman" w:hAnsi="Times New Roman"/>
          <w:lang w:val="hu-HU"/>
        </w:rPr>
        <w:t>-</w:t>
      </w:r>
      <w:r w:rsidR="00D86A8E">
        <w:rPr>
          <w:rFonts w:ascii="Times New Roman" w:hAnsi="Times New Roman"/>
          <w:lang w:val="hu-HU"/>
        </w:rPr>
        <w:t>o</w:t>
      </w:r>
      <w:r w:rsidR="00D47312" w:rsidRPr="00E47E83">
        <w:rPr>
          <w:rFonts w:ascii="Times New Roman" w:hAnsi="Times New Roman"/>
          <w:lang w:val="hu-HU"/>
        </w:rPr>
        <w:t xml:space="preserve">t </w:t>
      </w:r>
      <w:r w:rsidR="00E64551" w:rsidRPr="00E47E83">
        <w:rPr>
          <w:rFonts w:ascii="Times New Roman" w:hAnsi="Times New Roman"/>
          <w:lang w:val="hu-HU"/>
        </w:rPr>
        <w:t>szulfonilureával</w:t>
      </w:r>
      <w:r w:rsidR="00132016" w:rsidRPr="00E47E83">
        <w:rPr>
          <w:rFonts w:ascii="Times New Roman" w:hAnsi="Times New Roman"/>
          <w:lang w:val="hu-HU"/>
        </w:rPr>
        <w:t xml:space="preserve"> </w:t>
      </w:r>
      <w:r w:rsidR="00D47312" w:rsidRPr="00E47E83">
        <w:rPr>
          <w:rFonts w:ascii="Times New Roman" w:hAnsi="Times New Roman"/>
          <w:lang w:val="hu-HU"/>
        </w:rPr>
        <w:t xml:space="preserve">kombinációban alkalmazzák, akkor a hypoglykaemia kockázatának csökkentése érdekében </w:t>
      </w:r>
      <w:r w:rsidR="00305A9A" w:rsidRPr="00E47E83">
        <w:rPr>
          <w:rFonts w:ascii="Times New Roman" w:hAnsi="Times New Roman"/>
          <w:lang w:val="hu-HU"/>
        </w:rPr>
        <w:t xml:space="preserve">a </w:t>
      </w:r>
      <w:r w:rsidR="00D47312" w:rsidRPr="00E47E83">
        <w:rPr>
          <w:rFonts w:ascii="Times New Roman" w:hAnsi="Times New Roman"/>
          <w:lang w:val="hu-HU"/>
        </w:rPr>
        <w:t xml:space="preserve">szulfonilurea </w:t>
      </w:r>
      <w:r w:rsidR="00305A9A" w:rsidRPr="00E47E83">
        <w:rPr>
          <w:rFonts w:ascii="Times New Roman" w:hAnsi="Times New Roman"/>
          <w:lang w:val="hu-HU"/>
        </w:rPr>
        <w:t xml:space="preserve">kisebb </w:t>
      </w:r>
      <w:r w:rsidR="00D47312" w:rsidRPr="00E47E83">
        <w:rPr>
          <w:rFonts w:ascii="Times New Roman" w:hAnsi="Times New Roman"/>
          <w:lang w:val="hu-HU"/>
        </w:rPr>
        <w:t>dózis</w:t>
      </w:r>
      <w:r w:rsidR="00305A9A" w:rsidRPr="00E47E83">
        <w:rPr>
          <w:rFonts w:ascii="Times New Roman" w:hAnsi="Times New Roman"/>
          <w:lang w:val="hu-HU"/>
        </w:rPr>
        <w:t>ban történő</w:t>
      </w:r>
      <w:r w:rsidR="00D47312" w:rsidRPr="00E47E83">
        <w:rPr>
          <w:rFonts w:ascii="Times New Roman" w:hAnsi="Times New Roman"/>
          <w:lang w:val="hu-HU"/>
        </w:rPr>
        <w:t xml:space="preserve"> adását kell mérlegelni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F3FFB9A" w14:textId="77777777" w:rsidR="001C7471" w:rsidRPr="00CA29AC" w:rsidRDefault="001C7471" w:rsidP="00E92AE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lang w:val="hu-HU"/>
        </w:rPr>
      </w:pPr>
    </w:p>
    <w:p w14:paraId="74A4010F" w14:textId="77777777" w:rsidR="001C7471" w:rsidRPr="00E47E83" w:rsidRDefault="00415918" w:rsidP="00E92AE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ab/>
      </w:r>
      <w:r w:rsidR="002321FB" w:rsidRPr="00E47E83">
        <w:rPr>
          <w:rFonts w:ascii="Times New Roman" w:hAnsi="Times New Roman"/>
          <w:lang w:val="hu-HU"/>
        </w:rPr>
        <w:t xml:space="preserve">Az inzulin és a metformin maximális tolerált dózisának kettős kombinációjával nem megfelelően </w:t>
      </w:r>
      <w:r w:rsidR="00305A9A" w:rsidRPr="00E47E83">
        <w:rPr>
          <w:rFonts w:ascii="Times New Roman" w:hAnsi="Times New Roman"/>
          <w:lang w:val="hu-HU"/>
        </w:rPr>
        <w:t xml:space="preserve">kontrollált </w:t>
      </w:r>
      <w:r w:rsidR="002321FB" w:rsidRPr="00E47E83">
        <w:rPr>
          <w:rFonts w:ascii="Times New Roman" w:hAnsi="Times New Roman"/>
          <w:lang w:val="hu-HU"/>
        </w:rPr>
        <w:t>betegek</w:t>
      </w:r>
      <w:r w:rsidR="00EF31E8" w:rsidRPr="00E47E83">
        <w:rPr>
          <w:rFonts w:ascii="Times New Roman" w:hAnsi="Times New Roman"/>
          <w:lang w:val="hu-HU"/>
        </w:rPr>
        <w:t>:</w:t>
      </w:r>
    </w:p>
    <w:p w14:paraId="52C98C8B" w14:textId="540AE964" w:rsidR="00EF31E8" w:rsidRPr="00CA29AC" w:rsidRDefault="00DD3D48" w:rsidP="00E92AEE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dózis</w:t>
      </w:r>
      <w:r w:rsidR="00305A9A" w:rsidRPr="00E47E83">
        <w:rPr>
          <w:rFonts w:ascii="Times New Roman" w:hAnsi="Times New Roman"/>
          <w:lang w:val="hu-HU"/>
        </w:rPr>
        <w:t>ának</w:t>
      </w:r>
      <w:r w:rsidRPr="00E47E83">
        <w:rPr>
          <w:rFonts w:ascii="Times New Roman" w:hAnsi="Times New Roman"/>
          <w:lang w:val="hu-HU"/>
        </w:rPr>
        <w:t xml:space="preserve"> naponta kétszer 50</w:t>
      </w:r>
      <w:r w:rsidR="00692A2C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vildagliptint (100</w:t>
      </w:r>
      <w:r w:rsidR="00692A2C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 teljes napi dózist) és a már szedett metformin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hoz hasonló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t kell biztosít</w:t>
      </w:r>
      <w:r w:rsidR="00305A9A" w:rsidRPr="00E47E83">
        <w:rPr>
          <w:rFonts w:ascii="Times New Roman" w:hAnsi="Times New Roman"/>
          <w:lang w:val="hu-HU"/>
        </w:rPr>
        <w:t>ania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9218026" w14:textId="77777777" w:rsidR="004E45CA" w:rsidRPr="00CA29AC" w:rsidRDefault="004E45C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53DE881" w14:textId="77777777" w:rsidR="00EF31E8" w:rsidRPr="00CA29AC" w:rsidRDefault="006F2E6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vildagliptin és metformin biztonságosságát és hatásosságát tiazolidindiont is tartalmazó hármas, orális kombinációban nem igazolták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30D6745" w14:textId="77777777" w:rsidR="004E45CA" w:rsidRPr="00CA29AC" w:rsidRDefault="004E45C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43F83B4" w14:textId="41A88462" w:rsidR="00EF31E8" w:rsidRPr="00E47E83" w:rsidRDefault="002B7BBA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bidi="en-US"/>
        </w:rPr>
      </w:pPr>
      <w:r w:rsidRPr="00E47E83">
        <w:rPr>
          <w:rFonts w:ascii="Times New Roman" w:hAnsi="Times New Roman"/>
          <w:i/>
          <w:u w:val="single"/>
          <w:lang w:val="hu-HU"/>
        </w:rPr>
        <w:t>Különleges betegcsoportok</w:t>
      </w:r>
    </w:p>
    <w:p w14:paraId="23AC6EBA" w14:textId="77777777" w:rsidR="00F240AC" w:rsidRPr="00E47E83" w:rsidRDefault="00F240AC" w:rsidP="00AE15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bidi="en-US"/>
        </w:rPr>
      </w:pPr>
      <w:r w:rsidRPr="00E47E83">
        <w:rPr>
          <w:rFonts w:ascii="Times New Roman" w:hAnsi="Times New Roman"/>
          <w:i/>
          <w:iCs/>
          <w:lang w:val="hu-HU"/>
        </w:rPr>
        <w:t>Idős</w:t>
      </w:r>
      <w:r w:rsidR="001D1B01" w:rsidRPr="00E47E83">
        <w:rPr>
          <w:rFonts w:ascii="Times New Roman" w:hAnsi="Times New Roman"/>
          <w:i/>
          <w:iCs/>
          <w:lang w:val="hu-HU"/>
        </w:rPr>
        <w:t>e</w:t>
      </w:r>
      <w:r w:rsidRPr="00E47E83">
        <w:rPr>
          <w:rFonts w:ascii="Times New Roman" w:hAnsi="Times New Roman"/>
          <w:i/>
          <w:iCs/>
          <w:lang w:val="hu-HU"/>
        </w:rPr>
        <w:t>k (≥</w:t>
      </w:r>
      <w:r w:rsidR="00692A2C" w:rsidRPr="00CA29AC">
        <w:rPr>
          <w:rFonts w:ascii="Times New Roman" w:hAnsi="Times New Roman"/>
          <w:i/>
          <w:iCs/>
          <w:lang w:val="hu-HU"/>
        </w:rPr>
        <w:t> </w:t>
      </w:r>
      <w:r w:rsidRPr="00E47E83">
        <w:rPr>
          <w:rFonts w:ascii="Times New Roman" w:hAnsi="Times New Roman"/>
          <w:i/>
          <w:iCs/>
          <w:lang w:val="hu-HU"/>
        </w:rPr>
        <w:t>65</w:t>
      </w:r>
      <w:r w:rsidR="00692A2C" w:rsidRPr="00CA29AC">
        <w:rPr>
          <w:rFonts w:ascii="Times New Roman" w:hAnsi="Times New Roman"/>
          <w:i/>
          <w:iCs/>
          <w:lang w:val="hu-HU"/>
        </w:rPr>
        <w:t> </w:t>
      </w:r>
      <w:r w:rsidRPr="00E47E83">
        <w:rPr>
          <w:rFonts w:ascii="Times New Roman" w:hAnsi="Times New Roman"/>
          <w:i/>
          <w:iCs/>
          <w:lang w:val="hu-HU"/>
        </w:rPr>
        <w:t>év)</w:t>
      </w:r>
    </w:p>
    <w:p w14:paraId="2920A359" w14:textId="1BCB48FB" w:rsidR="00EF31E8" w:rsidRPr="00CA29AC" w:rsidRDefault="00F5379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Mivel a metformin a vesén keresztül választódik ki, és az idős</w:t>
      </w:r>
      <w:r w:rsidR="00305A9A" w:rsidRPr="00E47E83">
        <w:rPr>
          <w:rFonts w:ascii="Times New Roman" w:eastAsia="Times New Roman" w:hAnsi="Times New Roman"/>
          <w:lang w:val="hu-HU" w:bidi="en-US"/>
        </w:rPr>
        <w:t xml:space="preserve"> beteg</w:t>
      </w:r>
      <w:r w:rsidR="001D1B01" w:rsidRPr="00E47E83">
        <w:rPr>
          <w:rFonts w:ascii="Times New Roman" w:eastAsia="Times New Roman" w:hAnsi="Times New Roman"/>
          <w:lang w:val="hu-HU" w:bidi="en-US"/>
        </w:rPr>
        <w:t>eknél jellemző a vesekárosodás kialakulása</w:t>
      </w:r>
      <w:r w:rsidRPr="00E47E83">
        <w:rPr>
          <w:rFonts w:ascii="Times New Roman" w:eastAsia="Times New Roman" w:hAnsi="Times New Roman"/>
          <w:lang w:val="hu-HU" w:bidi="en-US"/>
        </w:rPr>
        <w:t xml:space="preserve">, a </w:t>
      </w:r>
      <w:r w:rsidR="00EA0649" w:rsidRPr="00E47E83">
        <w:rPr>
          <w:rFonts w:ascii="Times New Roman" w:eastAsia="Times New Roman" w:hAnsi="Times New Roman"/>
          <w:lang w:val="hu-HU" w:bidi="en-US"/>
        </w:rPr>
        <w:t>Radicut</w:t>
      </w:r>
      <w:r w:rsidRPr="00E47E83">
        <w:rPr>
          <w:rFonts w:ascii="Times New Roman" w:eastAsia="Times New Roman" w:hAnsi="Times New Roman"/>
          <w:lang w:val="hu-HU" w:bidi="en-US"/>
        </w:rPr>
        <w:t>-</w:t>
      </w:r>
      <w:r w:rsidR="00D86A8E">
        <w:rPr>
          <w:rFonts w:ascii="Times New Roman" w:eastAsia="Times New Roman" w:hAnsi="Times New Roman"/>
          <w:lang w:val="hu-HU" w:bidi="en-US"/>
        </w:rPr>
        <w:t>o</w:t>
      </w:r>
      <w:r w:rsidRPr="00E47E83">
        <w:rPr>
          <w:rFonts w:ascii="Times New Roman" w:eastAsia="Times New Roman" w:hAnsi="Times New Roman"/>
          <w:lang w:val="hu-HU" w:bidi="en-US"/>
        </w:rPr>
        <w:t>t szedő idősek veseműködését rendszeresen ellenőrizni kell (lásd 4.4 és</w:t>
      </w:r>
      <w:r w:rsidRPr="00E47E83">
        <w:rPr>
          <w:rFonts w:ascii="Times New Roman" w:hAnsi="Times New Roman"/>
          <w:lang w:val="hu-HU"/>
        </w:rPr>
        <w:t xml:space="preserve"> 5.2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</w:t>
      </w:r>
      <w:r w:rsidR="00EF31E8" w:rsidRPr="00E47E83">
        <w:rPr>
          <w:rFonts w:ascii="Times New Roman" w:hAnsi="Times New Roman"/>
          <w:lang w:val="hu-HU"/>
        </w:rPr>
        <w:t>.</w:t>
      </w:r>
    </w:p>
    <w:p w14:paraId="642755A3" w14:textId="77777777" w:rsidR="00ED5A0A" w:rsidRPr="00CA29AC" w:rsidRDefault="00ED5A0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40D32EB" w14:textId="77777777" w:rsidR="00EF31E8" w:rsidRPr="00E47E83" w:rsidRDefault="00B04B92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bidi="en-US"/>
        </w:rPr>
      </w:pPr>
      <w:r w:rsidRPr="00E47E83">
        <w:rPr>
          <w:rFonts w:ascii="Times New Roman" w:hAnsi="Times New Roman"/>
          <w:i/>
          <w:lang w:val="hu-HU"/>
        </w:rPr>
        <w:t>Vesekárosodás</w:t>
      </w:r>
    </w:p>
    <w:p w14:paraId="19674002" w14:textId="4718F2AD" w:rsidR="00EF31E8" w:rsidRPr="00CA29AC" w:rsidRDefault="003366D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GFR értékét a metformin</w:t>
      </w:r>
      <w:r w:rsidR="00931044"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tartalmú készítménnyel folytatott kezelés megkezdése előtt és a kezelés során legalább évente ellenőrizni kell. A vesekárosodás további romlása szempontjából fokozott kockázatnak kitett betegeknél és időseknél a veseműködés gyakoribb, például 3-6</w:t>
      </w:r>
      <w:r w:rsidR="00AB5C9D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havonta történő ellenőrzése szükséges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90F5004" w14:textId="77777777" w:rsidR="00ED5A0A" w:rsidRPr="00CA29AC" w:rsidRDefault="00ED5A0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B7D6146" w14:textId="4EC7DAB4" w:rsidR="00EF31E8" w:rsidRPr="00CA29AC" w:rsidRDefault="00E212B2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metformin maximális napi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át lehetőleg naponta 2-3 részre kell elosztani. Azon betegeknél, akiknél a GFR</w:t>
      </w:r>
      <w:r w:rsidR="00D46E80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&lt;</w:t>
      </w:r>
      <w:r w:rsidR="00D46E80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60</w:t>
      </w:r>
      <w:r w:rsidR="00D46E80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ml/perc, a laktátacidózis kockázatát esetlegesen növelő faktorokat (lásd 4.4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</w:t>
      </w:r>
      <w:r w:rsidR="00305A9A" w:rsidRPr="00E47E83">
        <w:rPr>
          <w:rFonts w:ascii="Times New Roman" w:hAnsi="Times New Roman"/>
          <w:lang w:val="hu-HU"/>
        </w:rPr>
        <w:t xml:space="preserve"> felül kell vizsgálni</w:t>
      </w:r>
      <w:r w:rsidRPr="00E47E83">
        <w:rPr>
          <w:rFonts w:ascii="Times New Roman" w:hAnsi="Times New Roman"/>
          <w:lang w:val="hu-HU"/>
        </w:rPr>
        <w:t>, mielőtt a metformin</w:t>
      </w:r>
      <w:r w:rsidR="00D86A8E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kezelés megkezdése felmerül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409A0A2" w14:textId="77777777" w:rsidR="00ED5A0A" w:rsidRPr="00E47E83" w:rsidRDefault="00ED5A0A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0643767" w14:textId="24FC6F1F" w:rsidR="00EF31E8" w:rsidRPr="00CA29AC" w:rsidRDefault="001C50E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Amennyiben nem áll rendelkezésre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megfelelő hatáserősségű formája, a fix dózisú kombináció helyett az egyedi monokomponenseket kell alkalmazni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FAE2802" w14:textId="77777777" w:rsidR="00ED5A0A" w:rsidRPr="00CA29AC" w:rsidRDefault="00ED5A0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358E5" w:rsidRPr="00E47E83" w14:paraId="51736C78" w14:textId="77777777" w:rsidTr="00E92AEE">
        <w:tc>
          <w:tcPr>
            <w:tcW w:w="3020" w:type="dxa"/>
          </w:tcPr>
          <w:p w14:paraId="1741BA68" w14:textId="033FCD16" w:rsidR="00ED5A0A" w:rsidRPr="00CA29AC" w:rsidRDefault="00C311C8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GFR</w:t>
            </w:r>
            <w:r w:rsidR="00B04B92" w:rsidRPr="00E47E83">
              <w:rPr>
                <w:rFonts w:ascii="Times New Roman" w:hAnsi="Times New Roman"/>
                <w:lang w:val="hu-HU"/>
              </w:rPr>
              <w:t> </w:t>
            </w:r>
            <w:r w:rsidRPr="00E47E83">
              <w:rPr>
                <w:rFonts w:ascii="Times New Roman" w:hAnsi="Times New Roman"/>
                <w:lang w:val="hu-HU"/>
              </w:rPr>
              <w:t>ml/perc</w:t>
            </w:r>
          </w:p>
        </w:tc>
        <w:tc>
          <w:tcPr>
            <w:tcW w:w="3021" w:type="dxa"/>
          </w:tcPr>
          <w:p w14:paraId="4F98EDEA" w14:textId="77777777" w:rsidR="00ED5A0A" w:rsidRPr="00CA29AC" w:rsidRDefault="00ED5A0A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Metformin</w:t>
            </w:r>
          </w:p>
        </w:tc>
        <w:tc>
          <w:tcPr>
            <w:tcW w:w="3021" w:type="dxa"/>
          </w:tcPr>
          <w:p w14:paraId="38EC0472" w14:textId="77777777" w:rsidR="00ED5A0A" w:rsidRPr="00CA29AC" w:rsidRDefault="00ED5A0A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Vildagliptin</w:t>
            </w:r>
          </w:p>
        </w:tc>
      </w:tr>
      <w:tr w:rsidR="007358E5" w:rsidRPr="00A8414B" w14:paraId="5C5EF826" w14:textId="77777777" w:rsidTr="00E92AEE">
        <w:tc>
          <w:tcPr>
            <w:tcW w:w="3020" w:type="dxa"/>
          </w:tcPr>
          <w:p w14:paraId="54151661" w14:textId="41AB69C8" w:rsidR="00ED5A0A" w:rsidRPr="00CA29AC" w:rsidRDefault="00ED5A0A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60</w:t>
            </w:r>
            <w:r w:rsidR="00F85077" w:rsidRPr="00E47E83">
              <w:rPr>
                <w:rFonts w:ascii="Times New Roman" w:hAnsi="Times New Roman"/>
                <w:lang w:val="hu-HU"/>
              </w:rPr>
              <w:noBreakHyphen/>
            </w:r>
            <w:r w:rsidRPr="00E47E83">
              <w:rPr>
                <w:rFonts w:ascii="Times New Roman" w:hAnsi="Times New Roman"/>
                <w:lang w:val="hu-HU"/>
              </w:rPr>
              <w:t>89</w:t>
            </w:r>
          </w:p>
        </w:tc>
        <w:tc>
          <w:tcPr>
            <w:tcW w:w="3021" w:type="dxa"/>
          </w:tcPr>
          <w:p w14:paraId="48085876" w14:textId="4905BF86" w:rsidR="00ED5A0A" w:rsidRPr="00CA29AC" w:rsidRDefault="00DA4499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eastAsia="Times New Roman" w:hAnsi="Times New Roman"/>
                <w:lang w:val="hu-HU" w:bidi="en-US"/>
              </w:rPr>
              <w:t xml:space="preserve">A maximális napi </w:t>
            </w:r>
            <w:r w:rsidR="00931044" w:rsidRPr="00E47E83">
              <w:rPr>
                <w:rFonts w:ascii="Times New Roman" w:eastAsia="Times New Roman" w:hAnsi="Times New Roman"/>
                <w:lang w:val="hu-HU" w:bidi="en-US"/>
              </w:rPr>
              <w:t>dózis</w:t>
            </w:r>
            <w:r w:rsidRPr="00E47E83">
              <w:rPr>
                <w:rFonts w:ascii="Times New Roman" w:eastAsia="Times New Roman" w:hAnsi="Times New Roman"/>
                <w:lang w:val="hu-HU" w:bidi="en-US"/>
              </w:rPr>
              <w:t xml:space="preserve"> 3000</w:t>
            </w:r>
            <w:r w:rsidR="00B04B92" w:rsidRPr="00E47E83">
              <w:rPr>
                <w:rFonts w:ascii="Times New Roman" w:eastAsia="Times New Roman" w:hAnsi="Times New Roman"/>
                <w:lang w:val="hu-HU" w:bidi="en-US"/>
              </w:rPr>
              <w:t> </w:t>
            </w:r>
            <w:r w:rsidRPr="00E47E83">
              <w:rPr>
                <w:rFonts w:ascii="Times New Roman" w:eastAsia="Times New Roman" w:hAnsi="Times New Roman"/>
                <w:lang w:val="hu-HU" w:bidi="en-US"/>
              </w:rPr>
              <w:t xml:space="preserve">mg. A </w:t>
            </w:r>
            <w:r w:rsidR="00F569C8" w:rsidRPr="00E47E83">
              <w:rPr>
                <w:rFonts w:ascii="Times New Roman" w:eastAsia="Times New Roman" w:hAnsi="Times New Roman"/>
                <w:lang w:val="hu-HU" w:bidi="en-US"/>
              </w:rPr>
              <w:t>vesekárosodáshoz</w:t>
            </w:r>
            <w:r w:rsidRPr="00E47E83">
              <w:rPr>
                <w:rFonts w:ascii="Times New Roman" w:eastAsia="Times New Roman" w:hAnsi="Times New Roman"/>
                <w:lang w:val="hu-HU" w:bidi="en-US"/>
              </w:rPr>
              <w:t xml:space="preserve"> mérten</w:t>
            </w:r>
            <w:r w:rsidRPr="00E47E83">
              <w:rPr>
                <w:rFonts w:ascii="Times New Roman" w:hAnsi="Times New Roman"/>
                <w:lang w:val="hu-HU"/>
              </w:rPr>
              <w:t xml:space="preserve"> megfontolandó </w:t>
            </w:r>
            <w:r w:rsidR="00305A9A" w:rsidRPr="00E47E83">
              <w:rPr>
                <w:rFonts w:ascii="Times New Roman" w:hAnsi="Times New Roman"/>
                <w:lang w:val="hu-HU"/>
              </w:rPr>
              <w:t xml:space="preserve">a dózis </w:t>
            </w:r>
            <w:r w:rsidRPr="00E47E83">
              <w:rPr>
                <w:rFonts w:ascii="Times New Roman" w:hAnsi="Times New Roman"/>
                <w:lang w:val="hu-HU"/>
              </w:rPr>
              <w:t>csökkentése</w:t>
            </w:r>
            <w:r w:rsidR="00ED5A0A" w:rsidRPr="00E47E83">
              <w:rPr>
                <w:rFonts w:ascii="Times New Roman" w:hAnsi="Times New Roman"/>
                <w:lang w:val="hu-HU"/>
              </w:rPr>
              <w:t>.</w:t>
            </w:r>
          </w:p>
        </w:tc>
        <w:tc>
          <w:tcPr>
            <w:tcW w:w="3021" w:type="dxa"/>
          </w:tcPr>
          <w:p w14:paraId="03367CD0" w14:textId="77777777" w:rsidR="00ED5A0A" w:rsidRPr="00CA29AC" w:rsidRDefault="00CF2D52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A dózis módosítása nem szükséges</w:t>
            </w:r>
            <w:r w:rsidR="00ED5A0A" w:rsidRPr="00E47E83">
              <w:rPr>
                <w:rFonts w:ascii="Times New Roman" w:hAnsi="Times New Roman"/>
                <w:lang w:val="hu-HU"/>
              </w:rPr>
              <w:t>.</w:t>
            </w:r>
          </w:p>
        </w:tc>
      </w:tr>
      <w:tr w:rsidR="007358E5" w:rsidRPr="00A8414B" w14:paraId="57076DDE" w14:textId="77777777" w:rsidTr="00E92AEE">
        <w:tc>
          <w:tcPr>
            <w:tcW w:w="3020" w:type="dxa"/>
          </w:tcPr>
          <w:p w14:paraId="4262B9AD" w14:textId="7C91667F" w:rsidR="00ED5A0A" w:rsidRPr="00CA29AC" w:rsidRDefault="00ED5A0A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45</w:t>
            </w:r>
            <w:r w:rsidR="00F85077" w:rsidRPr="00E47E83">
              <w:rPr>
                <w:rFonts w:ascii="Times New Roman" w:hAnsi="Times New Roman"/>
                <w:lang w:val="hu-HU"/>
              </w:rPr>
              <w:noBreakHyphen/>
            </w:r>
            <w:r w:rsidRPr="00E47E83">
              <w:rPr>
                <w:rFonts w:ascii="Times New Roman" w:hAnsi="Times New Roman"/>
                <w:lang w:val="hu-HU"/>
              </w:rPr>
              <w:t>59</w:t>
            </w:r>
          </w:p>
        </w:tc>
        <w:tc>
          <w:tcPr>
            <w:tcW w:w="3021" w:type="dxa"/>
          </w:tcPr>
          <w:p w14:paraId="6079F398" w14:textId="755B90D5" w:rsidR="00ED5A0A" w:rsidRPr="00CA29AC" w:rsidRDefault="00DE35ED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eastAsia="Times New Roman" w:hAnsi="Times New Roman"/>
                <w:lang w:val="hu-HU" w:bidi="en-US"/>
              </w:rPr>
              <w:t xml:space="preserve">A maximális napi </w:t>
            </w:r>
            <w:r w:rsidR="00931044" w:rsidRPr="00E47E83">
              <w:rPr>
                <w:rFonts w:ascii="Times New Roman" w:eastAsia="Times New Roman" w:hAnsi="Times New Roman"/>
                <w:lang w:val="hu-HU" w:bidi="en-US"/>
              </w:rPr>
              <w:t>dózis</w:t>
            </w:r>
            <w:r w:rsidRPr="00E47E83">
              <w:rPr>
                <w:rFonts w:ascii="Times New Roman" w:eastAsia="Times New Roman" w:hAnsi="Times New Roman"/>
                <w:lang w:val="hu-HU" w:bidi="en-US"/>
              </w:rPr>
              <w:t xml:space="preserve"> 2000</w:t>
            </w:r>
            <w:r w:rsidR="00B04B92" w:rsidRPr="00E47E83">
              <w:rPr>
                <w:rFonts w:ascii="Times New Roman" w:eastAsia="Times New Roman" w:hAnsi="Times New Roman"/>
                <w:lang w:val="hu-HU" w:bidi="en-US"/>
              </w:rPr>
              <w:t> </w:t>
            </w:r>
            <w:r w:rsidRPr="00E47E83">
              <w:rPr>
                <w:rFonts w:ascii="Times New Roman" w:eastAsia="Times New Roman" w:hAnsi="Times New Roman"/>
                <w:lang w:val="hu-HU" w:bidi="en-US"/>
              </w:rPr>
              <w:t>mg.</w:t>
            </w:r>
            <w:r w:rsidRPr="00E47E83">
              <w:rPr>
                <w:rFonts w:ascii="Times New Roman" w:hAnsi="Times New Roman"/>
                <w:lang w:val="hu-HU"/>
              </w:rPr>
              <w:t xml:space="preserve"> A kezdő dózis legfeljebb a maximális </w:t>
            </w:r>
            <w:r w:rsidR="00931044" w:rsidRPr="00E47E83">
              <w:rPr>
                <w:rFonts w:ascii="Times New Roman" w:hAnsi="Times New Roman"/>
                <w:lang w:val="hu-HU"/>
              </w:rPr>
              <w:t>dózis</w:t>
            </w:r>
            <w:r w:rsidRPr="00E47E83">
              <w:rPr>
                <w:rFonts w:ascii="Times New Roman" w:hAnsi="Times New Roman"/>
                <w:lang w:val="hu-HU"/>
              </w:rPr>
              <w:t xml:space="preserve"> fele</w:t>
            </w:r>
            <w:r w:rsidR="00ED5A0A" w:rsidRPr="00E47E83">
              <w:rPr>
                <w:rFonts w:ascii="Times New Roman" w:hAnsi="Times New Roman"/>
                <w:lang w:val="hu-HU"/>
              </w:rPr>
              <w:t>.</w:t>
            </w:r>
          </w:p>
        </w:tc>
        <w:tc>
          <w:tcPr>
            <w:tcW w:w="3021" w:type="dxa"/>
            <w:vMerge w:val="restart"/>
          </w:tcPr>
          <w:p w14:paraId="4182EE94" w14:textId="54D033CA" w:rsidR="00ED5A0A" w:rsidRPr="00CA29AC" w:rsidRDefault="00A765A0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 xml:space="preserve">A maximális teljes napi </w:t>
            </w:r>
            <w:r w:rsidR="00931044" w:rsidRPr="00E47E83">
              <w:rPr>
                <w:rFonts w:ascii="Times New Roman" w:hAnsi="Times New Roman"/>
                <w:lang w:val="hu-HU"/>
              </w:rPr>
              <w:t>dózis</w:t>
            </w:r>
            <w:r w:rsidRPr="00E47E83">
              <w:rPr>
                <w:rFonts w:ascii="Times New Roman" w:hAnsi="Times New Roman"/>
                <w:lang w:val="hu-HU"/>
              </w:rPr>
              <w:t xml:space="preserve"> 50</w:t>
            </w:r>
            <w:r w:rsidR="00B04B92" w:rsidRPr="00E47E83">
              <w:rPr>
                <w:rFonts w:ascii="Times New Roman" w:hAnsi="Times New Roman"/>
                <w:lang w:val="hu-HU"/>
              </w:rPr>
              <w:t> </w:t>
            </w:r>
            <w:r w:rsidRPr="00E47E83">
              <w:rPr>
                <w:rFonts w:ascii="Times New Roman" w:hAnsi="Times New Roman"/>
                <w:lang w:val="hu-HU"/>
              </w:rPr>
              <w:t>mg</w:t>
            </w:r>
            <w:r w:rsidR="00ED5A0A" w:rsidRPr="00E47E83">
              <w:rPr>
                <w:rFonts w:ascii="Times New Roman" w:hAnsi="Times New Roman"/>
                <w:lang w:val="hu-HU"/>
              </w:rPr>
              <w:t>.</w:t>
            </w:r>
          </w:p>
        </w:tc>
      </w:tr>
      <w:tr w:rsidR="007358E5" w:rsidRPr="00A8414B" w14:paraId="49EA8BE7" w14:textId="77777777" w:rsidTr="00E92AEE">
        <w:tc>
          <w:tcPr>
            <w:tcW w:w="3020" w:type="dxa"/>
          </w:tcPr>
          <w:p w14:paraId="530ED023" w14:textId="525FA253" w:rsidR="00ED5A0A" w:rsidRPr="00CA29AC" w:rsidRDefault="00ED5A0A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30</w:t>
            </w:r>
            <w:r w:rsidR="00F85077" w:rsidRPr="00E47E83">
              <w:rPr>
                <w:rFonts w:ascii="Times New Roman" w:hAnsi="Times New Roman"/>
                <w:lang w:val="hu-HU"/>
              </w:rPr>
              <w:noBreakHyphen/>
            </w:r>
            <w:r w:rsidRPr="00E47E83">
              <w:rPr>
                <w:rFonts w:ascii="Times New Roman" w:hAnsi="Times New Roman"/>
                <w:lang w:val="hu-HU"/>
              </w:rPr>
              <w:t>44</w:t>
            </w:r>
          </w:p>
        </w:tc>
        <w:tc>
          <w:tcPr>
            <w:tcW w:w="3021" w:type="dxa"/>
          </w:tcPr>
          <w:p w14:paraId="7A53BD88" w14:textId="2D62B82C" w:rsidR="00ED5A0A" w:rsidRPr="00CA29AC" w:rsidRDefault="007C7134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eastAsia="Times New Roman" w:hAnsi="Times New Roman"/>
                <w:lang w:val="hu-HU" w:bidi="en-US"/>
              </w:rPr>
              <w:t xml:space="preserve">A maximális napi </w:t>
            </w:r>
            <w:r w:rsidR="00931044" w:rsidRPr="00E47E83">
              <w:rPr>
                <w:rFonts w:ascii="Times New Roman" w:eastAsia="Times New Roman" w:hAnsi="Times New Roman"/>
                <w:lang w:val="hu-HU" w:bidi="en-US"/>
              </w:rPr>
              <w:t>dózis</w:t>
            </w:r>
            <w:r w:rsidRPr="00E47E83">
              <w:rPr>
                <w:rFonts w:ascii="Times New Roman" w:eastAsia="Times New Roman" w:hAnsi="Times New Roman"/>
                <w:lang w:val="hu-HU" w:bidi="en-US"/>
              </w:rPr>
              <w:t xml:space="preserve"> 1000</w:t>
            </w:r>
            <w:r w:rsidR="00B04B92" w:rsidRPr="00E47E83">
              <w:rPr>
                <w:rFonts w:ascii="Times New Roman" w:eastAsia="Times New Roman" w:hAnsi="Times New Roman"/>
                <w:lang w:val="hu-HU" w:bidi="en-US"/>
              </w:rPr>
              <w:t> </w:t>
            </w:r>
            <w:r w:rsidRPr="00E47E83">
              <w:rPr>
                <w:rFonts w:ascii="Times New Roman" w:eastAsia="Times New Roman" w:hAnsi="Times New Roman"/>
                <w:lang w:val="hu-HU" w:bidi="en-US"/>
              </w:rPr>
              <w:t>mg. A kezdő dózis legfeljebb a maximális</w:t>
            </w:r>
            <w:r w:rsidRPr="00E47E83">
              <w:rPr>
                <w:rFonts w:ascii="Times New Roman" w:hAnsi="Times New Roman"/>
                <w:lang w:val="hu-HU"/>
              </w:rPr>
              <w:t xml:space="preserve"> </w:t>
            </w:r>
            <w:r w:rsidR="00931044" w:rsidRPr="00E47E83">
              <w:rPr>
                <w:rFonts w:ascii="Times New Roman" w:hAnsi="Times New Roman"/>
                <w:lang w:val="hu-HU"/>
              </w:rPr>
              <w:t>dózis</w:t>
            </w:r>
            <w:r w:rsidRPr="00E47E83">
              <w:rPr>
                <w:rFonts w:ascii="Times New Roman" w:hAnsi="Times New Roman"/>
                <w:lang w:val="hu-HU"/>
              </w:rPr>
              <w:t xml:space="preserve"> fele</w:t>
            </w:r>
            <w:r w:rsidR="00ED5A0A" w:rsidRPr="00E47E83">
              <w:rPr>
                <w:rFonts w:ascii="Times New Roman" w:hAnsi="Times New Roman"/>
                <w:lang w:val="hu-HU"/>
              </w:rPr>
              <w:t>.</w:t>
            </w:r>
          </w:p>
        </w:tc>
        <w:tc>
          <w:tcPr>
            <w:tcW w:w="3021" w:type="dxa"/>
            <w:vMerge/>
          </w:tcPr>
          <w:p w14:paraId="799AFD0B" w14:textId="77777777" w:rsidR="00ED5A0A" w:rsidRPr="00E47E83" w:rsidRDefault="00ED5A0A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</w:p>
        </w:tc>
      </w:tr>
      <w:tr w:rsidR="007358E5" w:rsidRPr="00E47E83" w14:paraId="7FF8085F" w14:textId="77777777" w:rsidTr="00E92AEE">
        <w:tc>
          <w:tcPr>
            <w:tcW w:w="3020" w:type="dxa"/>
          </w:tcPr>
          <w:p w14:paraId="4605EEF7" w14:textId="77777777" w:rsidR="00ED5A0A" w:rsidRPr="00CA29AC" w:rsidRDefault="00ED5A0A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&lt;</w:t>
            </w:r>
            <w:r w:rsidR="00CB5D02" w:rsidRPr="00E47E83">
              <w:rPr>
                <w:rFonts w:ascii="Times New Roman" w:hAnsi="Times New Roman"/>
                <w:lang w:val="hu-HU"/>
              </w:rPr>
              <w:t> </w:t>
            </w:r>
            <w:r w:rsidRPr="00E47E83">
              <w:rPr>
                <w:rFonts w:ascii="Times New Roman" w:hAnsi="Times New Roman"/>
                <w:lang w:val="hu-HU"/>
              </w:rPr>
              <w:t>30</w:t>
            </w:r>
          </w:p>
        </w:tc>
        <w:tc>
          <w:tcPr>
            <w:tcW w:w="3021" w:type="dxa"/>
          </w:tcPr>
          <w:p w14:paraId="6CAD4F99" w14:textId="77777777" w:rsidR="00ED5A0A" w:rsidRPr="00CA29AC" w:rsidRDefault="00C34B29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  <w:r w:rsidRPr="00E47E83">
              <w:rPr>
                <w:rFonts w:ascii="Times New Roman" w:hAnsi="Times New Roman"/>
                <w:lang w:val="hu-HU"/>
              </w:rPr>
              <w:t>A metformin ellenjavallt</w:t>
            </w:r>
            <w:r w:rsidR="00ED5A0A" w:rsidRPr="00E47E83">
              <w:rPr>
                <w:rFonts w:ascii="Times New Roman" w:hAnsi="Times New Roman"/>
                <w:lang w:val="hu-HU"/>
              </w:rPr>
              <w:t>.</w:t>
            </w:r>
          </w:p>
        </w:tc>
        <w:tc>
          <w:tcPr>
            <w:tcW w:w="3021" w:type="dxa"/>
            <w:vMerge/>
          </w:tcPr>
          <w:p w14:paraId="4FD38091" w14:textId="77777777" w:rsidR="00ED5A0A" w:rsidRPr="00E47E83" w:rsidRDefault="00ED5A0A" w:rsidP="00E92A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hu-HU"/>
              </w:rPr>
            </w:pPr>
          </w:p>
        </w:tc>
      </w:tr>
    </w:tbl>
    <w:p w14:paraId="69663293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0AF1A3B" w14:textId="77777777" w:rsidR="00EF31E8" w:rsidRPr="00E47E83" w:rsidRDefault="00C90E82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bidi="en-US"/>
        </w:rPr>
      </w:pPr>
      <w:r w:rsidRPr="00E47E83">
        <w:rPr>
          <w:rFonts w:ascii="Times New Roman" w:hAnsi="Times New Roman"/>
          <w:i/>
          <w:lang w:val="hu-HU"/>
        </w:rPr>
        <w:t>Májkárosodás</w:t>
      </w:r>
    </w:p>
    <w:p w14:paraId="288E0155" w14:textId="2E64B8C9" w:rsidR="00EF31E8" w:rsidRPr="00CA29AC" w:rsidRDefault="006325D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>-</w:t>
      </w:r>
      <w:r w:rsidR="00FB44E1" w:rsidRPr="00E47E83">
        <w:rPr>
          <w:rFonts w:ascii="Times New Roman" w:hAnsi="Times New Roman"/>
          <w:lang w:val="hu-HU"/>
        </w:rPr>
        <w:t>o</w:t>
      </w:r>
      <w:r w:rsidRPr="00E47E83">
        <w:rPr>
          <w:rFonts w:ascii="Times New Roman" w:hAnsi="Times New Roman"/>
          <w:lang w:val="hu-HU"/>
        </w:rPr>
        <w:t xml:space="preserve">t nem szabad alkalmazni májkárosodásban szenvedő betegek esetén, beleértve azokat a betegeket is, akiknél a kezelés előtt a </w:t>
      </w:r>
      <w:r w:rsidR="001014B6" w:rsidRPr="00E47E83">
        <w:rPr>
          <w:rFonts w:ascii="Times New Roman" w:hAnsi="Times New Roman"/>
          <w:lang w:val="hu-HU"/>
        </w:rPr>
        <w:t xml:space="preserve">glutamát-piruvát-transzamináz </w:t>
      </w:r>
      <w:r w:rsidRPr="00E47E83">
        <w:rPr>
          <w:rFonts w:ascii="Times New Roman" w:hAnsi="Times New Roman"/>
          <w:lang w:val="hu-HU"/>
        </w:rPr>
        <w:t>(</w:t>
      </w:r>
      <w:r w:rsidR="00040AA4" w:rsidRPr="00E47E83">
        <w:rPr>
          <w:rFonts w:ascii="Times New Roman" w:hAnsi="Times New Roman"/>
          <w:lang w:val="hu-HU"/>
        </w:rPr>
        <w:t>GPT</w:t>
      </w:r>
      <w:r w:rsidR="001014B6" w:rsidRPr="00E47E83">
        <w:rPr>
          <w:rFonts w:ascii="Times New Roman" w:hAnsi="Times New Roman"/>
          <w:lang w:val="hu-HU"/>
        </w:rPr>
        <w:t xml:space="preserve"> [ALAT]</w:t>
      </w:r>
      <w:r w:rsidRPr="00E47E83">
        <w:rPr>
          <w:rFonts w:ascii="Times New Roman" w:hAnsi="Times New Roman"/>
          <w:lang w:val="hu-HU"/>
        </w:rPr>
        <w:t xml:space="preserve">) vagy a </w:t>
      </w:r>
      <w:r w:rsidR="001C0884" w:rsidRPr="00E47E83">
        <w:rPr>
          <w:rFonts w:ascii="Times New Roman" w:hAnsi="Times New Roman"/>
          <w:lang w:val="hu-HU"/>
        </w:rPr>
        <w:t>glutamát-oxálacetát-</w:t>
      </w:r>
      <w:r w:rsidR="001014B6" w:rsidRPr="00E47E83">
        <w:rPr>
          <w:rFonts w:ascii="Times New Roman" w:hAnsi="Times New Roman"/>
          <w:lang w:val="hu-HU"/>
        </w:rPr>
        <w:t xml:space="preserve">transzamináz (GOT [ASAT]) </w:t>
      </w:r>
      <w:r w:rsidRPr="00E47E83">
        <w:rPr>
          <w:rFonts w:ascii="Times New Roman" w:hAnsi="Times New Roman"/>
          <w:lang w:val="hu-HU"/>
        </w:rPr>
        <w:t>szintje meghaladja a normálérték felső határának 3-szorosát (lásd 4.3, 4.4 és 4.8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</w:t>
      </w:r>
      <w:r w:rsidR="00EF31E8" w:rsidRPr="00E47E83">
        <w:rPr>
          <w:rFonts w:ascii="Times New Roman" w:hAnsi="Times New Roman"/>
          <w:lang w:val="hu-HU"/>
        </w:rPr>
        <w:t>).</w:t>
      </w:r>
    </w:p>
    <w:p w14:paraId="6AD5E0AF" w14:textId="77777777" w:rsidR="00ED5A0A" w:rsidRPr="00CA29AC" w:rsidRDefault="00ED5A0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A198C5E" w14:textId="77777777" w:rsidR="00EF31E8" w:rsidRPr="00E47E83" w:rsidRDefault="00E64F33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bidi="en-US"/>
        </w:rPr>
      </w:pPr>
      <w:r w:rsidRPr="00E47E83">
        <w:rPr>
          <w:rFonts w:ascii="Times New Roman" w:hAnsi="Times New Roman"/>
          <w:i/>
          <w:lang w:val="hu-HU"/>
        </w:rPr>
        <w:t>Gyermekek és serdülők</w:t>
      </w:r>
    </w:p>
    <w:p w14:paraId="312AB01E" w14:textId="22C3BD47" w:rsidR="00ED5A0A" w:rsidRPr="00CA29AC" w:rsidRDefault="003C672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nem javasolt gyermekek és serdülők </w:t>
      </w:r>
      <w:r w:rsidR="00F273D4" w:rsidRPr="00E47E83">
        <w:rPr>
          <w:rFonts w:ascii="Times New Roman" w:hAnsi="Times New Roman"/>
          <w:lang w:val="hu-HU"/>
        </w:rPr>
        <w:t>(</w:t>
      </w:r>
      <w:r w:rsidRPr="00E47E83">
        <w:rPr>
          <w:rFonts w:ascii="Times New Roman" w:hAnsi="Times New Roman"/>
          <w:lang w:val="hu-HU"/>
        </w:rPr>
        <w:t>&lt;</w:t>
      </w:r>
      <w:r w:rsidR="002B1C45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18</w:t>
      </w:r>
      <w:r w:rsidR="002B1C45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év) számára.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biztonságosságát és hatásosságát gyermekek és serdülők (&lt;</w:t>
      </w:r>
      <w:r w:rsidR="002B1C45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18</w:t>
      </w:r>
      <w:r w:rsidR="002B1C45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év) esetében nem igazolták. Nincsenek rendelkezésre álló adatok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DB32AB1" w14:textId="77777777" w:rsidR="00ED5A0A" w:rsidRPr="00CA29AC" w:rsidRDefault="00ED5A0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D79A030" w14:textId="77777777" w:rsidR="00ED5A0A" w:rsidRPr="00CA29AC" w:rsidRDefault="002F0A5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Az alkalmazás módja</w:t>
      </w:r>
    </w:p>
    <w:p w14:paraId="6E03541C" w14:textId="77777777" w:rsidR="00B656FA" w:rsidRPr="00CA29AC" w:rsidRDefault="00B656F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0BEADFC" w14:textId="4A410211" w:rsidR="00352E81" w:rsidRPr="00CA29AC" w:rsidRDefault="004362CC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Szájon át történő alkalmazás</w:t>
      </w:r>
      <w:r w:rsidR="00F06AE2" w:rsidRPr="00E47E83">
        <w:rPr>
          <w:rFonts w:ascii="Times New Roman" w:hAnsi="Times New Roman"/>
          <w:lang w:val="hu-HU"/>
        </w:rPr>
        <w:t>ra</w:t>
      </w:r>
      <w:r w:rsidRPr="00E47E83">
        <w:rPr>
          <w:rFonts w:ascii="Times New Roman" w:hAnsi="Times New Roman"/>
          <w:lang w:val="hu-HU"/>
        </w:rPr>
        <w:t>.</w:t>
      </w:r>
    </w:p>
    <w:p w14:paraId="7E25611A" w14:textId="28B57AE4" w:rsidR="00EF31E8" w:rsidRPr="00CA29AC" w:rsidRDefault="004362CC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ét</w:t>
      </w:r>
      <w:r w:rsidR="00F06AE2" w:rsidRPr="00E47E83">
        <w:rPr>
          <w:rFonts w:ascii="Times New Roman" w:hAnsi="Times New Roman"/>
          <w:lang w:val="hu-HU"/>
        </w:rPr>
        <w:t>kezés közben</w:t>
      </w:r>
      <w:r w:rsidRPr="00E47E83">
        <w:rPr>
          <w:rFonts w:ascii="Times New Roman" w:hAnsi="Times New Roman"/>
          <w:lang w:val="hu-HU"/>
        </w:rPr>
        <w:t xml:space="preserve"> </w:t>
      </w:r>
      <w:r w:rsidR="00305A9A" w:rsidRPr="00E47E83">
        <w:rPr>
          <w:rFonts w:ascii="Times New Roman" w:hAnsi="Times New Roman"/>
          <w:lang w:val="hu-HU"/>
        </w:rPr>
        <w:t xml:space="preserve">történő </w:t>
      </w:r>
      <w:r w:rsidRPr="00E47E83">
        <w:rPr>
          <w:rFonts w:ascii="Times New Roman" w:hAnsi="Times New Roman"/>
          <w:lang w:val="hu-HU"/>
        </w:rPr>
        <w:t>vagy közvetlenül az étkezést követő bevétele csökkentheti a metforminnal összefüggő emésztőrendszeri tüneteket (lásd még 5.2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</w:t>
      </w:r>
      <w:r w:rsidR="00EF31E8" w:rsidRPr="00E47E83">
        <w:rPr>
          <w:rFonts w:ascii="Times New Roman" w:hAnsi="Times New Roman"/>
          <w:lang w:val="hu-HU"/>
        </w:rPr>
        <w:t>).</w:t>
      </w:r>
    </w:p>
    <w:p w14:paraId="7B0B2A5D" w14:textId="77777777" w:rsidR="00ED5A0A" w:rsidRPr="00CA29AC" w:rsidRDefault="00ED5A0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6651ECE" w14:textId="77777777" w:rsidR="00432662" w:rsidRPr="00CA29AC" w:rsidRDefault="00432662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4.3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Ellenjavallatok</w:t>
      </w:r>
    </w:p>
    <w:p w14:paraId="205BA9C4" w14:textId="77777777" w:rsidR="00A761E1" w:rsidRPr="00CA29AC" w:rsidRDefault="00A761E1" w:rsidP="00E92AEE">
      <w:pPr>
        <w:spacing w:after="0" w:line="240" w:lineRule="auto"/>
        <w:ind w:left="567" w:hanging="567"/>
        <w:rPr>
          <w:rFonts w:ascii="Times New Roman" w:hAnsi="Times New Roman"/>
          <w:lang w:val="hu-HU"/>
        </w:rPr>
      </w:pPr>
    </w:p>
    <w:p w14:paraId="778C9173" w14:textId="77777777" w:rsidR="00EF31E8" w:rsidRPr="00E47E83" w:rsidRDefault="0047233F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készítmény hatóanyagaival vagy a 6.1 pontban felsorolt bármely segédanyagával szembeni túlérzékenység</w:t>
      </w:r>
      <w:r w:rsidR="0042330F" w:rsidRPr="00E47E83">
        <w:rPr>
          <w:rFonts w:ascii="Times New Roman" w:hAnsi="Times New Roman"/>
          <w:lang w:val="hu-HU"/>
        </w:rPr>
        <w:t>.</w:t>
      </w:r>
    </w:p>
    <w:p w14:paraId="66B4F365" w14:textId="77777777" w:rsidR="00EF31E8" w:rsidRPr="00E47E83" w:rsidRDefault="007C5355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Akut metabolikus acidózis bármely formája (például laktátacidózis, diabéteszes ketoacidózis</w:t>
      </w:r>
      <w:r w:rsidR="00EF31E8" w:rsidRPr="00E47E83">
        <w:rPr>
          <w:rFonts w:ascii="Times New Roman" w:hAnsi="Times New Roman"/>
          <w:lang w:val="hu-HU"/>
        </w:rPr>
        <w:t>)</w:t>
      </w:r>
      <w:r w:rsidR="0042330F" w:rsidRPr="00E47E83">
        <w:rPr>
          <w:rFonts w:ascii="Times New Roman" w:hAnsi="Times New Roman"/>
          <w:lang w:val="hu-HU"/>
        </w:rPr>
        <w:t>.</w:t>
      </w:r>
    </w:p>
    <w:p w14:paraId="46EA4507" w14:textId="77777777" w:rsidR="00EF31E8" w:rsidRPr="00E47E83" w:rsidRDefault="001D43BB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Diabéteszes prekóma</w:t>
      </w:r>
      <w:r w:rsidR="0042330F" w:rsidRPr="00E47E83">
        <w:rPr>
          <w:rFonts w:ascii="Times New Roman" w:hAnsi="Times New Roman"/>
          <w:lang w:val="hu-HU"/>
        </w:rPr>
        <w:t>.</w:t>
      </w:r>
    </w:p>
    <w:p w14:paraId="2467077E" w14:textId="77C3B0A7" w:rsidR="00EF31E8" w:rsidRPr="00E47E83" w:rsidRDefault="008A6A35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Súlyos vese</w:t>
      </w:r>
      <w:r w:rsidR="00624365" w:rsidRPr="00E47E83">
        <w:rPr>
          <w:rFonts w:ascii="Times New Roman" w:hAnsi="Times New Roman"/>
          <w:lang w:val="hu-HU"/>
        </w:rPr>
        <w:t>károsodás</w:t>
      </w:r>
      <w:r w:rsidRPr="00E47E83">
        <w:rPr>
          <w:rFonts w:ascii="Times New Roman" w:hAnsi="Times New Roman"/>
          <w:lang w:val="hu-HU"/>
        </w:rPr>
        <w:t xml:space="preserve"> (GRF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&lt;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30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ml/perc) (lásd 4.4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pont).</w:t>
      </w:r>
    </w:p>
    <w:p w14:paraId="1F974078" w14:textId="77777777" w:rsidR="00EF31E8" w:rsidRPr="00E47E83" w:rsidRDefault="002A249C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Olyan akut állapotok, amelyek megváltoztathatják a veseműködést, mint például</w:t>
      </w:r>
      <w:r w:rsidR="00EF31E8" w:rsidRPr="00E47E83">
        <w:rPr>
          <w:rFonts w:ascii="Times New Roman" w:hAnsi="Times New Roman"/>
          <w:lang w:val="hu-HU"/>
        </w:rPr>
        <w:t>:</w:t>
      </w:r>
    </w:p>
    <w:p w14:paraId="08911151" w14:textId="77777777" w:rsidR="00EF31E8" w:rsidRPr="00E47E83" w:rsidRDefault="006775E1" w:rsidP="00E92AEE">
      <w:pPr>
        <w:pStyle w:val="Listaszerbekezds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dehidráció</w:t>
      </w:r>
      <w:r w:rsidR="00EF31E8" w:rsidRPr="00E47E83">
        <w:rPr>
          <w:rFonts w:ascii="Times New Roman" w:hAnsi="Times New Roman"/>
          <w:lang w:val="hu-HU"/>
        </w:rPr>
        <w:t>,</w:t>
      </w:r>
    </w:p>
    <w:p w14:paraId="4051FC1C" w14:textId="77777777" w:rsidR="00EF31E8" w:rsidRPr="00E47E83" w:rsidRDefault="002E125F" w:rsidP="00E92AEE">
      <w:pPr>
        <w:pStyle w:val="Listaszerbekezds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súlyos infekció</w:t>
      </w:r>
      <w:r w:rsidR="00EF31E8" w:rsidRPr="00E47E83">
        <w:rPr>
          <w:rFonts w:ascii="Times New Roman" w:hAnsi="Times New Roman"/>
          <w:lang w:val="hu-HU"/>
        </w:rPr>
        <w:t>,</w:t>
      </w:r>
    </w:p>
    <w:p w14:paraId="2441940B" w14:textId="77777777" w:rsidR="00EF31E8" w:rsidRPr="00E47E83" w:rsidRDefault="007E7B86" w:rsidP="00E92AEE">
      <w:pPr>
        <w:pStyle w:val="Listaszerbekezds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sokk</w:t>
      </w:r>
      <w:r w:rsidR="00EF31E8" w:rsidRPr="00E47E83">
        <w:rPr>
          <w:rFonts w:ascii="Times New Roman" w:hAnsi="Times New Roman"/>
          <w:lang w:val="hu-HU"/>
        </w:rPr>
        <w:t>,</w:t>
      </w:r>
    </w:p>
    <w:p w14:paraId="02D9239F" w14:textId="295CE138" w:rsidR="00EF31E8" w:rsidRPr="00E47E83" w:rsidRDefault="002405CB" w:rsidP="00E92AEE">
      <w:pPr>
        <w:pStyle w:val="Listaszerbekezds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jódozott kontrasztanyagok intravaszkuláris alkalmazása (lásd 4.4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</w:t>
      </w:r>
      <w:r w:rsidR="00F85077" w:rsidRPr="00E47E83">
        <w:rPr>
          <w:rFonts w:ascii="Times New Roman" w:hAnsi="Times New Roman"/>
          <w:lang w:val="hu-HU"/>
        </w:rPr>
        <w:t>.</w:t>
      </w:r>
    </w:p>
    <w:p w14:paraId="5F383206" w14:textId="60BB7702" w:rsidR="00EF31E8" w:rsidRPr="00E47E83" w:rsidRDefault="00D942DC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Olyan akut vagy krónikus kórképek, amelyek szöveti h</w:t>
      </w:r>
      <w:r w:rsidR="00B45898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poxiát idézhetnek elő, mint például</w:t>
      </w:r>
      <w:r w:rsidR="00EF31E8" w:rsidRPr="00E47E83">
        <w:rPr>
          <w:rFonts w:ascii="Times New Roman" w:hAnsi="Times New Roman"/>
          <w:lang w:val="hu-HU"/>
        </w:rPr>
        <w:t>:</w:t>
      </w:r>
    </w:p>
    <w:p w14:paraId="09E3F0EB" w14:textId="77777777" w:rsidR="00EF31E8" w:rsidRPr="00E47E83" w:rsidRDefault="003F5DED" w:rsidP="00E92AEE">
      <w:pPr>
        <w:pStyle w:val="Listaszerbekezds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keringési vagy légzési elégtelenség</w:t>
      </w:r>
      <w:r w:rsidR="00EF31E8" w:rsidRPr="00E47E83">
        <w:rPr>
          <w:rFonts w:ascii="Times New Roman" w:hAnsi="Times New Roman"/>
          <w:lang w:val="hu-HU"/>
        </w:rPr>
        <w:t>,</w:t>
      </w:r>
    </w:p>
    <w:p w14:paraId="089E1E99" w14:textId="77777777" w:rsidR="00EF31E8" w:rsidRPr="00E47E83" w:rsidRDefault="0098587B" w:rsidP="00E92AEE">
      <w:pPr>
        <w:pStyle w:val="Listaszerbekezds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szívinfarktus</w:t>
      </w:r>
      <w:r w:rsidR="00F273D4" w:rsidRPr="00E47E83">
        <w:rPr>
          <w:rFonts w:ascii="Times New Roman" w:hAnsi="Times New Roman"/>
          <w:lang w:val="hu-HU"/>
        </w:rPr>
        <w:t xml:space="preserve"> a közelmúltban</w:t>
      </w:r>
      <w:r w:rsidR="00EF31E8" w:rsidRPr="00E47E83">
        <w:rPr>
          <w:rFonts w:ascii="Times New Roman" w:hAnsi="Times New Roman"/>
          <w:lang w:val="hu-HU"/>
        </w:rPr>
        <w:t>,</w:t>
      </w:r>
    </w:p>
    <w:p w14:paraId="3508820A" w14:textId="77777777" w:rsidR="00EF31E8" w:rsidRPr="00E47E83" w:rsidRDefault="00FB4C0E" w:rsidP="00E92AEE">
      <w:pPr>
        <w:pStyle w:val="Listaszerbekezds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sokk</w:t>
      </w:r>
      <w:r w:rsidR="00F85077" w:rsidRPr="00E47E83">
        <w:rPr>
          <w:rFonts w:ascii="Times New Roman" w:hAnsi="Times New Roman"/>
          <w:lang w:val="hu-HU"/>
        </w:rPr>
        <w:t>.</w:t>
      </w:r>
    </w:p>
    <w:p w14:paraId="227184CA" w14:textId="7FFE3A4D" w:rsidR="00EF31E8" w:rsidRPr="00E47E83" w:rsidRDefault="002623BE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Májkárosodás (lásd 4.2, 4.4 és 4.8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pont).</w:t>
      </w:r>
    </w:p>
    <w:p w14:paraId="77FFF3F9" w14:textId="77777777" w:rsidR="00EF31E8" w:rsidRPr="00E47E83" w:rsidRDefault="00C57ABD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Akut alkoholintoxikáció, alkoholizmus</w:t>
      </w:r>
      <w:r w:rsidR="0042330F" w:rsidRPr="00E47E83">
        <w:rPr>
          <w:rFonts w:ascii="Times New Roman" w:hAnsi="Times New Roman"/>
          <w:lang w:val="hu-HU"/>
        </w:rPr>
        <w:t>.</w:t>
      </w:r>
    </w:p>
    <w:p w14:paraId="313F994F" w14:textId="570F8F49" w:rsidR="00EF31E8" w:rsidRPr="00E47E83" w:rsidRDefault="00E50421" w:rsidP="00E92AE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Szoptatás (lásd 4.6</w:t>
      </w:r>
      <w:r w:rsidR="00A759F8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pont).</w:t>
      </w:r>
    </w:p>
    <w:p w14:paraId="6FE93D4B" w14:textId="77777777" w:rsidR="0033350B" w:rsidRPr="00E47E83" w:rsidRDefault="0033350B" w:rsidP="00AE1585">
      <w:pPr>
        <w:pStyle w:val="Listaszerbekezds"/>
        <w:autoSpaceDE w:val="0"/>
        <w:autoSpaceDN w:val="0"/>
        <w:adjustRightInd w:val="0"/>
        <w:spacing w:after="0" w:line="240" w:lineRule="auto"/>
        <w:ind w:left="0"/>
        <w:contextualSpacing w:val="0"/>
        <w:rPr>
          <w:rFonts w:ascii="Times New Roman" w:hAnsi="Times New Roman"/>
          <w:lang w:val="hu-HU"/>
        </w:rPr>
      </w:pPr>
    </w:p>
    <w:p w14:paraId="61E15F07" w14:textId="77777777" w:rsidR="00CB328F" w:rsidRPr="00CA29AC" w:rsidRDefault="00CB328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4.4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Különleges figyelmeztetések és az alkalmazással kapcsolatos óvintézkedések</w:t>
      </w:r>
    </w:p>
    <w:p w14:paraId="1E078841" w14:textId="77777777" w:rsidR="00A761E1" w:rsidRPr="00CA29AC" w:rsidRDefault="00A761E1" w:rsidP="00E92AEE">
      <w:pPr>
        <w:spacing w:after="0" w:line="240" w:lineRule="auto"/>
        <w:ind w:left="567" w:hanging="567"/>
        <w:rPr>
          <w:rFonts w:ascii="Times New Roman" w:hAnsi="Times New Roman"/>
          <w:lang w:val="hu-HU"/>
        </w:rPr>
      </w:pPr>
    </w:p>
    <w:p w14:paraId="2202F0FE" w14:textId="77777777" w:rsidR="00EF31E8" w:rsidRPr="00CA29AC" w:rsidRDefault="005F1F3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Általánosságban</w:t>
      </w:r>
    </w:p>
    <w:p w14:paraId="65E40FC5" w14:textId="77777777" w:rsidR="00B656FA" w:rsidRPr="00CA29AC" w:rsidRDefault="00B656F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93DEE0D" w14:textId="4795F77E" w:rsidR="00EF31E8" w:rsidRPr="00CA29AC" w:rsidRDefault="00933DA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az inzulint igénylő betegeknél nem helyettesíti az inzulint, és nem alkalmazható 1-es típusú cukorbetegségben szenvedő betegeknél</w:t>
      </w:r>
      <w:r w:rsidR="00EF31E8" w:rsidRPr="00E47E83">
        <w:rPr>
          <w:rFonts w:ascii="Times New Roman" w:hAnsi="Times New Roman"/>
          <w:lang w:val="hu-HU"/>
        </w:rPr>
        <w:t>.</w:t>
      </w:r>
    </w:p>
    <w:p w14:paraId="57E261BB" w14:textId="77777777" w:rsidR="0033350B" w:rsidRPr="00CA29AC" w:rsidRDefault="0033350B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2CC2A43" w14:textId="77777777" w:rsidR="00EF31E8" w:rsidRPr="00CA29AC" w:rsidRDefault="00BB4E0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Laktátacidózis</w:t>
      </w:r>
    </w:p>
    <w:p w14:paraId="0D7E1254" w14:textId="77777777" w:rsidR="00507371" w:rsidRPr="00CA29AC" w:rsidRDefault="0050737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891C6A8" w14:textId="77777777" w:rsidR="0033350B" w:rsidRPr="00CA29AC" w:rsidRDefault="00022DC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laktátacidózis, amely egy nagyon ritka, de súlyos metabolikus szövődmény, leggyakrabban a veseműködés akut</w:t>
      </w:r>
      <w:r w:rsidR="003725A0" w:rsidRPr="00E47E83">
        <w:rPr>
          <w:rFonts w:ascii="Times New Roman" w:hAnsi="Times New Roman"/>
          <w:lang w:val="hu-HU"/>
        </w:rPr>
        <w:t xml:space="preserve"> romlásakor</w:t>
      </w:r>
      <w:r w:rsidRPr="00E47E83">
        <w:rPr>
          <w:rFonts w:ascii="Times New Roman" w:hAnsi="Times New Roman"/>
          <w:lang w:val="hu-HU"/>
        </w:rPr>
        <w:t xml:space="preserve">, szív- és légzőszervi megbetegedésben vagy szepszisben lép fel. A veseműködés akut </w:t>
      </w:r>
      <w:r w:rsidR="003725A0" w:rsidRPr="00E47E83">
        <w:rPr>
          <w:rFonts w:ascii="Times New Roman" w:hAnsi="Times New Roman"/>
          <w:lang w:val="hu-HU"/>
        </w:rPr>
        <w:t xml:space="preserve">romlásakor </w:t>
      </w:r>
      <w:r w:rsidRPr="00E47E83">
        <w:rPr>
          <w:rFonts w:ascii="Times New Roman" w:hAnsi="Times New Roman"/>
          <w:lang w:val="hu-HU"/>
        </w:rPr>
        <w:t>a metformin felhalmozódása következik be, ami növeli a laktátacidózis kockázatát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B7EDFF7" w14:textId="77777777" w:rsidR="00897CF4" w:rsidRPr="00CA29AC" w:rsidRDefault="00897CF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D62E4C4" w14:textId="77777777" w:rsidR="00EF31E8" w:rsidRPr="00CA29AC" w:rsidRDefault="00BE448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Dehidráció (súlyos hasmenés vagy hányás, láz vagy csökkent folyadékbevitel) esetén a metformin adagolását átmenetileg fel kell függeszteni, és ajánlott felvenni a kapcsolatot egészségügyi szakemberrel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5EF0B78" w14:textId="77777777" w:rsidR="00897CF4" w:rsidRPr="00CA29AC" w:rsidRDefault="00897CF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E97D363" w14:textId="3D3774B1" w:rsidR="00EF31E8" w:rsidRPr="00CA29AC" w:rsidRDefault="007A72D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lastRenderedPageBreak/>
        <w:t>Metforminnal kezelt betegeknél a veseműködést esetlegesen akutan károsító gyógyszerek (például vérnyomáscsökkentők, vízhajtók és nem-szteroid gyulladáscsökkentők [non steroidal anti</w:t>
      </w:r>
      <w:r w:rsidR="00933727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inflammatory drugs, NSAIDs]) adásának megkezdésekor elővigyázatosság szükséges. A laktátacidózis egyéb kockázati tényezői a túlzott alkoholfogyasztás, a májelégtelenség, a rosszul beállított diabétesz, a ketózis, a tartós éhezés és bármilyen, h</w:t>
      </w:r>
      <w:r w:rsidR="00CC19D1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poxiával társuló állapot, valamint laktátacidózist kiváltani képes gyógyszerek együttadása (lásd 4.3 és 4.5</w:t>
      </w:r>
      <w:r w:rsidR="00B86B9B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19539CF" w14:textId="77777777" w:rsidR="00897CF4" w:rsidRPr="00CA29AC" w:rsidRDefault="00897CF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BD06C2F" w14:textId="3E97E397" w:rsidR="00370841" w:rsidRPr="00CA29AC" w:rsidRDefault="00947B1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betegeket és/vagy gondozóikat tájékoztatni kell a laktátacidózis kockázatáról. A laktátacidózisra jellemző az acidotikus diszpnoe, a hasi fájdalom, az izomgörcsök, az aszténia és a h</w:t>
      </w:r>
      <w:r w:rsidR="00CC19D1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potermia, amit kóma követ. Feltételezett tünetek esetén a betegnek abba kell hagynia a metformin szedését, és azonnal orvoshoz kell fordulnia. Diagnosztikai laboratóriumi eredmény</w:t>
      </w:r>
      <w:r w:rsidR="003725A0" w:rsidRPr="00E47E83">
        <w:rPr>
          <w:rFonts w:ascii="Times New Roman" w:hAnsi="Times New Roman"/>
          <w:lang w:val="hu-HU"/>
        </w:rPr>
        <w:t>ek</w:t>
      </w:r>
      <w:r w:rsidRPr="00E47E83">
        <w:rPr>
          <w:rFonts w:ascii="Times New Roman" w:hAnsi="Times New Roman"/>
          <w:lang w:val="hu-HU"/>
        </w:rPr>
        <w:t xml:space="preserve"> a </w:t>
      </w:r>
      <w:r w:rsidR="003725A0" w:rsidRPr="00E47E83">
        <w:rPr>
          <w:rFonts w:ascii="Times New Roman" w:hAnsi="Times New Roman"/>
          <w:lang w:val="hu-HU"/>
        </w:rPr>
        <w:t xml:space="preserve">vér </w:t>
      </w:r>
      <w:r w:rsidRPr="00E47E83">
        <w:rPr>
          <w:rFonts w:ascii="Times New Roman" w:hAnsi="Times New Roman"/>
          <w:lang w:val="hu-HU"/>
        </w:rPr>
        <w:t xml:space="preserve">csökkent pH </w:t>
      </w:r>
      <w:r w:rsidR="003725A0" w:rsidRPr="00E47E83">
        <w:rPr>
          <w:rFonts w:ascii="Times New Roman" w:hAnsi="Times New Roman"/>
          <w:lang w:val="hu-HU"/>
        </w:rPr>
        <w:t xml:space="preserve">értéke </w:t>
      </w:r>
      <w:r w:rsidRPr="00E47E83">
        <w:rPr>
          <w:rFonts w:ascii="Times New Roman" w:hAnsi="Times New Roman"/>
          <w:lang w:val="hu-HU"/>
        </w:rPr>
        <w:t>(&lt;</w:t>
      </w:r>
      <w:r w:rsidR="003E1694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7,35), az emelkedett plazma laktátszint (&gt;</w:t>
      </w:r>
      <w:r w:rsidR="003E1694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5</w:t>
      </w:r>
      <w:r w:rsidR="003E1694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mmol/l), valamint az emelkedett anionrés és laktát/piruvát arány</w:t>
      </w:r>
      <w:r w:rsidR="00EF31E8" w:rsidRPr="00E47E83">
        <w:rPr>
          <w:rFonts w:ascii="Times New Roman" w:hAnsi="Times New Roman"/>
          <w:lang w:val="hu-HU"/>
        </w:rPr>
        <w:t>.</w:t>
      </w:r>
    </w:p>
    <w:p w14:paraId="7A6BB6ED" w14:textId="77777777" w:rsidR="00897CF4" w:rsidRPr="00CA29AC" w:rsidRDefault="00897CF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1559F28" w14:textId="77777777" w:rsidR="00EF31E8" w:rsidRPr="00E47E83" w:rsidRDefault="00650C8E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bidi="en-US"/>
        </w:rPr>
      </w:pPr>
      <w:r w:rsidRPr="00E47E83">
        <w:rPr>
          <w:rFonts w:ascii="Times New Roman" w:hAnsi="Times New Roman"/>
          <w:i/>
          <w:u w:val="single"/>
          <w:lang w:val="hu-HU"/>
        </w:rPr>
        <w:t>Jódtartalmú kontrasztanyagok alkalmazása</w:t>
      </w:r>
    </w:p>
    <w:p w14:paraId="1CC77B27" w14:textId="0E7CF37F" w:rsidR="00EF31E8" w:rsidRPr="00CA29AC" w:rsidRDefault="0015704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Jódtartalmú kontrasztanyagok intravaszkuláris alkalmazása kontrasztanyag-indukált nephropathiához vezethet, ami a metformin felhalmozódásával és a laktátacidózis kockázatának növekedésével jár. A metformin adását fel kell függeszteni a vizsgálatot megelőzően vagy a vizsgálat idejére, és csak legalább 48</w:t>
      </w:r>
      <w:r w:rsidR="00654696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óra elteltével állítható vissza, akkor is csak abban az esetben, ha a veseműködést újra ellenőrizték, és az stabilnak bizonyult (lásd 4.2 és 4.5</w:t>
      </w:r>
      <w:r w:rsidR="00B86B9B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pont).</w:t>
      </w:r>
    </w:p>
    <w:p w14:paraId="2BCC54CC" w14:textId="306AED90" w:rsidR="007358E5" w:rsidRDefault="007358E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CDB2963" w14:textId="755BA75A" w:rsidR="00F721FD" w:rsidRPr="00E061AF" w:rsidDel="00370841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lang w:val="hu-HU"/>
        </w:rPr>
      </w:pPr>
      <w:r w:rsidRPr="00E061AF" w:rsidDel="00370841">
        <w:rPr>
          <w:rFonts w:ascii="Times New Roman" w:hAnsi="Times New Roman"/>
          <w:i/>
          <w:iCs/>
          <w:lang w:val="hu-HU"/>
        </w:rPr>
        <w:t>Mitokondriális betegségben ismerten vagy feltételezetten szenvedő betegek:</w:t>
      </w:r>
    </w:p>
    <w:p w14:paraId="085C681E" w14:textId="4753DCAF" w:rsidR="00F721FD" w:rsidDel="00370841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2E07DD" w:rsidDel="00370841">
        <w:rPr>
          <w:rFonts w:ascii="Times New Roman" w:hAnsi="Times New Roman"/>
          <w:lang w:val="hu-HU"/>
        </w:rPr>
        <w:t>A metformin alkalmazása nem ajánlott mitokondriális betegségben – ilyen például a laktátacidózissal</w:t>
      </w:r>
      <w:r w:rsidR="008B0278">
        <w:rPr>
          <w:rFonts w:ascii="Times New Roman" w:hAnsi="Times New Roman"/>
          <w:lang w:val="hu-HU"/>
        </w:rPr>
        <w:t xml:space="preserve"> </w:t>
      </w:r>
      <w:r w:rsidRPr="002E07DD" w:rsidDel="00370841">
        <w:rPr>
          <w:rFonts w:ascii="Times New Roman" w:hAnsi="Times New Roman"/>
          <w:lang w:val="hu-HU"/>
        </w:rPr>
        <w:t>és stroke-szerű epizódokkal járó mitokondriális encephalopathia (Mitochondrial Encephalopathy with</w:t>
      </w:r>
      <w:r w:rsidR="008B0278">
        <w:rPr>
          <w:rFonts w:ascii="Times New Roman" w:hAnsi="Times New Roman"/>
          <w:lang w:val="hu-HU"/>
        </w:rPr>
        <w:t xml:space="preserve"> </w:t>
      </w:r>
      <w:r w:rsidRPr="002E07DD" w:rsidDel="00370841">
        <w:rPr>
          <w:rFonts w:ascii="Times New Roman" w:hAnsi="Times New Roman"/>
          <w:lang w:val="hu-HU"/>
        </w:rPr>
        <w:t>Lactic Acidosis, and Stroke-like episodes, MELAS) szindróma és az anyai ágon öröklődő diabetes és</w:t>
      </w:r>
      <w:r w:rsidR="008B0278">
        <w:rPr>
          <w:rFonts w:ascii="Times New Roman" w:hAnsi="Times New Roman"/>
          <w:lang w:val="hu-HU"/>
        </w:rPr>
        <w:t xml:space="preserve"> </w:t>
      </w:r>
      <w:r w:rsidRPr="002E07DD" w:rsidDel="00370841">
        <w:rPr>
          <w:rFonts w:ascii="Times New Roman" w:hAnsi="Times New Roman"/>
          <w:lang w:val="hu-HU"/>
        </w:rPr>
        <w:t>süketség (Maternal inherited diabetes and deafness, MIDD) – ismerten szenvedő betegeknél, mivel a</w:t>
      </w:r>
      <w:r w:rsidR="008B0278">
        <w:rPr>
          <w:rFonts w:ascii="Times New Roman" w:hAnsi="Times New Roman"/>
          <w:lang w:val="hu-HU"/>
        </w:rPr>
        <w:t xml:space="preserve"> </w:t>
      </w:r>
      <w:r w:rsidRPr="002E07DD" w:rsidDel="00370841">
        <w:rPr>
          <w:rFonts w:ascii="Times New Roman" w:hAnsi="Times New Roman"/>
          <w:lang w:val="hu-HU"/>
        </w:rPr>
        <w:t>laktátacidózis exacerbatiója és a neurológiai szövődmények kockázatot jelentenek – mindkettő a</w:t>
      </w:r>
      <w:r w:rsidR="008B0278">
        <w:rPr>
          <w:rFonts w:ascii="Times New Roman" w:hAnsi="Times New Roman"/>
          <w:lang w:val="hu-HU"/>
        </w:rPr>
        <w:t xml:space="preserve"> </w:t>
      </w:r>
      <w:r w:rsidRPr="002E07DD" w:rsidDel="00370841">
        <w:rPr>
          <w:rFonts w:ascii="Times New Roman" w:hAnsi="Times New Roman"/>
          <w:lang w:val="hu-HU"/>
        </w:rPr>
        <w:t>betegség súlyosbodásához vezethet.</w:t>
      </w:r>
    </w:p>
    <w:p w14:paraId="5C130384" w14:textId="61968BEE" w:rsidR="00F721FD" w:rsidRPr="002E07DD" w:rsidDel="00370841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2A0E6C8" w14:textId="50FD32DB" w:rsidR="00F721FD" w:rsidDel="00370841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2E07DD" w:rsidDel="00370841">
        <w:rPr>
          <w:rFonts w:ascii="Times New Roman" w:hAnsi="Times New Roman"/>
          <w:lang w:val="hu-HU"/>
        </w:rPr>
        <w:t>Ha a metformin bevételét követően MELAS szindrómára vagy MIDD-re utaló jelek és tünetek</w:t>
      </w:r>
      <w:r w:rsidR="008B0278">
        <w:rPr>
          <w:rFonts w:ascii="Times New Roman" w:hAnsi="Times New Roman"/>
          <w:lang w:val="hu-HU"/>
        </w:rPr>
        <w:t xml:space="preserve"> </w:t>
      </w:r>
      <w:r w:rsidRPr="002E07DD" w:rsidDel="00370841">
        <w:rPr>
          <w:rFonts w:ascii="Times New Roman" w:hAnsi="Times New Roman"/>
          <w:lang w:val="hu-HU"/>
        </w:rPr>
        <w:t>alakulnak ki, a metformin adagolását azonnal fel kell függeszteni, és mihamarabb diagnosztikus</w:t>
      </w:r>
      <w:r w:rsidR="008B0278">
        <w:rPr>
          <w:rFonts w:ascii="Times New Roman" w:hAnsi="Times New Roman"/>
          <w:lang w:val="hu-HU"/>
        </w:rPr>
        <w:t xml:space="preserve"> </w:t>
      </w:r>
      <w:r w:rsidRPr="002E07DD" w:rsidDel="00370841">
        <w:rPr>
          <w:rFonts w:ascii="Times New Roman" w:hAnsi="Times New Roman"/>
          <w:lang w:val="hu-HU"/>
        </w:rPr>
        <w:t>vizsgálatokat kell elvégezni.</w:t>
      </w:r>
    </w:p>
    <w:p w14:paraId="1AC91E2A" w14:textId="77777777" w:rsidR="00F721FD" w:rsidRPr="00CA29AC" w:rsidRDefault="00F721F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8DDD07A" w14:textId="77777777" w:rsidR="007358E5" w:rsidRPr="00CA29AC" w:rsidRDefault="0016736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Veseműködés</w:t>
      </w:r>
    </w:p>
    <w:p w14:paraId="5093C544" w14:textId="77777777" w:rsidR="00507371" w:rsidRPr="00CA29AC" w:rsidRDefault="0050737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0039F96" w14:textId="12D17FEA" w:rsidR="00EF31E8" w:rsidRPr="00E47E83" w:rsidRDefault="007606D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A GFR</w:t>
      </w:r>
      <w:r w:rsidR="007A3EB4">
        <w:rPr>
          <w:rFonts w:ascii="Times New Roman" w:eastAsia="Times New Roman" w:hAnsi="Times New Roman"/>
          <w:lang w:val="hu-HU" w:bidi="en-US"/>
        </w:rPr>
        <w:t>-</w:t>
      </w:r>
      <w:r w:rsidRPr="00E47E83">
        <w:rPr>
          <w:rFonts w:ascii="Times New Roman" w:eastAsia="Times New Roman" w:hAnsi="Times New Roman"/>
          <w:lang w:val="hu-HU" w:bidi="en-US"/>
        </w:rPr>
        <w:t>értéket a kezelés megkezdése előtt és a kezelés során rendszeresen ellenőrizni kell (lásd</w:t>
      </w:r>
      <w:r w:rsidRPr="00E47E83">
        <w:rPr>
          <w:rFonts w:ascii="Times New Roman" w:hAnsi="Times New Roman"/>
          <w:lang w:val="hu-HU"/>
        </w:rPr>
        <w:t xml:space="preserve"> 4.2</w:t>
      </w:r>
      <w:r w:rsidR="003E1694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pont). A metformin ellenjavallt azon betegeknél, akiknél a GFR</w:t>
      </w:r>
      <w:r w:rsidR="003E1694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&lt;</w:t>
      </w:r>
      <w:r w:rsidR="003E1694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30</w:t>
      </w:r>
      <w:r w:rsidR="003E1694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ml/perc, és adását átmenetileg fel kell függeszteni olyan állapotokban, amelyek a veseműködést módosítják (lásd 4.3</w:t>
      </w:r>
      <w:r w:rsidR="003E1694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pont).</w:t>
      </w:r>
    </w:p>
    <w:p w14:paraId="360E2E2F" w14:textId="77777777" w:rsidR="002925CF" w:rsidRPr="00CA29AC" w:rsidRDefault="002925C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90EA21B" w14:textId="77777777" w:rsidR="007358E5" w:rsidRPr="00CA29AC" w:rsidRDefault="002925C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Elővigyázatosság szükséges olyan gyógyszerek egyidejű alkalmazása esetén, amelyek befolyásolhatják a vesefunkciót, jelentős hemodinamikai változásokat okoznak, illetve gátolják a renalis transzportot és fokozzák a metformin szisztémás expozícióját (lásd 4.5 pont).</w:t>
      </w:r>
    </w:p>
    <w:p w14:paraId="216DC844" w14:textId="77777777" w:rsidR="002925CF" w:rsidRPr="00CA29AC" w:rsidRDefault="002925C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BA8A61C" w14:textId="77777777" w:rsidR="00EF31E8" w:rsidRPr="00CA29AC" w:rsidRDefault="00877E1B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Májkárosodás</w:t>
      </w:r>
    </w:p>
    <w:p w14:paraId="5FF925A2" w14:textId="77777777" w:rsidR="00507371" w:rsidRPr="00CA29AC" w:rsidRDefault="0050737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425B128" w14:textId="2BC49491" w:rsidR="00EF31E8" w:rsidRPr="00CA29AC" w:rsidRDefault="00225A3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májkárosodásban szenvedő betegeket</w:t>
      </w:r>
      <w:r w:rsidR="009F51A0">
        <w:rPr>
          <w:rFonts w:ascii="Times New Roman" w:hAnsi="Times New Roman"/>
          <w:lang w:val="hu-HU"/>
        </w:rPr>
        <w:t>,</w:t>
      </w:r>
      <w:r w:rsidRPr="00E47E83">
        <w:rPr>
          <w:rFonts w:ascii="Times New Roman" w:hAnsi="Times New Roman"/>
          <w:lang w:val="hu-HU"/>
        </w:rPr>
        <w:t xml:space="preserve"> beleértve azokat a betegeket is, akiknél a kezelés előtt a </w:t>
      </w:r>
      <w:r w:rsidR="005C301A" w:rsidRPr="00E47E83">
        <w:rPr>
          <w:rFonts w:ascii="Times New Roman" w:hAnsi="Times New Roman"/>
          <w:lang w:val="hu-HU"/>
        </w:rPr>
        <w:t>GPT (</w:t>
      </w:r>
      <w:r w:rsidR="007574F1" w:rsidRPr="00E47E83">
        <w:rPr>
          <w:rFonts w:ascii="Times New Roman" w:hAnsi="Times New Roman"/>
          <w:lang w:val="hu-HU"/>
        </w:rPr>
        <w:t>ALAT</w:t>
      </w:r>
      <w:r w:rsidR="005C301A" w:rsidRPr="00E47E83">
        <w:rPr>
          <w:rFonts w:ascii="Times New Roman" w:hAnsi="Times New Roman"/>
          <w:lang w:val="hu-HU"/>
        </w:rPr>
        <w:t>)</w:t>
      </w:r>
      <w:r w:rsidRPr="00E47E83">
        <w:rPr>
          <w:rFonts w:ascii="Times New Roman" w:hAnsi="Times New Roman"/>
          <w:lang w:val="hu-HU"/>
        </w:rPr>
        <w:t xml:space="preserve"> vagy a </w:t>
      </w:r>
      <w:r w:rsidR="007574F1" w:rsidRPr="00E47E83">
        <w:rPr>
          <w:rFonts w:ascii="Times New Roman" w:hAnsi="Times New Roman"/>
          <w:lang w:val="hu-HU"/>
        </w:rPr>
        <w:t xml:space="preserve">GOT </w:t>
      </w:r>
      <w:r w:rsidR="005C301A" w:rsidRPr="00E47E83">
        <w:rPr>
          <w:rFonts w:ascii="Times New Roman" w:hAnsi="Times New Roman"/>
          <w:lang w:val="hu-HU"/>
        </w:rPr>
        <w:t>(</w:t>
      </w:r>
      <w:r w:rsidR="007574F1" w:rsidRPr="00E47E83">
        <w:rPr>
          <w:rFonts w:ascii="Times New Roman" w:hAnsi="Times New Roman"/>
          <w:lang w:val="hu-HU"/>
        </w:rPr>
        <w:t>ASAT</w:t>
      </w:r>
      <w:r w:rsidR="005C301A" w:rsidRPr="00E47E83">
        <w:rPr>
          <w:rFonts w:ascii="Times New Roman" w:hAnsi="Times New Roman"/>
          <w:lang w:val="hu-HU"/>
        </w:rPr>
        <w:t>)</w:t>
      </w:r>
      <w:r w:rsidRPr="00E47E83">
        <w:rPr>
          <w:rFonts w:ascii="Times New Roman" w:hAnsi="Times New Roman"/>
          <w:lang w:val="hu-HU"/>
        </w:rPr>
        <w:t xml:space="preserve"> szintje meghaladja a normálérték felső határának 3-szorosát</w:t>
      </w:r>
      <w:r w:rsidR="009F51A0">
        <w:rPr>
          <w:rFonts w:ascii="Times New Roman" w:hAnsi="Times New Roman"/>
          <w:lang w:val="hu-HU"/>
        </w:rPr>
        <w:t>,</w:t>
      </w:r>
      <w:r w:rsidRPr="00E47E83">
        <w:rPr>
          <w:rFonts w:ascii="Times New Roman" w:hAnsi="Times New Roman"/>
          <w:lang w:val="hu-HU"/>
        </w:rPr>
        <w:t xml:space="preserve"> nem szabad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>-</w:t>
      </w:r>
      <w:r w:rsidR="00FB44E1" w:rsidRPr="00E47E83">
        <w:rPr>
          <w:rFonts w:ascii="Times New Roman" w:hAnsi="Times New Roman"/>
          <w:lang w:val="hu-HU"/>
        </w:rPr>
        <w:t>t</w:t>
      </w:r>
      <w:r w:rsidRPr="00E47E83">
        <w:rPr>
          <w:rFonts w:ascii="Times New Roman" w:hAnsi="Times New Roman"/>
          <w:lang w:val="hu-HU"/>
        </w:rPr>
        <w:t>al kezelni (lásd 4.2, 4.3 és 4.8</w:t>
      </w:r>
      <w:r w:rsidR="00B86B9B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</w:t>
      </w:r>
      <w:r w:rsidR="00724532" w:rsidRPr="00E47E83">
        <w:rPr>
          <w:rFonts w:ascii="Times New Roman" w:hAnsi="Times New Roman"/>
          <w:lang w:val="hu-HU"/>
        </w:rPr>
        <w:t>.</w:t>
      </w:r>
    </w:p>
    <w:p w14:paraId="650A4EA7" w14:textId="722E30A1" w:rsidR="007358E5" w:rsidRPr="00E47E83" w:rsidRDefault="007358E5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7785813" w14:textId="77777777" w:rsidR="00EF31E8" w:rsidRPr="00E47E83" w:rsidRDefault="001E23FB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bidi="en-US"/>
        </w:rPr>
      </w:pPr>
      <w:r w:rsidRPr="00E47E83">
        <w:rPr>
          <w:rFonts w:ascii="Times New Roman" w:hAnsi="Times New Roman"/>
          <w:i/>
          <w:u w:val="single"/>
          <w:lang w:val="hu-HU"/>
        </w:rPr>
        <w:t>A májenzimek ellenőrzése</w:t>
      </w:r>
    </w:p>
    <w:p w14:paraId="3ED7B0F6" w14:textId="0A24F4F9" w:rsidR="00EF31E8" w:rsidRPr="00CA29AC" w:rsidRDefault="00B22F9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Májműködési zavar (beleértve a hepatitist is) ritka eseteiről számoltak be vildagliptin</w:t>
      </w:r>
      <w:r w:rsidR="00C5295A">
        <w:rPr>
          <w:rFonts w:ascii="Times New Roman" w:eastAsia="Times New Roman" w:hAnsi="Times New Roman"/>
          <w:lang w:val="hu-HU" w:bidi="en-US"/>
        </w:rPr>
        <w:t>-</w:t>
      </w:r>
      <w:r w:rsidRPr="00E47E83">
        <w:rPr>
          <w:rFonts w:ascii="Times New Roman" w:eastAsia="Times New Roman" w:hAnsi="Times New Roman"/>
          <w:lang w:val="hu-HU" w:bidi="en-US"/>
        </w:rPr>
        <w:t xml:space="preserve">kezelés során. Ezek az esetek nem jártak klinikai következménnyel, a betegek rendszerint tünetmentesek voltak, és a májfunkciós vizsgálatok eredményei a kezelés felfüggesztését követően visszatértek a normálértékre. A beteg kiindulási enzimértékeinek ismerete érdekében a </w:t>
      </w:r>
      <w:r w:rsidR="00EA0649" w:rsidRPr="00E47E83">
        <w:rPr>
          <w:rFonts w:ascii="Times New Roman" w:eastAsia="Times New Roman" w:hAnsi="Times New Roman"/>
          <w:lang w:val="hu-HU" w:bidi="en-US"/>
        </w:rPr>
        <w:t>Radicut</w:t>
      </w:r>
      <w:r w:rsidRPr="00E47E83">
        <w:rPr>
          <w:rFonts w:ascii="Times New Roman" w:eastAsia="Times New Roman" w:hAnsi="Times New Roman"/>
          <w:lang w:val="hu-HU" w:bidi="en-US"/>
        </w:rPr>
        <w:t xml:space="preserve">-kezelés megkezdése előtt májfunkciós vizsgálatokat kell végezni. A májfunkciót a </w:t>
      </w:r>
      <w:r w:rsidR="00EA0649" w:rsidRPr="00E47E83">
        <w:rPr>
          <w:rFonts w:ascii="Times New Roman" w:eastAsia="Times New Roman" w:hAnsi="Times New Roman"/>
          <w:lang w:val="hu-HU" w:bidi="en-US"/>
        </w:rPr>
        <w:t>Radicut</w:t>
      </w:r>
      <w:r w:rsidRPr="00E47E83">
        <w:rPr>
          <w:rFonts w:ascii="Times New Roman" w:eastAsia="Times New Roman" w:hAnsi="Times New Roman"/>
          <w:lang w:val="hu-HU" w:bidi="en-US"/>
        </w:rPr>
        <w:t xml:space="preserve">-kezelés első évében háromhavonta, majd azt követően időszakosan ellenőrizni kell. Azoknál a betegeknél, akiknél a transzaminázszint </w:t>
      </w:r>
      <w:r w:rsidRPr="00E47E83">
        <w:rPr>
          <w:rFonts w:ascii="Times New Roman" w:eastAsia="Times New Roman" w:hAnsi="Times New Roman"/>
          <w:lang w:val="hu-HU" w:bidi="en-US"/>
        </w:rPr>
        <w:lastRenderedPageBreak/>
        <w:t>emelkedik, egy második, ellenőrző májfunkciós vizsgálattal meg kell erősíteni az eredményeket, majd a továbbiakban a rendellenesség(ek) rendeződéséig gyakori májfunkciós vizsgálatok</w:t>
      </w:r>
      <w:r w:rsidR="003725A0" w:rsidRPr="00E47E83">
        <w:rPr>
          <w:rFonts w:ascii="Times New Roman" w:eastAsia="Times New Roman" w:hAnsi="Times New Roman"/>
          <w:lang w:val="hu-HU" w:bidi="en-US"/>
        </w:rPr>
        <w:t>at</w:t>
      </w:r>
      <w:r w:rsidRPr="00E47E83">
        <w:rPr>
          <w:rFonts w:ascii="Times New Roman" w:eastAsia="Times New Roman" w:hAnsi="Times New Roman"/>
          <w:lang w:val="hu-HU" w:bidi="en-US"/>
        </w:rPr>
        <w:t xml:space="preserve"> kell</w:t>
      </w:r>
      <w:r w:rsidR="003725A0" w:rsidRPr="00E47E83">
        <w:rPr>
          <w:rFonts w:ascii="Times New Roman" w:eastAsia="Times New Roman" w:hAnsi="Times New Roman"/>
          <w:lang w:val="hu-HU" w:bidi="en-US"/>
        </w:rPr>
        <w:t xml:space="preserve"> végezni</w:t>
      </w:r>
      <w:r w:rsidRPr="00E47E83">
        <w:rPr>
          <w:rFonts w:ascii="Times New Roman" w:eastAsia="Times New Roman" w:hAnsi="Times New Roman"/>
          <w:lang w:val="hu-HU" w:bidi="en-US"/>
        </w:rPr>
        <w:t>.</w:t>
      </w:r>
      <w:r w:rsidRPr="00E47E83">
        <w:rPr>
          <w:rFonts w:ascii="Times New Roman" w:hAnsi="Times New Roman"/>
          <w:lang w:val="hu-HU"/>
        </w:rPr>
        <w:t xml:space="preserve"> Amennyiben a </w:t>
      </w:r>
      <w:r w:rsidR="00F97819" w:rsidRPr="00E47E83">
        <w:rPr>
          <w:rFonts w:ascii="Times New Roman" w:hAnsi="Times New Roman"/>
          <w:lang w:val="hu-HU"/>
        </w:rPr>
        <w:t>GOT (</w:t>
      </w:r>
      <w:r w:rsidR="0081772A" w:rsidRPr="00E47E83">
        <w:rPr>
          <w:rFonts w:ascii="Times New Roman" w:hAnsi="Times New Roman"/>
          <w:lang w:val="hu-HU"/>
        </w:rPr>
        <w:t>ASAT</w:t>
      </w:r>
      <w:r w:rsidR="00F97819" w:rsidRPr="00E47E83">
        <w:rPr>
          <w:rFonts w:ascii="Times New Roman" w:hAnsi="Times New Roman"/>
          <w:lang w:val="hu-HU"/>
        </w:rPr>
        <w:t>)</w:t>
      </w:r>
      <w:r w:rsidRPr="00E47E83">
        <w:rPr>
          <w:rFonts w:ascii="Times New Roman" w:hAnsi="Times New Roman"/>
          <w:lang w:val="hu-HU"/>
        </w:rPr>
        <w:t xml:space="preserve"> vagy a </w:t>
      </w:r>
      <w:r w:rsidR="0081772A" w:rsidRPr="00E47E83">
        <w:rPr>
          <w:rFonts w:ascii="Times New Roman" w:hAnsi="Times New Roman"/>
          <w:lang w:val="hu-HU"/>
        </w:rPr>
        <w:t xml:space="preserve">GPT </w:t>
      </w:r>
      <w:r w:rsidR="00F97819" w:rsidRPr="00E47E83">
        <w:rPr>
          <w:rFonts w:ascii="Times New Roman" w:hAnsi="Times New Roman"/>
          <w:lang w:val="hu-HU"/>
        </w:rPr>
        <w:t>(</w:t>
      </w:r>
      <w:r w:rsidR="0081772A" w:rsidRPr="00E47E83">
        <w:rPr>
          <w:rFonts w:ascii="Times New Roman" w:hAnsi="Times New Roman"/>
          <w:lang w:val="hu-HU"/>
        </w:rPr>
        <w:t>ALAT</w:t>
      </w:r>
      <w:r w:rsidR="00F97819" w:rsidRPr="00E47E83">
        <w:rPr>
          <w:rFonts w:ascii="Times New Roman" w:hAnsi="Times New Roman"/>
          <w:lang w:val="hu-HU"/>
        </w:rPr>
        <w:t>)</w:t>
      </w:r>
      <w:r w:rsidR="0081772A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 xml:space="preserve">értéke tartósan meghaladja a normálérték felső határának háromszorosát,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-kezelés megszakítása javasolt. Azoknál a betegeknél, akiknél sárgaság vagy májműködési zavarra utaló egyéb tünet alakul ki,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adását abba kell hagyni.</w:t>
      </w:r>
    </w:p>
    <w:p w14:paraId="73ACA1F5" w14:textId="77777777" w:rsidR="007358E5" w:rsidRPr="00CA29AC" w:rsidRDefault="007358E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0CE36FB" w14:textId="6380CD14" w:rsidR="00EF31E8" w:rsidRPr="00CA29AC" w:rsidRDefault="00CC26D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-kezelés abbahagyását és a májfunkciós vizsgálatok eredményeinek normalizálódását követően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>-kezelést nem szabad újra elkezdeni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2200224" w14:textId="77777777" w:rsidR="007358E5" w:rsidRPr="00CA29AC" w:rsidRDefault="007358E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0FEF971" w14:textId="77777777" w:rsidR="00EF31E8" w:rsidRPr="00CA29AC" w:rsidRDefault="002A7B3C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Bőrbetegségek</w:t>
      </w:r>
    </w:p>
    <w:p w14:paraId="30B44024" w14:textId="77777777" w:rsidR="00507371" w:rsidRPr="00CA29AC" w:rsidRDefault="0050737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E0D61A0" w14:textId="5F485267" w:rsidR="00EF31E8" w:rsidRPr="00CA29AC" w:rsidRDefault="000640E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preklinikai toxikológiai vizsgálatok során majmoknál bőrléziókról, köztük a végtagokon kialakuló hólyagképződésről és kifekélyesedésről számoltak be (lásd 5.3</w:t>
      </w:r>
      <w:r w:rsidR="00B86B9B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pont). Noha a klinikai vizsgálatokban nem észlelték a bőrléziók magasabb incidenciáját, a betegek diabéteszes bőrlézióival a tapasztalat korlátozott volt. Továbbá a forgalomba hozatalt követően beszámoltak hólyagos és hámló bőrelváltozásokról. Ezért, a cukorbetegek rutinszerű gondozásával összhangban, a bőrbetegségek, mint például a hólyag- vagy fekélyképződés ellenőrzése javasolt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266E19C" w14:textId="77777777" w:rsidR="007358E5" w:rsidRPr="00CA29AC" w:rsidRDefault="007358E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FE9F723" w14:textId="77777777" w:rsidR="00E365FF" w:rsidRPr="00CA29AC" w:rsidRDefault="001A57F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Akut pancreatitis</w:t>
      </w:r>
    </w:p>
    <w:p w14:paraId="3DBACEE9" w14:textId="77777777" w:rsidR="00507371" w:rsidRPr="00CA29AC" w:rsidRDefault="0050737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2A08847" w14:textId="46D6BA71" w:rsidR="00F85077" w:rsidRPr="00CA29AC" w:rsidRDefault="00011A1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vildagliptin alkalmazását az akut pancreatitis kialakulásának kockázatával hozták összefüggésbe. A betegekkel ismertetni kell az akut pancreatitis jellemző tünet</w:t>
      </w:r>
      <w:r w:rsidR="00933727">
        <w:rPr>
          <w:rFonts w:ascii="Times New Roman" w:hAnsi="Times New Roman"/>
          <w:lang w:val="hu-HU"/>
        </w:rPr>
        <w:t>é</w:t>
      </w:r>
      <w:r w:rsidRPr="00E47E83">
        <w:rPr>
          <w:rFonts w:ascii="Times New Roman" w:hAnsi="Times New Roman"/>
          <w:lang w:val="hu-HU"/>
        </w:rPr>
        <w:t>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398D826" w14:textId="77777777" w:rsidR="00F85077" w:rsidRPr="00CA29AC" w:rsidRDefault="00F8507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9A8E0CE" w14:textId="77777777" w:rsidR="00EF31E8" w:rsidRPr="00CA29AC" w:rsidRDefault="00ED79B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Pancreatitis gyanúja esetén a vildagliptin szedését abba kell hagyni. Ha a</w:t>
      </w:r>
      <w:r w:rsidR="002B677D" w:rsidRPr="00E47E83">
        <w:rPr>
          <w:rFonts w:ascii="Times New Roman" w:hAnsi="Times New Roman"/>
          <w:lang w:val="hu-HU"/>
        </w:rPr>
        <w:t>z</w:t>
      </w:r>
      <w:r w:rsidRPr="00E47E83">
        <w:rPr>
          <w:rFonts w:ascii="Times New Roman" w:hAnsi="Times New Roman"/>
          <w:lang w:val="hu-HU"/>
        </w:rPr>
        <w:t xml:space="preserve"> </w:t>
      </w:r>
      <w:r w:rsidR="002B677D" w:rsidRPr="00E47E83">
        <w:rPr>
          <w:rFonts w:ascii="Times New Roman" w:hAnsi="Times New Roman"/>
          <w:lang w:val="hu-HU"/>
        </w:rPr>
        <w:t>akut pancreatitis</w:t>
      </w:r>
      <w:r w:rsidRPr="00E47E83">
        <w:rPr>
          <w:rFonts w:ascii="Times New Roman" w:hAnsi="Times New Roman"/>
          <w:lang w:val="hu-HU"/>
        </w:rPr>
        <w:t xml:space="preserve"> bizonyított, a vildagliptint nem szabad újrakezdeni. Elővigyázatosság szükséges az olyan betegeknél, akiknek az anamnézisében </w:t>
      </w:r>
      <w:r w:rsidR="002B677D" w:rsidRPr="00E47E83">
        <w:rPr>
          <w:rFonts w:ascii="Times New Roman" w:hAnsi="Times New Roman"/>
          <w:lang w:val="hu-HU"/>
        </w:rPr>
        <w:t xml:space="preserve">akut pancreatitis </w:t>
      </w:r>
      <w:r w:rsidRPr="00E47E83">
        <w:rPr>
          <w:rFonts w:ascii="Times New Roman" w:hAnsi="Times New Roman"/>
          <w:lang w:val="hu-HU"/>
        </w:rPr>
        <w:t>szerepel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EC4FEC1" w14:textId="77777777" w:rsidR="007358E5" w:rsidRPr="00CA29AC" w:rsidRDefault="007358E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66DE345" w14:textId="77777777" w:rsidR="00EF31E8" w:rsidRPr="00CA29AC" w:rsidRDefault="00D25F0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Hypoglykaemia</w:t>
      </w:r>
    </w:p>
    <w:p w14:paraId="40B48789" w14:textId="77777777" w:rsidR="00CE2486" w:rsidRPr="00CA29AC" w:rsidRDefault="00CE248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8C078D2" w14:textId="3D3FBFBA" w:rsidR="00EF31E8" w:rsidRPr="00CA29AC" w:rsidRDefault="00ED26D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Ismert, hogy a </w:t>
      </w:r>
      <w:r w:rsidR="00E64551" w:rsidRPr="00E47E83">
        <w:rPr>
          <w:rFonts w:ascii="Times New Roman" w:hAnsi="Times New Roman"/>
          <w:lang w:val="hu-HU"/>
        </w:rPr>
        <w:t>szulfonilureák</w:t>
      </w:r>
      <w:r w:rsidR="00132016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 xml:space="preserve">hypoglykaemiát okoznak. </w:t>
      </w:r>
      <w:r w:rsidR="00E64551" w:rsidRPr="00E47E83">
        <w:rPr>
          <w:rFonts w:ascii="Times New Roman" w:hAnsi="Times New Roman"/>
          <w:lang w:val="hu-HU"/>
        </w:rPr>
        <w:t>Szulfonilureát</w:t>
      </w:r>
      <w:r w:rsidR="00132016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 xml:space="preserve">vildagliptinnel kombinációban kapó betegeknél hypoglykaemia kockázata állhat fenn. Ezért a hypoglykaemia kockázatának csökkentése érdekében </w:t>
      </w:r>
      <w:r w:rsidR="003725A0" w:rsidRPr="00E47E83">
        <w:rPr>
          <w:rFonts w:ascii="Times New Roman" w:hAnsi="Times New Roman"/>
          <w:lang w:val="hu-HU"/>
        </w:rPr>
        <w:t xml:space="preserve">a </w:t>
      </w:r>
      <w:r w:rsidRPr="00E47E83">
        <w:rPr>
          <w:rFonts w:ascii="Times New Roman" w:hAnsi="Times New Roman"/>
          <w:lang w:val="hu-HU"/>
        </w:rPr>
        <w:t xml:space="preserve">szulfonilurea </w:t>
      </w:r>
      <w:r w:rsidR="003725A0" w:rsidRPr="00E47E83">
        <w:rPr>
          <w:rFonts w:ascii="Times New Roman" w:hAnsi="Times New Roman"/>
          <w:lang w:val="hu-HU"/>
        </w:rPr>
        <w:t xml:space="preserve">kisebb </w:t>
      </w:r>
      <w:r w:rsidRPr="00E47E83">
        <w:rPr>
          <w:rFonts w:ascii="Times New Roman" w:hAnsi="Times New Roman"/>
          <w:lang w:val="hu-HU"/>
        </w:rPr>
        <w:t>dózis</w:t>
      </w:r>
      <w:r w:rsidR="003725A0" w:rsidRPr="00E47E83">
        <w:rPr>
          <w:rFonts w:ascii="Times New Roman" w:hAnsi="Times New Roman"/>
          <w:lang w:val="hu-HU"/>
        </w:rPr>
        <w:t>ban történő</w:t>
      </w:r>
      <w:r w:rsidRPr="00E47E83">
        <w:rPr>
          <w:rFonts w:ascii="Times New Roman" w:hAnsi="Times New Roman"/>
          <w:lang w:val="hu-HU"/>
        </w:rPr>
        <w:t xml:space="preserve"> adása mérlegelhető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AE7F944" w14:textId="77777777" w:rsidR="007358E5" w:rsidRPr="00CA29AC" w:rsidRDefault="007358E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0526B89" w14:textId="77777777" w:rsidR="00EF31E8" w:rsidRPr="00CA29AC" w:rsidRDefault="0065157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Sebészeti beavatkozások</w:t>
      </w:r>
    </w:p>
    <w:p w14:paraId="24F44BB3" w14:textId="77777777" w:rsidR="00CE2486" w:rsidRPr="00CA29AC" w:rsidRDefault="00CE248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B08DF47" w14:textId="0C799AA4" w:rsidR="007358E5" w:rsidRPr="00CA29AC" w:rsidRDefault="0073046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metformin adását az általános, spinális vagy epidurális anesztéziával járó műtét idejére fel kell függeszteni. A készítmény leghamarabb 48</w:t>
      </w:r>
      <w:r w:rsidR="00ED4F1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órával a műtét, illetve az orális táplálásra való visszatérés után adható újra, akkor is csak abban az esetben, ha a veseműködést újra ellenőrizték, és az stabilnak bizonyult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E6A8B0C" w14:textId="77777777" w:rsidR="007358E5" w:rsidRPr="00E47E83" w:rsidRDefault="007358E5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865268C" w14:textId="77777777" w:rsidR="008B7B4E" w:rsidRPr="00CA29AC" w:rsidRDefault="008B7B4E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b/>
          <w:color w:val="000000"/>
          <w:lang w:val="hu-HU"/>
        </w:rPr>
        <w:t>4.5</w:t>
      </w:r>
      <w:r w:rsidRPr="00E47E83">
        <w:rPr>
          <w:rFonts w:ascii="Times New Roman" w:hAnsi="Times New Roman"/>
          <w:b/>
          <w:color w:val="000000"/>
          <w:lang w:val="hu-HU"/>
        </w:rPr>
        <w:tab/>
        <w:t>Gyógyszerkölcsönhatások és egyéb interakciók</w:t>
      </w:r>
    </w:p>
    <w:p w14:paraId="6B84A4DE" w14:textId="77777777" w:rsidR="00A761E1" w:rsidRPr="00CA29AC" w:rsidRDefault="00A761E1" w:rsidP="00E92AEE">
      <w:pPr>
        <w:keepNext/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5AB5DAF3" w14:textId="583F4DC7" w:rsidR="007358E5" w:rsidRPr="00CA29AC" w:rsidRDefault="00DC6841" w:rsidP="00E92AEE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Szabályos interakciós vizsgálatokat nem végeztek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>-</w:t>
      </w:r>
      <w:r w:rsidR="00FB44E1" w:rsidRPr="00E47E83">
        <w:rPr>
          <w:rFonts w:ascii="Times New Roman" w:hAnsi="Times New Roman"/>
          <w:lang w:val="hu-HU"/>
        </w:rPr>
        <w:t>t</w:t>
      </w:r>
      <w:r w:rsidRPr="00E47E83">
        <w:rPr>
          <w:rFonts w:ascii="Times New Roman" w:hAnsi="Times New Roman"/>
          <w:lang w:val="hu-HU"/>
        </w:rPr>
        <w:t>al. Az alábbi állítások az egyes hatóanyagok esetén rendelkezésre álló információkat tükrözik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0D9D7153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C1136D8" w14:textId="77777777" w:rsidR="007358E5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Vildagliptin</w:t>
      </w:r>
    </w:p>
    <w:p w14:paraId="6B71F76C" w14:textId="77777777" w:rsidR="00343EEA" w:rsidRPr="00CA29AC" w:rsidRDefault="00343EE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</w:p>
    <w:p w14:paraId="0E2DED4A" w14:textId="77777777" w:rsidR="00171610" w:rsidRPr="00CA29AC" w:rsidRDefault="001C134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vildagliptin esetében </w:t>
      </w:r>
      <w:r w:rsidR="00F508C4" w:rsidRPr="00E47E83">
        <w:rPr>
          <w:rFonts w:ascii="Times New Roman" w:hAnsi="Times New Roman"/>
          <w:lang w:val="hu-HU"/>
        </w:rPr>
        <w:t xml:space="preserve">kicsi </w:t>
      </w:r>
      <w:r w:rsidRPr="00E47E83">
        <w:rPr>
          <w:rFonts w:ascii="Times New Roman" w:hAnsi="Times New Roman"/>
          <w:lang w:val="hu-HU"/>
        </w:rPr>
        <w:t>a kölcsönhatások valószínűsége az egyidejűleg alkalmazott gyógyszerekkel. Mivel a citokróm P (CYP) 450 enzimnek a vildagliptin nem szubsztrátja, és nem gátolja, illetve nem indukálja a CYP 450 enzimeket, valószínűleg nem lép interakcióba azokkal a hatóanyagokkal, amelyek ezen enzimek szubsztrátjai, inhibitorai vagy induktorai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2F4D786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5FCE687" w14:textId="77777777" w:rsidR="00EF31E8" w:rsidRPr="00CA29AC" w:rsidRDefault="00382E02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vildagliptinnel kombinált pioglitazon, metformin és </w:t>
      </w:r>
      <w:r w:rsidR="00B6477F" w:rsidRPr="00E47E83">
        <w:rPr>
          <w:rFonts w:ascii="Times New Roman" w:hAnsi="Times New Roman"/>
          <w:lang w:val="hu-HU"/>
        </w:rPr>
        <w:t xml:space="preserve">glibenklamid </w:t>
      </w:r>
      <w:r w:rsidRPr="00E47E83">
        <w:rPr>
          <w:rFonts w:ascii="Times New Roman" w:hAnsi="Times New Roman"/>
          <w:lang w:val="hu-HU"/>
        </w:rPr>
        <w:t>orális antidiabetikumokkal végzett klinikai vizsgálatok eredményei nem mutattak klinikailag releváns farmakokinetikai interakciókat a célpopulációban</w:t>
      </w:r>
      <w:r w:rsidR="00EF31E8" w:rsidRPr="00E47E83">
        <w:rPr>
          <w:rFonts w:ascii="Times New Roman" w:hAnsi="Times New Roman"/>
          <w:lang w:val="hu-HU"/>
        </w:rPr>
        <w:t>.</w:t>
      </w:r>
    </w:p>
    <w:p w14:paraId="6224A162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2500C5C" w14:textId="77777777" w:rsidR="00EF31E8" w:rsidRPr="00CA29AC" w:rsidRDefault="0005134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lastRenderedPageBreak/>
        <w:t>A digoxinnal (P-g</w:t>
      </w:r>
      <w:r w:rsidR="00F508C4" w:rsidRPr="00E47E83">
        <w:rPr>
          <w:rFonts w:ascii="Times New Roman" w:hAnsi="Times New Roman"/>
          <w:lang w:val="hu-HU"/>
        </w:rPr>
        <w:t>liko</w:t>
      </w:r>
      <w:r w:rsidRPr="00E47E83">
        <w:rPr>
          <w:rFonts w:ascii="Times New Roman" w:hAnsi="Times New Roman"/>
          <w:lang w:val="hu-HU"/>
        </w:rPr>
        <w:t>p</w:t>
      </w:r>
      <w:r w:rsidR="00F508C4" w:rsidRPr="00E47E83">
        <w:rPr>
          <w:rFonts w:ascii="Times New Roman" w:hAnsi="Times New Roman"/>
          <w:lang w:val="hu-HU"/>
        </w:rPr>
        <w:t>rotein</w:t>
      </w:r>
      <w:r w:rsidRPr="00E47E83">
        <w:rPr>
          <w:rFonts w:ascii="Times New Roman" w:hAnsi="Times New Roman"/>
          <w:lang w:val="hu-HU"/>
        </w:rPr>
        <w:t xml:space="preserve"> szubsztrát) és warfarinnal (CYP2C9 szubsztrát) egészséges önkéntesekkel végzett gyógyszerkölcsönhatás vizsgálatok nem mutattak klinikailag releváns farmakokinetikai interakciókat a vildagliptinnel történő egyidejű alkalmazást követően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3F70482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674B5F5" w14:textId="77777777" w:rsidR="00EF31E8" w:rsidRPr="00CA29AC" w:rsidRDefault="00C447E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Egészséges önkéntesek</w:t>
      </w:r>
      <w:r w:rsidR="00F508C4" w:rsidRPr="00E47E83">
        <w:rPr>
          <w:rFonts w:ascii="Times New Roman" w:hAnsi="Times New Roman"/>
          <w:lang w:val="hu-HU"/>
        </w:rPr>
        <w:t>kel</w:t>
      </w:r>
      <w:r w:rsidRPr="00E47E83">
        <w:rPr>
          <w:rFonts w:ascii="Times New Roman" w:hAnsi="Times New Roman"/>
          <w:lang w:val="hu-HU"/>
        </w:rPr>
        <w:t xml:space="preserve"> interakciós vizsgálatokat </w:t>
      </w:r>
      <w:r w:rsidR="00F508C4" w:rsidRPr="00E47E83">
        <w:rPr>
          <w:rFonts w:ascii="Times New Roman" w:hAnsi="Times New Roman"/>
          <w:lang w:val="hu-HU"/>
        </w:rPr>
        <w:t xml:space="preserve">végeztek </w:t>
      </w:r>
      <w:r w:rsidRPr="00E47E83">
        <w:rPr>
          <w:rFonts w:ascii="Times New Roman" w:hAnsi="Times New Roman"/>
          <w:lang w:val="hu-HU"/>
        </w:rPr>
        <w:t>amlodipinnel, ramiprillel, valzartánnal és szimvasztatinnal. Ezekben a vizsgálatokban a vildagliptinnel történő egyidejű alkalmazást követően nem észleltek klinikailag releváns farmakokinetikai interakciókat. Ezt azonban a célpopulációban nem állapították meg</w:t>
      </w:r>
      <w:r w:rsidR="00EF31E8" w:rsidRPr="00E47E83">
        <w:rPr>
          <w:rFonts w:ascii="Times New Roman" w:hAnsi="Times New Roman"/>
          <w:lang w:val="hu-HU"/>
        </w:rPr>
        <w:t>.</w:t>
      </w:r>
    </w:p>
    <w:p w14:paraId="767563D3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0837E2E" w14:textId="77777777" w:rsidR="00EF31E8" w:rsidRPr="00E47E83" w:rsidRDefault="00CD6A89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bidi="en-US"/>
        </w:rPr>
      </w:pPr>
      <w:r w:rsidRPr="00E47E83">
        <w:rPr>
          <w:rFonts w:ascii="Times New Roman" w:hAnsi="Times New Roman"/>
          <w:i/>
          <w:u w:val="single"/>
          <w:lang w:val="hu-HU"/>
        </w:rPr>
        <w:t>Kombináció ACE-gátlókkal</w:t>
      </w:r>
    </w:p>
    <w:p w14:paraId="1F8C6D2D" w14:textId="77777777" w:rsidR="00EF31E8" w:rsidRPr="00CA29AC" w:rsidRDefault="0099760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Az egyidejűleg ACE-gátlót szedő betegeknél az angiooedema kockázata megnövekedhet (lásd 4.8</w:t>
      </w:r>
      <w:r w:rsidR="00B86B9B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</w:t>
      </w:r>
      <w:r w:rsidR="00EF31E8" w:rsidRPr="00E47E83">
        <w:rPr>
          <w:rFonts w:ascii="Times New Roman" w:hAnsi="Times New Roman"/>
          <w:lang w:val="hu-HU"/>
        </w:rPr>
        <w:t>).</w:t>
      </w:r>
    </w:p>
    <w:p w14:paraId="69450F3E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966AAB2" w14:textId="77777777" w:rsidR="00171610" w:rsidRPr="00CA29AC" w:rsidRDefault="00553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Más orális antidiabetikumokhoz hasonlóan, a vildagliptin h</w:t>
      </w:r>
      <w:r w:rsidR="00140D80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pogl</w:t>
      </w:r>
      <w:r w:rsidR="00140D80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k</w:t>
      </w:r>
      <w:r w:rsidR="00140D80" w:rsidRPr="00E47E83">
        <w:rPr>
          <w:rFonts w:ascii="Times New Roman" w:hAnsi="Times New Roman"/>
          <w:lang w:val="hu-HU"/>
        </w:rPr>
        <w:t>ae</w:t>
      </w:r>
      <w:r w:rsidRPr="00E47E83">
        <w:rPr>
          <w:rFonts w:ascii="Times New Roman" w:hAnsi="Times New Roman"/>
          <w:lang w:val="hu-HU"/>
        </w:rPr>
        <w:t>miás hatását csökkenthetik bizonyos hatóanyagok, így pl. tiazidok, kortikoszteroidok, a pajzsmirigyre ható gyógyszerek és szimpatomimetikumok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2AF3B18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77AC5AF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Metformin</w:t>
      </w:r>
    </w:p>
    <w:p w14:paraId="6BFEACBA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43559D4" w14:textId="48507365" w:rsidR="00EF31E8" w:rsidRPr="00E47E83" w:rsidRDefault="00724E27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u w:val="single"/>
          <w:lang w:val="hu-HU"/>
        </w:rPr>
      </w:pPr>
      <w:r w:rsidRPr="00E47E83">
        <w:rPr>
          <w:rFonts w:ascii="Times New Roman" w:hAnsi="Times New Roman"/>
          <w:i/>
          <w:u w:val="single"/>
          <w:lang w:val="hu-HU"/>
        </w:rPr>
        <w:t>Együttadása nem ajánlott</w:t>
      </w:r>
    </w:p>
    <w:p w14:paraId="2DC3D00A" w14:textId="77777777" w:rsidR="00EF31E8" w:rsidRPr="00E47E83" w:rsidRDefault="00F120B9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bidi="en-US"/>
        </w:rPr>
      </w:pPr>
      <w:r w:rsidRPr="00E47E83">
        <w:rPr>
          <w:rFonts w:ascii="Times New Roman" w:hAnsi="Times New Roman"/>
          <w:i/>
          <w:lang w:val="hu-HU"/>
        </w:rPr>
        <w:t>Alkohol</w:t>
      </w:r>
    </w:p>
    <w:p w14:paraId="4C10E80C" w14:textId="77777777" w:rsidR="00EF31E8" w:rsidRPr="00CA29AC" w:rsidRDefault="009D1E7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Az alkoholintoxikáció fokozza a laktátacidózis kockázatát, különösen éhezés, alultápláltság vagy májkárosodás fennállásakor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FA2FB16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A8755F4" w14:textId="77777777" w:rsidR="00EF31E8" w:rsidRPr="00E47E83" w:rsidRDefault="00034037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lang w:val="hu-HU" w:bidi="en-US"/>
        </w:rPr>
      </w:pPr>
      <w:r w:rsidRPr="00E47E83">
        <w:rPr>
          <w:rFonts w:ascii="Times New Roman" w:hAnsi="Times New Roman"/>
          <w:i/>
          <w:lang w:val="hu-HU"/>
        </w:rPr>
        <w:t>Jódtartalmú kontrasztanyagok</w:t>
      </w:r>
    </w:p>
    <w:p w14:paraId="64F95F1C" w14:textId="12C2813B" w:rsidR="00171610" w:rsidRPr="00CA29AC" w:rsidRDefault="00160BC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metformin adását fel kell függeszteni a vizsgálatot megelőzően vagy a vizsgálat idejére, és csak legalább 48</w:t>
      </w:r>
      <w:r w:rsidR="00B86B9B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óra elteltével állítható vissza, akkor is csak abban az esetben, ha a veseműködést újra ellenőrizték, és az stabilnak bizonyult (lásd 4.2 és 4.4</w:t>
      </w:r>
      <w:r w:rsidR="00B86B9B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</w:t>
      </w:r>
      <w:r w:rsidR="00EF31E8" w:rsidRPr="00E47E83">
        <w:rPr>
          <w:rFonts w:ascii="Times New Roman" w:hAnsi="Times New Roman"/>
          <w:lang w:val="hu-HU"/>
        </w:rPr>
        <w:t>).</w:t>
      </w:r>
    </w:p>
    <w:p w14:paraId="4DC29D79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E1FFECD" w14:textId="4AE4703A" w:rsidR="00EF31E8" w:rsidRPr="00E47E83" w:rsidRDefault="001D406E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bidi="en-US"/>
        </w:rPr>
      </w:pPr>
      <w:r w:rsidRPr="00E47E83">
        <w:rPr>
          <w:rFonts w:ascii="Times New Roman" w:hAnsi="Times New Roman"/>
          <w:i/>
          <w:iCs/>
          <w:u w:val="single"/>
          <w:lang w:val="hu-HU"/>
        </w:rPr>
        <w:t>Elővigyáz</w:t>
      </w:r>
      <w:r w:rsidR="00C52F97" w:rsidRPr="00CA29AC">
        <w:rPr>
          <w:rFonts w:ascii="Times New Roman" w:hAnsi="Times New Roman"/>
          <w:i/>
          <w:iCs/>
          <w:u w:val="single"/>
          <w:lang w:val="hu-HU"/>
        </w:rPr>
        <w:t>atossággal</w:t>
      </w:r>
      <w:r w:rsidR="00C52F97" w:rsidRPr="00CA29AC">
        <w:rPr>
          <w:rFonts w:ascii="Times New Roman" w:hAnsi="Times New Roman"/>
          <w:i/>
          <w:u w:val="single"/>
          <w:lang w:val="hu-HU"/>
        </w:rPr>
        <w:t xml:space="preserve"> adható</w:t>
      </w:r>
      <w:r w:rsidR="00303627" w:rsidRPr="00CA29AC">
        <w:rPr>
          <w:rFonts w:ascii="Times New Roman" w:hAnsi="Times New Roman"/>
          <w:i/>
          <w:u w:val="single"/>
          <w:lang w:val="hu-HU"/>
        </w:rPr>
        <w:t xml:space="preserve"> </w:t>
      </w:r>
      <w:r w:rsidR="00C52F97" w:rsidRPr="00E47E83">
        <w:rPr>
          <w:rFonts w:ascii="Times New Roman" w:hAnsi="Times New Roman"/>
          <w:i/>
          <w:u w:val="single"/>
          <w:lang w:val="hu-HU"/>
        </w:rPr>
        <w:t>kombinációk</w:t>
      </w:r>
    </w:p>
    <w:p w14:paraId="6C7EE220" w14:textId="77777777" w:rsidR="00171610" w:rsidRPr="00CA29AC" w:rsidRDefault="00EF5A1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Egyes gyógyszerek, például az NSAID-ok, köztük a szelektív ciklooxigenáz (COX)-2-inhibitorok, az ACE-gátlók, az angiotenzin-II-receptor-blokkolók, valamint a vízhajtók, különösen a kacsdiuretikumok károsan befolyásolhatják a veseműködést, és ezáltal növelhetik a laktátacidózis kockázatát. Ezen készítmények metforminnal együttes adásának megkezdésekor, illetve a kombinációs kezelés során a veseműködés szoros ellenőrzése szükséges</w:t>
      </w:r>
      <w:r w:rsidR="00EF31E8" w:rsidRPr="00E47E83">
        <w:rPr>
          <w:rFonts w:ascii="Times New Roman" w:hAnsi="Times New Roman"/>
          <w:lang w:val="hu-HU"/>
        </w:rPr>
        <w:t>.</w:t>
      </w:r>
    </w:p>
    <w:p w14:paraId="5AB5D5CB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CD7A371" w14:textId="3CF311A9" w:rsidR="00EF31E8" w:rsidRPr="00CA29AC" w:rsidRDefault="00AB617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glükokortikoidok, béta-2-agonisták és diuretikumok intrinsic h</w:t>
      </w:r>
      <w:r w:rsidR="00253253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pergl</w:t>
      </w:r>
      <w:r w:rsidR="00253253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k</w:t>
      </w:r>
      <w:r w:rsidR="00253253" w:rsidRPr="00E47E83">
        <w:rPr>
          <w:rFonts w:ascii="Times New Roman" w:hAnsi="Times New Roman"/>
          <w:lang w:val="hu-HU"/>
        </w:rPr>
        <w:t>ae</w:t>
      </w:r>
      <w:r w:rsidRPr="00E47E83">
        <w:rPr>
          <w:rFonts w:ascii="Times New Roman" w:hAnsi="Times New Roman"/>
          <w:lang w:val="hu-HU"/>
        </w:rPr>
        <w:t xml:space="preserve">miás aktivitással rendelkeznek. A beteget tájékoztatni kell erről, és gyakoribb vércukorszint-ellenőrzés szükséges, különösen a kezelés kezdetén. Amennyiben szükséges,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adagolását az egyidejű kezelés alatt és annak abbahagyásakor módosítani kell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7A5DF98" w14:textId="77777777" w:rsidR="00171610" w:rsidRPr="00E47E83" w:rsidRDefault="00171610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17FB73D" w14:textId="77777777" w:rsidR="00EF31E8" w:rsidRPr="00CA29AC" w:rsidRDefault="00394BB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Az angiotenzin konvertáló enzim (ACE) inhibitorok csökkenthetik a vércukorszintet. Amennyiben szükséges, a vércukorszint</w:t>
      </w:r>
      <w:r w:rsidR="00CA7916"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csökkentő gyógyszer adagolását a másik gyógyszerrel végezett egyidejű kezelés alatt és annak abbahagyásakor módosítani kell</w:t>
      </w:r>
      <w:r w:rsidR="00EF31E8" w:rsidRPr="00E47E83">
        <w:rPr>
          <w:rFonts w:ascii="Times New Roman" w:hAnsi="Times New Roman"/>
          <w:lang w:val="hu-HU"/>
        </w:rPr>
        <w:t>.</w:t>
      </w:r>
    </w:p>
    <w:p w14:paraId="5BA58403" w14:textId="77777777" w:rsidR="002925CF" w:rsidRPr="00CA29AC" w:rsidRDefault="002925C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7C653A8" w14:textId="77777777" w:rsidR="00EF31E8" w:rsidRPr="00CA29AC" w:rsidRDefault="002925C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metformin vesén keresztül történő kiválasztásában érintett renális tubuláris transzportrendszerekkel interferáló gyógyszerek (pl. az organikus kationtranszporter 2 [OCT2] vagy a multidrog és toxikus ágenseket kilökő fehérje [multidrog and toxin extrusion; MATE] gátlói, mint a ranolazin, vandetanib, dolutegravir és cimetidin) egyidejű alkalmazás esetén fokozhatják a metformin szisztémás expozícióját.</w:t>
      </w:r>
    </w:p>
    <w:p w14:paraId="0E845BCE" w14:textId="77777777" w:rsidR="002925CF" w:rsidRPr="00CA29AC" w:rsidRDefault="002925C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6C2A669" w14:textId="77777777" w:rsidR="00025005" w:rsidRPr="00CA29AC" w:rsidRDefault="00025005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4.6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Termékenység, terhesség és szoptatás</w:t>
      </w:r>
    </w:p>
    <w:p w14:paraId="7476C2F0" w14:textId="77777777" w:rsidR="00A761E1" w:rsidRPr="00CA29AC" w:rsidRDefault="00A761E1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0B216541" w14:textId="77777777" w:rsidR="00EF31E8" w:rsidRPr="00CA29AC" w:rsidRDefault="00221392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Terhesség</w:t>
      </w:r>
    </w:p>
    <w:p w14:paraId="1B363007" w14:textId="77777777" w:rsidR="00C628E1" w:rsidRPr="00CA29AC" w:rsidRDefault="00C628E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8DD45FA" w14:textId="11FE8D05" w:rsidR="00EF31E8" w:rsidRPr="00CA29AC" w:rsidRDefault="00B31F4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Vidagliptin/metformin</w:t>
      </w:r>
      <w:r w:rsidR="0019254E" w:rsidRPr="00E47E83">
        <w:rPr>
          <w:rFonts w:ascii="Times New Roman" w:hAnsi="Times New Roman"/>
          <w:lang w:val="hu-HU"/>
        </w:rPr>
        <w:t>-hidroklorid</w:t>
      </w:r>
      <w:r w:rsidRPr="00E47E83">
        <w:rPr>
          <w:rFonts w:ascii="Times New Roman" w:hAnsi="Times New Roman"/>
          <w:lang w:val="hu-HU"/>
        </w:rPr>
        <w:t xml:space="preserve"> kombináció</w:t>
      </w:r>
      <w:r w:rsidR="00E7710D" w:rsidRPr="00E47E83">
        <w:rPr>
          <w:rFonts w:ascii="Times New Roman" w:hAnsi="Times New Roman"/>
          <w:lang w:val="hu-HU"/>
        </w:rPr>
        <w:t>s készítmén</w:t>
      </w:r>
      <w:r w:rsidR="00CC0FBB">
        <w:rPr>
          <w:rFonts w:ascii="Times New Roman" w:hAnsi="Times New Roman"/>
          <w:lang w:val="hu-HU"/>
        </w:rPr>
        <w:t>y</w:t>
      </w:r>
      <w:r w:rsidR="005C6FCE" w:rsidRPr="00E47E83">
        <w:rPr>
          <w:rFonts w:ascii="Times New Roman" w:hAnsi="Times New Roman"/>
          <w:lang w:val="hu-HU"/>
        </w:rPr>
        <w:t xml:space="preserve"> terhes nőknél történő alkalmazás</w:t>
      </w:r>
      <w:r w:rsidR="00CC0FBB">
        <w:rPr>
          <w:rFonts w:ascii="Times New Roman" w:hAnsi="Times New Roman"/>
          <w:lang w:val="hu-HU"/>
        </w:rPr>
        <w:t>ával kapcsolatban</w:t>
      </w:r>
      <w:r w:rsidR="005C6FCE" w:rsidRPr="00E47E83">
        <w:rPr>
          <w:rFonts w:ascii="Times New Roman" w:hAnsi="Times New Roman"/>
          <w:lang w:val="hu-HU"/>
        </w:rPr>
        <w:t xml:space="preserve"> nem áll rendelkezésre megfelelő információ. A vildagliptinnel végzett állatkísérletek </w:t>
      </w:r>
      <w:r w:rsidR="005C6FCE" w:rsidRPr="00E47E83">
        <w:rPr>
          <w:rFonts w:ascii="Times New Roman" w:hAnsi="Times New Roman"/>
          <w:lang w:val="hu-HU"/>
        </w:rPr>
        <w:lastRenderedPageBreak/>
        <w:t xml:space="preserve">során </w:t>
      </w:r>
      <w:r w:rsidR="00F508C4" w:rsidRPr="00E47E83">
        <w:rPr>
          <w:rFonts w:ascii="Times New Roman" w:hAnsi="Times New Roman"/>
          <w:lang w:val="hu-HU"/>
        </w:rPr>
        <w:t xml:space="preserve">nagy </w:t>
      </w:r>
      <w:r w:rsidR="00931044" w:rsidRPr="00E47E83">
        <w:rPr>
          <w:rFonts w:ascii="Times New Roman" w:hAnsi="Times New Roman"/>
          <w:lang w:val="hu-HU"/>
        </w:rPr>
        <w:t>dózis</w:t>
      </w:r>
      <w:r w:rsidR="005C6FCE" w:rsidRPr="00E47E83">
        <w:rPr>
          <w:rFonts w:ascii="Times New Roman" w:hAnsi="Times New Roman"/>
          <w:lang w:val="hu-HU"/>
        </w:rPr>
        <w:t>ok mellett reproduktív toxicitást igazoltak. A metforminnal végzett állatkísérletek során nem igazoltak reproduktív toxicitást. A vildagliptinnel és metforminnal végzett állatkísérletek teratogenitásra utaló jeleket nem, de foetotoxikus hatást kimutattak az anya számára toxikus dózisok mellett (lásd 5.3</w:t>
      </w:r>
      <w:r w:rsidR="00E322D7" w:rsidRPr="00E47E83">
        <w:rPr>
          <w:rFonts w:ascii="Times New Roman" w:hAnsi="Times New Roman"/>
          <w:lang w:val="hu-HU"/>
        </w:rPr>
        <w:t> </w:t>
      </w:r>
      <w:r w:rsidR="005C6FCE" w:rsidRPr="00E47E83">
        <w:rPr>
          <w:rFonts w:ascii="Times New Roman" w:hAnsi="Times New Roman"/>
          <w:lang w:val="hu-HU"/>
        </w:rPr>
        <w:t>pont). Ember</w:t>
      </w:r>
      <w:r w:rsidR="00F508C4" w:rsidRPr="00E47E83">
        <w:rPr>
          <w:rFonts w:ascii="Times New Roman" w:hAnsi="Times New Roman"/>
          <w:lang w:val="hu-HU"/>
        </w:rPr>
        <w:t xml:space="preserve"> eseté</w:t>
      </w:r>
      <w:r w:rsidR="005C6FCE" w:rsidRPr="00E47E83">
        <w:rPr>
          <w:rFonts w:ascii="Times New Roman" w:hAnsi="Times New Roman"/>
          <w:lang w:val="hu-HU"/>
        </w:rPr>
        <w:t xml:space="preserve">ben a potenciális </w:t>
      </w:r>
      <w:r w:rsidR="00F508C4" w:rsidRPr="00E47E83">
        <w:rPr>
          <w:rFonts w:ascii="Times New Roman" w:hAnsi="Times New Roman"/>
          <w:lang w:val="hu-HU"/>
        </w:rPr>
        <w:t xml:space="preserve">kockázat </w:t>
      </w:r>
      <w:r w:rsidR="005C6FCE" w:rsidRPr="00E47E83">
        <w:rPr>
          <w:rFonts w:ascii="Times New Roman" w:hAnsi="Times New Roman"/>
          <w:lang w:val="hu-HU"/>
        </w:rPr>
        <w:t xml:space="preserve">nem ismert. A </w:t>
      </w:r>
      <w:r w:rsidR="00EA0649" w:rsidRPr="00E47E83">
        <w:rPr>
          <w:rFonts w:ascii="Times New Roman" w:hAnsi="Times New Roman"/>
          <w:lang w:val="hu-HU"/>
        </w:rPr>
        <w:t>Radicut</w:t>
      </w:r>
      <w:r w:rsidR="00933727">
        <w:rPr>
          <w:rFonts w:ascii="Times New Roman" w:hAnsi="Times New Roman"/>
          <w:lang w:val="hu-HU"/>
        </w:rPr>
        <w:t>-ot nem szabad</w:t>
      </w:r>
      <w:r w:rsidR="005C6FCE" w:rsidRPr="00E47E83">
        <w:rPr>
          <w:rFonts w:ascii="Times New Roman" w:hAnsi="Times New Roman"/>
          <w:lang w:val="hu-HU"/>
        </w:rPr>
        <w:t xml:space="preserve"> alkalmaz</w:t>
      </w:r>
      <w:r w:rsidR="00933727">
        <w:rPr>
          <w:rFonts w:ascii="Times New Roman" w:hAnsi="Times New Roman"/>
          <w:lang w:val="hu-HU"/>
        </w:rPr>
        <w:t>ni</w:t>
      </w:r>
      <w:r w:rsidR="005C6FCE" w:rsidRPr="00E47E83">
        <w:rPr>
          <w:rFonts w:ascii="Times New Roman" w:hAnsi="Times New Roman"/>
          <w:lang w:val="hu-HU"/>
        </w:rPr>
        <w:t xml:space="preserve"> terhesség alatt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BD23B99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B4523C4" w14:textId="77777777" w:rsidR="00EF31E8" w:rsidRPr="00CA29AC" w:rsidRDefault="007552A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Szoptatás</w:t>
      </w:r>
    </w:p>
    <w:p w14:paraId="6679DF1B" w14:textId="77777777" w:rsidR="00C628E1" w:rsidRPr="00CA29AC" w:rsidRDefault="00C628E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C7104E5" w14:textId="20894AEB" w:rsidR="00EF31E8" w:rsidRPr="00CA29AC" w:rsidRDefault="00E00D8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Állatkísérletek során, mind a vildagliptin, mind a metformin kiválasztódását igazolták az anyatejbe. Nem ismert, hogy a vildagliptin kiválasztódik-e a humán anyatejbe, de a metformin kis mennyiségekben kiválasztódik a humán anyatejbe. Mind az újszülött metformin miatti h</w:t>
      </w:r>
      <w:r w:rsidR="00CA7916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pogl</w:t>
      </w:r>
      <w:r w:rsidR="00CA7916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k</w:t>
      </w:r>
      <w:r w:rsidR="00CA7916" w:rsidRPr="00E47E83">
        <w:rPr>
          <w:rFonts w:ascii="Times New Roman" w:hAnsi="Times New Roman"/>
          <w:lang w:val="hu-HU"/>
        </w:rPr>
        <w:t>ae</w:t>
      </w:r>
      <w:r w:rsidRPr="00E47E83">
        <w:rPr>
          <w:rFonts w:ascii="Times New Roman" w:hAnsi="Times New Roman"/>
          <w:lang w:val="hu-HU"/>
        </w:rPr>
        <w:t xml:space="preserve">miájának potenciális kockázata, mind a vildagliptinre vonatkozó humán adatok hiánya miatt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alkalmazása </w:t>
      </w:r>
      <w:r w:rsidR="00BA7C10" w:rsidRPr="00E47E83">
        <w:rPr>
          <w:rFonts w:ascii="Times New Roman" w:hAnsi="Times New Roman"/>
          <w:lang w:val="hu-HU"/>
        </w:rPr>
        <w:t>ellen</w:t>
      </w:r>
      <w:r w:rsidRPr="00E47E83">
        <w:rPr>
          <w:rFonts w:ascii="Times New Roman" w:hAnsi="Times New Roman"/>
          <w:lang w:val="hu-HU"/>
        </w:rPr>
        <w:t>javallt a szoptatás alatt (lásd 4.3</w:t>
      </w:r>
      <w:r w:rsidR="00E322D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pont).</w:t>
      </w:r>
    </w:p>
    <w:p w14:paraId="46D5A938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DC9B611" w14:textId="77777777" w:rsidR="00EF31E8" w:rsidRPr="00CA29AC" w:rsidRDefault="00A75DC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Termékenység</w:t>
      </w:r>
    </w:p>
    <w:p w14:paraId="0E5A7329" w14:textId="77777777" w:rsidR="00C628E1" w:rsidRPr="00CA29AC" w:rsidRDefault="00C628E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F009C39" w14:textId="6B5AB7C3" w:rsidR="00EF31E8" w:rsidRPr="00CA29AC" w:rsidRDefault="000B313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Nem végeztek </w:t>
      </w:r>
      <w:r w:rsidR="00E7710D" w:rsidRPr="00E47E83">
        <w:rPr>
          <w:rFonts w:ascii="Times New Roman" w:hAnsi="Times New Roman"/>
          <w:lang w:val="hu-HU"/>
        </w:rPr>
        <w:t>vidagliptin/metformin</w:t>
      </w:r>
      <w:r w:rsidR="0019254E" w:rsidRPr="00E47E83">
        <w:rPr>
          <w:rFonts w:ascii="Times New Roman" w:hAnsi="Times New Roman"/>
          <w:lang w:val="hu-HU"/>
        </w:rPr>
        <w:t>-hidroklorid</w:t>
      </w:r>
      <w:r w:rsidR="00E7710D" w:rsidRPr="00E47E83">
        <w:rPr>
          <w:rFonts w:ascii="Times New Roman" w:hAnsi="Times New Roman"/>
          <w:lang w:val="hu-HU"/>
        </w:rPr>
        <w:t xml:space="preserve"> kombinációs készítménnyel</w:t>
      </w:r>
      <w:r w:rsidRPr="00E47E83">
        <w:rPr>
          <w:rFonts w:ascii="Times New Roman" w:hAnsi="Times New Roman"/>
          <w:lang w:val="hu-HU"/>
        </w:rPr>
        <w:t xml:space="preserve"> a humán termékenységre gyakorolt hatásokra vonatkozó vizsgálatokat (lásd 5.3</w:t>
      </w:r>
      <w:r w:rsidR="00E322D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pont)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576169E" w14:textId="77777777" w:rsidR="00171610" w:rsidRPr="00CA29AC" w:rsidRDefault="001716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E4E720E" w14:textId="77777777" w:rsidR="00B944DE" w:rsidRPr="00CA29AC" w:rsidRDefault="00B944DE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4.7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 készítmény hatásai a gépjárművezetéshez és a gépek kezeléséhez szükséges képességekre</w:t>
      </w:r>
    </w:p>
    <w:p w14:paraId="527A67F0" w14:textId="77777777" w:rsidR="00A761E1" w:rsidRPr="00CA29AC" w:rsidRDefault="00A761E1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3CF24EE9" w14:textId="77777777" w:rsidR="00EF31E8" w:rsidRPr="00CA29AC" w:rsidRDefault="001E008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készítménynek a gépjárművezetéshez és a gépek kezeléséhez szükséges képességeket befolyásoló hatásait nem vizsgálták. A mellékhatásként szédülést tapasztaló betegek kerüljék a gépjárművezetést, illetve a gépek kezelését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6CA09A0" w14:textId="77777777" w:rsidR="00716563" w:rsidRPr="00CA29AC" w:rsidRDefault="007165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FE015D0" w14:textId="77777777" w:rsidR="004B6A12" w:rsidRPr="00CA29AC" w:rsidRDefault="004B6A12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4.8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Nemkívánatos hatások, mellékhatások</w:t>
      </w:r>
    </w:p>
    <w:p w14:paraId="52B1D2D5" w14:textId="77777777" w:rsidR="00A761E1" w:rsidRPr="00CA29AC" w:rsidRDefault="00A761E1" w:rsidP="00E92AEE">
      <w:pPr>
        <w:spacing w:after="0" w:line="240" w:lineRule="auto"/>
        <w:outlineLvl w:val="0"/>
        <w:rPr>
          <w:rFonts w:ascii="Times New Roman" w:hAnsi="Times New Roman"/>
          <w:lang w:val="hu-HU"/>
        </w:rPr>
      </w:pPr>
    </w:p>
    <w:p w14:paraId="5C50BBDA" w14:textId="77777777" w:rsidR="003215F6" w:rsidRPr="00CA29AC" w:rsidRDefault="0044398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bookmarkStart w:id="1" w:name="_Hlk43370018"/>
      <w:r w:rsidRPr="00E47E83">
        <w:rPr>
          <w:rFonts w:ascii="Times New Roman" w:hAnsi="Times New Roman"/>
          <w:u w:val="single"/>
          <w:lang w:val="hu-HU"/>
        </w:rPr>
        <w:t>A biztonságossági profil összefoglalása</w:t>
      </w:r>
    </w:p>
    <w:p w14:paraId="20437B9B" w14:textId="77777777" w:rsidR="00BD556C" w:rsidRDefault="00BD556C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581DDB3" w14:textId="55832CCC" w:rsidR="00F721FD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413991">
        <w:rPr>
          <w:rFonts w:ascii="Times New Roman" w:hAnsi="Times New Roman"/>
          <w:lang w:val="hu-HU"/>
        </w:rPr>
        <w:t>Összesen 6197 olyan betegről gyűjtöttek gyógyszerbiztonsági adatokat, akik vildagliptint és</w:t>
      </w:r>
      <w:r w:rsidR="00FC1D8D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metformint kaptak egyidejűleg randomizált, placebokontrollos vizsgálatokban. Közülük 3698 beteg</w:t>
      </w:r>
      <w:r w:rsidR="00FC1D8D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kapott vildagliptin/metformint és 2499 beteg kapott placebo/metformint.</w:t>
      </w:r>
    </w:p>
    <w:p w14:paraId="3222D44D" w14:textId="77777777" w:rsidR="00F721FD" w:rsidRPr="00413991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95F1E2B" w14:textId="5BB69895" w:rsidR="00F721FD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413991">
        <w:rPr>
          <w:rFonts w:ascii="Times New Roman" w:hAnsi="Times New Roman"/>
          <w:lang w:val="hu-HU"/>
        </w:rPr>
        <w:t xml:space="preserve">Bár </w:t>
      </w:r>
      <w:r w:rsidRPr="00E47E83">
        <w:rPr>
          <w:rFonts w:ascii="Times New Roman" w:hAnsi="Times New Roman"/>
          <w:lang w:val="hu-HU"/>
        </w:rPr>
        <w:t>vidagliptin/metformin</w:t>
      </w:r>
      <w:r w:rsidRPr="00E061AF">
        <w:rPr>
          <w:rFonts w:ascii="Times New Roman" w:hAnsi="Times New Roman"/>
          <w:lang w:val="hu-HU"/>
        </w:rPr>
        <w:t>-hidroklorid</w:t>
      </w:r>
      <w:r w:rsidRPr="00E47E83">
        <w:rPr>
          <w:rFonts w:ascii="Times New Roman" w:hAnsi="Times New Roman"/>
          <w:lang w:val="hu-HU"/>
        </w:rPr>
        <w:t xml:space="preserve"> kombinációs</w:t>
      </w:r>
      <w:r w:rsidRPr="00E061AF">
        <w:rPr>
          <w:rFonts w:ascii="Times New Roman" w:hAnsi="Times New Roman"/>
          <w:lang w:val="hu-HU"/>
        </w:rPr>
        <w:t xml:space="preserve"> </w:t>
      </w:r>
      <w:r w:rsidR="00FC1D8D">
        <w:rPr>
          <w:rFonts w:ascii="Times New Roman" w:hAnsi="Times New Roman"/>
          <w:lang w:val="hu-HU"/>
        </w:rPr>
        <w:t>készítménny</w:t>
      </w:r>
      <w:r>
        <w:rPr>
          <w:rFonts w:ascii="Times New Roman" w:hAnsi="Times New Roman"/>
          <w:lang w:val="hu-HU"/>
        </w:rPr>
        <w:t>el</w:t>
      </w:r>
      <w:r w:rsidRPr="00E061AF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nem végeztek terápiás klinikai vizsgálatokat, azonban a</w:t>
      </w:r>
      <w:r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>vidagliptin/metformin</w:t>
      </w:r>
      <w:r w:rsidRPr="00E061AF">
        <w:rPr>
          <w:rFonts w:ascii="Times New Roman" w:hAnsi="Times New Roman"/>
          <w:lang w:val="hu-HU"/>
        </w:rPr>
        <w:t>-hidroklorid</w:t>
      </w:r>
      <w:r w:rsidRPr="00E47E83">
        <w:rPr>
          <w:rFonts w:ascii="Times New Roman" w:hAnsi="Times New Roman"/>
          <w:lang w:val="hu-HU"/>
        </w:rPr>
        <w:t xml:space="preserve"> kombinációs</w:t>
      </w:r>
      <w:r w:rsidRPr="00E061AF">
        <w:rPr>
          <w:rFonts w:ascii="Times New Roman" w:hAnsi="Times New Roman"/>
          <w:lang w:val="hu-HU"/>
        </w:rPr>
        <w:t xml:space="preserve"> </w:t>
      </w:r>
      <w:r w:rsidR="002C14A4">
        <w:rPr>
          <w:rFonts w:ascii="Times New Roman" w:hAnsi="Times New Roman"/>
          <w:lang w:val="hu-HU"/>
        </w:rPr>
        <w:t>készítmény</w:t>
      </w:r>
      <w:r w:rsidRPr="00413991">
        <w:rPr>
          <w:rFonts w:ascii="Times New Roman" w:hAnsi="Times New Roman"/>
          <w:lang w:val="hu-HU"/>
        </w:rPr>
        <w:t>, valamint az</w:t>
      </w:r>
      <w:r w:rsidR="00AF329A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egyidejűleg alkalmazott vildagliptin és metformin kombináció közötti bioekvivalenciát igazolták (lásd</w:t>
      </w:r>
      <w:r w:rsidR="00AF329A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5.2 pont).</w:t>
      </w:r>
    </w:p>
    <w:p w14:paraId="01155581" w14:textId="77777777" w:rsidR="00F721FD" w:rsidRPr="00413991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CC51335" w14:textId="384D2712" w:rsidR="00F721FD" w:rsidRPr="00E061AF" w:rsidRDefault="00F721FD" w:rsidP="00F721F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413991">
        <w:rPr>
          <w:rFonts w:ascii="Times New Roman" w:hAnsi="Times New Roman"/>
          <w:lang w:val="hu-HU"/>
        </w:rPr>
        <w:t>A nemkívánatos események többsége enyhe és átmeneti volt, és nem igényelték a kezelés</w:t>
      </w:r>
      <w:r w:rsidR="00AF329A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felfüggesztését. Nem találtak összefüggést a nemkívánatos események, valamint az életkor, etnikai</w:t>
      </w:r>
      <w:r w:rsidR="00AF329A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hovatartozás, az expozíció időtartama, illetve a napi dózis között. A vildagliptin alkalmazása</w:t>
      </w:r>
      <w:r w:rsidR="00AF329A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pancreatitis kialakulásának kockázatával jár. Beszámoltak laktátacidózisról metformin alkalmazását</w:t>
      </w:r>
      <w:r w:rsidR="00AF329A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követően, különösen olyan betegeknél, akiknél alapbetegségként vesekárosodás áll fenn (lásd</w:t>
      </w:r>
      <w:r w:rsidR="00AF329A">
        <w:rPr>
          <w:rFonts w:ascii="Times New Roman" w:hAnsi="Times New Roman"/>
          <w:lang w:val="hu-HU"/>
        </w:rPr>
        <w:t xml:space="preserve"> </w:t>
      </w:r>
      <w:r w:rsidRPr="00413991">
        <w:rPr>
          <w:rFonts w:ascii="Times New Roman" w:hAnsi="Times New Roman"/>
          <w:lang w:val="hu-HU"/>
        </w:rPr>
        <w:t>4.4. pont).</w:t>
      </w:r>
    </w:p>
    <w:p w14:paraId="248D7CBA" w14:textId="77777777" w:rsidR="003215F6" w:rsidRPr="00CA29AC" w:rsidRDefault="003215F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2F6B287" w14:textId="77777777" w:rsidR="003215F6" w:rsidRPr="00CA29AC" w:rsidRDefault="00D5320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A mellékhatások táblázatos felsorolása</w:t>
      </w:r>
    </w:p>
    <w:p w14:paraId="2D2BBF68" w14:textId="77777777" w:rsidR="00BD556C" w:rsidRPr="00CA29AC" w:rsidRDefault="00BD556C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884B76F" w14:textId="536CECB2" w:rsidR="00EF31E8" w:rsidRPr="00CA29AC" w:rsidRDefault="00F2607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Az alábbiakban szervrendszerenként és abszolút gyakoriság szerint kerülnek felsorolásra azok a mellékhatások, amelyekről a kettős</w:t>
      </w:r>
      <w:r w:rsidR="00CD2400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 xml:space="preserve">vak </w:t>
      </w:r>
      <w:r w:rsidR="00F721FD">
        <w:rPr>
          <w:rFonts w:ascii="Times New Roman" w:hAnsi="Times New Roman"/>
          <w:lang w:val="hu-HU"/>
        </w:rPr>
        <w:t xml:space="preserve">klinikai </w:t>
      </w:r>
      <w:r w:rsidRPr="00E47E83">
        <w:rPr>
          <w:rFonts w:ascii="Times New Roman" w:hAnsi="Times New Roman"/>
          <w:lang w:val="hu-HU"/>
        </w:rPr>
        <w:t>vizsgálatokban monoterápiában és kiegészít</w:t>
      </w:r>
      <w:r w:rsidRPr="00CA29AC">
        <w:rPr>
          <w:rFonts w:ascii="Times New Roman" w:hAnsi="Times New Roman"/>
          <w:lang w:val="hu-HU"/>
        </w:rPr>
        <w:t xml:space="preserve">ő kezelésként </w:t>
      </w:r>
      <w:r w:rsidRPr="00E47E83">
        <w:rPr>
          <w:rFonts w:ascii="Times New Roman" w:hAnsi="Times New Roman"/>
          <w:lang w:val="hu-HU"/>
        </w:rPr>
        <w:t>vildagliptint kapó betegeknél számoltak be.</w:t>
      </w:r>
      <w:r w:rsidR="00EF31E8" w:rsidRPr="00CA29AC">
        <w:rPr>
          <w:rFonts w:ascii="Times New Roman" w:hAnsi="Times New Roman"/>
          <w:lang w:val="hu-HU"/>
        </w:rPr>
        <w:t xml:space="preserve"> </w:t>
      </w:r>
      <w:r w:rsidR="00FB69C2" w:rsidRPr="00E47E83">
        <w:rPr>
          <w:rFonts w:ascii="Times New Roman" w:hAnsi="Times New Roman"/>
          <w:lang w:val="hu-HU"/>
        </w:rPr>
        <w:t xml:space="preserve">A gyakorisági kategóriák meghatározása: nagyon gyakori (≥ 1/10), gyakori (≥ 1/100 – &lt; 1/10), nem gyakori (≥1/1000 – &lt; 1/100), ritka (≥ 1/10 000 – &lt; 1/1000), nagyon ritka (&lt; 1/10 000), nem ismert (a </w:t>
      </w:r>
      <w:r w:rsidR="00E82E43" w:rsidRPr="00E47E83">
        <w:rPr>
          <w:rFonts w:ascii="Times New Roman" w:hAnsi="Times New Roman"/>
          <w:lang w:val="hu-HU"/>
        </w:rPr>
        <w:t xml:space="preserve">gyakoriság a </w:t>
      </w:r>
      <w:r w:rsidR="00FB69C2" w:rsidRPr="00E47E83">
        <w:rPr>
          <w:rFonts w:ascii="Times New Roman" w:hAnsi="Times New Roman"/>
          <w:lang w:val="hu-HU"/>
        </w:rPr>
        <w:t>rendelkezésre álló adatokból nem állapítható meg). Az egyes gyakorisági kategóriákon belül a mellékhatások csökkenő súlyosság szerint kerülnek megadásra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67E0DCB" w14:textId="77777777" w:rsidR="003215F6" w:rsidRPr="00CA29AC" w:rsidRDefault="003215F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CE3F0DF" w14:textId="33B5F92D" w:rsidR="00CA63EF" w:rsidRPr="00CA29AC" w:rsidRDefault="008F27E4" w:rsidP="00E92AEE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b/>
          <w:bCs/>
          <w:lang w:val="hu-HU"/>
        </w:rPr>
        <w:t xml:space="preserve">1. </w:t>
      </w:r>
      <w:r w:rsidRPr="00E47E83">
        <w:rPr>
          <w:rFonts w:ascii="Times New Roman" w:hAnsi="Times New Roman"/>
          <w:b/>
          <w:lang w:val="hu-HU"/>
        </w:rPr>
        <w:t>táblázat</w:t>
      </w:r>
      <w:r w:rsidR="002628D1" w:rsidRPr="00E47E83">
        <w:rPr>
          <w:rFonts w:ascii="Times New Roman" w:hAnsi="Times New Roman"/>
          <w:b/>
          <w:bCs/>
          <w:lang w:val="hu-HU"/>
        </w:rPr>
        <w:tab/>
      </w:r>
      <w:r w:rsidR="00F721FD" w:rsidRPr="00353096">
        <w:rPr>
          <w:rFonts w:ascii="Times New Roman" w:hAnsi="Times New Roman"/>
          <w:b/>
          <w:bCs/>
          <w:lang w:val="hu-HU"/>
        </w:rPr>
        <w:t>Klinikai vizsgálatokban és a forgalomba hozatalt követően jelentett mellékhatások</w:t>
      </w:r>
      <w:r w:rsidR="00F721FD">
        <w:rPr>
          <w:rFonts w:ascii="Times New Roman" w:hAnsi="Times New Roman"/>
          <w:b/>
          <w:bCs/>
          <w:lang w:val="hu-HU"/>
        </w:rPr>
        <w:t xml:space="preserve"> </w:t>
      </w:r>
      <w:r w:rsidR="00F721FD" w:rsidRPr="00353096">
        <w:rPr>
          <w:rFonts w:ascii="Times New Roman" w:hAnsi="Times New Roman"/>
          <w:b/>
          <w:bCs/>
          <w:lang w:val="hu-HU"/>
        </w:rPr>
        <w:t xml:space="preserve">vildagliptint és metformint (monokomponensű készítmények </w:t>
      </w:r>
      <w:r w:rsidR="00F721FD" w:rsidRPr="00353096">
        <w:rPr>
          <w:rFonts w:ascii="Times New Roman" w:hAnsi="Times New Roman"/>
          <w:b/>
          <w:bCs/>
          <w:lang w:val="hu-HU"/>
        </w:rPr>
        <w:lastRenderedPageBreak/>
        <w:t>formájában vagy fix</w:t>
      </w:r>
      <w:r w:rsidR="00F721FD">
        <w:rPr>
          <w:rFonts w:ascii="Times New Roman" w:hAnsi="Times New Roman"/>
          <w:b/>
          <w:bCs/>
          <w:lang w:val="hu-HU"/>
        </w:rPr>
        <w:t xml:space="preserve"> </w:t>
      </w:r>
      <w:r w:rsidR="00F721FD" w:rsidRPr="00353096">
        <w:rPr>
          <w:rFonts w:ascii="Times New Roman" w:hAnsi="Times New Roman"/>
          <w:b/>
          <w:bCs/>
          <w:lang w:val="hu-HU"/>
        </w:rPr>
        <w:t>kombinációban) kapó betegeknél, illetve vildagliptint és metformint egyéb</w:t>
      </w:r>
      <w:r w:rsidR="00F721FD">
        <w:rPr>
          <w:rFonts w:ascii="Times New Roman" w:hAnsi="Times New Roman"/>
          <w:b/>
          <w:bCs/>
          <w:lang w:val="hu-HU"/>
        </w:rPr>
        <w:t xml:space="preserve"> </w:t>
      </w:r>
      <w:r w:rsidR="00F721FD" w:rsidRPr="00353096">
        <w:rPr>
          <w:rFonts w:ascii="Times New Roman" w:hAnsi="Times New Roman"/>
          <w:b/>
          <w:bCs/>
          <w:lang w:val="hu-HU"/>
        </w:rPr>
        <w:t>antidiabetikumokkal kombinációban kapó betegeknél</w:t>
      </w:r>
      <w:r w:rsidR="0077658C" w:rsidRPr="00E47E83">
        <w:rPr>
          <w:rFonts w:ascii="Times New Roman" w:hAnsi="Times New Roman"/>
          <w:b/>
          <w:lang w:val="hu-HU"/>
        </w:rPr>
        <w:t xml:space="preserve"> </w:t>
      </w:r>
    </w:p>
    <w:bookmarkEnd w:id="1"/>
    <w:p w14:paraId="7F9C89D4" w14:textId="77777777" w:rsidR="00AB20FC" w:rsidRDefault="00AB20FC" w:rsidP="00AE1585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lang w:val="hu-HU"/>
        </w:rPr>
      </w:pPr>
    </w:p>
    <w:p w14:paraId="5D671CA4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/>
          <w:bCs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1"/>
        <w:gridCol w:w="2099"/>
      </w:tblGrid>
      <w:tr w:rsidR="00F721FD" w:rsidRPr="00FF6443" w14:paraId="42D69116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2B4B1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</w:rPr>
            </w:pPr>
            <w:r w:rsidRPr="00FF6443">
              <w:rPr>
                <w:rFonts w:ascii="Times New Roman" w:hAnsi="Times New Roman"/>
                <w:b/>
                <w:bCs/>
              </w:rPr>
              <w:t>Szervrendszer – mellékhatás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AC077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</w:rPr>
            </w:pPr>
            <w:r w:rsidRPr="00FF6443">
              <w:rPr>
                <w:rFonts w:ascii="Times New Roman" w:hAnsi="Times New Roman"/>
                <w:b/>
                <w:bCs/>
              </w:rPr>
              <w:t>Gyakoriság</w:t>
            </w:r>
          </w:p>
        </w:tc>
      </w:tr>
      <w:tr w:rsidR="00F721FD" w:rsidRPr="00FF6443" w14:paraId="684FB301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8DC7F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</w:rPr>
            </w:pPr>
            <w:r w:rsidRPr="00FF6443">
              <w:rPr>
                <w:rFonts w:ascii="Times New Roman" w:hAnsi="Times New Roman"/>
                <w:b/>
                <w:bCs/>
              </w:rPr>
              <w:t>Fertőző betegségek és parazitafertőzések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7FD65E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</w:p>
        </w:tc>
      </w:tr>
      <w:tr w:rsidR="00F721FD" w:rsidRPr="00FF6443" w14:paraId="40294721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32BEB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Felső légúti fertőzés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8A832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4FD7E04D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A82FA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Nasopharyngitis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F56F5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1B7A0511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4C802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  <w:lang w:val="hu-HU"/>
              </w:rPr>
            </w:pPr>
            <w:r w:rsidRPr="00E061AF">
              <w:rPr>
                <w:rFonts w:ascii="Times New Roman" w:hAnsi="Times New Roman"/>
                <w:b/>
                <w:bCs/>
                <w:lang w:val="hu-HU"/>
              </w:rPr>
              <w:t>Anyagcsere- és táplálkozási betegségek és tünetek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9CCFE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  <w:lang w:val="hu-HU"/>
              </w:rPr>
            </w:pPr>
          </w:p>
        </w:tc>
      </w:tr>
      <w:tr w:rsidR="00F721FD" w:rsidRPr="00FF6443" w14:paraId="6C109F53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11A05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Hypoglykaemia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EFF82D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0DA68ECA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D3035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Étvágytalanság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F413C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6AEF318C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095C0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  <w:lang w:val="hu-HU"/>
              </w:rPr>
            </w:pPr>
            <w:r w:rsidRPr="00E061AF">
              <w:rPr>
                <w:rFonts w:ascii="Times New Roman" w:hAnsi="Times New Roman"/>
                <w:bCs/>
                <w:lang w:val="hu-HU"/>
              </w:rPr>
              <w:t>A B</w:t>
            </w:r>
            <w:r w:rsidRPr="00516E3D">
              <w:rPr>
                <w:rFonts w:ascii="Times New Roman" w:hAnsi="Times New Roman"/>
                <w:bCs/>
                <w:vertAlign w:val="subscript"/>
                <w:lang w:val="hu-HU"/>
              </w:rPr>
              <w:t>12</w:t>
            </w:r>
            <w:r w:rsidRPr="00E061AF">
              <w:rPr>
                <w:rFonts w:ascii="Times New Roman" w:hAnsi="Times New Roman"/>
                <w:bCs/>
                <w:lang w:val="hu-HU"/>
              </w:rPr>
              <w:t>-vitamin csökkent felszívódása és laktátacidózis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DD3B1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Nagyon ritka*</w:t>
            </w:r>
          </w:p>
        </w:tc>
      </w:tr>
      <w:tr w:rsidR="00F721FD" w:rsidRPr="00FF6443" w14:paraId="761B1BE7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CB8A0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</w:rPr>
            </w:pPr>
            <w:r w:rsidRPr="00FF6443">
              <w:rPr>
                <w:rFonts w:ascii="Times New Roman" w:hAnsi="Times New Roman"/>
                <w:b/>
                <w:bCs/>
              </w:rPr>
              <w:t>Idegrendszeri betegségek és tünetek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3BA34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</w:p>
        </w:tc>
      </w:tr>
      <w:tr w:rsidR="00F721FD" w:rsidRPr="00FF6443" w14:paraId="2AE03CAA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A63E8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Szédülés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77FD7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01A26D26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40C6A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Fejfájás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D235D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7D355577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1ED6C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Remegés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E1EEE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27DC5EBD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CC19A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Fémes szájíz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BDEBB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78524B42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B48FC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</w:rPr>
            </w:pPr>
            <w:r w:rsidRPr="00FF6443">
              <w:rPr>
                <w:rFonts w:ascii="Times New Roman" w:hAnsi="Times New Roman"/>
                <w:b/>
                <w:bCs/>
              </w:rPr>
              <w:t>Emésztőrendszeri betegségek és tünetek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BBA99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</w:p>
        </w:tc>
      </w:tr>
      <w:tr w:rsidR="00F721FD" w:rsidRPr="00FF6443" w14:paraId="5A550442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E0E5A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Hányás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19516A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01F07DF9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12D06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Hasmenés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8F8DF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08205660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D6FC9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Hányinger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61996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5EDB7617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E4643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Gastrooesophagealis refluxbetegség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A6AAE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78F501E9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E4B3D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Flatulencia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938CD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78DDDEE7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747FF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Székrekedés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1E152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6EDB1206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D3522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Hasi fájdalom, beleértve a has felső részén fellépő fájdalmat is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C44DF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3ABB6BBB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F6969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Pancreatitis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BDD74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0326582D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20AE70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  <w:lang w:val="hu-HU"/>
              </w:rPr>
            </w:pPr>
            <w:r w:rsidRPr="00E061AF">
              <w:rPr>
                <w:rFonts w:ascii="Times New Roman" w:hAnsi="Times New Roman"/>
                <w:b/>
                <w:bCs/>
                <w:lang w:val="hu-HU"/>
              </w:rPr>
              <w:t>Máj- és epebetegségek, illetve tünetek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0DFCB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  <w:lang w:val="hu-HU"/>
              </w:rPr>
            </w:pPr>
          </w:p>
        </w:tc>
      </w:tr>
      <w:tr w:rsidR="00F721FD" w:rsidRPr="00FF6443" w14:paraId="584517B5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15943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Hepatitis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A51E8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A8414B" w14:paraId="48D84D58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B6034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  <w:lang w:val="pt-PT"/>
              </w:rPr>
            </w:pPr>
            <w:r w:rsidRPr="00E061AF">
              <w:rPr>
                <w:rFonts w:ascii="Times New Roman" w:hAnsi="Times New Roman"/>
                <w:b/>
                <w:bCs/>
                <w:lang w:val="pt-PT"/>
              </w:rPr>
              <w:t>A bőr és a bőr alatti szövet betegségei és tünetei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6A8D8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  <w:lang w:val="pt-PT"/>
              </w:rPr>
            </w:pPr>
          </w:p>
        </w:tc>
      </w:tr>
      <w:tr w:rsidR="00F721FD" w:rsidRPr="00FF6443" w14:paraId="279FB86D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C11DF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Hyperhidrosis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656E1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02571AD7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2FA66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Pruritus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CFBDD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1AEEB4FA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D5D81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Kiütés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90EEF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24F8EF4A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19F9B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Dermatitis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4CD69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595AE0E7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0C1EC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Erythema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C64FC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648D5DEC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2D117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Urticaria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C2AA8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506EE8EF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92058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Exfoliativ és bullosus bőrelváltozások, a bullosus pemphigoidot is beleértve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AA23D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  <w:vertAlign w:val="superscript"/>
              </w:rPr>
            </w:pPr>
            <w:r w:rsidRPr="00FF6443">
              <w:rPr>
                <w:rFonts w:ascii="Times New Roman" w:hAnsi="Times New Roman"/>
                <w:bCs/>
              </w:rPr>
              <w:t>Nem ismert</w:t>
            </w:r>
            <w:r w:rsidRPr="00FF6443">
              <w:rPr>
                <w:rFonts w:ascii="Times New Roman" w:hAnsi="Times New Roman"/>
                <w:bCs/>
                <w:vertAlign w:val="superscript"/>
              </w:rPr>
              <w:t>†</w:t>
            </w:r>
          </w:p>
        </w:tc>
      </w:tr>
      <w:tr w:rsidR="00F721FD" w:rsidRPr="00FF6443" w14:paraId="7276416C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AEC72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Cutan vasculitis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DA02A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  <w:vertAlign w:val="superscript"/>
              </w:rPr>
            </w:pPr>
            <w:r w:rsidRPr="00FF6443">
              <w:rPr>
                <w:rFonts w:ascii="Times New Roman" w:hAnsi="Times New Roman"/>
                <w:bCs/>
              </w:rPr>
              <w:t>Nem ismert</w:t>
            </w:r>
            <w:r w:rsidRPr="00FF6443">
              <w:rPr>
                <w:rFonts w:ascii="Times New Roman" w:hAnsi="Times New Roman"/>
                <w:bCs/>
                <w:vertAlign w:val="superscript"/>
              </w:rPr>
              <w:t>†</w:t>
            </w:r>
          </w:p>
        </w:tc>
      </w:tr>
      <w:tr w:rsidR="00F721FD" w:rsidRPr="00FF6443" w14:paraId="74E0FDEF" w14:textId="77777777" w:rsidTr="00E061AF">
        <w:trPr>
          <w:trHeight w:val="22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8C817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  <w:lang w:val="hu-HU"/>
              </w:rPr>
            </w:pPr>
            <w:r w:rsidRPr="00E061AF">
              <w:rPr>
                <w:rFonts w:ascii="Times New Roman" w:hAnsi="Times New Roman"/>
                <w:b/>
                <w:bCs/>
                <w:lang w:val="hu-HU"/>
              </w:rPr>
              <w:t>A csont- és izomrendszer, valamint a kötőszövet betegségei és tünetei</w:t>
            </w:r>
          </w:p>
        </w:tc>
      </w:tr>
      <w:tr w:rsidR="00F721FD" w:rsidRPr="00FF6443" w14:paraId="274FCB03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AA305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Arthralgia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CF7EB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1603656A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C075C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Myalgia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32306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474BD70C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64AE2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  <w:lang w:val="hu-HU"/>
              </w:rPr>
            </w:pPr>
            <w:r w:rsidRPr="00E061AF">
              <w:rPr>
                <w:rFonts w:ascii="Times New Roman" w:hAnsi="Times New Roman"/>
                <w:b/>
                <w:bCs/>
                <w:lang w:val="hu-HU"/>
              </w:rPr>
              <w:t>Általános tünetek, az alkalmazás helyén fellépő reakciók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837C7E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  <w:lang w:val="hu-HU"/>
              </w:rPr>
            </w:pPr>
          </w:p>
        </w:tc>
      </w:tr>
      <w:tr w:rsidR="00F721FD" w:rsidRPr="00FF6443" w14:paraId="786A536F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5C911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Asthenia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F659E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Gyakori</w:t>
            </w:r>
          </w:p>
        </w:tc>
      </w:tr>
      <w:tr w:rsidR="00F721FD" w:rsidRPr="00FF6443" w14:paraId="6C3C6A0C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FBF0A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Kimerültség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0A3E5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2D71CB53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D30BD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Hidegrázás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3AF88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FF6443" w14:paraId="13D442ED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1FD9B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Perifériás oedema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ADD9A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A8414B" w14:paraId="162A5FA6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84534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/>
                <w:bCs/>
                <w:lang w:val="pt-PT"/>
              </w:rPr>
            </w:pPr>
            <w:r w:rsidRPr="00E061AF">
              <w:rPr>
                <w:rFonts w:ascii="Times New Roman" w:hAnsi="Times New Roman"/>
                <w:b/>
                <w:bCs/>
                <w:lang w:val="pt-PT"/>
              </w:rPr>
              <w:t>Laboratóriumi és egyéb vizsgálatok eredményei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3C431" w14:textId="77777777" w:rsidR="00F721FD" w:rsidRPr="00E061AF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  <w:lang w:val="pt-PT"/>
              </w:rPr>
            </w:pPr>
          </w:p>
        </w:tc>
      </w:tr>
      <w:tr w:rsidR="00F721FD" w:rsidRPr="00FF6443" w14:paraId="52BC47A8" w14:textId="77777777" w:rsidTr="00E061AF">
        <w:trPr>
          <w:trHeight w:val="227"/>
        </w:trPr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42098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Rendellenes májfunkciós vizsgálati eredmények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35764" w14:textId="77777777" w:rsidR="00F721FD" w:rsidRPr="00FF6443" w:rsidRDefault="00F721FD" w:rsidP="00E061AF">
            <w:pPr>
              <w:keepNext/>
              <w:autoSpaceDE w:val="0"/>
              <w:autoSpaceDN w:val="0"/>
              <w:adjustRightInd w:val="0"/>
              <w:spacing w:after="0" w:line="240" w:lineRule="auto"/>
              <w:ind w:left="1416" w:hanging="1416"/>
              <w:rPr>
                <w:rFonts w:ascii="Times New Roman" w:hAnsi="Times New Roman"/>
                <w:bCs/>
              </w:rPr>
            </w:pPr>
            <w:r w:rsidRPr="00FF6443">
              <w:rPr>
                <w:rFonts w:ascii="Times New Roman" w:hAnsi="Times New Roman"/>
                <w:bCs/>
              </w:rPr>
              <w:t>Nem gyakori</w:t>
            </w:r>
          </w:p>
        </w:tc>
      </w:tr>
      <w:tr w:rsidR="00F721FD" w:rsidRPr="00A8414B" w14:paraId="5390791B" w14:textId="77777777" w:rsidTr="00E061AF">
        <w:trPr>
          <w:trHeight w:val="22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15D7F1" w14:textId="77777777" w:rsidR="00F721FD" w:rsidRPr="00E061AF" w:rsidRDefault="00F721FD" w:rsidP="00516E3D">
            <w:pPr>
              <w:keepNext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560" w:hanging="560"/>
              <w:rPr>
                <w:rFonts w:ascii="Times New Roman" w:hAnsi="Times New Roman"/>
                <w:bCs/>
                <w:lang w:val="hu-HU"/>
              </w:rPr>
            </w:pPr>
            <w:r w:rsidRPr="00E061AF">
              <w:rPr>
                <w:rFonts w:ascii="Times New Roman" w:hAnsi="Times New Roman"/>
                <w:bCs/>
                <w:lang w:val="hu-HU"/>
              </w:rPr>
              <w:t>Ezeket a mellékhatásokat olyan betegeknél jelentették, akik a metformint monoterápiában kapták, továbbá nem észlelték olyan betegeknél, akik a vildagliptin és metformin fix kombinációját kapták. További információkért olvassa el a metformin alkalmazási előírását.</w:t>
            </w:r>
          </w:p>
          <w:p w14:paraId="0D09FF36" w14:textId="77777777" w:rsidR="00F721FD" w:rsidRPr="00E061AF" w:rsidRDefault="00F721FD" w:rsidP="00E061AF">
            <w:pPr>
              <w:keepNext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vertAlign w:val="superscript"/>
                <w:lang w:val="hu-HU"/>
              </w:rPr>
            </w:pPr>
            <w:r w:rsidRPr="00E061AF">
              <w:rPr>
                <w:rFonts w:ascii="Times New Roman" w:hAnsi="Times New Roman"/>
                <w:bCs/>
                <w:lang w:val="hu-HU"/>
              </w:rPr>
              <w:t>A forgalomba hozatalt követően szerzett tapasztalatok alapján.</w:t>
            </w:r>
          </w:p>
        </w:tc>
      </w:tr>
    </w:tbl>
    <w:p w14:paraId="6882ED61" w14:textId="77777777" w:rsidR="00F721FD" w:rsidRPr="00E061AF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/>
          <w:bCs/>
          <w:lang w:val="hu-HU"/>
        </w:rPr>
      </w:pPr>
    </w:p>
    <w:p w14:paraId="01D983A6" w14:textId="77777777" w:rsidR="00F721FD" w:rsidRPr="00516E3D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u w:val="single"/>
          <w:lang w:val="hu-HU"/>
        </w:rPr>
      </w:pPr>
      <w:r w:rsidRPr="00516E3D">
        <w:rPr>
          <w:rFonts w:ascii="Times New Roman" w:hAnsi="Times New Roman"/>
          <w:bCs/>
          <w:u w:val="single"/>
          <w:lang w:val="hu-HU"/>
        </w:rPr>
        <w:t>Egyes kiválasztott mellékhatások ismertetése</w:t>
      </w:r>
    </w:p>
    <w:p w14:paraId="109C2FE1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lang w:val="hu-HU"/>
        </w:rPr>
      </w:pPr>
    </w:p>
    <w:p w14:paraId="52E58389" w14:textId="77777777" w:rsidR="00F721FD" w:rsidRPr="006F2C2C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i/>
          <w:iCs/>
          <w:u w:val="single"/>
          <w:lang w:val="hu-HU"/>
        </w:rPr>
      </w:pPr>
      <w:r w:rsidRPr="006F2C2C">
        <w:rPr>
          <w:rFonts w:ascii="Times New Roman" w:hAnsi="Times New Roman"/>
          <w:bCs/>
          <w:i/>
          <w:iCs/>
          <w:u w:val="single"/>
          <w:lang w:val="hu-HU"/>
        </w:rPr>
        <w:t>Vildagliptin</w:t>
      </w:r>
    </w:p>
    <w:p w14:paraId="49F40379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i/>
          <w:lang w:val="hu-HU"/>
        </w:rPr>
      </w:pPr>
      <w:r w:rsidRPr="00FF6443">
        <w:rPr>
          <w:rFonts w:ascii="Times New Roman" w:hAnsi="Times New Roman"/>
          <w:bCs/>
          <w:i/>
          <w:lang w:val="hu-HU"/>
        </w:rPr>
        <w:lastRenderedPageBreak/>
        <w:t>Májkárosodás</w:t>
      </w:r>
    </w:p>
    <w:p w14:paraId="31361798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lang w:val="hu-HU"/>
        </w:rPr>
      </w:pPr>
      <w:r w:rsidRPr="00FF6443">
        <w:rPr>
          <w:rFonts w:ascii="Times New Roman" w:hAnsi="Times New Roman"/>
          <w:bCs/>
          <w:lang w:val="hu-HU"/>
        </w:rPr>
        <w:t>Májműködési zavar (beleértve a hepatitist is) ritka eseteiről számoltak be vildagliptin-kezelés során. Ezek az esetek nem jártak klinikai következménnyel, a betegek rendszerint tünetmentesek voltak, és a májfunkciós vizsgálatok eredményei a kezelés felfüggesztését követően visszatértek a normálértékre. 24 hétig tartó monoterápiával és kiegészítő kezeléssel folytatott kontrollos vizsgálatok adatai alapján a normálérték 3-szorosát elérő vagy meghaladó GPT- vagy GOT-szint-emelkedés (ami a meghatározása szerint legalább két, egymást követő méréskor vagy a kezelés alatti utolsó ellenőrzéskor fennállt) incidenciája napi egyszer 50 mg vildagliptin esetén 0,2%, napi kétszer 50 mg vildagliptin esetén 0,3% és az összes komparátor esetén 0,2% volt. A transzaminázszintek ezen emelkedései általában tünetmentesek voltak, nem progrediáltak, és nem jártak cholestasissal vagy sárgasággal.</w:t>
      </w:r>
    </w:p>
    <w:p w14:paraId="0333E582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lang w:val="hu-HU"/>
        </w:rPr>
      </w:pPr>
    </w:p>
    <w:p w14:paraId="78F8640C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i/>
          <w:lang w:val="hu-HU"/>
        </w:rPr>
      </w:pPr>
      <w:r w:rsidRPr="00FF6443">
        <w:rPr>
          <w:rFonts w:ascii="Times New Roman" w:hAnsi="Times New Roman"/>
          <w:bCs/>
          <w:i/>
          <w:lang w:val="hu-HU"/>
        </w:rPr>
        <w:t>Angiooedema</w:t>
      </w:r>
    </w:p>
    <w:p w14:paraId="6C230690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lang w:val="hu-HU"/>
        </w:rPr>
      </w:pPr>
      <w:r w:rsidRPr="00FF6443">
        <w:rPr>
          <w:rFonts w:ascii="Times New Roman" w:hAnsi="Times New Roman"/>
          <w:bCs/>
          <w:lang w:val="hu-HU"/>
        </w:rPr>
        <w:t>Ritka esetekben beszámoltak angiooedemáról vildagliptin alkalmazásakor, a kontrollokhoz hasonló arányban. Nagyobb arányban jelentettek ilyen eseteket, amikor a vildagliptint ACE-gátlóval kombinációban alkalmazták. Az események többsége enyhe volt és a vildagliptin-kezelés folytatása során elmúlt.</w:t>
      </w:r>
    </w:p>
    <w:p w14:paraId="16BFA9F1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lang w:val="hu-HU"/>
        </w:rPr>
      </w:pPr>
    </w:p>
    <w:p w14:paraId="51E73E1E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i/>
          <w:lang w:val="hu-HU"/>
        </w:rPr>
      </w:pPr>
      <w:r w:rsidRPr="00FF6443">
        <w:rPr>
          <w:rFonts w:ascii="Times New Roman" w:hAnsi="Times New Roman"/>
          <w:bCs/>
          <w:i/>
          <w:lang w:val="hu-HU"/>
        </w:rPr>
        <w:t>Hypoglykaemia</w:t>
      </w:r>
    </w:p>
    <w:p w14:paraId="2F46EE40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lang w:val="hu-HU"/>
        </w:rPr>
      </w:pPr>
      <w:r w:rsidRPr="00FF6443">
        <w:rPr>
          <w:rFonts w:ascii="Times New Roman" w:hAnsi="Times New Roman"/>
          <w:bCs/>
          <w:lang w:val="hu-HU"/>
        </w:rPr>
        <w:t>A hypoglykaemia nem gyakori eseteiről számoltak be, amikor a vildagliptint (0,4%) monoterápiában alkalmazták aktív komparátorral vagy placebóval (0,2%) összehasonlító, kontrollos monoterápiás vizsgálatokban. Nem számoltak be hypoglykaemia súlyos vagy komoly eseteiről. Metformin kiegészítéseként alkalmazva a vildagliptinnel kezelt betegek 1%-ánál és a placebóval kezelt betegek 0,4%-ánál fordult elő hypoglykaemia. Pioglitazon hozzáadása esetén a vildagliptinnel kezelt betegek 0,6%-ánál és a placebóval kezelt betegek 1,9%-ánál fordult elő hypoglykaemia. Szulfonilurea hozzáadása esetén a vildagliptinnel kezelt betegek 1,2%-ánál és a placebóval kezelt betegek 0,6%-ánál fordult elő hypoglykaemia. Szulfonilurea és metformin hozzáadása esetén a vildagliptinnel kezelt betegek 5,1%-ánál és a placebóval kezelt betegek 1,9%-ánál fordult elő hypoglykaemia. Vildagliptint inzulinnal kombinációban alkalmazó betegeknél a hypoglykaemia előfordulási gyakorisága a vildagliptin-</w:t>
      </w:r>
      <w:r w:rsidRPr="006F2C2C">
        <w:rPr>
          <w:rFonts w:ascii="Times New Roman" w:hAnsi="Times New Roman"/>
          <w:bCs/>
          <w:lang w:val="hu-HU"/>
        </w:rPr>
        <w:t>csoportban</w:t>
      </w:r>
      <w:r w:rsidRPr="00FF6443">
        <w:rPr>
          <w:rFonts w:ascii="Times New Roman" w:hAnsi="Times New Roman"/>
          <w:bCs/>
          <w:lang w:val="hu-HU"/>
        </w:rPr>
        <w:t xml:space="preserve"> 14%, placebo esetében 16% volt.</w:t>
      </w:r>
    </w:p>
    <w:p w14:paraId="4F2ECF90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lang w:val="hu-HU"/>
        </w:rPr>
      </w:pPr>
    </w:p>
    <w:p w14:paraId="51DD97A3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i/>
          <w:iCs/>
          <w:u w:val="single"/>
          <w:lang w:val="hu-HU"/>
        </w:rPr>
      </w:pPr>
      <w:r w:rsidRPr="00FF6443">
        <w:rPr>
          <w:rFonts w:ascii="Times New Roman" w:hAnsi="Times New Roman"/>
          <w:bCs/>
          <w:i/>
          <w:iCs/>
          <w:u w:val="single"/>
          <w:lang w:val="hu-HU"/>
        </w:rPr>
        <w:t>Metformin</w:t>
      </w:r>
    </w:p>
    <w:p w14:paraId="3D0F1744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i/>
          <w:lang w:val="hu-HU"/>
        </w:rPr>
      </w:pPr>
      <w:r w:rsidRPr="00FF6443">
        <w:rPr>
          <w:rFonts w:ascii="Times New Roman" w:hAnsi="Times New Roman"/>
          <w:bCs/>
          <w:i/>
          <w:lang w:val="hu-HU"/>
        </w:rPr>
        <w:t xml:space="preserve">A </w:t>
      </w:r>
      <w:r w:rsidRPr="006F2C2C">
        <w:rPr>
          <w:rFonts w:ascii="Times New Roman" w:hAnsi="Times New Roman"/>
          <w:bCs/>
          <w:i/>
          <w:lang w:val="hu-HU"/>
        </w:rPr>
        <w:t>B</w:t>
      </w:r>
      <w:r w:rsidRPr="00516E3D">
        <w:rPr>
          <w:rFonts w:ascii="Times New Roman" w:hAnsi="Times New Roman"/>
          <w:bCs/>
          <w:i/>
          <w:vertAlign w:val="subscript"/>
          <w:lang w:val="hu-HU"/>
        </w:rPr>
        <w:t>12</w:t>
      </w:r>
      <w:r w:rsidRPr="00FF6443">
        <w:rPr>
          <w:rFonts w:ascii="Times New Roman" w:hAnsi="Times New Roman"/>
          <w:bCs/>
          <w:i/>
          <w:lang w:val="hu-HU"/>
        </w:rPr>
        <w:t>-vitamin felszívódásának csökkenése</w:t>
      </w:r>
    </w:p>
    <w:p w14:paraId="06FC5762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lang w:val="hu-HU"/>
        </w:rPr>
      </w:pPr>
      <w:r w:rsidRPr="00FF6443">
        <w:rPr>
          <w:rFonts w:ascii="Times New Roman" w:hAnsi="Times New Roman"/>
          <w:bCs/>
          <w:lang w:val="hu-HU"/>
        </w:rPr>
        <w:t>Nagyon ritkán megfigyelték a B</w:t>
      </w:r>
      <w:r w:rsidRPr="00516E3D">
        <w:rPr>
          <w:rFonts w:ascii="Times New Roman" w:hAnsi="Times New Roman"/>
          <w:bCs/>
          <w:vertAlign w:val="subscript"/>
          <w:lang w:val="hu-HU"/>
        </w:rPr>
        <w:t>12</w:t>
      </w:r>
      <w:r w:rsidRPr="00FF6443">
        <w:rPr>
          <w:rFonts w:ascii="Times New Roman" w:hAnsi="Times New Roman"/>
          <w:bCs/>
          <w:lang w:val="hu-HU"/>
        </w:rPr>
        <w:t>-vitamin felszívódásának csökkenését, amely a szérumszint csökkenésével járt, olyan betegeknél, akiket hosszú ideig kezeltek metforminnal. Ha a betegnél megaloblastos anaemia alakul ki, gondolni kell arra, hogy akár ez is állhat a hátterében.</w:t>
      </w:r>
    </w:p>
    <w:p w14:paraId="19B10F9D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lang w:val="hu-HU"/>
        </w:rPr>
      </w:pPr>
    </w:p>
    <w:p w14:paraId="38B0B8AD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i/>
          <w:lang w:val="hu-HU"/>
        </w:rPr>
      </w:pPr>
      <w:r w:rsidRPr="00FF6443">
        <w:rPr>
          <w:rFonts w:ascii="Times New Roman" w:hAnsi="Times New Roman"/>
          <w:bCs/>
          <w:i/>
          <w:lang w:val="hu-HU"/>
        </w:rPr>
        <w:t>Májműködés</w:t>
      </w:r>
    </w:p>
    <w:p w14:paraId="6EA998FD" w14:textId="6EBE2813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lang w:val="hu-HU"/>
        </w:rPr>
      </w:pPr>
      <w:r w:rsidRPr="00FF6443">
        <w:rPr>
          <w:rFonts w:ascii="Times New Roman" w:hAnsi="Times New Roman"/>
          <w:bCs/>
          <w:lang w:val="hu-HU"/>
        </w:rPr>
        <w:t>Izolált esetekben rendellenes májfunkciós vizsgálati eredményekről vagy hepatitisről számoltak be, amelyek a metformin-terápia elhagyásakor elmúltak.</w:t>
      </w:r>
    </w:p>
    <w:p w14:paraId="7B5F216F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lang w:val="hu-HU"/>
        </w:rPr>
      </w:pPr>
    </w:p>
    <w:p w14:paraId="0B92A586" w14:textId="77777777" w:rsidR="00F721FD" w:rsidRPr="00FF6443" w:rsidRDefault="00F721FD" w:rsidP="00F721FD">
      <w:pPr>
        <w:keepNext/>
        <w:autoSpaceDE w:val="0"/>
        <w:autoSpaceDN w:val="0"/>
        <w:adjustRightInd w:val="0"/>
        <w:spacing w:after="0" w:line="240" w:lineRule="auto"/>
        <w:ind w:left="1416" w:hanging="1416"/>
        <w:rPr>
          <w:rFonts w:ascii="Times New Roman" w:hAnsi="Times New Roman"/>
          <w:bCs/>
          <w:i/>
          <w:lang w:val="hu-HU"/>
        </w:rPr>
      </w:pPr>
      <w:r w:rsidRPr="00FF6443">
        <w:rPr>
          <w:rFonts w:ascii="Times New Roman" w:hAnsi="Times New Roman"/>
          <w:bCs/>
          <w:i/>
          <w:lang w:val="hu-HU"/>
        </w:rPr>
        <w:t>Emésztőrendszeri betegségek és tünetek</w:t>
      </w:r>
    </w:p>
    <w:p w14:paraId="2DB3750E" w14:textId="13E4C572" w:rsidR="00F721FD" w:rsidRDefault="00F721FD" w:rsidP="00516E3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lang w:val="hu-HU"/>
        </w:rPr>
      </w:pPr>
      <w:r w:rsidRPr="00FF6443">
        <w:rPr>
          <w:rFonts w:ascii="Times New Roman" w:hAnsi="Times New Roman"/>
          <w:bCs/>
          <w:lang w:val="hu-HU"/>
        </w:rPr>
        <w:t>Gastrointestinalis mellékhatások leggyakrabban a kezelés megkezdésekor fordulnak elő és az esetek többségében spontán elmúlnak. Megelőzésük érdekében ajánlott a metformin napi dózisát 2 részre osztva bevenni, étkezés közben vagy azt követően. A dózis lassú emelése szintén javíthatja a gastrointestinalis tolerálhatóságot.</w:t>
      </w:r>
    </w:p>
    <w:p w14:paraId="5F97EF92" w14:textId="77777777" w:rsidR="009329AA" w:rsidRPr="00CA29AC" w:rsidRDefault="009329A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2CE9E49" w14:textId="77777777" w:rsidR="00EF31E8" w:rsidRPr="00CA29AC" w:rsidRDefault="00332B6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Feltételezett mellékhatások bejelentés</w:t>
      </w:r>
      <w:r w:rsidR="003168A4" w:rsidRPr="00E47E83">
        <w:rPr>
          <w:rFonts w:ascii="Times New Roman" w:hAnsi="Times New Roman"/>
          <w:u w:val="single"/>
          <w:lang w:val="hu-HU"/>
        </w:rPr>
        <w:t>e</w:t>
      </w:r>
    </w:p>
    <w:p w14:paraId="2B9B4617" w14:textId="77777777" w:rsidR="00DE0A41" w:rsidRPr="00CA29AC" w:rsidRDefault="00DE0A4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EDCA596" w14:textId="6DF44721" w:rsidR="00EF31E8" w:rsidRPr="00CA29AC" w:rsidRDefault="00142A3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="009E5FC4" w:rsidRPr="00E47E83">
          <w:rPr>
            <w:rStyle w:val="Hiperhivatkozs"/>
            <w:rFonts w:ascii="Times New Roman" w:hAnsi="Times New Roman"/>
            <w:lang w:val="hu-HU"/>
          </w:rPr>
          <w:t>V. függelékben</w:t>
        </w:r>
      </w:hyperlink>
      <w:r w:rsidR="009E5FC4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>található elérhetőségek valamelyikén keresztül</w:t>
      </w:r>
      <w:r w:rsidR="00EF31E8" w:rsidRPr="00CA29AC">
        <w:rPr>
          <w:rFonts w:ascii="Times New Roman" w:hAnsi="Times New Roman"/>
          <w:lang w:val="hu-HU"/>
        </w:rPr>
        <w:t>.</w:t>
      </w:r>
    </w:p>
    <w:p w14:paraId="71C96566" w14:textId="77777777" w:rsidR="00EF31E8" w:rsidRPr="00E47E83" w:rsidRDefault="00EF31E8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643E846" w14:textId="77777777" w:rsidR="00E63CF8" w:rsidRPr="00CA29AC" w:rsidRDefault="00E63CF8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b/>
          <w:color w:val="000000"/>
          <w:lang w:val="hu-HU"/>
        </w:rPr>
        <w:t>4.9</w:t>
      </w:r>
      <w:r w:rsidRPr="00E47E83">
        <w:rPr>
          <w:rFonts w:ascii="Times New Roman" w:hAnsi="Times New Roman"/>
          <w:b/>
          <w:color w:val="000000"/>
          <w:lang w:val="hu-HU"/>
        </w:rPr>
        <w:tab/>
        <w:t>Túladagolás</w:t>
      </w:r>
    </w:p>
    <w:p w14:paraId="0632A6C4" w14:textId="77777777" w:rsidR="00F529B6" w:rsidRPr="00CA29AC" w:rsidRDefault="00F529B6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60345ECE" w14:textId="4F59C176" w:rsidR="00EF31E8" w:rsidRPr="00E47E83" w:rsidRDefault="00FA509C" w:rsidP="00AE15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bidi="en-US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7273C9" w:rsidRPr="00E47E83">
        <w:rPr>
          <w:rFonts w:ascii="Times New Roman" w:hAnsi="Times New Roman"/>
          <w:lang w:val="hu-HU"/>
        </w:rPr>
        <w:t>vidagliptin/metformin</w:t>
      </w:r>
      <w:r w:rsidR="0019254E" w:rsidRPr="00CA29AC">
        <w:rPr>
          <w:rFonts w:ascii="Times New Roman" w:hAnsi="Times New Roman"/>
          <w:lang w:val="hu-HU"/>
        </w:rPr>
        <w:t>-hidroklorid</w:t>
      </w:r>
      <w:r w:rsidR="007273C9" w:rsidRPr="00E47E83">
        <w:rPr>
          <w:rFonts w:ascii="Times New Roman" w:hAnsi="Times New Roman"/>
          <w:lang w:val="hu-HU"/>
        </w:rPr>
        <w:t xml:space="preserve"> kombinációs</w:t>
      </w:r>
      <w:r w:rsidR="007273C9" w:rsidRPr="00CA29AC">
        <w:rPr>
          <w:rFonts w:ascii="Times New Roman" w:hAnsi="Times New Roman"/>
          <w:lang w:val="hu-HU"/>
        </w:rPr>
        <w:t xml:space="preserve"> </w:t>
      </w:r>
      <w:r w:rsidR="002C14A4" w:rsidRPr="002C14A4">
        <w:rPr>
          <w:rFonts w:ascii="Times New Roman" w:hAnsi="Times New Roman"/>
          <w:lang w:val="hu-HU"/>
        </w:rPr>
        <w:t>készítmény</w:t>
      </w:r>
      <w:r w:rsidRPr="00CA29AC">
        <w:rPr>
          <w:rFonts w:ascii="Times New Roman" w:hAnsi="Times New Roman"/>
          <w:lang w:val="hu-HU"/>
        </w:rPr>
        <w:t xml:space="preserve"> túladagolására vonatkozóan nem áll rendelkezésre adat</w:t>
      </w:r>
      <w:r w:rsidR="00EF31E8" w:rsidRPr="00CA29AC">
        <w:rPr>
          <w:rFonts w:ascii="Times New Roman" w:hAnsi="Times New Roman"/>
          <w:lang w:val="hu-HU"/>
        </w:rPr>
        <w:t>.</w:t>
      </w:r>
    </w:p>
    <w:p w14:paraId="5425E81D" w14:textId="77777777" w:rsidR="009329AA" w:rsidRPr="00E47E83" w:rsidRDefault="009329AA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D469439" w14:textId="77777777" w:rsidR="00EF31E8" w:rsidRPr="00E47E83" w:rsidRDefault="00EF31E8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Vildagliptin</w:t>
      </w:r>
    </w:p>
    <w:p w14:paraId="27B139EE" w14:textId="77777777" w:rsidR="00DE0A41" w:rsidRPr="00CA29AC" w:rsidRDefault="00DE0A4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5083687" w14:textId="77777777" w:rsidR="00EF31E8" w:rsidRPr="00CA29AC" w:rsidRDefault="0087597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vildagliptin túladagolására vonatkozó információk korlátozottak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720B56E" w14:textId="77777777" w:rsidR="009329AA" w:rsidRPr="00CA29AC" w:rsidRDefault="009329A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CDD155F" w14:textId="77777777" w:rsidR="00EF31E8" w:rsidRPr="00E47E83" w:rsidRDefault="00394489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bidi="en-US"/>
        </w:rPr>
      </w:pPr>
      <w:r w:rsidRPr="00E47E83">
        <w:rPr>
          <w:rFonts w:ascii="Times New Roman" w:hAnsi="Times New Roman"/>
          <w:i/>
          <w:u w:val="single"/>
          <w:lang w:val="hu-HU"/>
        </w:rPr>
        <w:t>Tünetek</w:t>
      </w:r>
    </w:p>
    <w:p w14:paraId="4889EA9A" w14:textId="0BBA2A41" w:rsidR="00EF31E8" w:rsidRPr="00CA29AC" w:rsidRDefault="00AD6FA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A túladagolás valószínű tüneteivel kapcsolatos információk egészséges önkéntesekkel végzett, dózisnövelő tolerabilitási vizsgálatból származnak, melyben az egészséges önkéntesek 10</w:t>
      </w:r>
      <w:r w:rsidR="00332F7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napon keresztül kaptak vildagliptint. A 400</w:t>
      </w:r>
      <w:r w:rsidR="00332F7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 xml:space="preserve">mg-os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 xml:space="preserve"> mellett három esetben lépett fel izomfájdalom, és egyedi esetekben előfordult enyhe és átmeneti paresztézia, láz, </w:t>
      </w:r>
      <w:r w:rsidR="003530A1">
        <w:rPr>
          <w:rFonts w:ascii="Times New Roman" w:eastAsia="Times New Roman" w:hAnsi="Times New Roman"/>
          <w:lang w:val="hu-HU" w:bidi="en-US"/>
        </w:rPr>
        <w:t>ö</w:t>
      </w:r>
      <w:r w:rsidR="0075530C" w:rsidRPr="00E47E83">
        <w:rPr>
          <w:rFonts w:ascii="Times New Roman" w:eastAsia="Times New Roman" w:hAnsi="Times New Roman"/>
          <w:lang w:val="hu-HU" w:bidi="en-US"/>
        </w:rPr>
        <w:t>d</w:t>
      </w:r>
      <w:r w:rsidR="003530A1">
        <w:rPr>
          <w:rFonts w:ascii="Times New Roman" w:eastAsia="Times New Roman" w:hAnsi="Times New Roman"/>
          <w:lang w:val="hu-HU" w:bidi="en-US"/>
        </w:rPr>
        <w:t>é</w:t>
      </w:r>
      <w:r w:rsidRPr="00E47E83">
        <w:rPr>
          <w:rFonts w:ascii="Times New Roman" w:eastAsia="Times New Roman" w:hAnsi="Times New Roman"/>
          <w:lang w:val="hu-HU" w:bidi="en-US"/>
        </w:rPr>
        <w:t>ma, illetve átmeneti lipázszint-emelkedés. A 600</w:t>
      </w:r>
      <w:r w:rsidR="00332F7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 xml:space="preserve">mg-os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 xml:space="preserve"> mellett egy betegnél lépett fel kéz- és láb</w:t>
      </w:r>
      <w:r w:rsidR="003530A1">
        <w:rPr>
          <w:rFonts w:ascii="Times New Roman" w:eastAsia="Times New Roman" w:hAnsi="Times New Roman"/>
          <w:lang w:val="hu-HU" w:bidi="en-US"/>
        </w:rPr>
        <w:t>ö</w:t>
      </w:r>
      <w:r w:rsidR="0075530C" w:rsidRPr="00E47E83">
        <w:rPr>
          <w:rFonts w:ascii="Times New Roman" w:eastAsia="Times New Roman" w:hAnsi="Times New Roman"/>
          <w:lang w:val="hu-HU" w:bidi="en-US"/>
        </w:rPr>
        <w:t>d</w:t>
      </w:r>
      <w:r w:rsidR="003530A1">
        <w:rPr>
          <w:rFonts w:ascii="Times New Roman" w:eastAsia="Times New Roman" w:hAnsi="Times New Roman"/>
          <w:lang w:val="hu-HU" w:bidi="en-US"/>
        </w:rPr>
        <w:t>é</w:t>
      </w:r>
      <w:r w:rsidRPr="00E47E83">
        <w:rPr>
          <w:rFonts w:ascii="Times New Roman" w:eastAsia="Times New Roman" w:hAnsi="Times New Roman"/>
          <w:lang w:val="hu-HU" w:bidi="en-US"/>
        </w:rPr>
        <w:t>ma, valamint a kreatin</w:t>
      </w:r>
      <w:r w:rsidR="009550CF">
        <w:rPr>
          <w:rFonts w:ascii="Times New Roman" w:eastAsia="Times New Roman" w:hAnsi="Times New Roman"/>
          <w:lang w:val="hu-HU" w:bidi="en-US"/>
        </w:rPr>
        <w:t>-</w:t>
      </w:r>
      <w:r w:rsidRPr="00E47E83">
        <w:rPr>
          <w:rFonts w:ascii="Times New Roman" w:eastAsia="Times New Roman" w:hAnsi="Times New Roman"/>
          <w:lang w:val="hu-HU" w:bidi="en-US"/>
        </w:rPr>
        <w:t xml:space="preserve">foszfokináz (CPK), </w:t>
      </w:r>
      <w:r w:rsidR="009A614A" w:rsidRPr="00E47E83">
        <w:rPr>
          <w:rFonts w:ascii="Times New Roman" w:eastAsia="Times New Roman" w:hAnsi="Times New Roman"/>
          <w:lang w:val="hu-HU" w:bidi="en-US"/>
        </w:rPr>
        <w:t>GOT (</w:t>
      </w:r>
      <w:r w:rsidR="003B2B39" w:rsidRPr="00E47E83">
        <w:rPr>
          <w:rFonts w:ascii="Times New Roman" w:eastAsia="Times New Roman" w:hAnsi="Times New Roman"/>
          <w:lang w:val="hu-HU" w:bidi="en-US"/>
        </w:rPr>
        <w:t>ASAT</w:t>
      </w:r>
      <w:r w:rsidR="009A614A" w:rsidRPr="00E47E83">
        <w:rPr>
          <w:rFonts w:ascii="Times New Roman" w:eastAsia="Times New Roman" w:hAnsi="Times New Roman"/>
          <w:lang w:val="hu-HU" w:bidi="en-US"/>
        </w:rPr>
        <w:t>)</w:t>
      </w:r>
      <w:r w:rsidR="003B2B39" w:rsidRPr="00E47E83">
        <w:rPr>
          <w:rFonts w:ascii="Times New Roman" w:eastAsia="Times New Roman" w:hAnsi="Times New Roman"/>
          <w:lang w:val="hu-HU" w:bidi="en-US"/>
        </w:rPr>
        <w:t>,</w:t>
      </w:r>
      <w:r w:rsidRPr="00E47E83">
        <w:rPr>
          <w:rFonts w:ascii="Times New Roman" w:eastAsia="Times New Roman" w:hAnsi="Times New Roman"/>
          <w:lang w:val="hu-HU" w:bidi="en-US"/>
        </w:rPr>
        <w:t xml:space="preserve"> C-reaktív protein (CRP) és a mioglobin szintjének emelkedése.</w:t>
      </w:r>
      <w:r w:rsidRPr="00E47E83">
        <w:rPr>
          <w:rFonts w:ascii="Times New Roman" w:hAnsi="Times New Roman"/>
          <w:lang w:val="hu-HU"/>
        </w:rPr>
        <w:t xml:space="preserve"> Három további betegnél lépett fel láb</w:t>
      </w:r>
      <w:r w:rsidR="003530A1">
        <w:rPr>
          <w:rFonts w:ascii="Times New Roman" w:hAnsi="Times New Roman"/>
          <w:lang w:val="hu-HU"/>
        </w:rPr>
        <w:t>ö</w:t>
      </w:r>
      <w:r w:rsidR="0075530C" w:rsidRPr="00E47E83">
        <w:rPr>
          <w:rFonts w:ascii="Times New Roman" w:hAnsi="Times New Roman"/>
          <w:lang w:val="hu-HU"/>
        </w:rPr>
        <w:t>d</w:t>
      </w:r>
      <w:r w:rsidR="003530A1">
        <w:rPr>
          <w:rFonts w:ascii="Times New Roman" w:hAnsi="Times New Roman"/>
          <w:lang w:val="hu-HU"/>
        </w:rPr>
        <w:t>é</w:t>
      </w:r>
      <w:r w:rsidRPr="00E47E83">
        <w:rPr>
          <w:rFonts w:ascii="Times New Roman" w:hAnsi="Times New Roman"/>
          <w:lang w:val="hu-HU"/>
        </w:rPr>
        <w:t>ma, melyet két esetben paresztézia kísért. A vizsgálati gyógyszer adagolásának felfüggesztését követően minden tünet és laboratóriumi eltérés kezelés nélkül rendeződött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6DF9F0FB" w14:textId="77777777" w:rsidR="009329AA" w:rsidRPr="00CA29AC" w:rsidRDefault="009329A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89EC1A0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Metformin</w:t>
      </w:r>
    </w:p>
    <w:p w14:paraId="6D76D517" w14:textId="77777777" w:rsidR="00AB3FF3" w:rsidRPr="00CA29AC" w:rsidRDefault="00AB3FF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</w:p>
    <w:p w14:paraId="02D9B584" w14:textId="7FF3C85D" w:rsidR="00EF31E8" w:rsidRPr="00CA29AC" w:rsidRDefault="00E8360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metformin jelentős túladagolása (vagy a laktátacidózis egyidejű kockázata) laktátacidózishoz vezethet, ami sürgősségi állapot, és kórházban kell kezelni</w:t>
      </w:r>
      <w:r w:rsidR="00EF31E8" w:rsidRPr="00E47E83">
        <w:rPr>
          <w:rFonts w:ascii="Times New Roman" w:hAnsi="Times New Roman"/>
          <w:lang w:val="hu-HU"/>
        </w:rPr>
        <w:t>.</w:t>
      </w:r>
    </w:p>
    <w:p w14:paraId="75153AA1" w14:textId="77777777" w:rsidR="009329AA" w:rsidRPr="00CA29AC" w:rsidRDefault="009329A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A771CBD" w14:textId="77777777" w:rsidR="00EF31E8" w:rsidRPr="00E47E83" w:rsidRDefault="004846A0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bidi="en-US"/>
        </w:rPr>
      </w:pPr>
      <w:r w:rsidRPr="00E47E83">
        <w:rPr>
          <w:rFonts w:ascii="Times New Roman" w:hAnsi="Times New Roman"/>
          <w:i/>
          <w:u w:val="single"/>
          <w:lang w:val="hu-HU"/>
        </w:rPr>
        <w:t>Kezelés</w:t>
      </w:r>
    </w:p>
    <w:p w14:paraId="56965EF1" w14:textId="77777777" w:rsidR="00EF31E8" w:rsidRPr="00CA29AC" w:rsidRDefault="009D64C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metformin eltávolításának leghatékonyabb módszere a hemodialízis. A vildagliptin azonban nem távolítható el hemodialízissel, míg az elsődleges hidrolizációs metabolit (LAY 151) igen. Szupportív kezelés javasolt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61C52D0C" w14:textId="77777777" w:rsidR="00021B64" w:rsidRPr="00CA29AC" w:rsidRDefault="00021B6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45E1BF8" w14:textId="77777777" w:rsidR="00021B64" w:rsidRPr="00CA29AC" w:rsidRDefault="00021B6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963E78B" w14:textId="77777777" w:rsidR="00812D6F" w:rsidRPr="00CA29AC" w:rsidRDefault="00812D6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5.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FARMAKOLÓGIAI TULAJDONSÁGOK</w:t>
      </w:r>
    </w:p>
    <w:p w14:paraId="58B668EE" w14:textId="77777777" w:rsidR="00AE1A58" w:rsidRPr="00CA29AC" w:rsidRDefault="00AE1A58" w:rsidP="00E92AEE">
      <w:pPr>
        <w:spacing w:after="0" w:line="240" w:lineRule="auto"/>
        <w:rPr>
          <w:rFonts w:ascii="Times New Roman" w:hAnsi="Times New Roman"/>
          <w:lang w:val="hu-HU"/>
        </w:rPr>
      </w:pPr>
    </w:p>
    <w:p w14:paraId="68E45D75" w14:textId="77777777" w:rsidR="00F2626B" w:rsidRPr="00E47E83" w:rsidRDefault="00F2626B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5.1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Farmakodinámiás tulajdonságok</w:t>
      </w:r>
    </w:p>
    <w:p w14:paraId="1BE23A08" w14:textId="77777777" w:rsidR="00AE1A58" w:rsidRPr="00CA29AC" w:rsidRDefault="00AE1A58" w:rsidP="00E92AEE">
      <w:pPr>
        <w:spacing w:after="0" w:line="240" w:lineRule="auto"/>
        <w:rPr>
          <w:rFonts w:ascii="Times New Roman" w:hAnsi="Times New Roman"/>
          <w:lang w:val="hu-HU"/>
        </w:rPr>
      </w:pPr>
    </w:p>
    <w:p w14:paraId="50D9074B" w14:textId="465AA64C" w:rsidR="00EF31E8" w:rsidRPr="00CA29AC" w:rsidRDefault="0086092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Farmakoterápiás csoport</w:t>
      </w:r>
      <w:r w:rsidR="00EF31E8" w:rsidRPr="00E47E83">
        <w:rPr>
          <w:rFonts w:ascii="Times New Roman" w:hAnsi="Times New Roman"/>
          <w:lang w:val="hu-HU"/>
        </w:rPr>
        <w:t xml:space="preserve">: </w:t>
      </w:r>
      <w:r w:rsidR="00E14BDA" w:rsidRPr="00E47E83">
        <w:rPr>
          <w:rFonts w:ascii="Times New Roman" w:hAnsi="Times New Roman"/>
          <w:lang w:val="hu-HU"/>
        </w:rPr>
        <w:t>Vércukorszint-csökkentő gyógyszerek, or</w:t>
      </w:r>
      <w:r w:rsidR="00FD63EC">
        <w:rPr>
          <w:rFonts w:ascii="Times New Roman" w:hAnsi="Times New Roman"/>
          <w:lang w:val="hu-HU"/>
        </w:rPr>
        <w:t>á</w:t>
      </w:r>
      <w:r w:rsidR="00E14BDA" w:rsidRPr="00E47E83">
        <w:rPr>
          <w:rFonts w:ascii="Times New Roman" w:hAnsi="Times New Roman"/>
          <w:lang w:val="hu-HU"/>
        </w:rPr>
        <w:t>lis vércukorszint-csökkentők kombinációja</w:t>
      </w:r>
      <w:r w:rsidR="00EF31E8" w:rsidRPr="00E47E83">
        <w:rPr>
          <w:rFonts w:ascii="Times New Roman" w:hAnsi="Times New Roman"/>
          <w:lang w:val="hu-HU"/>
        </w:rPr>
        <w:t>, ATC</w:t>
      </w:r>
      <w:r w:rsidR="003168A4" w:rsidRPr="00E47E83">
        <w:rPr>
          <w:rFonts w:ascii="Times New Roman" w:hAnsi="Times New Roman"/>
          <w:lang w:val="hu-HU"/>
        </w:rPr>
        <w:t xml:space="preserve"> kód</w:t>
      </w:r>
      <w:r w:rsidR="00EF31E8" w:rsidRPr="00E47E83">
        <w:rPr>
          <w:rFonts w:ascii="Times New Roman" w:hAnsi="Times New Roman"/>
          <w:lang w:val="hu-HU"/>
        </w:rPr>
        <w:t>: A10BD08</w:t>
      </w:r>
    </w:p>
    <w:p w14:paraId="30F99F8A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36A3C0F" w14:textId="77777777" w:rsidR="00EF31E8" w:rsidRPr="00CA29AC" w:rsidRDefault="00BC107B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Hatásmechanizmus</w:t>
      </w:r>
    </w:p>
    <w:p w14:paraId="4D8EFDDD" w14:textId="77777777" w:rsidR="00AB3FF3" w:rsidRPr="00CA29AC" w:rsidRDefault="00AB3FF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1ADEF37" w14:textId="2CE8FE99" w:rsidR="008C38BE" w:rsidRPr="00CA29AC" w:rsidRDefault="004053B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 xml:space="preserve"> a 2-es típusú dibéteszes betegek vércukorszint</w:t>
      </w:r>
      <w:r w:rsidR="009A614A"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beállításának javítása érdekében két, egymást kiegészítő hatásmechanizmusú antih</w:t>
      </w:r>
      <w:r w:rsidR="00CA7916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pergl</w:t>
      </w:r>
      <w:r w:rsidR="00CA7916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k</w:t>
      </w:r>
      <w:r w:rsidR="00CA7916" w:rsidRPr="00E47E83">
        <w:rPr>
          <w:rFonts w:ascii="Times New Roman" w:hAnsi="Times New Roman"/>
          <w:lang w:val="hu-HU"/>
        </w:rPr>
        <w:t>ae</w:t>
      </w:r>
      <w:r w:rsidRPr="00E47E83">
        <w:rPr>
          <w:rFonts w:ascii="Times New Roman" w:hAnsi="Times New Roman"/>
          <w:lang w:val="hu-HU"/>
        </w:rPr>
        <w:t xml:space="preserve">miás szert egyesít: a vildagliptint, a szigetsejt-serkentők osztályának egyik tagját, és a </w:t>
      </w:r>
      <w:r w:rsidR="00E64551" w:rsidRPr="00E47E83">
        <w:rPr>
          <w:rFonts w:ascii="Times New Roman" w:hAnsi="Times New Roman"/>
          <w:lang w:val="hu-HU"/>
        </w:rPr>
        <w:t>metformin-hidrokloridot</w:t>
      </w:r>
      <w:r w:rsidRPr="00E47E83">
        <w:rPr>
          <w:rFonts w:ascii="Times New Roman" w:hAnsi="Times New Roman"/>
          <w:lang w:val="hu-HU"/>
        </w:rPr>
        <w:t>, a biguanidok osztályának egyik tagját.</w:t>
      </w:r>
    </w:p>
    <w:p w14:paraId="08BEC1FD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924B273" w14:textId="017BECAE" w:rsidR="00EF31E8" w:rsidRPr="00CA29AC" w:rsidRDefault="00987B7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A vildagliptin, a szigetsejt-serkentők osztályába tartozó vegyület potens és szelektív</w:t>
      </w:r>
      <w:r w:rsidRPr="00E47E83">
        <w:rPr>
          <w:rFonts w:ascii="Times New Roman" w:hAnsi="Times New Roman"/>
          <w:lang w:val="hu-HU"/>
        </w:rPr>
        <w:t xml:space="preserve"> dipeptidil-peptidáz-4 (DPP-4) inhibitor. A metformin főként a májban zajló endogén glükóztermelés csökkentésével hat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FDE9E57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A6D3F85" w14:textId="77777777" w:rsidR="00EF31E8" w:rsidRPr="00CA29AC" w:rsidRDefault="00870F1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Farmakodinámiás hatások</w:t>
      </w:r>
    </w:p>
    <w:p w14:paraId="1C2A8D39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77892DF" w14:textId="77777777" w:rsidR="00EF31E8" w:rsidRPr="00E47E83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u w:val="single"/>
          <w:lang w:val="hu-HU"/>
        </w:rPr>
      </w:pPr>
      <w:r w:rsidRPr="00E47E83">
        <w:rPr>
          <w:rFonts w:ascii="Times New Roman" w:hAnsi="Times New Roman"/>
          <w:i/>
          <w:u w:val="single"/>
          <w:lang w:val="hu-HU"/>
        </w:rPr>
        <w:t>Vildagliptin</w:t>
      </w:r>
    </w:p>
    <w:p w14:paraId="57A737F6" w14:textId="127D6C61" w:rsidR="00EF31E8" w:rsidRPr="00CA29AC" w:rsidRDefault="007608A2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vildagliptin elsősorban a DPP-4 gátlásával hat, ami a GLP-1 (gl</w:t>
      </w:r>
      <w:r w:rsidR="00FD63EC">
        <w:rPr>
          <w:rFonts w:ascii="Times New Roman" w:hAnsi="Times New Roman"/>
          <w:lang w:val="hu-HU"/>
        </w:rPr>
        <w:t>ü</w:t>
      </w:r>
      <w:r w:rsidRPr="00E47E83">
        <w:rPr>
          <w:rFonts w:ascii="Times New Roman" w:hAnsi="Times New Roman"/>
          <w:lang w:val="hu-HU"/>
        </w:rPr>
        <w:t>kagonszerű fehérje) és GIP (glükóz-dependens inzulinotrop polipeptid) inkretin hormonok lebomlásáért felelős enzim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51AAA60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B070A7B" w14:textId="322A7F22" w:rsidR="008C38BE" w:rsidRPr="00CA29AC" w:rsidRDefault="00D60B1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vildagliptin alkalmazása a DPP-4 aktivitás gyors és teljes gátlását eredményezi, ami a GLP-1 és GIP inkretin hormonok éhomi és posztprandiális endogén szintjének növekedését okozza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829CFD9" w14:textId="77777777" w:rsidR="008C38BE" w:rsidRPr="00E47E83" w:rsidRDefault="008C38BE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7179665" w14:textId="0EA13CC9" w:rsidR="00EF31E8" w:rsidRPr="00CA29AC" w:rsidRDefault="008566C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Ezen inkretin hormonok endogén szintjeinek növelése révén a vildagliptin javítja a szigetsejtek glükózzal szembeni érzékenységét, ami jobb glükózdependens inzulinszekréciót eredményez. A napi 50-100</w:t>
      </w:r>
      <w:r w:rsidR="00977E44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 vildagliptinnel végzett kezelés a 2-es típusú cukorbetegeknél lényegesen javította a</w:t>
      </w:r>
      <w:r w:rsidRPr="00E47E83">
        <w:rPr>
          <w:rFonts w:ascii="Times New Roman" w:hAnsi="Times New Roman"/>
          <w:lang w:val="hu-HU"/>
        </w:rPr>
        <w:t xml:space="preserve"> béta-</w:t>
      </w:r>
      <w:r w:rsidRPr="00E47E83">
        <w:rPr>
          <w:rFonts w:ascii="Times New Roman" w:hAnsi="Times New Roman"/>
          <w:lang w:val="hu-HU"/>
        </w:rPr>
        <w:lastRenderedPageBreak/>
        <w:t>sejt működés markereit, köztük a HOMA-β-t (Homeostasis Model Assessment–β), a proinzulin</w:t>
      </w:r>
      <w:r w:rsidR="00BF4606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inzulin arányt, valamint a gyakori mintavétellel végzett étkezési toleranciateszttel mért béta-sejt válaszkészség mértékét. Nem diabéteszes (normogl</w:t>
      </w:r>
      <w:r w:rsidR="00FF6C09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k</w:t>
      </w:r>
      <w:r w:rsidR="00FF6C09" w:rsidRPr="00E47E83">
        <w:rPr>
          <w:rFonts w:ascii="Times New Roman" w:hAnsi="Times New Roman"/>
          <w:lang w:val="hu-HU"/>
        </w:rPr>
        <w:t>ae</w:t>
      </w:r>
      <w:r w:rsidRPr="00E47E83">
        <w:rPr>
          <w:rFonts w:ascii="Times New Roman" w:hAnsi="Times New Roman"/>
          <w:lang w:val="hu-HU"/>
        </w:rPr>
        <w:t>miás) egyénekn</w:t>
      </w:r>
      <w:r w:rsidR="00C77A1B">
        <w:rPr>
          <w:rFonts w:ascii="Times New Roman" w:hAnsi="Times New Roman"/>
          <w:lang w:val="hu-HU"/>
        </w:rPr>
        <w:t>él</w:t>
      </w:r>
      <w:r w:rsidRPr="00E47E83">
        <w:rPr>
          <w:rFonts w:ascii="Times New Roman" w:hAnsi="Times New Roman"/>
          <w:lang w:val="hu-HU"/>
        </w:rPr>
        <w:t xml:space="preserve"> a vildagliptin nem serkenti az inzulinszekréciót, és nem csökkenti a vércukorszinteket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EF15D03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C89F807" w14:textId="5AA59FC5" w:rsidR="00EF31E8" w:rsidRPr="00CA29AC" w:rsidRDefault="004B529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Az endogén GLP-1-szintek növelése révén a vildagliptin fokozza még az alfa</w:t>
      </w:r>
      <w:r w:rsidR="00BF4606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sejtek glükózérzékenységét, ami javítja glükózszintnek megfelelő mértékű gl</w:t>
      </w:r>
      <w:r w:rsidR="00BF4606">
        <w:rPr>
          <w:rFonts w:ascii="Times New Roman" w:hAnsi="Times New Roman"/>
          <w:lang w:val="hu-HU"/>
        </w:rPr>
        <w:t>ü</w:t>
      </w:r>
      <w:r w:rsidRPr="00E47E83">
        <w:rPr>
          <w:rFonts w:ascii="Times New Roman" w:hAnsi="Times New Roman"/>
          <w:lang w:val="hu-HU"/>
        </w:rPr>
        <w:t>kagonelválasztást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53FD30BC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3437071" w14:textId="4DFADF87" w:rsidR="00EF31E8" w:rsidRPr="00CA29AC" w:rsidRDefault="003F0FA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h</w:t>
      </w:r>
      <w:r w:rsidR="00D0282C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pergl</w:t>
      </w:r>
      <w:r w:rsidR="00D0282C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k</w:t>
      </w:r>
      <w:r w:rsidR="00D0282C" w:rsidRPr="00E47E83">
        <w:rPr>
          <w:rFonts w:ascii="Times New Roman" w:hAnsi="Times New Roman"/>
          <w:lang w:val="hu-HU"/>
        </w:rPr>
        <w:t>ae</w:t>
      </w:r>
      <w:r w:rsidRPr="00E47E83">
        <w:rPr>
          <w:rFonts w:ascii="Times New Roman" w:hAnsi="Times New Roman"/>
          <w:lang w:val="hu-HU"/>
        </w:rPr>
        <w:t>mia során fellépő inzulin/gl</w:t>
      </w:r>
      <w:r w:rsidR="00BF4606">
        <w:rPr>
          <w:rFonts w:ascii="Times New Roman" w:hAnsi="Times New Roman"/>
          <w:lang w:val="hu-HU"/>
        </w:rPr>
        <w:t>ü</w:t>
      </w:r>
      <w:r w:rsidRPr="00E47E83">
        <w:rPr>
          <w:rFonts w:ascii="Times New Roman" w:hAnsi="Times New Roman"/>
          <w:lang w:val="hu-HU"/>
        </w:rPr>
        <w:t>kagon arány növekedésének mértéke fokozódik az inkretin hormon magasabb szintjeinek hatására, melynek következtében csökken az éhomi és posztprandiális hepatikus glükóztermelés, ami csökkent vércukorszintet eredményez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D3D7837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A39B5A9" w14:textId="77777777" w:rsidR="00EF31E8" w:rsidRPr="00CA29AC" w:rsidRDefault="0003670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magasabb GLP-1-szint gyomorürülést késleltető, ismert hatását vildagliptin-kezelés kapcsán nem észlelték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2FB12E0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50FE63A" w14:textId="77777777" w:rsidR="00EF31E8" w:rsidRPr="00E47E83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u w:val="single"/>
          <w:lang w:val="hu-HU"/>
        </w:rPr>
      </w:pPr>
      <w:r w:rsidRPr="00E47E83">
        <w:rPr>
          <w:rFonts w:ascii="Times New Roman" w:hAnsi="Times New Roman"/>
          <w:i/>
          <w:u w:val="single"/>
          <w:lang w:val="hu-HU"/>
        </w:rPr>
        <w:t>Metformin</w:t>
      </w:r>
    </w:p>
    <w:p w14:paraId="0E002A85" w14:textId="77777777" w:rsidR="00EF31E8" w:rsidRPr="00CA29AC" w:rsidRDefault="00756D6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Metformin egy antih</w:t>
      </w:r>
      <w:r w:rsidR="00CA7916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pergl</w:t>
      </w:r>
      <w:r w:rsidR="00CA7916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k</w:t>
      </w:r>
      <w:r w:rsidR="00CA7916" w:rsidRPr="00E47E83">
        <w:rPr>
          <w:rFonts w:ascii="Times New Roman" w:hAnsi="Times New Roman"/>
          <w:lang w:val="hu-HU"/>
        </w:rPr>
        <w:t>ae</w:t>
      </w:r>
      <w:r w:rsidRPr="00E47E83">
        <w:rPr>
          <w:rFonts w:ascii="Times New Roman" w:hAnsi="Times New Roman"/>
          <w:lang w:val="hu-HU"/>
        </w:rPr>
        <w:t>miás hatású biguanid, ami a bazális és a posztprandiális plazma glükózszintet egyaránt csökkenti. Nem serkenti az inzulinszekréciót, ezért nem okoz h</w:t>
      </w:r>
      <w:r w:rsidR="009A614A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pogl</w:t>
      </w:r>
      <w:r w:rsidR="009A614A" w:rsidRPr="00E47E83">
        <w:rPr>
          <w:rFonts w:ascii="Times New Roman" w:hAnsi="Times New Roman"/>
          <w:lang w:val="hu-HU"/>
        </w:rPr>
        <w:t>y</w:t>
      </w:r>
      <w:r w:rsidRPr="00E47E83">
        <w:rPr>
          <w:rFonts w:ascii="Times New Roman" w:hAnsi="Times New Roman"/>
          <w:lang w:val="hu-HU"/>
        </w:rPr>
        <w:t>k</w:t>
      </w:r>
      <w:r w:rsidR="009A614A" w:rsidRPr="00E47E83">
        <w:rPr>
          <w:rFonts w:ascii="Times New Roman" w:hAnsi="Times New Roman"/>
          <w:lang w:val="hu-HU"/>
        </w:rPr>
        <w:t>ae</w:t>
      </w:r>
      <w:r w:rsidRPr="00E47E83">
        <w:rPr>
          <w:rFonts w:ascii="Times New Roman" w:hAnsi="Times New Roman"/>
          <w:lang w:val="hu-HU"/>
        </w:rPr>
        <w:t>miát, sem testtömeg-növekedést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76BF5ED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3C6551F" w14:textId="77777777" w:rsidR="00EF31E8" w:rsidRPr="00CA29AC" w:rsidRDefault="00131FB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metformin három mechanizmuson keresztül fejtheti ki glükózszintcsökkentő hatását</w:t>
      </w:r>
      <w:r w:rsidR="00EF31E8" w:rsidRPr="00E47E83">
        <w:rPr>
          <w:rFonts w:ascii="Times New Roman" w:hAnsi="Times New Roman"/>
          <w:lang w:val="hu-HU"/>
        </w:rPr>
        <w:t>:</w:t>
      </w:r>
    </w:p>
    <w:p w14:paraId="2ABC5FCD" w14:textId="77777777" w:rsidR="00EF31E8" w:rsidRPr="00E47E83" w:rsidRDefault="00EF31E8" w:rsidP="00E92AE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="007E5BDE" w:rsidRPr="00E47E83">
        <w:rPr>
          <w:rFonts w:ascii="Times New Roman" w:hAnsi="Times New Roman"/>
          <w:lang w:val="hu-HU"/>
        </w:rPr>
        <w:tab/>
      </w:r>
      <w:r w:rsidR="00E94BF3" w:rsidRPr="00E47E83">
        <w:rPr>
          <w:rFonts w:ascii="Times New Roman" w:hAnsi="Times New Roman"/>
          <w:lang w:val="hu-HU"/>
        </w:rPr>
        <w:t>a glükoneogenezis és a glikogenolízis gátlásán keresztül a májban zajló glükóztermelés csökkentésével</w:t>
      </w:r>
      <w:r w:rsidRPr="00E47E83">
        <w:rPr>
          <w:rFonts w:ascii="Times New Roman" w:hAnsi="Times New Roman"/>
          <w:lang w:val="hu-HU"/>
        </w:rPr>
        <w:t>;</w:t>
      </w:r>
    </w:p>
    <w:p w14:paraId="17B417A3" w14:textId="2C5E1AA8" w:rsidR="00EF31E8" w:rsidRPr="00CA29AC" w:rsidRDefault="007E5BDE" w:rsidP="00E92AE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ab/>
      </w:r>
      <w:r w:rsidR="008954E3" w:rsidRPr="00E47E83">
        <w:rPr>
          <w:rFonts w:ascii="Times New Roman" w:hAnsi="Times New Roman"/>
          <w:lang w:val="hu-HU"/>
        </w:rPr>
        <w:t>az izomban, az inzulin</w:t>
      </w:r>
      <w:r w:rsidR="00BF4606">
        <w:rPr>
          <w:rFonts w:ascii="Times New Roman" w:hAnsi="Times New Roman"/>
          <w:lang w:val="hu-HU"/>
        </w:rPr>
        <w:t>érzékenység</w:t>
      </w:r>
      <w:r w:rsidR="008954E3" w:rsidRPr="00E47E83">
        <w:rPr>
          <w:rFonts w:ascii="Times New Roman" w:hAnsi="Times New Roman"/>
          <w:lang w:val="hu-HU"/>
        </w:rPr>
        <w:t xml:space="preserve"> mérsékelt növelésével javítja a perifériás glükózfelvételt és -hasznosítást</w:t>
      </w:r>
      <w:r w:rsidR="00EF31E8" w:rsidRPr="00E47E83">
        <w:rPr>
          <w:rFonts w:ascii="Times New Roman" w:hAnsi="Times New Roman"/>
          <w:lang w:val="hu-HU"/>
        </w:rPr>
        <w:t>;</w:t>
      </w:r>
    </w:p>
    <w:p w14:paraId="72FB8BB9" w14:textId="77777777" w:rsidR="008C38BE" w:rsidRPr="00E47E83" w:rsidRDefault="007E5BDE" w:rsidP="00E92AE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ab/>
      </w:r>
      <w:r w:rsidR="005043FC" w:rsidRPr="00E47E83">
        <w:rPr>
          <w:rFonts w:ascii="Times New Roman" w:hAnsi="Times New Roman"/>
          <w:lang w:val="hu-HU"/>
        </w:rPr>
        <w:t>a belekben zajló glükózfelszívódás lassításával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72C2B4C" w14:textId="77777777" w:rsidR="00EF31E8" w:rsidRPr="00CA29AC" w:rsidRDefault="00754BC2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glikogén-szintetázra hatva a metformin serkenti az intracelluláris glikogénszintézist, és fokozza a membránban lévő specifikus glükóztranszporterek (GLUT-1 és GLUT-4) transzportkapacitását</w:t>
      </w:r>
      <w:r w:rsidR="00D524B3" w:rsidRPr="00E47E83">
        <w:rPr>
          <w:rFonts w:ascii="Times New Roman" w:hAnsi="Times New Roman"/>
          <w:lang w:val="hu-HU"/>
        </w:rPr>
        <w:t>.</w:t>
      </w:r>
    </w:p>
    <w:p w14:paraId="3485DC73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E66F974" w14:textId="313165FD" w:rsidR="00EF31E8" w:rsidRPr="00CA29AC" w:rsidRDefault="00BC66E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Emberekn</w:t>
      </w:r>
      <w:r w:rsidR="00BF4606">
        <w:rPr>
          <w:rFonts w:ascii="Times New Roman" w:hAnsi="Times New Roman"/>
          <w:lang w:val="hu-HU"/>
        </w:rPr>
        <w:t>él</w:t>
      </w:r>
      <w:r w:rsidRPr="00E47E83">
        <w:rPr>
          <w:rFonts w:ascii="Times New Roman" w:hAnsi="Times New Roman"/>
          <w:lang w:val="hu-HU"/>
        </w:rPr>
        <w:t>, a vércukorszintre kifejtett hatásától függetlenül, a metformin kedvező hatással van a lipidanyagcserére. Terápiás dózisokkal végzett kontrollos közép- vagy hosszú távú klinikai vizsgálatok során kimutatták: a metformin csökkenti az összkoleszterin, az LDL-koleszterin és a triglicerid szérumszinteket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F7C8A2B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7CD61DA" w14:textId="77777777" w:rsidR="00EF31E8" w:rsidRPr="00CA29AC" w:rsidRDefault="0001186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prospektív, randomizált UKPDS-vizsgálat (UK Prospective Diabetes Study) megállapította az intenzív vércukorszint-beállítás hosszú távú előnyeit 2-es típusú diabéteszben</w:t>
      </w:r>
      <w:r w:rsidR="00EF31E8" w:rsidRPr="00E47E83">
        <w:rPr>
          <w:rFonts w:ascii="Times New Roman" w:hAnsi="Times New Roman"/>
          <w:lang w:val="hu-HU"/>
        </w:rPr>
        <w:t xml:space="preserve">. </w:t>
      </w:r>
      <w:r w:rsidR="0062266A" w:rsidRPr="00E47E83">
        <w:rPr>
          <w:rFonts w:ascii="Times New Roman" w:hAnsi="Times New Roman"/>
          <w:lang w:val="hu-HU"/>
        </w:rPr>
        <w:t>Az önmagában alkalmazott diéta sikertelensége után metforminnal kezelt túlsúlyos betegek eredményeinek elemzése a következőket mutatta</w:t>
      </w:r>
      <w:r w:rsidR="00EF31E8" w:rsidRPr="00E47E83">
        <w:rPr>
          <w:rFonts w:ascii="Times New Roman" w:hAnsi="Times New Roman"/>
          <w:lang w:val="hu-HU"/>
        </w:rPr>
        <w:t>:</w:t>
      </w:r>
    </w:p>
    <w:p w14:paraId="338DE8C6" w14:textId="77F9DA83" w:rsidR="0085705F" w:rsidRPr="00E323F4" w:rsidRDefault="007E5BDE" w:rsidP="00CA29AC">
      <w:pPr>
        <w:autoSpaceDE w:val="0"/>
        <w:autoSpaceDN w:val="0"/>
        <w:adjustRightInd w:val="0"/>
        <w:spacing w:after="0" w:line="240" w:lineRule="auto"/>
        <w:ind w:left="567" w:hanging="567"/>
        <w:rPr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ab/>
      </w:r>
      <w:r w:rsidR="0083297A" w:rsidRPr="00E47E83">
        <w:rPr>
          <w:rFonts w:ascii="Times New Roman" w:hAnsi="Times New Roman"/>
          <w:lang w:val="hu-HU"/>
        </w:rPr>
        <w:t>a diabétesz okozta valamennyi szövődmény abszolút kockázatának szignifikáns csökkenését a metformin-csoportban (29,8</w:t>
      </w:r>
      <w:r w:rsidR="00977E44" w:rsidRPr="00E47E83">
        <w:rPr>
          <w:rFonts w:ascii="Times New Roman" w:hAnsi="Times New Roman"/>
          <w:lang w:val="hu-HU"/>
        </w:rPr>
        <w:t> </w:t>
      </w:r>
      <w:r w:rsidR="0083297A" w:rsidRPr="00E47E83">
        <w:rPr>
          <w:rFonts w:ascii="Times New Roman" w:hAnsi="Times New Roman"/>
          <w:lang w:val="hu-HU"/>
        </w:rPr>
        <w:t>esemény/1000</w:t>
      </w:r>
      <w:r w:rsidR="00977E44" w:rsidRPr="00E47E83">
        <w:rPr>
          <w:rFonts w:ascii="Times New Roman" w:hAnsi="Times New Roman"/>
          <w:lang w:val="hu-HU"/>
        </w:rPr>
        <w:t> </w:t>
      </w:r>
      <w:r w:rsidR="0083297A" w:rsidRPr="00E47E83">
        <w:rPr>
          <w:rFonts w:ascii="Times New Roman" w:hAnsi="Times New Roman"/>
          <w:lang w:val="hu-HU"/>
        </w:rPr>
        <w:t>betegév), a csak diétázó csoporttal szemben</w:t>
      </w:r>
      <w:r w:rsidR="00BF4606">
        <w:rPr>
          <w:rFonts w:ascii="Times New Roman" w:hAnsi="Times New Roman"/>
          <w:lang w:val="hu-HU"/>
        </w:rPr>
        <w:t xml:space="preserve"> </w:t>
      </w:r>
      <w:r w:rsidR="00E64551" w:rsidRPr="00CA29AC">
        <w:rPr>
          <w:rFonts w:ascii="Times New Roman" w:hAnsi="Times New Roman"/>
          <w:lang w:val="hu-HU"/>
        </w:rPr>
        <w:t>(43,3</w:t>
      </w:r>
      <w:r w:rsidR="00BF4606">
        <w:rPr>
          <w:rFonts w:ascii="Times New Roman" w:hAnsi="Times New Roman"/>
          <w:lang w:val="hu-HU"/>
        </w:rPr>
        <w:t> </w:t>
      </w:r>
      <w:r w:rsidR="00E64551" w:rsidRPr="00CA29AC">
        <w:rPr>
          <w:rFonts w:ascii="Times New Roman" w:hAnsi="Times New Roman"/>
          <w:lang w:val="hu-HU"/>
        </w:rPr>
        <w:t>esemény/1000 betegév), p=0,0023, és a kombinált szulfonilurea és inzulin monoterápiás csoportokkal szemben (40,1 esemény/1000 betegév), p=0,0034,</w:t>
      </w:r>
    </w:p>
    <w:p w14:paraId="54577F78" w14:textId="5AE13777" w:rsidR="00EF31E8" w:rsidRPr="00E47E83" w:rsidRDefault="00EF31E8" w:rsidP="00E92AE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="007E5BDE" w:rsidRPr="00E47E83">
        <w:rPr>
          <w:rFonts w:ascii="Times New Roman" w:hAnsi="Times New Roman"/>
          <w:lang w:val="hu-HU"/>
        </w:rPr>
        <w:tab/>
      </w:r>
      <w:r w:rsidR="00CB2597" w:rsidRPr="00E47E83">
        <w:rPr>
          <w:rFonts w:ascii="Times New Roman" w:hAnsi="Times New Roman"/>
          <w:lang w:val="hu-HU"/>
        </w:rPr>
        <w:t>a diabétesszel összefüggő mortalitás abszolút kockázatának szignifikáns csökkenését: metformin 7,5</w:t>
      </w:r>
      <w:r w:rsidR="00977E44" w:rsidRPr="00E47E83">
        <w:rPr>
          <w:rFonts w:ascii="Times New Roman" w:hAnsi="Times New Roman"/>
          <w:lang w:val="hu-HU"/>
        </w:rPr>
        <w:t> </w:t>
      </w:r>
      <w:r w:rsidR="00CB2597" w:rsidRPr="00E47E83">
        <w:rPr>
          <w:rFonts w:ascii="Times New Roman" w:hAnsi="Times New Roman"/>
          <w:lang w:val="hu-HU"/>
        </w:rPr>
        <w:t>esemény/1000</w:t>
      </w:r>
      <w:r w:rsidR="00977E44" w:rsidRPr="00E47E83">
        <w:rPr>
          <w:rFonts w:ascii="Times New Roman" w:hAnsi="Times New Roman"/>
          <w:lang w:val="hu-HU"/>
        </w:rPr>
        <w:t> </w:t>
      </w:r>
      <w:r w:rsidR="00CB2597" w:rsidRPr="00E47E83">
        <w:rPr>
          <w:rFonts w:ascii="Times New Roman" w:hAnsi="Times New Roman"/>
          <w:lang w:val="hu-HU"/>
        </w:rPr>
        <w:t>betegév, csak diéta 12,7</w:t>
      </w:r>
      <w:r w:rsidR="00977E44" w:rsidRPr="00E47E83">
        <w:rPr>
          <w:rFonts w:ascii="Times New Roman" w:hAnsi="Times New Roman"/>
          <w:lang w:val="hu-HU"/>
        </w:rPr>
        <w:t> </w:t>
      </w:r>
      <w:r w:rsidR="00CB2597" w:rsidRPr="00E47E83">
        <w:rPr>
          <w:rFonts w:ascii="Times New Roman" w:hAnsi="Times New Roman"/>
          <w:lang w:val="hu-HU"/>
        </w:rPr>
        <w:t>esemény/1000</w:t>
      </w:r>
      <w:r w:rsidR="00977E44" w:rsidRPr="00E47E83">
        <w:rPr>
          <w:rFonts w:ascii="Times New Roman" w:hAnsi="Times New Roman"/>
          <w:lang w:val="hu-HU"/>
        </w:rPr>
        <w:t> </w:t>
      </w:r>
      <w:r w:rsidR="00CB2597" w:rsidRPr="00E47E83">
        <w:rPr>
          <w:rFonts w:ascii="Times New Roman" w:hAnsi="Times New Roman"/>
          <w:lang w:val="hu-HU"/>
        </w:rPr>
        <w:t>betegév, p=0,017</w:t>
      </w:r>
      <w:r w:rsidRPr="00E47E83">
        <w:rPr>
          <w:rFonts w:ascii="Times New Roman" w:hAnsi="Times New Roman"/>
          <w:lang w:val="hu-HU"/>
        </w:rPr>
        <w:t>;</w:t>
      </w:r>
    </w:p>
    <w:p w14:paraId="3BC1FFA0" w14:textId="4B1BEC07" w:rsidR="00EF31E8" w:rsidRPr="00CA29AC" w:rsidRDefault="007E5BDE" w:rsidP="00E92AE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ab/>
      </w:r>
      <w:r w:rsidR="004D53E7" w:rsidRPr="00E47E83">
        <w:rPr>
          <w:rFonts w:ascii="Times New Roman" w:hAnsi="Times New Roman"/>
          <w:lang w:val="hu-HU"/>
        </w:rPr>
        <w:t>az összmortalitás abszolút kockázatának szignifikáns csökkenését: metformin</w:t>
      </w:r>
      <w:r w:rsidR="004D53E7" w:rsidRPr="00E47E83">
        <w:rPr>
          <w:rFonts w:ascii="Times New Roman" w:eastAsia="Times New Roman" w:hAnsi="Times New Roman"/>
          <w:lang w:val="hu-HU" w:bidi="en-US"/>
        </w:rPr>
        <w:t xml:space="preserve"> 13,5</w:t>
      </w:r>
      <w:r w:rsidR="00977E44" w:rsidRPr="00E47E83">
        <w:rPr>
          <w:rFonts w:ascii="Times New Roman" w:eastAsia="Times New Roman" w:hAnsi="Times New Roman"/>
          <w:lang w:val="hu-HU" w:bidi="en-US"/>
        </w:rPr>
        <w:t> </w:t>
      </w:r>
      <w:r w:rsidR="004D53E7" w:rsidRPr="00E47E83">
        <w:rPr>
          <w:rFonts w:ascii="Times New Roman" w:eastAsia="Times New Roman" w:hAnsi="Times New Roman"/>
          <w:lang w:val="hu-HU" w:bidi="en-US"/>
        </w:rPr>
        <w:t>esemény/1000</w:t>
      </w:r>
      <w:r w:rsidR="00977E44" w:rsidRPr="00E47E83">
        <w:rPr>
          <w:rFonts w:ascii="Times New Roman" w:eastAsia="Times New Roman" w:hAnsi="Times New Roman"/>
          <w:lang w:val="hu-HU" w:bidi="en-US"/>
        </w:rPr>
        <w:t> </w:t>
      </w:r>
      <w:r w:rsidR="004D53E7" w:rsidRPr="00E47E83">
        <w:rPr>
          <w:rFonts w:ascii="Times New Roman" w:eastAsia="Times New Roman" w:hAnsi="Times New Roman"/>
          <w:lang w:val="hu-HU" w:bidi="en-US"/>
        </w:rPr>
        <w:t>betegév, a csak diétával szemben, 20,6</w:t>
      </w:r>
      <w:r w:rsidR="00977E44" w:rsidRPr="00E47E83">
        <w:rPr>
          <w:rFonts w:ascii="Times New Roman" w:eastAsia="Times New Roman" w:hAnsi="Times New Roman"/>
          <w:lang w:val="hu-HU" w:bidi="en-US"/>
        </w:rPr>
        <w:t> </w:t>
      </w:r>
      <w:r w:rsidR="004D53E7" w:rsidRPr="00E47E83">
        <w:rPr>
          <w:rFonts w:ascii="Times New Roman" w:eastAsia="Times New Roman" w:hAnsi="Times New Roman"/>
          <w:lang w:val="hu-HU" w:bidi="en-US"/>
        </w:rPr>
        <w:t>esemény/1000</w:t>
      </w:r>
      <w:r w:rsidR="00977E44" w:rsidRPr="00E47E83">
        <w:rPr>
          <w:rFonts w:ascii="Times New Roman" w:eastAsia="Times New Roman" w:hAnsi="Times New Roman"/>
          <w:lang w:val="hu-HU" w:bidi="en-US"/>
        </w:rPr>
        <w:t> </w:t>
      </w:r>
      <w:r w:rsidR="004D53E7" w:rsidRPr="00E47E83">
        <w:rPr>
          <w:rFonts w:ascii="Times New Roman" w:eastAsia="Times New Roman" w:hAnsi="Times New Roman"/>
          <w:lang w:val="hu-HU" w:bidi="en-US"/>
        </w:rPr>
        <w:t>betegév</w:t>
      </w:r>
      <w:r w:rsidR="00EF313A" w:rsidRPr="00E47E83">
        <w:rPr>
          <w:rFonts w:ascii="Times New Roman" w:eastAsia="Times New Roman" w:hAnsi="Times New Roman"/>
          <w:lang w:val="hu-HU" w:bidi="en-US"/>
        </w:rPr>
        <w:t>,</w:t>
      </w:r>
      <w:r w:rsidR="004D53E7" w:rsidRPr="00E47E83">
        <w:rPr>
          <w:rFonts w:ascii="Times New Roman" w:eastAsia="Times New Roman" w:hAnsi="Times New Roman"/>
          <w:lang w:val="hu-HU" w:bidi="en-US"/>
        </w:rPr>
        <w:t xml:space="preserve"> (p=0,011), és a kombinált szulfonilurea és inzulin monoterápiás csoportokkal szemben,</w:t>
      </w:r>
      <w:r w:rsidR="004D53E7" w:rsidRPr="00E47E83">
        <w:rPr>
          <w:rFonts w:ascii="Times New Roman" w:hAnsi="Times New Roman"/>
          <w:lang w:val="hu-HU"/>
        </w:rPr>
        <w:t xml:space="preserve"> 18,9</w:t>
      </w:r>
      <w:r w:rsidR="00EF313A" w:rsidRPr="00E47E83">
        <w:rPr>
          <w:rFonts w:ascii="Times New Roman" w:hAnsi="Times New Roman"/>
          <w:lang w:val="hu-HU"/>
        </w:rPr>
        <w:t> </w:t>
      </w:r>
      <w:r w:rsidR="004D53E7" w:rsidRPr="00E47E83">
        <w:rPr>
          <w:rFonts w:ascii="Times New Roman" w:hAnsi="Times New Roman"/>
          <w:lang w:val="hu-HU"/>
        </w:rPr>
        <w:t>esemény/1000</w:t>
      </w:r>
      <w:r w:rsidR="00EF313A" w:rsidRPr="00E47E83">
        <w:rPr>
          <w:rFonts w:ascii="Times New Roman" w:hAnsi="Times New Roman"/>
          <w:lang w:val="hu-HU"/>
        </w:rPr>
        <w:t> </w:t>
      </w:r>
      <w:r w:rsidR="004D53E7" w:rsidRPr="00E47E83">
        <w:rPr>
          <w:rFonts w:ascii="Times New Roman" w:hAnsi="Times New Roman"/>
          <w:lang w:val="hu-HU"/>
        </w:rPr>
        <w:t>betegév (p=0,021)</w:t>
      </w:r>
      <w:r w:rsidR="00EF31E8" w:rsidRPr="00E47E83">
        <w:rPr>
          <w:rFonts w:ascii="Times New Roman" w:hAnsi="Times New Roman"/>
          <w:lang w:val="hu-HU"/>
        </w:rPr>
        <w:t>;</w:t>
      </w:r>
    </w:p>
    <w:p w14:paraId="1C787F95" w14:textId="3C718E43" w:rsidR="00EF31E8" w:rsidRPr="00E47E83" w:rsidRDefault="00EF31E8" w:rsidP="00E92AEE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-</w:t>
      </w:r>
      <w:r w:rsidR="007E5BDE" w:rsidRPr="00E47E83">
        <w:rPr>
          <w:rFonts w:ascii="Times New Roman" w:hAnsi="Times New Roman"/>
          <w:lang w:val="hu-HU"/>
        </w:rPr>
        <w:tab/>
      </w:r>
      <w:r w:rsidR="00D62043" w:rsidRPr="00E47E83">
        <w:rPr>
          <w:rFonts w:ascii="Times New Roman" w:hAnsi="Times New Roman"/>
          <w:lang w:val="hu-HU"/>
        </w:rPr>
        <w:t>a szívinfarktus abszolút kockázatának szignifikáns csökkenését: metformin 11</w:t>
      </w:r>
      <w:r w:rsidR="00737EB2" w:rsidRPr="00E47E83">
        <w:rPr>
          <w:rFonts w:ascii="Times New Roman" w:hAnsi="Times New Roman"/>
          <w:lang w:val="hu-HU"/>
        </w:rPr>
        <w:t> </w:t>
      </w:r>
      <w:r w:rsidR="00D62043" w:rsidRPr="00E47E83">
        <w:rPr>
          <w:rFonts w:ascii="Times New Roman" w:hAnsi="Times New Roman"/>
          <w:lang w:val="hu-HU"/>
        </w:rPr>
        <w:t>esemény/1000</w:t>
      </w:r>
      <w:r w:rsidR="00737EB2" w:rsidRPr="00E47E83">
        <w:rPr>
          <w:rFonts w:ascii="Times New Roman" w:hAnsi="Times New Roman"/>
          <w:lang w:val="hu-HU"/>
        </w:rPr>
        <w:t> </w:t>
      </w:r>
      <w:r w:rsidR="00D62043" w:rsidRPr="00E47E83">
        <w:rPr>
          <w:rFonts w:ascii="Times New Roman" w:hAnsi="Times New Roman"/>
          <w:lang w:val="hu-HU"/>
        </w:rPr>
        <w:t>betegév, csak diéta 18</w:t>
      </w:r>
      <w:r w:rsidR="00737EB2" w:rsidRPr="00E47E83">
        <w:rPr>
          <w:rFonts w:ascii="Times New Roman" w:hAnsi="Times New Roman"/>
          <w:lang w:val="hu-HU"/>
        </w:rPr>
        <w:t> </w:t>
      </w:r>
      <w:r w:rsidR="00D62043" w:rsidRPr="00E47E83">
        <w:rPr>
          <w:rFonts w:ascii="Times New Roman" w:hAnsi="Times New Roman"/>
          <w:lang w:val="hu-HU"/>
        </w:rPr>
        <w:t>esemény/1000</w:t>
      </w:r>
      <w:r w:rsidR="00737EB2" w:rsidRPr="00E47E83">
        <w:rPr>
          <w:rFonts w:ascii="Times New Roman" w:hAnsi="Times New Roman"/>
          <w:lang w:val="hu-HU"/>
        </w:rPr>
        <w:t> </w:t>
      </w:r>
      <w:r w:rsidR="00D62043" w:rsidRPr="00E47E83">
        <w:rPr>
          <w:rFonts w:ascii="Times New Roman" w:hAnsi="Times New Roman"/>
          <w:lang w:val="hu-HU"/>
        </w:rPr>
        <w:t>betegév (p=0,01</w:t>
      </w:r>
      <w:r w:rsidRPr="00E47E83">
        <w:rPr>
          <w:rFonts w:ascii="Times New Roman" w:hAnsi="Times New Roman"/>
          <w:lang w:val="hu-HU"/>
        </w:rPr>
        <w:t>).</w:t>
      </w:r>
    </w:p>
    <w:p w14:paraId="55C34487" w14:textId="77777777" w:rsidR="008C38BE" w:rsidRPr="00E47E83" w:rsidRDefault="008C38BE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F28E13C" w14:textId="77777777" w:rsidR="00EF31E8" w:rsidRPr="00CA29AC" w:rsidRDefault="0005416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Klinikai hatásosság és biztonságosság</w:t>
      </w:r>
    </w:p>
    <w:p w14:paraId="1E558DBF" w14:textId="77777777" w:rsidR="00BD37B7" w:rsidRPr="00CA29AC" w:rsidRDefault="00BD37B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32B8EC9" w14:textId="3ED4C308" w:rsidR="00EF31E8" w:rsidRPr="00CA29AC" w:rsidRDefault="001D7BFB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Ha a vildagliptint olyan betegeknek adták, akiknek a vércukorszint beállítása a metformin</w:t>
      </w:r>
      <w:r w:rsidR="00CF50E2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monoterápia ellenére nem volt kielégítő, akkor az 6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hónapos kezelés után a pl</w:t>
      </w:r>
      <w:r w:rsidR="00AD5FE2" w:rsidRPr="00E47E83">
        <w:rPr>
          <w:rFonts w:ascii="Times New Roman" w:hAnsi="Times New Roman"/>
          <w:lang w:val="hu-HU"/>
        </w:rPr>
        <w:t>a</w:t>
      </w:r>
      <w:r w:rsidRPr="00E47E83">
        <w:rPr>
          <w:rFonts w:ascii="Times New Roman" w:hAnsi="Times New Roman"/>
          <w:lang w:val="hu-HU"/>
        </w:rPr>
        <w:t>cebóhoz viszonyítva további, statisztikailag szignifikáns átlagos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-csökkenést eredményezett (a csoportok közti különbség 50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vildagliptin esetén -0,7% és 100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 vildagliptin esetén -1,1% közé esik). A </w:t>
      </w:r>
      <w:r w:rsidRPr="00E47E83">
        <w:rPr>
          <w:rFonts w:ascii="Times New Roman" w:hAnsi="Times New Roman"/>
          <w:lang w:val="hu-HU"/>
        </w:rPr>
        <w:lastRenderedPageBreak/>
        <w:t>kiindulási szinthez képest ≥</w:t>
      </w:r>
      <w:r w:rsidR="00D2649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0,7%-os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-csökkenést elérő betegek aránya statisztikailag szignifikánsan magasabb volt mindkét vildagliptin + metformin</w:t>
      </w:r>
      <w:r w:rsidR="00CF50E2">
        <w:rPr>
          <w:rFonts w:ascii="Times New Roman" w:hAnsi="Times New Roman"/>
          <w:lang w:val="hu-HU"/>
        </w:rPr>
        <w:t>-</w:t>
      </w:r>
      <w:r w:rsidRPr="00E47E83">
        <w:rPr>
          <w:rFonts w:ascii="Times New Roman" w:hAnsi="Times New Roman"/>
          <w:lang w:val="hu-HU"/>
        </w:rPr>
        <w:t>csoportban (sorrendben 46% és 60%), mint a metformin</w:t>
      </w:r>
      <w:r w:rsidR="00D2649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+</w:t>
      </w:r>
      <w:r w:rsidR="00D2649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placebocsoportban (20%).</w:t>
      </w:r>
    </w:p>
    <w:p w14:paraId="491189EA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0E4A821" w14:textId="1C8A454F" w:rsidR="00EF31E8" w:rsidRPr="00CA29AC" w:rsidRDefault="00CA673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Egy 24</w:t>
      </w:r>
      <w:r w:rsidR="00A010FD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hetes vizsgálatban a vildagliptint (naponta kétszer 50</w:t>
      </w:r>
      <w:r w:rsidR="009F4A2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mg) a pioglitazonnal (napi egyszer</w:t>
      </w:r>
      <w:r w:rsidRPr="00E47E83">
        <w:rPr>
          <w:rFonts w:ascii="Times New Roman" w:hAnsi="Times New Roman"/>
          <w:lang w:val="hu-HU"/>
        </w:rPr>
        <w:t xml:space="preserve"> 30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mg) hasonlították össze, metforminnal (átlagos napi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: 2020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mg) nem megfelelően </w:t>
      </w:r>
      <w:r w:rsidR="00251992" w:rsidRPr="00E47E83">
        <w:rPr>
          <w:rFonts w:ascii="Times New Roman" w:hAnsi="Times New Roman"/>
          <w:lang w:val="hu-HU"/>
        </w:rPr>
        <w:t xml:space="preserve">kontrollált </w:t>
      </w:r>
      <w:r w:rsidRPr="00E47E83">
        <w:rPr>
          <w:rFonts w:ascii="Times New Roman" w:hAnsi="Times New Roman"/>
          <w:lang w:val="hu-HU"/>
        </w:rPr>
        <w:t>betegek esetén. A 8,4%-os kiindulási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-szint átlagos csökkenése -0,9% volt, ha a metformin mellé vildagliptint, és -1,0% volt, ha a metformin mellé pioglitazont adtak. Azoknál a betegeknél, akik metformin mellé pioglitazont kaptak, +1,9</w:t>
      </w:r>
      <w:r w:rsidR="009F4A23" w:rsidRPr="00E47E83">
        <w:rPr>
          <w:rFonts w:ascii="Times New Roman" w:hAnsi="Times New Roman"/>
          <w:lang w:val="hu-HU"/>
        </w:rPr>
        <w:t> </w:t>
      </w:r>
      <w:r w:rsidR="00A010FD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kg-os átlagos testtömeg-növekedést figyeltek meg, míg a metformin mellé vildagliptint kapóknál +0,3</w:t>
      </w:r>
      <w:r w:rsidR="009F4A23" w:rsidRPr="00E47E83">
        <w:rPr>
          <w:rFonts w:ascii="Times New Roman" w:hAnsi="Times New Roman"/>
          <w:lang w:val="hu-HU"/>
        </w:rPr>
        <w:t> </w:t>
      </w:r>
      <w:r w:rsidR="00A010FD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kg-os volt a testtömeg-növekedés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F12D6D4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0C83884" w14:textId="034ADF1B" w:rsidR="00EF31E8" w:rsidRPr="00CA29AC" w:rsidRDefault="00710AC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Egy 2</w:t>
      </w:r>
      <w:r w:rsidR="009F4A2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évig tartó klinikai vizsgálatban a vildagliptint (naponta kétszer 50</w:t>
      </w:r>
      <w:r w:rsidR="009F4A2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mg) glimepiriddel (legfeljebb naponta 6</w:t>
      </w:r>
      <w:r w:rsidR="009F4A2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mg- átlagos dózis a két év alatt: 4,6</w:t>
      </w:r>
      <w:r w:rsidR="009F4A2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 xml:space="preserve">mg) hasonlították össze, metforminnal (átlagos napi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>: 1894</w:t>
      </w:r>
      <w:r w:rsidR="009F4A2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mg) kezelt betegeknél. A 7,3%-os átlagos kiindulási HbA</w:t>
      </w:r>
      <w:r w:rsidRPr="00E47E83">
        <w:rPr>
          <w:rFonts w:ascii="Times New Roman" w:eastAsia="Times New Roman" w:hAnsi="Times New Roman"/>
          <w:vertAlign w:val="subscript"/>
          <w:lang w:val="hu-HU" w:bidi="en-US"/>
        </w:rPr>
        <w:t>1c</w:t>
      </w:r>
      <w:r w:rsidRPr="00E47E83">
        <w:rPr>
          <w:rFonts w:ascii="Times New Roman" w:eastAsia="Times New Roman" w:hAnsi="Times New Roman"/>
          <w:lang w:val="hu-HU" w:bidi="en-US"/>
        </w:rPr>
        <w:t>-szintről 1</w:t>
      </w:r>
      <w:r w:rsidR="0081087B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év után a HbA</w:t>
      </w:r>
      <w:r w:rsidRPr="00E47E83">
        <w:rPr>
          <w:rFonts w:ascii="Times New Roman" w:eastAsia="Times New Roman" w:hAnsi="Times New Roman"/>
          <w:vertAlign w:val="subscript"/>
          <w:lang w:val="hu-HU" w:bidi="en-US"/>
        </w:rPr>
        <w:t>1c</w:t>
      </w:r>
      <w:r w:rsidRPr="00E47E83">
        <w:rPr>
          <w:rFonts w:ascii="Times New Roman" w:eastAsia="Times New Roman" w:hAnsi="Times New Roman"/>
          <w:lang w:val="hu-HU" w:bidi="en-US"/>
        </w:rPr>
        <w:t xml:space="preserve"> átlagos csökkenése -0,4% volt a metformin mellé adott vildagliptin és -0,5% volt a metformin mellé adott glimepirid esetén. A testtömegváltozás a vildagliptin mellett -0,2</w:t>
      </w:r>
      <w:r w:rsidR="009F4A23" w:rsidRPr="00E47E83">
        <w:rPr>
          <w:rFonts w:ascii="Times New Roman" w:eastAsia="Times New Roman" w:hAnsi="Times New Roman"/>
          <w:lang w:val="hu-HU" w:bidi="en-US"/>
        </w:rPr>
        <w:t> </w:t>
      </w:r>
      <w:r w:rsidR="0081087B" w:rsidRPr="00E47E83">
        <w:rPr>
          <w:rFonts w:ascii="Times New Roman" w:eastAsia="Times New Roman" w:hAnsi="Times New Roman"/>
          <w:lang w:val="hu-HU" w:bidi="en-US"/>
        </w:rPr>
        <w:t>tt</w:t>
      </w:r>
      <w:r w:rsidRPr="00E47E83">
        <w:rPr>
          <w:rFonts w:ascii="Times New Roman" w:eastAsia="Times New Roman" w:hAnsi="Times New Roman"/>
          <w:lang w:val="hu-HU" w:bidi="en-US"/>
        </w:rPr>
        <w:t>kg, míg a glimepirid mellett</w:t>
      </w:r>
      <w:r w:rsidRPr="00E47E83">
        <w:rPr>
          <w:rFonts w:ascii="Times New Roman" w:hAnsi="Times New Roman"/>
          <w:lang w:val="hu-HU"/>
        </w:rPr>
        <w:t xml:space="preserve"> +1,6</w:t>
      </w:r>
      <w:r w:rsidR="009F4A23" w:rsidRPr="00E47E83">
        <w:rPr>
          <w:rFonts w:ascii="Times New Roman" w:hAnsi="Times New Roman"/>
          <w:lang w:val="hu-HU"/>
        </w:rPr>
        <w:t> </w:t>
      </w:r>
      <w:r w:rsidR="0081087B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 volt. A hypoglykaemia előfordulási gyakorisága szignifikánsan alacsonyabb volt a vildagliptin-</w:t>
      </w:r>
      <w:r w:rsidR="00251992" w:rsidRPr="00E47E83">
        <w:rPr>
          <w:rFonts w:ascii="Times New Roman" w:hAnsi="Times New Roman"/>
          <w:lang w:val="hu-HU"/>
        </w:rPr>
        <w:t>csoportban</w:t>
      </w:r>
      <w:r w:rsidRPr="00E47E83">
        <w:rPr>
          <w:rFonts w:ascii="Times New Roman" w:hAnsi="Times New Roman"/>
          <w:lang w:val="hu-HU"/>
        </w:rPr>
        <w:t xml:space="preserve"> (1,7%), mint a glimepirid-csoportban (16,2%). A vizsgálati végpontnál (2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év) a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 xml:space="preserve"> mindkét terápiás csoportban a kiindulási értékhez volt hasonló, és a testtömegváltozás és a hypoglykaemia közti különbségek is fennmaradtak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0C2CEDF5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2B186DA" w14:textId="4E361B60" w:rsidR="00EF31E8" w:rsidRPr="00CA29AC" w:rsidRDefault="00AE03F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Egy 52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hetes vizsgálatban a (naponta kétszer 50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mg) vildagliptint gliklaziddal (átlagos napi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: 229,5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mg) hasonlították össze a metforminnal (a metformin kiindulási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a 1928</w:t>
      </w:r>
      <w:r w:rsidR="009F4A2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mg/nap) nem megfelelően kontrollált betegeknél. Egy év után a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 xml:space="preserve"> átlagos csökkenése -0,81% volt a metforminhoz adott vildagliptin (a kiindulási átlagos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 xml:space="preserve"> 8,4%) és -0,85% volt a metforminhoz adott gliklazid esetén (az átlagos kiindulási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 xml:space="preserve"> 8,5%). A statisztikai „non-inferioritás” („nem rosszabb, mint”) igazolódott (95%</w:t>
      </w:r>
      <w:r w:rsidR="00352E19" w:rsidRPr="00E47E83">
        <w:rPr>
          <w:rFonts w:ascii="Times New Roman" w:hAnsi="Times New Roman"/>
          <w:lang w:val="hu-HU"/>
        </w:rPr>
        <w:t>-os</w:t>
      </w:r>
      <w:r w:rsidRPr="00E47E83">
        <w:rPr>
          <w:rFonts w:ascii="Times New Roman" w:hAnsi="Times New Roman"/>
          <w:lang w:val="hu-HU"/>
        </w:rPr>
        <w:t xml:space="preserve"> CI -0,11 – 0,20). A vildagliptin mellett a testtömegváltozás +0,1</w:t>
      </w:r>
      <w:r w:rsidR="00751BF7" w:rsidRPr="00E47E83">
        <w:rPr>
          <w:rFonts w:ascii="Times New Roman" w:hAnsi="Times New Roman"/>
          <w:lang w:val="hu-HU"/>
        </w:rPr>
        <w:t> </w:t>
      </w:r>
      <w:r w:rsidR="00352E19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kg, míg a gliklazid melletti testtömeg-növekedés +1,4</w:t>
      </w:r>
      <w:r w:rsidR="00751BF7" w:rsidRPr="00E47E83">
        <w:rPr>
          <w:rFonts w:ascii="Times New Roman" w:hAnsi="Times New Roman"/>
          <w:lang w:val="hu-HU"/>
        </w:rPr>
        <w:t> </w:t>
      </w:r>
      <w:r w:rsidR="00352E19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 volt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5F8F3189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36C3488" w14:textId="10CA0E40" w:rsidR="00EF31E8" w:rsidRPr="00CA29AC" w:rsidRDefault="00577D0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Egy 24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hetes vizsgálatban a fix dózisú vildagliptin és metformin kombináció (melynek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át fokozatosan emelték naponta kétszer 50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mg/500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mg-ra vagy naponta kétszer 50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mg/1000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mg-ra), mint kezdeti kezelés hatásosságát értékelték a gyógyszert korábban még nem kapó betegeknél. A 8,6%-os átlagos kiindulási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-szintet a naponta kétszer 50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mg/1000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ban alkalmazott vildagliptin/metformin -1,82%-kal, a naponta kétszer 50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mg/500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ban adott vildagliptin/metformin -1,61%-kal, a naponta kétszer 1000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metformin -1,36%-kal és a naponta kétszer 50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vildagliptin -1,09%-kal csökkentette. Azoknál a betegeknél, akiknél a kiindulási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-szint ≥</w:t>
      </w:r>
      <w:r w:rsidR="00894B61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10,0% volt, nagyobb csökkenést észleltek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927FE21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E4CFEB8" w14:textId="6A29EEA0" w:rsidR="00EF31E8" w:rsidRPr="00CA29AC" w:rsidRDefault="00001B2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Egy 24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hetes randomizált, kettős</w:t>
      </w:r>
      <w:r w:rsidR="00352E19" w:rsidRPr="00E47E83">
        <w:rPr>
          <w:rFonts w:ascii="Times New Roman" w:eastAsia="Times New Roman" w:hAnsi="Times New Roman"/>
          <w:lang w:val="hu-HU" w:bidi="en-US"/>
        </w:rPr>
        <w:t xml:space="preserve"> </w:t>
      </w:r>
      <w:r w:rsidRPr="00E47E83">
        <w:rPr>
          <w:rFonts w:ascii="Times New Roman" w:eastAsia="Times New Roman" w:hAnsi="Times New Roman"/>
          <w:lang w:val="hu-HU" w:bidi="en-US"/>
        </w:rPr>
        <w:t>vak, placebokontrollos vizsgálatot végeztek 318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beteggel, hogy értékeljék a metforminnal (naponta ≥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1500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mg) és glimepiriddel (naponta ≥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4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mg) kombinációban adott vildagliptin (naponta kétszer 50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mg) hatásosságát és biztonságosságát. A metforminnal és glimepiriddel kombinációban adott vildagliptin a placebóhoz képest jelentősen csökkentette a</w:t>
      </w:r>
      <w:r w:rsidRPr="00E47E83">
        <w:rPr>
          <w:rFonts w:ascii="Times New Roman" w:hAnsi="Times New Roman"/>
          <w:lang w:val="hu-HU"/>
        </w:rPr>
        <w:t xml:space="preserve">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-szintet. Az átlagos 8,8%-os kiindulási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-szintről történt, placebóra korrigált átlagos csökkenés -0,76% volt.</w:t>
      </w:r>
    </w:p>
    <w:p w14:paraId="7AD4C4AA" w14:textId="77777777" w:rsidR="002925CF" w:rsidRPr="00E47E83" w:rsidRDefault="002925CF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F899635" w14:textId="2738BB9F" w:rsidR="002925CF" w:rsidRPr="00CA29AC" w:rsidRDefault="002925C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VERIFY egy öt éves, multicentrikus, randomizált, kettős vak vizsgálat, melyet 2-es típusú cukorbetegek részvételével végeztek. A vizsgálat során a vildagliptin és metformin alkotta korai kombinációs terápia (</w:t>
      </w:r>
      <w:r w:rsidR="00C729DD">
        <w:rPr>
          <w:rFonts w:ascii="Times New Roman" w:hAnsi="Times New Roman"/>
          <w:lang w:val="hu-HU"/>
        </w:rPr>
        <w:t>n</w:t>
      </w:r>
      <w:r w:rsidRPr="00E47E83">
        <w:rPr>
          <w:rFonts w:ascii="Times New Roman" w:hAnsi="Times New Roman"/>
          <w:lang w:val="hu-HU"/>
        </w:rPr>
        <w:t xml:space="preserve">=998) hatását tanulmányozták, a standard ellátást jelentő, metformin-monoterápiával induló, majd vildagliptinnel kombinált (lépcsőzetes felépítésű terápiás csoport, </w:t>
      </w:r>
      <w:r w:rsidR="00C729DD">
        <w:rPr>
          <w:rFonts w:ascii="Times New Roman" w:hAnsi="Times New Roman"/>
          <w:lang w:val="hu-HU"/>
        </w:rPr>
        <w:t>n</w:t>
      </w:r>
      <w:r w:rsidRPr="00E47E83">
        <w:rPr>
          <w:rFonts w:ascii="Times New Roman" w:hAnsi="Times New Roman"/>
          <w:lang w:val="hu-HU"/>
        </w:rPr>
        <w:t>=1003) kezelés hatásával szemben, újonnan diagnosztizált 2-es típusú cukorbetegeknél. A vizsgálat 5 éves időtartama alatt igazolódott, hogy a napi kétszer 50 mg vildagliptin és metformin alkotta kombinációs kezelési protokoll statisztikailag és klinikailag szignifikánsan csökkentette az „igazolt kezdeti terápiás kudarcig eltelt idővel” (HbA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-érték ≥7%) kapcsolatos relatív kockázatot a metformin-monoterápiához képest, a kezelést korábban még nem kapó 2-es típusú cukorbetegek körében (HR [95%-os CI]: 0,51 [0,45, 0,58]; p&lt;0,001). A kezdeti terápiás kudarc (HbA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-érték ≥7%) incidenciája 43,6% (429 beteg) volt a kombinációs, illetve 62,1% (614 beteg) a lépcsőzetes felépítésű terápiás csoportban.</w:t>
      </w:r>
    </w:p>
    <w:p w14:paraId="6C54512F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9BB616C" w14:textId="3CCF4E9C" w:rsidR="008C38BE" w:rsidRPr="00CA29AC" w:rsidRDefault="000602F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Egy 24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hetes randomizált, kettős</w:t>
      </w:r>
      <w:r w:rsidR="00352E19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>vak, placebokontrollos vizsgálatot végeztek 449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beteggel, hogy értékeljék a metforminnal együtt (n=276) vagy metformin nélkül adott (n=173) stabil dózisú bazális vagy premix inzulinnal (átlagos napi dózis 41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egység) kombinációban alkalmazott vildagliptin (naponta kétszer 50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mg) hatásosságát és biztonságosságát. Az inzulinnal kombinációban adott vildagliptin a placebóhoz képest jelentősen csökkentette a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-szintet. A teljes populációban az átlagos 8,8%-os kiindulási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-szintről történt, placebóra korrigált átlagos csökkenés -0,72% volt. Az egyidejűleg metforminnal adott vagy metformin nélküli inzulinnal kezelt alcsoportokban a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 xml:space="preserve"> placebóra korrigált átlagos csökkenése sorrendben -0,63% és -0,84% volt. A teljes populációban a hypoglykaemia előfordulási gyakorisága a vildagliptin-csoportban 8,4% és a placebocsoportban 7,2% volt. A vildagliptint kapó betegeknél nem észleltek testtömeg-növekedést (+0,2</w:t>
      </w:r>
      <w:r w:rsidR="00751BF7" w:rsidRPr="00E47E83">
        <w:rPr>
          <w:rFonts w:ascii="Times New Roman" w:hAnsi="Times New Roman"/>
          <w:lang w:val="hu-HU"/>
        </w:rPr>
        <w:t> </w:t>
      </w:r>
      <w:r w:rsidR="00352E19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kg), míg a placebót kapóknál testtömegcsökkenést tapasztaltak (-0,7</w:t>
      </w:r>
      <w:r w:rsidR="00751BF7" w:rsidRPr="00E47E83">
        <w:rPr>
          <w:rFonts w:ascii="Times New Roman" w:hAnsi="Times New Roman"/>
          <w:lang w:val="hu-HU"/>
        </w:rPr>
        <w:t> </w:t>
      </w:r>
      <w:r w:rsidR="00352E19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kg).</w:t>
      </w:r>
    </w:p>
    <w:p w14:paraId="24955510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FECFECA" w14:textId="468290C3" w:rsidR="00EF31E8" w:rsidRPr="00CA29AC" w:rsidRDefault="00205A7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Egy másik 24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hetes vizsgálatban, amit olyan betegekkel végeztek, akiknek előrehaladottabb 2-es típusú cukorbetegség</w:t>
      </w:r>
      <w:r w:rsidR="00C729DD">
        <w:rPr>
          <w:rFonts w:ascii="Times New Roman" w:hAnsi="Times New Roman"/>
          <w:lang w:val="hu-HU"/>
        </w:rPr>
        <w:t>ük</w:t>
      </w:r>
      <w:r w:rsidRPr="00E47E83">
        <w:rPr>
          <w:rFonts w:ascii="Times New Roman" w:hAnsi="Times New Roman"/>
          <w:lang w:val="hu-HU"/>
        </w:rPr>
        <w:t xml:space="preserve"> volt, és nem voltak megfelelően beállítva inzulinnal (rövid- és hosszú hatású, átlagos inzulin </w:t>
      </w:r>
      <w:r w:rsidR="00931044" w:rsidRPr="00E47E83">
        <w:rPr>
          <w:rFonts w:ascii="Times New Roman" w:hAnsi="Times New Roman"/>
          <w:lang w:val="hu-HU"/>
        </w:rPr>
        <w:t xml:space="preserve">dózis </w:t>
      </w:r>
      <w:r w:rsidRPr="00E47E83">
        <w:rPr>
          <w:rFonts w:ascii="Times New Roman" w:hAnsi="Times New Roman"/>
          <w:lang w:val="hu-HU"/>
        </w:rPr>
        <w:t>80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NE/nap), a HbA</w:t>
      </w:r>
      <w:r w:rsidRPr="00E47E83">
        <w:rPr>
          <w:rFonts w:ascii="Times New Roman" w:hAnsi="Times New Roman"/>
          <w:vertAlign w:val="subscript"/>
          <w:lang w:val="hu-HU"/>
        </w:rPr>
        <w:t>1c</w:t>
      </w:r>
      <w:r w:rsidRPr="00E47E83">
        <w:rPr>
          <w:rFonts w:ascii="Times New Roman" w:hAnsi="Times New Roman"/>
          <w:lang w:val="hu-HU"/>
        </w:rPr>
        <w:t>-szint átlagos csökkenése statisztikailag szignifikánsan nagyobb volt, amikor vildagliptint (naponta kétszer 50</w:t>
      </w:r>
      <w:r w:rsidR="00751BF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mg) adtak az inzulinhoz, mint a placebo plusz inzulin esetén (0,5% vs. 0,2%). A hypoglykaemia előfordulási gyakorisága alacsonyabb volt a vildagliptin-csoportban, mint a placebocsoportban (22,9% vs. 29,6%)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1F732CC" w14:textId="77777777" w:rsidR="008C38BE" w:rsidRPr="00CA29AC" w:rsidRDefault="008C38B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364846A" w14:textId="77777777" w:rsidR="00EF31E8" w:rsidRPr="00E47E83" w:rsidRDefault="00DC2BB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u w:val="single"/>
          <w:lang w:val="hu-HU"/>
        </w:rPr>
      </w:pPr>
      <w:r w:rsidRPr="00E47E83">
        <w:rPr>
          <w:rFonts w:ascii="Times New Roman" w:hAnsi="Times New Roman"/>
          <w:i/>
          <w:u w:val="single"/>
          <w:lang w:val="hu-HU"/>
        </w:rPr>
        <w:t>Cardiovascularis kockázat</w:t>
      </w:r>
    </w:p>
    <w:p w14:paraId="5238BB36" w14:textId="2192D760" w:rsidR="00EF31E8" w:rsidRPr="00CA29AC" w:rsidRDefault="00A0344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Harminchét, akár 2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évnél is hosszabb (vildaglipin esetében átlag 50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hetes, a komparátorok esetében átlag 49</w:t>
      </w:r>
      <w:r w:rsidR="00751BF7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 xml:space="preserve">hetes) időtartamú, </w:t>
      </w:r>
      <w:r w:rsidR="008C7275" w:rsidRPr="00E47E83">
        <w:rPr>
          <w:rFonts w:ascii="Times New Roman" w:eastAsia="Times New Roman" w:hAnsi="Times New Roman"/>
          <w:lang w:val="hu-HU" w:bidi="en-US"/>
        </w:rPr>
        <w:t xml:space="preserve">III. </w:t>
      </w:r>
      <w:r w:rsidRPr="00E47E83">
        <w:rPr>
          <w:rFonts w:ascii="Times New Roman" w:eastAsia="Times New Roman" w:hAnsi="Times New Roman"/>
          <w:lang w:val="hu-HU" w:bidi="en-US"/>
        </w:rPr>
        <w:t>fázis</w:t>
      </w:r>
      <w:r w:rsidR="008C7275" w:rsidRPr="00E47E83">
        <w:rPr>
          <w:rFonts w:ascii="Times New Roman" w:eastAsia="Times New Roman" w:hAnsi="Times New Roman"/>
          <w:lang w:val="hu-HU" w:bidi="en-US"/>
        </w:rPr>
        <w:t>ú</w:t>
      </w:r>
      <w:r w:rsidRPr="00E47E83">
        <w:rPr>
          <w:rFonts w:ascii="Times New Roman" w:eastAsia="Times New Roman" w:hAnsi="Times New Roman"/>
          <w:lang w:val="hu-HU" w:bidi="en-US"/>
        </w:rPr>
        <w:t xml:space="preserve"> és </w:t>
      </w:r>
      <w:r w:rsidR="008C7275" w:rsidRPr="00E47E83">
        <w:rPr>
          <w:rFonts w:ascii="Times New Roman" w:eastAsia="Times New Roman" w:hAnsi="Times New Roman"/>
          <w:lang w:val="hu-HU" w:bidi="en-US"/>
        </w:rPr>
        <w:t xml:space="preserve">IV. </w:t>
      </w:r>
      <w:r w:rsidRPr="00E47E83">
        <w:rPr>
          <w:rFonts w:ascii="Times New Roman" w:eastAsia="Times New Roman" w:hAnsi="Times New Roman"/>
          <w:lang w:val="hu-HU" w:bidi="en-US"/>
        </w:rPr>
        <w:t>fázis</w:t>
      </w:r>
      <w:r w:rsidR="008C7275" w:rsidRPr="00E47E83">
        <w:rPr>
          <w:rFonts w:ascii="Times New Roman" w:eastAsia="Times New Roman" w:hAnsi="Times New Roman"/>
          <w:lang w:val="hu-HU" w:bidi="en-US"/>
        </w:rPr>
        <w:t>ú</w:t>
      </w:r>
      <w:r w:rsidRPr="00E47E83">
        <w:rPr>
          <w:rFonts w:ascii="Times New Roman" w:eastAsia="Times New Roman" w:hAnsi="Times New Roman"/>
          <w:lang w:val="hu-HU" w:bidi="en-US"/>
        </w:rPr>
        <w:t>, monoterápiával és kombinált terápiával végzett klinikai vizsgálatból származó, függetlenül és prospektíven igazolt cardiovascularis események meta-analízisét végezték el, ami azt mutatta, hogy a vildagliptin-kezelés nem járt a cardiovascularis kockázat komparátorokhoz viszonyított emelkedésével. Az igazolt major cardiovascularis nemkívánatos események (major adverse cardiovascular events; MACE) – beleértve az akut</w:t>
      </w:r>
      <w:r w:rsidRPr="00E47E83">
        <w:rPr>
          <w:rFonts w:ascii="Times New Roman" w:hAnsi="Times New Roman"/>
          <w:lang w:val="hu-HU"/>
        </w:rPr>
        <w:t xml:space="preserve"> myocardiális infarctust, a stroke-ot vagy a cardiovascularis halálozást is – összetett végpontja hasonló volt a vildagliptin, illetve az aktív és placebo komparátorok esetén </w:t>
      </w:r>
      <w:r w:rsidR="008C7275" w:rsidRPr="00E47E83">
        <w:rPr>
          <w:rFonts w:ascii="Times New Roman" w:hAnsi="Times New Roman"/>
          <w:lang w:val="hu-HU"/>
        </w:rPr>
        <w:t>(</w:t>
      </w:r>
      <w:r w:rsidRPr="00E47E83">
        <w:rPr>
          <w:rFonts w:ascii="Times New Roman" w:hAnsi="Times New Roman"/>
          <w:lang w:val="hu-HU"/>
        </w:rPr>
        <w:t xml:space="preserve">Mantel–Haenszel-féle kockázati arány; </w:t>
      </w:r>
      <w:r w:rsidR="008C7275" w:rsidRPr="00E47E83">
        <w:rPr>
          <w:rFonts w:ascii="Times New Roman" w:hAnsi="Times New Roman"/>
          <w:lang w:val="hu-HU"/>
        </w:rPr>
        <w:t>[</w:t>
      </w:r>
      <w:r w:rsidRPr="00E47E83">
        <w:rPr>
          <w:rFonts w:ascii="Times New Roman" w:hAnsi="Times New Roman"/>
          <w:lang w:val="hu-HU"/>
        </w:rPr>
        <w:t>M-H RR</w:t>
      </w:r>
      <w:r w:rsidR="008C7275" w:rsidRPr="00E47E83">
        <w:rPr>
          <w:rFonts w:ascii="Times New Roman" w:hAnsi="Times New Roman"/>
          <w:lang w:val="hu-HU"/>
        </w:rPr>
        <w:t>]</w:t>
      </w:r>
      <w:r w:rsidRPr="00E47E83">
        <w:rPr>
          <w:rFonts w:ascii="Times New Roman" w:hAnsi="Times New Roman"/>
          <w:lang w:val="hu-HU"/>
        </w:rPr>
        <w:t xml:space="preserve"> 0,82 </w:t>
      </w:r>
      <w:r w:rsidR="008C7275" w:rsidRPr="00E47E83">
        <w:rPr>
          <w:rFonts w:ascii="Times New Roman" w:hAnsi="Times New Roman"/>
          <w:lang w:val="hu-HU"/>
        </w:rPr>
        <w:t>[</w:t>
      </w:r>
      <w:r w:rsidRPr="00E47E83">
        <w:rPr>
          <w:rFonts w:ascii="Times New Roman" w:hAnsi="Times New Roman"/>
          <w:lang w:val="hu-HU"/>
        </w:rPr>
        <w:t>95%-os CI 0,61-1,11</w:t>
      </w:r>
      <w:r w:rsidR="008C7275" w:rsidRPr="00E47E83">
        <w:rPr>
          <w:rFonts w:ascii="Times New Roman" w:hAnsi="Times New Roman"/>
          <w:lang w:val="hu-HU"/>
        </w:rPr>
        <w:t>])</w:t>
      </w:r>
      <w:r w:rsidRPr="00E47E83">
        <w:rPr>
          <w:rFonts w:ascii="Times New Roman" w:hAnsi="Times New Roman"/>
          <w:lang w:val="hu-HU"/>
        </w:rPr>
        <w:t>. A vildagliptin-csoport 9599 betege közül 83-nál (0,86%), míg a komparátorcsoport 7102 betege közül 85-nél (1,20%) számoltak be major cardiovascularis nemkívánatos eseményről. A MACE komponensek mindegyikének egyenkénti értékelése nem mutatott megnövekedett kockázatot (hasonló M-H RR). Bizonyított szívelégtelenség eseményeket, vagyis a definíciója szerint hospitalizációt igénylő szívelégtelenséget, vagy újonnan fellépő szívelégtelenséget 41, a vildagliptin-csoportba tartozó betegnél (0,43%), illetve 32, a komparátorcsoportba tartozó betegnél (0,45%) jelentettek – M-H RR 1,08 (95%</w:t>
      </w:r>
      <w:r w:rsidR="00AE7F3E" w:rsidRPr="00E47E83">
        <w:rPr>
          <w:rFonts w:ascii="Times New Roman" w:hAnsi="Times New Roman"/>
          <w:lang w:val="hu-HU"/>
        </w:rPr>
        <w:t>-os</w:t>
      </w:r>
      <w:r w:rsidRPr="00E47E83">
        <w:rPr>
          <w:rFonts w:ascii="Times New Roman" w:hAnsi="Times New Roman"/>
          <w:lang w:val="hu-HU"/>
        </w:rPr>
        <w:t xml:space="preserve"> CI 0,68-1,70</w:t>
      </w:r>
      <w:r w:rsidR="00EF31E8" w:rsidRPr="00E47E83">
        <w:rPr>
          <w:rFonts w:ascii="Times New Roman" w:hAnsi="Times New Roman"/>
          <w:lang w:val="hu-HU"/>
        </w:rPr>
        <w:t>).</w:t>
      </w:r>
    </w:p>
    <w:p w14:paraId="6572E540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3D1B1E7" w14:textId="77777777" w:rsidR="00EF31E8" w:rsidRPr="00CA29AC" w:rsidRDefault="00F06FA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Gyermekek és serdülők</w:t>
      </w:r>
    </w:p>
    <w:p w14:paraId="1EA2A2BE" w14:textId="77777777" w:rsidR="00E73C31" w:rsidRPr="00CA29AC" w:rsidRDefault="00E73C3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04A12DC" w14:textId="4E829FC8" w:rsidR="00EF31E8" w:rsidRPr="00CA29AC" w:rsidRDefault="00BC1DF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Az Európai Gyógyszerügynökség a gyermekek esetén minden korosztálynál eltekint a vildagliptin és metformin kombináció vizsgálati eredményeinek benyújtási kötelezettségétől 2-es típusú diabetesben (lásd 4.2 pont, </w:t>
      </w:r>
      <w:r w:rsidR="00E64551" w:rsidRPr="00E47E83">
        <w:rPr>
          <w:rFonts w:ascii="Times New Roman" w:hAnsi="Times New Roman"/>
          <w:lang w:val="hu-HU"/>
        </w:rPr>
        <w:t>gyermekek</w:t>
      </w:r>
      <w:r w:rsidR="009647EE">
        <w:rPr>
          <w:rFonts w:ascii="Times New Roman" w:hAnsi="Times New Roman"/>
          <w:lang w:val="hu-HU"/>
        </w:rPr>
        <w:t>re</w:t>
      </w:r>
      <w:r w:rsidR="00E64551" w:rsidRPr="00E47E83">
        <w:rPr>
          <w:rFonts w:ascii="Times New Roman" w:hAnsi="Times New Roman"/>
          <w:lang w:val="hu-HU"/>
        </w:rPr>
        <w:t xml:space="preserve"> és serdülőkre</w:t>
      </w:r>
      <w:r w:rsidRPr="00E47E83">
        <w:rPr>
          <w:rFonts w:ascii="Times New Roman" w:hAnsi="Times New Roman"/>
          <w:lang w:val="hu-HU"/>
        </w:rPr>
        <w:t xml:space="preserve"> vonatkozó információk)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4C278D6" w14:textId="77777777" w:rsidR="00957D78" w:rsidRPr="00E47E83" w:rsidRDefault="00957D78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3A26756" w14:textId="77777777" w:rsidR="00D20F2E" w:rsidRPr="00CA29AC" w:rsidRDefault="00D20F2E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5.2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Farmakokinetikai tulajdonságok</w:t>
      </w:r>
    </w:p>
    <w:p w14:paraId="08630D8F" w14:textId="77777777" w:rsidR="00AE1A58" w:rsidRPr="00CA29AC" w:rsidRDefault="00AE1A58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5B0BED15" w14:textId="696FD910" w:rsidR="00EF31E8" w:rsidRPr="00E47E83" w:rsidRDefault="0019254E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Vidagliptin/metformin</w:t>
      </w:r>
      <w:r w:rsidRPr="00CA29AC">
        <w:rPr>
          <w:rFonts w:ascii="Times New Roman" w:hAnsi="Times New Roman"/>
          <w:u w:val="single"/>
          <w:lang w:val="hu-HU"/>
        </w:rPr>
        <w:t>-</w:t>
      </w:r>
      <w:r w:rsidRPr="00E47E83">
        <w:rPr>
          <w:rFonts w:ascii="Times New Roman" w:hAnsi="Times New Roman"/>
          <w:u w:val="single"/>
          <w:lang w:val="hu-HU"/>
        </w:rPr>
        <w:t>hidroklorid kombináció</w:t>
      </w:r>
    </w:p>
    <w:p w14:paraId="73931911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D35843B" w14:textId="77777777" w:rsidR="00EF31E8" w:rsidRPr="00CA29AC" w:rsidRDefault="00022B6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Felszívódás</w:t>
      </w:r>
    </w:p>
    <w:p w14:paraId="391EAA5E" w14:textId="37001640" w:rsidR="00957D78" w:rsidRPr="00CA29AC" w:rsidRDefault="005078C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622A22" w:rsidRPr="00E47E83">
        <w:rPr>
          <w:rFonts w:ascii="Times New Roman" w:hAnsi="Times New Roman"/>
          <w:lang w:val="hu-HU"/>
        </w:rPr>
        <w:t>vildagliptin és metformin-hidroklorid</w:t>
      </w:r>
      <w:r w:rsidRPr="00E47E83">
        <w:rPr>
          <w:rFonts w:ascii="Times New Roman" w:hAnsi="Times New Roman"/>
          <w:lang w:val="hu-HU"/>
        </w:rPr>
        <w:t xml:space="preserve"> </w:t>
      </w:r>
      <w:r w:rsidR="005E19E1" w:rsidRPr="00E47E83">
        <w:rPr>
          <w:rFonts w:ascii="Times New Roman" w:hAnsi="Times New Roman"/>
          <w:lang w:val="hu-HU"/>
        </w:rPr>
        <w:t>fix</w:t>
      </w:r>
      <w:r w:rsidR="00133B94">
        <w:rPr>
          <w:rFonts w:ascii="Times New Roman" w:hAnsi="Times New Roman"/>
          <w:lang w:val="hu-HU"/>
        </w:rPr>
        <w:t xml:space="preserve"> </w:t>
      </w:r>
      <w:r w:rsidR="005E19E1" w:rsidRPr="00E47E83">
        <w:rPr>
          <w:rFonts w:ascii="Times New Roman" w:hAnsi="Times New Roman"/>
          <w:lang w:val="hu-HU"/>
        </w:rPr>
        <w:t>dózisú kombináció</w:t>
      </w:r>
      <w:r w:rsidR="008C1EE4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>három dóziserőssége (50</w:t>
      </w:r>
      <w:r w:rsidR="00665A1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mg/500</w:t>
      </w:r>
      <w:r w:rsidR="00665A1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mg, 50</w:t>
      </w:r>
      <w:r w:rsidR="00665A1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mg/850</w:t>
      </w:r>
      <w:r w:rsidR="00665A1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és 50</w:t>
      </w:r>
      <w:r w:rsidR="00665A1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mg/1000</w:t>
      </w:r>
      <w:r w:rsidR="00665A1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mg) és a vildagliptin és metformin-hidroklorid tabletták megfelelő dózisainak különálló kombinációja közti bioekvivalenciáját bizonyították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687AB761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6D9FF45" w14:textId="42B74C85" w:rsidR="00957D78" w:rsidRPr="00CA29AC" w:rsidRDefault="005E4BA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táplálék nem befolyásolja a </w:t>
      </w:r>
      <w:r w:rsidR="00137DF9" w:rsidRPr="00E47E83">
        <w:rPr>
          <w:rFonts w:ascii="Times New Roman" w:hAnsi="Times New Roman"/>
          <w:lang w:val="hu-HU"/>
        </w:rPr>
        <w:t>vildagliptin/metformin</w:t>
      </w:r>
      <w:r w:rsidR="00DA142B" w:rsidRPr="00E47E83">
        <w:rPr>
          <w:rFonts w:ascii="Times New Roman" w:hAnsi="Times New Roman"/>
          <w:lang w:val="hu-HU"/>
        </w:rPr>
        <w:t>-hidroklorid</w:t>
      </w:r>
      <w:r w:rsidR="00137DF9" w:rsidRPr="00E47E83">
        <w:rPr>
          <w:rFonts w:ascii="Times New Roman" w:hAnsi="Times New Roman"/>
          <w:lang w:val="hu-HU"/>
        </w:rPr>
        <w:t xml:space="preserve"> kombináció</w:t>
      </w:r>
      <w:r w:rsidRPr="00E47E83">
        <w:rPr>
          <w:rFonts w:ascii="Times New Roman" w:hAnsi="Times New Roman"/>
          <w:lang w:val="hu-HU"/>
        </w:rPr>
        <w:t xml:space="preserve">ban lévő vildagliptin felszívódásának sem a mértékét, sem a sebességét. </w:t>
      </w:r>
      <w:r w:rsidR="00137DF9" w:rsidRPr="00E47E83">
        <w:rPr>
          <w:rFonts w:ascii="Times New Roman" w:hAnsi="Times New Roman"/>
          <w:lang w:val="hu-HU"/>
        </w:rPr>
        <w:t>A vildagliptin/metformin</w:t>
      </w:r>
      <w:r w:rsidR="00DA142B" w:rsidRPr="00E47E83">
        <w:rPr>
          <w:rFonts w:ascii="Times New Roman" w:hAnsi="Times New Roman"/>
          <w:lang w:val="hu-HU"/>
        </w:rPr>
        <w:t>-hidroklorid</w:t>
      </w:r>
      <w:r w:rsidR="00137DF9" w:rsidRPr="00E47E83">
        <w:rPr>
          <w:rFonts w:ascii="Times New Roman" w:hAnsi="Times New Roman"/>
          <w:lang w:val="hu-HU"/>
        </w:rPr>
        <w:t xml:space="preserve"> kombináció </w:t>
      </w:r>
      <w:r w:rsidRPr="00E47E83">
        <w:rPr>
          <w:rFonts w:ascii="Times New Roman" w:hAnsi="Times New Roman"/>
          <w:lang w:val="hu-HU"/>
        </w:rPr>
        <w:t>50</w:t>
      </w:r>
      <w:r w:rsidR="00665A1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mg/1000</w:t>
      </w:r>
      <w:r w:rsidR="00665A17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mg-ban lévő metformin</w:t>
      </w:r>
      <w:r w:rsidR="00137DF9"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>felszívódásának sebessége és mértéke csökkent, ha táplálékkal együtt adták, amit a C</w:t>
      </w:r>
      <w:r w:rsidRPr="00E47E83">
        <w:rPr>
          <w:rFonts w:ascii="Times New Roman" w:hAnsi="Times New Roman"/>
          <w:vertAlign w:val="subscript"/>
          <w:lang w:val="hu-HU"/>
        </w:rPr>
        <w:t>max</w:t>
      </w:r>
      <w:r w:rsidRPr="00E47E83">
        <w:rPr>
          <w:rFonts w:ascii="Times New Roman" w:hAnsi="Times New Roman"/>
          <w:lang w:val="hu-HU"/>
        </w:rPr>
        <w:t xml:space="preserve"> 26%-os, az AUC 7%-os csökkenése, valamint a </w:t>
      </w:r>
      <w:r w:rsidR="00251992" w:rsidRPr="00E47E83">
        <w:rPr>
          <w:rFonts w:ascii="Times New Roman" w:hAnsi="Times New Roman"/>
          <w:lang w:val="hu-HU"/>
        </w:rPr>
        <w:t>t</w:t>
      </w:r>
      <w:r w:rsidRPr="00E47E83">
        <w:rPr>
          <w:rFonts w:ascii="Times New Roman" w:hAnsi="Times New Roman"/>
          <w:vertAlign w:val="subscript"/>
          <w:lang w:val="hu-HU"/>
        </w:rPr>
        <w:t>max</w:t>
      </w:r>
      <w:r w:rsidRPr="00E47E83">
        <w:rPr>
          <w:rFonts w:ascii="Times New Roman" w:hAnsi="Times New Roman"/>
          <w:lang w:val="hu-HU"/>
        </w:rPr>
        <w:t xml:space="preserve"> megnyúlása (2,0-4,0</w:t>
      </w:r>
      <w:r w:rsidR="00C3540C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óra) tükröz.</w:t>
      </w:r>
    </w:p>
    <w:p w14:paraId="3422DDA6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89DEC24" w14:textId="73C9A7FF" w:rsidR="00EF31E8" w:rsidRPr="00CA29AC" w:rsidRDefault="00CB632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Az alábbi megállapítások a </w:t>
      </w:r>
      <w:r w:rsidR="00EA0649" w:rsidRPr="00E47E83">
        <w:rPr>
          <w:rFonts w:ascii="Times New Roman" w:hAnsi="Times New Roman"/>
          <w:lang w:val="hu-HU"/>
        </w:rPr>
        <w:t>Radicut</w:t>
      </w:r>
      <w:r w:rsidRPr="00E47E83">
        <w:rPr>
          <w:rFonts w:ascii="Times New Roman" w:hAnsi="Times New Roman"/>
          <w:lang w:val="hu-HU"/>
        </w:rPr>
        <w:t>-ban lévő egyes hatóanyagok farmakokinetikai tulajdonságait tükrözik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D78FBD2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561597E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Vildagliptin</w:t>
      </w:r>
    </w:p>
    <w:p w14:paraId="42B30513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8D67C9F" w14:textId="77777777" w:rsidR="00EF31E8" w:rsidRPr="00CA29AC" w:rsidRDefault="0014193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Felszívódás</w:t>
      </w:r>
    </w:p>
    <w:p w14:paraId="0777CDFC" w14:textId="6AD6BC5B" w:rsidR="00EF31E8" w:rsidRPr="00CA29AC" w:rsidRDefault="00E6455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Éhomra</w:t>
      </w:r>
      <w:r w:rsidR="00F15A1B" w:rsidRPr="00E47E83">
        <w:rPr>
          <w:rFonts w:ascii="Times New Roman" w:hAnsi="Times New Roman"/>
          <w:lang w:val="hu-HU"/>
        </w:rPr>
        <w:t xml:space="preserve"> történő orális adagolást követően a vildagliptin gyorsan felszívódik, és a plazma csúcskoncentráció 1,7</w:t>
      </w:r>
      <w:r w:rsidR="00C85342" w:rsidRPr="00E47E83">
        <w:rPr>
          <w:rFonts w:ascii="Times New Roman" w:hAnsi="Times New Roman"/>
          <w:lang w:val="hu-HU"/>
        </w:rPr>
        <w:t> </w:t>
      </w:r>
      <w:r w:rsidR="00F15A1B" w:rsidRPr="00E47E83">
        <w:rPr>
          <w:rFonts w:ascii="Times New Roman" w:hAnsi="Times New Roman"/>
          <w:lang w:val="hu-HU"/>
        </w:rPr>
        <w:t>óra elteltével mérhető. Az ételek kismértékben, 2,5</w:t>
      </w:r>
      <w:r w:rsidR="00C85342" w:rsidRPr="00E47E83">
        <w:rPr>
          <w:rFonts w:ascii="Times New Roman" w:hAnsi="Times New Roman"/>
          <w:lang w:val="hu-HU"/>
        </w:rPr>
        <w:t> </w:t>
      </w:r>
      <w:r w:rsidR="00F15A1B" w:rsidRPr="00E47E83">
        <w:rPr>
          <w:rFonts w:ascii="Times New Roman" w:hAnsi="Times New Roman"/>
          <w:lang w:val="hu-HU"/>
        </w:rPr>
        <w:t>órára nyújtják a plazma csúcskoncentráció kialakulásáig eltelt időt, de nem változtatják meg a teljes expozíciót (AUC). A vildagliptin ét</w:t>
      </w:r>
      <w:r w:rsidR="003530A1">
        <w:rPr>
          <w:rFonts w:ascii="Times New Roman" w:hAnsi="Times New Roman"/>
          <w:lang w:val="hu-HU"/>
        </w:rPr>
        <w:t>k</w:t>
      </w:r>
      <w:r w:rsidR="00F15A1B" w:rsidRPr="00E47E83">
        <w:rPr>
          <w:rFonts w:ascii="Times New Roman" w:hAnsi="Times New Roman"/>
          <w:lang w:val="hu-HU"/>
        </w:rPr>
        <w:t>e</w:t>
      </w:r>
      <w:r w:rsidR="003530A1">
        <w:rPr>
          <w:rFonts w:ascii="Times New Roman" w:hAnsi="Times New Roman"/>
          <w:lang w:val="hu-HU"/>
        </w:rPr>
        <w:t>zés</w:t>
      </w:r>
      <w:r w:rsidR="00F15A1B" w:rsidRPr="00E47E83">
        <w:rPr>
          <w:rFonts w:ascii="Times New Roman" w:hAnsi="Times New Roman"/>
          <w:lang w:val="hu-HU"/>
        </w:rPr>
        <w:t xml:space="preserve"> </w:t>
      </w:r>
      <w:r w:rsidR="003530A1">
        <w:rPr>
          <w:rFonts w:ascii="Times New Roman" w:hAnsi="Times New Roman"/>
          <w:lang w:val="hu-HU"/>
        </w:rPr>
        <w:t>közben</w:t>
      </w:r>
      <w:r w:rsidR="003530A1" w:rsidRPr="00E47E83">
        <w:rPr>
          <w:rFonts w:ascii="Times New Roman" w:hAnsi="Times New Roman"/>
          <w:lang w:val="hu-HU"/>
        </w:rPr>
        <w:t xml:space="preserve"> </w:t>
      </w:r>
      <w:r w:rsidR="00F15A1B" w:rsidRPr="00E47E83">
        <w:rPr>
          <w:rFonts w:ascii="Times New Roman" w:hAnsi="Times New Roman"/>
          <w:lang w:val="hu-HU"/>
        </w:rPr>
        <w:t>történő adása az éhomra történő adagoláshoz képest a C</w:t>
      </w:r>
      <w:r w:rsidR="00F15A1B" w:rsidRPr="00E47E83">
        <w:rPr>
          <w:rFonts w:ascii="Times New Roman" w:hAnsi="Times New Roman"/>
          <w:vertAlign w:val="subscript"/>
          <w:lang w:val="hu-HU"/>
        </w:rPr>
        <w:t>max</w:t>
      </w:r>
      <w:r w:rsidR="00F15A1B" w:rsidRPr="00E47E83">
        <w:rPr>
          <w:rFonts w:ascii="Times New Roman" w:hAnsi="Times New Roman"/>
          <w:lang w:val="hu-HU"/>
        </w:rPr>
        <w:t>-érték csökkenését eredményezte (19%). A változás nagyságrendje azonban klinikailag nem jelentős, így a vildagliptin étkezés közben vagy attól függetlenül is bevehető. Az abszolút biohasznosulás 85%.</w:t>
      </w:r>
    </w:p>
    <w:p w14:paraId="1A25F771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D927B0C" w14:textId="77777777" w:rsidR="00EF31E8" w:rsidRPr="00CA29AC" w:rsidRDefault="00F814CE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Eloszlás</w:t>
      </w:r>
    </w:p>
    <w:p w14:paraId="378762C3" w14:textId="4B04F1F5" w:rsidR="00957D78" w:rsidRPr="00CA29AC" w:rsidRDefault="006A163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vildagliptin kismértékben kötődik a plazmafehérjékhez (9,3%), és egyenlő mértékben oszlik meg a plazma és a vörösvértestek között. A vildagliptin átlagos megoszlási térfogata</w:t>
      </w:r>
      <w:r w:rsidR="00133B94">
        <w:rPr>
          <w:rFonts w:ascii="Times New Roman" w:hAnsi="Times New Roman"/>
          <w:lang w:val="hu-HU"/>
        </w:rPr>
        <w:t xml:space="preserve"> dinamikus</w:t>
      </w:r>
      <w:r w:rsidRPr="00E47E83">
        <w:rPr>
          <w:rFonts w:ascii="Times New Roman" w:hAnsi="Times New Roman"/>
          <w:lang w:val="hu-HU"/>
        </w:rPr>
        <w:t xml:space="preserve"> egyensúlyi állapotban intravénás alkalmazást követően (V</w:t>
      </w:r>
      <w:r w:rsidRPr="00CA29AC">
        <w:rPr>
          <w:rFonts w:ascii="Times New Roman" w:hAnsi="Times New Roman"/>
          <w:vertAlign w:val="subscript"/>
          <w:lang w:val="hu-HU"/>
        </w:rPr>
        <w:t>s</w:t>
      </w:r>
      <w:r w:rsidRPr="00E47E83">
        <w:rPr>
          <w:rFonts w:ascii="Times New Roman" w:hAnsi="Times New Roman"/>
          <w:vertAlign w:val="subscript"/>
          <w:lang w:val="hu-HU"/>
        </w:rPr>
        <w:t>s</w:t>
      </w:r>
      <w:r w:rsidRPr="00E47E83">
        <w:rPr>
          <w:rFonts w:ascii="Times New Roman" w:hAnsi="Times New Roman"/>
          <w:lang w:val="hu-HU"/>
        </w:rPr>
        <w:t>) 71 liter, ami extravaszkuláris megoszlásra utal</w:t>
      </w:r>
      <w:r w:rsidR="00EF31E8" w:rsidRPr="00E47E83">
        <w:rPr>
          <w:rFonts w:ascii="Times New Roman" w:hAnsi="Times New Roman"/>
          <w:lang w:val="hu-HU"/>
        </w:rPr>
        <w:t>.</w:t>
      </w:r>
    </w:p>
    <w:p w14:paraId="5FE49FCA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0D2F720" w14:textId="77777777" w:rsidR="00EF31E8" w:rsidRPr="00CA29AC" w:rsidRDefault="00F545E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Biotranszformáció</w:t>
      </w:r>
    </w:p>
    <w:p w14:paraId="185F724D" w14:textId="17C32A6F" w:rsidR="00EF31E8" w:rsidRPr="00CA29AC" w:rsidRDefault="00E10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Emberek</w:t>
      </w:r>
      <w:r w:rsidR="00251992" w:rsidRPr="00E47E83">
        <w:rPr>
          <w:rFonts w:ascii="Times New Roman" w:eastAsia="Times New Roman" w:hAnsi="Times New Roman"/>
          <w:lang w:val="hu-HU" w:bidi="en-US"/>
        </w:rPr>
        <w:t xml:space="preserve"> eseté</w:t>
      </w:r>
      <w:r w:rsidRPr="00E47E83">
        <w:rPr>
          <w:rFonts w:ascii="Times New Roman" w:eastAsia="Times New Roman" w:hAnsi="Times New Roman"/>
          <w:lang w:val="hu-HU" w:bidi="en-US"/>
        </w:rPr>
        <w:t xml:space="preserve">ben a vildagliptin elsődleges eliminációs útvonala a metabolizáció, ami a bevitt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 xml:space="preserve"> 69%-át érinti. A legfontosabb metabolit (LAY 151) farmakológiailag inaktív, a ciano-rész hidrolízisének terméke, amely a bevitt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 xml:space="preserve"> 57%-ából jön létre, amit az amid-hidrolízis terméke követ (a bevitt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 xml:space="preserve"> 4%-a). Egy, DPP-4</w:t>
      </w:r>
      <w:r w:rsidR="0075530C" w:rsidRPr="00E47E83">
        <w:rPr>
          <w:rFonts w:ascii="Times New Roman" w:eastAsia="Times New Roman" w:hAnsi="Times New Roman"/>
          <w:lang w:val="hu-HU" w:bidi="en-US"/>
        </w:rPr>
        <w:t>-</w:t>
      </w:r>
      <w:r w:rsidRPr="00E47E83">
        <w:rPr>
          <w:rFonts w:ascii="Times New Roman" w:eastAsia="Times New Roman" w:hAnsi="Times New Roman"/>
          <w:lang w:val="hu-HU" w:bidi="en-US"/>
        </w:rPr>
        <w:t>hiányos patkányok</w:t>
      </w:r>
      <w:r w:rsidR="003168A4" w:rsidRPr="00E47E83">
        <w:rPr>
          <w:rFonts w:ascii="Times New Roman" w:eastAsia="Times New Roman" w:hAnsi="Times New Roman"/>
          <w:lang w:val="hu-HU" w:bidi="en-US"/>
        </w:rPr>
        <w:t>kal</w:t>
      </w:r>
      <w:r w:rsidRPr="00E47E83">
        <w:rPr>
          <w:rFonts w:ascii="Times New Roman" w:eastAsia="Times New Roman" w:hAnsi="Times New Roman"/>
          <w:lang w:val="hu-HU" w:bidi="en-US"/>
        </w:rPr>
        <w:t xml:space="preserve"> végzett </w:t>
      </w:r>
      <w:r w:rsidRPr="00E47E83">
        <w:rPr>
          <w:rFonts w:ascii="Times New Roman" w:eastAsia="Times New Roman" w:hAnsi="Times New Roman"/>
          <w:i/>
          <w:lang w:val="hu-HU" w:bidi="en-US"/>
        </w:rPr>
        <w:t>in vivo</w:t>
      </w:r>
      <w:r w:rsidRPr="00E47E83">
        <w:rPr>
          <w:rFonts w:ascii="Times New Roman" w:eastAsia="Times New Roman" w:hAnsi="Times New Roman"/>
          <w:lang w:val="hu-HU" w:bidi="en-US"/>
        </w:rPr>
        <w:t xml:space="preserve"> vizsgálat alapján a DPP-4 részlegesen hozzájárul a vildagliptin hidrolíziséhez. A vildaglitpin metabolizációjában mérhető módon nem vesznek részt a CYP 450 enzimek. Ennek megfelelően a vildagliptin metabolikus clearance-ét várhatóan nem befolyásolják az egyidejűleg adott CYP 450 inhibitor és/vagy induktor gyógyszerek.</w:t>
      </w:r>
      <w:r w:rsidRPr="00E47E83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i/>
          <w:lang w:val="hu-HU"/>
        </w:rPr>
        <w:t>In vitro</w:t>
      </w:r>
      <w:r w:rsidRPr="00E47E83">
        <w:rPr>
          <w:rFonts w:ascii="Times New Roman" w:hAnsi="Times New Roman"/>
          <w:lang w:val="hu-HU"/>
        </w:rPr>
        <w:t xml:space="preserve"> vizsgálatokban kimutatták, hogy a vildagliptin nem gátol, illetve nem indukál CYP 450 enzimeket. Ebből adódóan a vildagliptin várhatóan nem befolyásolja a CYP 1A2, CYP 2C8, CYP</w:t>
      </w:r>
      <w:r w:rsidR="009E6B80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2C9, CYP 2C19, CYP 2D6, CYP 2E1 vagy CYP 3A4/5 által metabolizált, egyidejűleg alkalmazott gyógyszerek metabolikus clearance-ét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0B0A820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42E9749" w14:textId="77777777" w:rsidR="00EF31E8" w:rsidRPr="00CA29AC" w:rsidRDefault="00C73AD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Elimináció</w:t>
      </w:r>
    </w:p>
    <w:p w14:paraId="01EA2AAD" w14:textId="1F6A32E3" w:rsidR="00957D78" w:rsidRPr="00CA29AC" w:rsidRDefault="00EC0E6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vertAlign w:val="superscript"/>
          <w:lang w:val="hu-HU"/>
        </w:rPr>
        <w:t>14</w:t>
      </w:r>
      <w:r w:rsidRPr="00E47E83">
        <w:rPr>
          <w:rFonts w:ascii="Times New Roman" w:hAnsi="Times New Roman"/>
          <w:lang w:val="hu-HU"/>
        </w:rPr>
        <w:t>C-</w:t>
      </w:r>
      <w:r w:rsidR="009E6B80">
        <w:rPr>
          <w:rFonts w:ascii="Times New Roman" w:hAnsi="Times New Roman"/>
          <w:lang w:val="hu-HU"/>
        </w:rPr>
        <w:t>pa</w:t>
      </w:r>
      <w:r w:rsidRPr="00E47E83">
        <w:rPr>
          <w:rFonts w:ascii="Times New Roman" w:hAnsi="Times New Roman"/>
          <w:lang w:val="hu-HU"/>
        </w:rPr>
        <w:t xml:space="preserve">l jelölt vildagliptin orális alkalmazását követően a bevitt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megközelítőleg 85%-a ürült a vizeletben, és 15%-a volt visszanyerhető a székletből. A szájon át bevitt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23%-a változatlan formában ürül</w:t>
      </w:r>
      <w:r w:rsidR="00133B94">
        <w:rPr>
          <w:rFonts w:ascii="Times New Roman" w:hAnsi="Times New Roman"/>
          <w:lang w:val="hu-HU"/>
        </w:rPr>
        <w:t>t</w:t>
      </w:r>
      <w:r w:rsidRPr="00E47E83">
        <w:rPr>
          <w:rFonts w:ascii="Times New Roman" w:hAnsi="Times New Roman"/>
          <w:lang w:val="hu-HU"/>
        </w:rPr>
        <w:t xml:space="preserve"> a vesén keresztül. Egészséges önkéntesek</w:t>
      </w:r>
      <w:r w:rsidR="00251992" w:rsidRPr="00E47E83">
        <w:rPr>
          <w:rFonts w:ascii="Times New Roman" w:hAnsi="Times New Roman"/>
          <w:lang w:val="hu-HU"/>
        </w:rPr>
        <w:t>nél</w:t>
      </w:r>
      <w:r w:rsidRPr="00E47E83">
        <w:rPr>
          <w:rFonts w:ascii="Times New Roman" w:hAnsi="Times New Roman"/>
          <w:lang w:val="hu-HU"/>
        </w:rPr>
        <w:t xml:space="preserve"> intravénás bevitelt követően a vildagliptin összplazma- és renális clearance-értéke rendre 41, illetve 13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l/óra. Intravénás bevitelt követően az átlagos eliminációs felezési idő megközelítőleg </w:t>
      </w:r>
      <w:r w:rsidR="0075530C" w:rsidRPr="00E47E83">
        <w:rPr>
          <w:rFonts w:ascii="Times New Roman" w:hAnsi="Times New Roman"/>
          <w:lang w:val="hu-HU"/>
        </w:rPr>
        <w:t>2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óra.</w:t>
      </w:r>
      <w:r w:rsidR="0075530C" w:rsidRPr="00E47E83">
        <w:rPr>
          <w:rFonts w:ascii="Times New Roman" w:hAnsi="Times New Roman"/>
          <w:lang w:val="hu-HU"/>
        </w:rPr>
        <w:t xml:space="preserve"> Orális alkalmazást követően az eliminációs felezési idő megközelítőleg 3 óra.</w:t>
      </w:r>
    </w:p>
    <w:p w14:paraId="0F73DAFC" w14:textId="77777777" w:rsidR="00957D78" w:rsidRPr="00E47E83" w:rsidRDefault="00957D78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AA4A880" w14:textId="1BEADD27" w:rsidR="00EF31E8" w:rsidRPr="00CA29AC" w:rsidRDefault="00143F9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Linearitás/nem</w:t>
      </w:r>
      <w:r w:rsidR="00F36EF1" w:rsidRPr="00E47E83">
        <w:rPr>
          <w:rFonts w:ascii="Times New Roman" w:hAnsi="Times New Roman"/>
          <w:iCs/>
          <w:u w:val="single"/>
          <w:lang w:val="hu-HU"/>
        </w:rPr>
        <w:t xml:space="preserve"> </w:t>
      </w:r>
      <w:r w:rsidRPr="00E47E83">
        <w:rPr>
          <w:rFonts w:ascii="Times New Roman" w:hAnsi="Times New Roman"/>
          <w:u w:val="single"/>
          <w:lang w:val="hu-HU"/>
        </w:rPr>
        <w:t>linearitás</w:t>
      </w:r>
    </w:p>
    <w:p w14:paraId="49E114C2" w14:textId="77777777" w:rsidR="00EF31E8" w:rsidRPr="00CA29AC" w:rsidRDefault="00B52A7B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vildagliptin C</w:t>
      </w:r>
      <w:r w:rsidRPr="00E47E83">
        <w:rPr>
          <w:rFonts w:ascii="Times New Roman" w:hAnsi="Times New Roman"/>
          <w:vertAlign w:val="subscript"/>
          <w:lang w:val="hu-HU"/>
        </w:rPr>
        <w:t>max</w:t>
      </w:r>
      <w:r w:rsidRPr="00E47E83">
        <w:rPr>
          <w:rFonts w:ascii="Times New Roman" w:hAnsi="Times New Roman"/>
          <w:lang w:val="hu-HU"/>
        </w:rPr>
        <w:t>-értéke, valamint a plazmakoncentráció/idő függvény görbe alatti területe (AUC) megközelítőleg dózisarányos módon növekedett a terápiás dózistartományban</w:t>
      </w:r>
      <w:r w:rsidR="00EF31E8" w:rsidRPr="00E47E83">
        <w:rPr>
          <w:rFonts w:ascii="Times New Roman" w:hAnsi="Times New Roman"/>
          <w:lang w:val="hu-HU"/>
        </w:rPr>
        <w:t>.</w:t>
      </w:r>
    </w:p>
    <w:p w14:paraId="5AE643A5" w14:textId="1C32ED26" w:rsidR="00957D78" w:rsidRPr="00E47E83" w:rsidRDefault="00957D78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EBE03BB" w14:textId="77777777" w:rsidR="00EF31E8" w:rsidRPr="00E47E83" w:rsidRDefault="005C78AF" w:rsidP="00E92AE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u w:val="single"/>
          <w:lang w:val="hu-HU" w:bidi="en-US"/>
        </w:rPr>
      </w:pPr>
      <w:r w:rsidRPr="00E47E83">
        <w:rPr>
          <w:rFonts w:ascii="Times New Roman" w:hAnsi="Times New Roman"/>
          <w:i/>
          <w:u w:val="single"/>
          <w:lang w:val="hu-HU"/>
        </w:rPr>
        <w:t>A betegek jellemzői</w:t>
      </w:r>
    </w:p>
    <w:p w14:paraId="6AA20143" w14:textId="77777777" w:rsidR="00EF31E8" w:rsidRPr="00CA29AC" w:rsidRDefault="00580D02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Nem: Széles életkor- és BMI (testtömegindex) tartományba tartozó egészséges férfi és női önkéntesek között nem figyeltek meg klinikailag lényeges különbségeket a vildagliptin farmakokinetikájában. A vildagliptin DPP-4 gátlását nem befolyásolja a nem</w:t>
      </w:r>
      <w:r w:rsidR="00EF31E8" w:rsidRPr="00E47E83">
        <w:rPr>
          <w:rFonts w:ascii="Times New Roman" w:hAnsi="Times New Roman"/>
          <w:lang w:val="hu-HU"/>
        </w:rPr>
        <w:t>.</w:t>
      </w:r>
    </w:p>
    <w:p w14:paraId="6417497E" w14:textId="77777777" w:rsidR="00EE6263" w:rsidRPr="00CA29AC" w:rsidRDefault="00EE6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C6B6506" w14:textId="6FF56610" w:rsidR="00EE6263" w:rsidRPr="00CA29AC" w:rsidRDefault="005F1A4C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Életkor: Egészséges idős egyéneknél (≥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70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év), a teljes vildagliptin-expozíció (100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 naponta egyszer) 32%-kal nőtt, míg a plazma csúcskoncentráció a fiatal (18-40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év) egészséges egyénekkel összehasonlítva 18%-kal nőtt. Ezeket a változásokat ugyanakkor nem tekintik klinikailag lényegesnek. A vildagliptin DPP-4 gátlását nem befolyásolja a beteg kora</w:t>
      </w:r>
      <w:r w:rsidR="00EF31E8" w:rsidRPr="00E47E83">
        <w:rPr>
          <w:rFonts w:ascii="Times New Roman" w:hAnsi="Times New Roman"/>
          <w:lang w:val="hu-HU"/>
        </w:rPr>
        <w:t>.</w:t>
      </w:r>
    </w:p>
    <w:p w14:paraId="6F0F99DA" w14:textId="77777777" w:rsidR="00EE6263" w:rsidRPr="00CA29AC" w:rsidRDefault="00EE6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48E3801" w14:textId="77777777" w:rsidR="00EE6263" w:rsidRPr="00CA29AC" w:rsidRDefault="00714D4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Májkárosodás: Enyhe, köz</w:t>
      </w:r>
      <w:r w:rsidR="00F36EF1" w:rsidRPr="00E47E83">
        <w:rPr>
          <w:rFonts w:ascii="Times New Roman" w:hAnsi="Times New Roman"/>
          <w:lang w:val="hu-HU"/>
        </w:rPr>
        <w:t>e</w:t>
      </w:r>
      <w:r w:rsidRPr="00E47E83">
        <w:rPr>
          <w:rFonts w:ascii="Times New Roman" w:hAnsi="Times New Roman"/>
          <w:lang w:val="hu-HU"/>
        </w:rPr>
        <w:t>p</w:t>
      </w:r>
      <w:r w:rsidR="00F36EF1" w:rsidRPr="00E47E83">
        <w:rPr>
          <w:rFonts w:ascii="Times New Roman" w:hAnsi="Times New Roman"/>
          <w:lang w:val="hu-HU"/>
        </w:rPr>
        <w:t xml:space="preserve">esen </w:t>
      </w:r>
      <w:r w:rsidRPr="00E47E83">
        <w:rPr>
          <w:rFonts w:ascii="Times New Roman" w:hAnsi="Times New Roman"/>
          <w:lang w:val="hu-HU"/>
        </w:rPr>
        <w:t>súlyos vagy súlyos májkárosodásban (Child-Pugh A-C) a vildagliptin expozíció</w:t>
      </w:r>
      <w:r w:rsidR="00251992" w:rsidRPr="00E47E83">
        <w:rPr>
          <w:rFonts w:ascii="Times New Roman" w:hAnsi="Times New Roman"/>
          <w:lang w:val="hu-HU"/>
        </w:rPr>
        <w:t>já</w:t>
      </w:r>
      <w:r w:rsidRPr="00E47E83">
        <w:rPr>
          <w:rFonts w:ascii="Times New Roman" w:hAnsi="Times New Roman"/>
          <w:lang w:val="hu-HU"/>
        </w:rPr>
        <w:t>ban nem volt klinikailag jelentős változás (maximum ~30%)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F07694A" w14:textId="77777777" w:rsidR="00EE6263" w:rsidRPr="00CA29AC" w:rsidRDefault="00EE6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A5EF713" w14:textId="482EEA08" w:rsidR="00EE6263" w:rsidRPr="00CA29AC" w:rsidRDefault="00522E6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lastRenderedPageBreak/>
        <w:t>Vesekárosodás: Enyhe, köz</w:t>
      </w:r>
      <w:r w:rsidR="00F36EF1" w:rsidRPr="00E47E83">
        <w:rPr>
          <w:rFonts w:ascii="Times New Roman" w:hAnsi="Times New Roman"/>
          <w:lang w:val="hu-HU"/>
        </w:rPr>
        <w:t>e</w:t>
      </w:r>
      <w:r w:rsidRPr="00E47E83">
        <w:rPr>
          <w:rFonts w:ascii="Times New Roman" w:hAnsi="Times New Roman"/>
          <w:lang w:val="hu-HU"/>
        </w:rPr>
        <w:t>p</w:t>
      </w:r>
      <w:r w:rsidR="00F36EF1" w:rsidRPr="00E47E83">
        <w:rPr>
          <w:rFonts w:ascii="Times New Roman" w:hAnsi="Times New Roman"/>
          <w:lang w:val="hu-HU"/>
        </w:rPr>
        <w:t xml:space="preserve">esen </w:t>
      </w:r>
      <w:r w:rsidRPr="00E47E83">
        <w:rPr>
          <w:rFonts w:ascii="Times New Roman" w:hAnsi="Times New Roman"/>
          <w:lang w:val="hu-HU"/>
        </w:rPr>
        <w:t>súlyos, illetve súlyos vesekárosodás esetén a vildagliptin szisztémás expozíció</w:t>
      </w:r>
      <w:r w:rsidR="00251992" w:rsidRPr="00E47E83">
        <w:rPr>
          <w:rFonts w:ascii="Times New Roman" w:hAnsi="Times New Roman"/>
          <w:lang w:val="hu-HU"/>
        </w:rPr>
        <w:t>ja</w:t>
      </w:r>
      <w:r w:rsidRPr="00E47E83">
        <w:rPr>
          <w:rFonts w:ascii="Times New Roman" w:hAnsi="Times New Roman"/>
          <w:lang w:val="hu-HU"/>
        </w:rPr>
        <w:t xml:space="preserve"> növekedett (C</w:t>
      </w:r>
      <w:r w:rsidRPr="00E47E83">
        <w:rPr>
          <w:rFonts w:ascii="Times New Roman" w:hAnsi="Times New Roman"/>
          <w:vertAlign w:val="subscript"/>
          <w:lang w:val="hu-HU"/>
        </w:rPr>
        <w:t>max</w:t>
      </w:r>
      <w:r w:rsidRPr="00E47E83">
        <w:rPr>
          <w:rFonts w:ascii="Times New Roman" w:hAnsi="Times New Roman"/>
          <w:lang w:val="hu-HU"/>
        </w:rPr>
        <w:t xml:space="preserve"> 8-66%; AUC 32-134%), és a teljestest-clearance csökkent a normál vesefunkciójú egyénekhez viszonyítva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83980C6" w14:textId="77777777" w:rsidR="00EE6263" w:rsidRPr="00CA29AC" w:rsidRDefault="00EE6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10E02EC" w14:textId="3459742A" w:rsidR="00EF31E8" w:rsidRPr="00CA29AC" w:rsidRDefault="00760F1A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Etnikum: A korlátozott mennyiségű adat arra utal, hogy a rassznak nincs semmilyen jelentős befolyása a vildagliptin farmakokinetikájára</w:t>
      </w:r>
      <w:r w:rsidR="00957D78" w:rsidRPr="00E47E83">
        <w:rPr>
          <w:rFonts w:ascii="Times New Roman" w:hAnsi="Times New Roman"/>
          <w:lang w:val="hu-HU"/>
        </w:rPr>
        <w:t>.</w:t>
      </w:r>
    </w:p>
    <w:p w14:paraId="5192ED27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CA0CDB5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Metformin</w:t>
      </w:r>
    </w:p>
    <w:p w14:paraId="100058BF" w14:textId="77777777" w:rsidR="00957D78" w:rsidRPr="00CA29AC" w:rsidRDefault="00957D7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8594F81" w14:textId="77777777" w:rsidR="00EF31E8" w:rsidRPr="00CA29AC" w:rsidRDefault="00310403" w:rsidP="00E92AEE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Felszívódás</w:t>
      </w:r>
    </w:p>
    <w:p w14:paraId="154C09F1" w14:textId="7A434BAA" w:rsidR="00633EA5" w:rsidRPr="00CA29AC" w:rsidRDefault="00633EA5" w:rsidP="00E92AEE">
      <w:pPr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Egyetlen </w:t>
      </w:r>
      <w:r w:rsidRPr="00CA29AC">
        <w:rPr>
          <w:rFonts w:ascii="Times New Roman" w:hAnsi="Times New Roman"/>
          <w:i/>
          <w:iCs/>
          <w:lang w:val="hu-HU"/>
        </w:rPr>
        <w:t>per os</w:t>
      </w:r>
      <w:r w:rsidRPr="00E47E83">
        <w:rPr>
          <w:rFonts w:ascii="Times New Roman" w:hAnsi="Times New Roman"/>
          <w:lang w:val="hu-HU"/>
        </w:rPr>
        <w:t xml:space="preserve"> metformin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után a maximális plazmakoncentráció (C</w:t>
      </w:r>
      <w:r w:rsidRPr="00E47E83">
        <w:rPr>
          <w:rFonts w:ascii="Times New Roman" w:hAnsi="Times New Roman"/>
          <w:vertAlign w:val="subscript"/>
          <w:lang w:val="hu-HU"/>
        </w:rPr>
        <w:t>max</w:t>
      </w:r>
      <w:r w:rsidRPr="00E47E83">
        <w:rPr>
          <w:rFonts w:ascii="Times New Roman" w:hAnsi="Times New Roman"/>
          <w:lang w:val="hu-HU"/>
        </w:rPr>
        <w:t>) kb. 2,5</w:t>
      </w:r>
      <w:r w:rsidR="00354D5A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óra múlva alakul ki. Egészséges önkénteseknél egy 500</w:t>
      </w:r>
      <w:r w:rsidR="00354D5A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mg-os metformin tabletta abszolút biohasznosulása kb. 50-60%. Egy orális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után a székletből visszanyerhető, nem felszívódott frakció 20-30% volt.</w:t>
      </w:r>
    </w:p>
    <w:p w14:paraId="2126229E" w14:textId="77777777" w:rsidR="00633EA5" w:rsidRPr="00CA29AC" w:rsidRDefault="00633EA5" w:rsidP="00E92AEE">
      <w:pPr>
        <w:spacing w:after="0" w:line="240" w:lineRule="auto"/>
        <w:rPr>
          <w:rFonts w:ascii="Times New Roman" w:hAnsi="Times New Roman"/>
          <w:lang w:val="hu-HU"/>
        </w:rPr>
      </w:pPr>
    </w:p>
    <w:p w14:paraId="4F0AC67D" w14:textId="7B8789C2" w:rsidR="00633EA5" w:rsidRPr="00CA29AC" w:rsidRDefault="00633EA5" w:rsidP="00E92AEE">
      <w:pPr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Szájon át történő alkalmazást követően a metformin felszívódása telíthető és nem teljes. Feltételezések szerint a metformin felszívódásának farmakokinetikája nem lineáris. A szokásos metformin dózisok és adagolási rend esetén az egyensúlyi plazmakoncentráció 24-48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órán belül alakul ki, és általában kevesebb mint 1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μg/ml. Kontrollos klinikai vizsgálatokban a legmagasabb metformin plazmaszintek (C</w:t>
      </w:r>
      <w:r w:rsidRPr="00E47E83">
        <w:rPr>
          <w:rFonts w:ascii="Times New Roman" w:hAnsi="Times New Roman"/>
          <w:vertAlign w:val="subscript"/>
          <w:lang w:val="hu-HU"/>
        </w:rPr>
        <w:t>max</w:t>
      </w:r>
      <w:r w:rsidRPr="00E47E83">
        <w:rPr>
          <w:rFonts w:ascii="Times New Roman" w:hAnsi="Times New Roman"/>
          <w:lang w:val="hu-HU"/>
        </w:rPr>
        <w:t>) nem haladták meg a 4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μg/ml-t, még maximális dózisoknál sem.</w:t>
      </w:r>
    </w:p>
    <w:p w14:paraId="6B6D8100" w14:textId="77777777" w:rsidR="00633EA5" w:rsidRPr="00CA29AC" w:rsidRDefault="00633EA5" w:rsidP="00E92AEE">
      <w:pPr>
        <w:spacing w:after="0" w:line="240" w:lineRule="auto"/>
        <w:rPr>
          <w:rFonts w:ascii="Times New Roman" w:hAnsi="Times New Roman"/>
          <w:lang w:val="hu-HU"/>
        </w:rPr>
      </w:pPr>
    </w:p>
    <w:p w14:paraId="62FAC3CD" w14:textId="666F6742" w:rsidR="00EF31E8" w:rsidRPr="00CA29AC" w:rsidRDefault="00633EA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A táplálék némiképp hátráltatja a metformin felszívódását, és csökkenti annak mértékét. Egy</w:t>
      </w:r>
      <w:r w:rsidRPr="00E47E83">
        <w:rPr>
          <w:rFonts w:ascii="Times New Roman" w:hAnsi="Times New Roman"/>
          <w:lang w:val="hu-HU"/>
        </w:rPr>
        <w:t xml:space="preserve"> 850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mg-os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alkalmazását követően a plazma csúcskoncentráció 40%-kal alacsonyabb volt, az AUC 25%-kal csökkent, és a plazma csúcskoncentráció eléréséig szükséges idő 35</w:t>
      </w:r>
      <w:r w:rsidR="006E3C99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perccel megnyúlt. Ennek a csökkenésnek a klinikai jelentősége nem ismert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49367167" w14:textId="77777777" w:rsidR="00EE6263" w:rsidRPr="00CA29AC" w:rsidRDefault="00EE6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8A965C4" w14:textId="77777777" w:rsidR="00EF31E8" w:rsidRPr="00CA29AC" w:rsidRDefault="00CE4B9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Eloszlás</w:t>
      </w:r>
    </w:p>
    <w:p w14:paraId="25B1F8E1" w14:textId="5AD94AAF" w:rsidR="00EF31E8" w:rsidRPr="00CA29AC" w:rsidRDefault="00327419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plazmafehérjékhez való kötődés elhanyagolható. A metformin a vörösvértestekben oszlik szét. Az átlagos megoszlási volumen (V</w:t>
      </w:r>
      <w:r w:rsidRPr="00E47E83">
        <w:rPr>
          <w:rFonts w:ascii="Times New Roman" w:hAnsi="Times New Roman"/>
          <w:vertAlign w:val="subscript"/>
          <w:lang w:val="hu-HU"/>
        </w:rPr>
        <w:t>d</w:t>
      </w:r>
      <w:r w:rsidRPr="00E47E83">
        <w:rPr>
          <w:rFonts w:ascii="Times New Roman" w:hAnsi="Times New Roman"/>
          <w:lang w:val="hu-HU"/>
        </w:rPr>
        <w:t>) a 63-276</w:t>
      </w:r>
      <w:r w:rsidR="00DE691A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l közti tartományba esik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7A5A010" w14:textId="77777777" w:rsidR="00EE6263" w:rsidRPr="00CA29AC" w:rsidRDefault="00EE6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7FA54DC" w14:textId="77777777" w:rsidR="003267E1" w:rsidRPr="00CA29AC" w:rsidRDefault="003267E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Biotranszformáció</w:t>
      </w:r>
    </w:p>
    <w:p w14:paraId="09966DF7" w14:textId="4AD51E41" w:rsidR="00EE6263" w:rsidRPr="00CA29AC" w:rsidRDefault="0092433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metformin változatlan formában ürül a vizelettel. Embern</w:t>
      </w:r>
      <w:r w:rsidR="00F01F37">
        <w:rPr>
          <w:rFonts w:ascii="Times New Roman" w:hAnsi="Times New Roman"/>
          <w:lang w:val="hu-HU"/>
        </w:rPr>
        <w:t>él</w:t>
      </w:r>
      <w:r w:rsidRPr="00E47E83">
        <w:rPr>
          <w:rFonts w:ascii="Times New Roman" w:hAnsi="Times New Roman"/>
          <w:lang w:val="hu-HU"/>
        </w:rPr>
        <w:t xml:space="preserve"> nem azonosítottak metabolitokat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6B0561BD" w14:textId="77777777" w:rsidR="00EE6263" w:rsidRPr="00CA29AC" w:rsidRDefault="00EE6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88374AA" w14:textId="77777777" w:rsidR="00EF31E8" w:rsidRPr="00CA29AC" w:rsidRDefault="0067039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u w:val="single"/>
          <w:lang w:val="hu-HU"/>
        </w:rPr>
      </w:pPr>
      <w:r w:rsidRPr="00CA29AC">
        <w:rPr>
          <w:rFonts w:ascii="Times New Roman" w:hAnsi="Times New Roman"/>
          <w:iCs/>
          <w:u w:val="single"/>
          <w:lang w:val="hu-HU"/>
        </w:rPr>
        <w:t>Elimináció</w:t>
      </w:r>
    </w:p>
    <w:p w14:paraId="761F71E6" w14:textId="799F08F1" w:rsidR="00EE6263" w:rsidRPr="00CA29AC" w:rsidRDefault="00111B6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 xml:space="preserve">A metformin renális excretióval eliminálódik. A metformin renális clearance </w:t>
      </w:r>
      <w:r w:rsidR="002D0A2A" w:rsidRPr="00E47E83">
        <w:rPr>
          <w:rFonts w:ascii="Times New Roman" w:eastAsia="Times New Roman" w:hAnsi="Times New Roman"/>
          <w:lang w:val="hu-HU" w:bidi="en-US"/>
        </w:rPr>
        <w:t xml:space="preserve">értéke </w:t>
      </w:r>
      <w:r w:rsidRPr="00E47E83">
        <w:rPr>
          <w:rFonts w:ascii="Times New Roman" w:eastAsia="Times New Roman" w:hAnsi="Times New Roman"/>
          <w:lang w:val="hu-HU" w:bidi="en-US"/>
        </w:rPr>
        <w:t>&gt;</w:t>
      </w:r>
      <w:r w:rsidR="00646F0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400</w:t>
      </w:r>
      <w:r w:rsidR="00646F03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ml/perc, ami arra utal, hogy a metformin glomerul</w:t>
      </w:r>
      <w:r w:rsidR="00CC44CA">
        <w:rPr>
          <w:rFonts w:ascii="Times New Roman" w:eastAsia="Times New Roman" w:hAnsi="Times New Roman"/>
          <w:lang w:val="hu-HU" w:bidi="en-US"/>
        </w:rPr>
        <w:t>u</w:t>
      </w:r>
      <w:r w:rsidRPr="00E47E83">
        <w:rPr>
          <w:rFonts w:ascii="Times New Roman" w:eastAsia="Times New Roman" w:hAnsi="Times New Roman"/>
          <w:lang w:val="hu-HU" w:bidi="en-US"/>
        </w:rPr>
        <w:t>sfiltrációval és tubuláris szekrécióval eliminálódik.</w:t>
      </w:r>
      <w:r w:rsidRPr="00E47E83">
        <w:rPr>
          <w:rFonts w:ascii="Times New Roman" w:hAnsi="Times New Roman"/>
          <w:lang w:val="hu-HU"/>
        </w:rPr>
        <w:t xml:space="preserve"> Egyetlen </w:t>
      </w:r>
      <w:r w:rsidRPr="00E47E83">
        <w:rPr>
          <w:rFonts w:ascii="Times New Roman" w:hAnsi="Times New Roman"/>
          <w:i/>
          <w:lang w:val="hu-HU"/>
        </w:rPr>
        <w:t>per os</w:t>
      </w:r>
      <w:r w:rsidRPr="00E47E83">
        <w:rPr>
          <w:rFonts w:ascii="Times New Roman" w:hAnsi="Times New Roman"/>
          <w:lang w:val="hu-HU"/>
        </w:rPr>
        <w:t xml:space="preserve">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után a látszólagos terminális felezési idő kb. 6,5</w:t>
      </w:r>
      <w:r w:rsidR="00646F0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óra. </w:t>
      </w:r>
      <w:r w:rsidR="00CC44CA">
        <w:rPr>
          <w:rFonts w:ascii="Times New Roman" w:hAnsi="Times New Roman"/>
          <w:lang w:val="hu-HU"/>
        </w:rPr>
        <w:t>V</w:t>
      </w:r>
      <w:r w:rsidRPr="00E47E83">
        <w:rPr>
          <w:rFonts w:ascii="Times New Roman" w:hAnsi="Times New Roman"/>
          <w:lang w:val="hu-HU"/>
        </w:rPr>
        <w:t>esekárosod</w:t>
      </w:r>
      <w:r w:rsidR="00CC44CA">
        <w:rPr>
          <w:rFonts w:ascii="Times New Roman" w:hAnsi="Times New Roman"/>
          <w:lang w:val="hu-HU"/>
        </w:rPr>
        <w:t>ás esetén</w:t>
      </w:r>
      <w:r w:rsidRPr="00E47E83">
        <w:rPr>
          <w:rFonts w:ascii="Times New Roman" w:hAnsi="Times New Roman"/>
          <w:lang w:val="hu-HU"/>
        </w:rPr>
        <w:t xml:space="preserve"> a renális clearance a kreatinin-clearance csökkenés mértékével arányosan csökken, és így az eliminációs felezési idő megnyúlik, ami a metformin plazmaszintjének emelkedéséhez vezet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2F618416" w14:textId="77777777" w:rsidR="00EE6263" w:rsidRPr="00CA29AC" w:rsidRDefault="00EE6263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B14F976" w14:textId="77777777" w:rsidR="009B6B08" w:rsidRPr="00CA29AC" w:rsidRDefault="009B6B08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5.3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 preklinikai biztonságossági vizsgálatok eredményei</w:t>
      </w:r>
    </w:p>
    <w:p w14:paraId="7EB309EB" w14:textId="77777777" w:rsidR="007139EE" w:rsidRPr="00CA29AC" w:rsidRDefault="007139EE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35906559" w14:textId="28764113" w:rsidR="00EF31E8" w:rsidRPr="00CA29AC" w:rsidRDefault="00D1782D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A </w:t>
      </w:r>
      <w:r w:rsidR="00DA142B" w:rsidRPr="00E47E83">
        <w:rPr>
          <w:rFonts w:ascii="Times New Roman" w:hAnsi="Times New Roman"/>
          <w:lang w:val="hu-HU"/>
        </w:rPr>
        <w:t>vidagliptin/metformin-hidroklorid fix komináció</w:t>
      </w:r>
      <w:r w:rsidRPr="00E47E83">
        <w:rPr>
          <w:rFonts w:ascii="Times New Roman" w:hAnsi="Times New Roman"/>
          <w:lang w:val="hu-HU"/>
        </w:rPr>
        <w:t>ban lévő hatóanyagok kombinációjával legfeljebb 13</w:t>
      </w:r>
      <w:r w:rsidR="00646F0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hétig tartó állatkísérleteket végeztek. A kombinációval kapcsolatba hozható, új toxicitásokat nem észleltek. Az alábbi adatok a vildagliptinnel vagy metforminnal külön-külön végzett vizsgálatokból származó eredmények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7F8CCD3D" w14:textId="77777777" w:rsidR="006535D6" w:rsidRPr="00E47E83" w:rsidRDefault="006535D6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7AA890E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Vildagliptin</w:t>
      </w:r>
    </w:p>
    <w:p w14:paraId="4458CD81" w14:textId="77777777" w:rsidR="001C0135" w:rsidRPr="00CA29AC" w:rsidRDefault="001C013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DD0AB87" w14:textId="5BAB45C6" w:rsidR="00F772C7" w:rsidRPr="00CA29AC" w:rsidRDefault="00F772C7" w:rsidP="00E92AEE">
      <w:pPr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Kutyák</w:t>
      </w:r>
      <w:r w:rsidR="002D0A2A" w:rsidRPr="00E47E83">
        <w:rPr>
          <w:rFonts w:ascii="Times New Roman" w:hAnsi="Times New Roman"/>
          <w:lang w:val="hu-HU"/>
        </w:rPr>
        <w:t>nál</w:t>
      </w:r>
      <w:r w:rsidRPr="00E47E83">
        <w:rPr>
          <w:rFonts w:ascii="Times New Roman" w:hAnsi="Times New Roman"/>
          <w:lang w:val="hu-HU"/>
        </w:rPr>
        <w:t xml:space="preserve"> az intrakardiális ingerületvezetés lassulását figyelték meg, a „hatást nem okozó” dózis15</w:t>
      </w:r>
      <w:r w:rsidR="00646F0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 volt (a C</w:t>
      </w:r>
      <w:r w:rsidRPr="00E47E83">
        <w:rPr>
          <w:rFonts w:ascii="Times New Roman" w:hAnsi="Times New Roman"/>
          <w:vertAlign w:val="subscript"/>
          <w:lang w:val="hu-HU"/>
        </w:rPr>
        <w:t>max</w:t>
      </w:r>
      <w:r w:rsidRPr="00E47E83">
        <w:rPr>
          <w:rFonts w:ascii="Times New Roman" w:hAnsi="Times New Roman"/>
          <w:lang w:val="hu-HU"/>
        </w:rPr>
        <w:t xml:space="preserve"> alapján a humán expozíció 7-szerese). </w:t>
      </w:r>
    </w:p>
    <w:p w14:paraId="69510F77" w14:textId="65270706" w:rsidR="00F772C7" w:rsidRPr="00CA29AC" w:rsidRDefault="00F772C7" w:rsidP="00E92AEE">
      <w:pPr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Patkányok</w:t>
      </w:r>
      <w:r w:rsidR="002D0A2A" w:rsidRPr="00E47E83">
        <w:rPr>
          <w:rFonts w:ascii="Times New Roman" w:eastAsia="Times New Roman" w:hAnsi="Times New Roman"/>
          <w:lang w:val="hu-HU" w:bidi="en-US"/>
        </w:rPr>
        <w:t>nál</w:t>
      </w:r>
      <w:r w:rsidRPr="00E47E83">
        <w:rPr>
          <w:rFonts w:ascii="Times New Roman" w:eastAsia="Times New Roman" w:hAnsi="Times New Roman"/>
          <w:lang w:val="hu-HU" w:bidi="en-US"/>
        </w:rPr>
        <w:t xml:space="preserve"> és egerek</w:t>
      </w:r>
      <w:r w:rsidR="002D0A2A" w:rsidRPr="00E47E83">
        <w:rPr>
          <w:rFonts w:ascii="Times New Roman" w:eastAsia="Times New Roman" w:hAnsi="Times New Roman"/>
          <w:lang w:val="hu-HU" w:bidi="en-US"/>
        </w:rPr>
        <w:t>nél</w:t>
      </w:r>
      <w:r w:rsidRPr="00E47E83">
        <w:rPr>
          <w:rFonts w:ascii="Times New Roman" w:eastAsia="Times New Roman" w:hAnsi="Times New Roman"/>
          <w:lang w:val="hu-HU" w:bidi="en-US"/>
        </w:rPr>
        <w:t xml:space="preserve"> habos alveoláris makrofágok akkumulációját figyelték meg a tüdőben. A</w:t>
      </w:r>
      <w:r w:rsidRPr="00E47E83">
        <w:rPr>
          <w:rFonts w:ascii="Times New Roman" w:hAnsi="Times New Roman"/>
          <w:lang w:val="hu-HU"/>
        </w:rPr>
        <w:t xml:space="preserve"> „hatást nem okozó” dózis patkányok</w:t>
      </w:r>
      <w:r w:rsidR="002D0A2A" w:rsidRPr="00E47E83">
        <w:rPr>
          <w:rFonts w:ascii="Times New Roman" w:hAnsi="Times New Roman"/>
          <w:lang w:val="hu-HU"/>
        </w:rPr>
        <w:t>nál</w:t>
      </w:r>
      <w:r w:rsidRPr="00E47E83">
        <w:rPr>
          <w:rFonts w:ascii="Times New Roman" w:hAnsi="Times New Roman"/>
          <w:lang w:val="hu-HU"/>
        </w:rPr>
        <w:t xml:space="preserve"> 25</w:t>
      </w:r>
      <w:r w:rsidR="00646F0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 (a</w:t>
      </w:r>
      <w:r w:rsidR="00F36EF1" w:rsidRPr="00E47E83">
        <w:rPr>
          <w:rFonts w:ascii="Times New Roman" w:hAnsi="Times New Roman"/>
          <w:lang w:val="hu-HU"/>
        </w:rPr>
        <w:t>z AUC</w:t>
      </w:r>
      <w:r w:rsidRPr="00E47E83">
        <w:rPr>
          <w:rFonts w:ascii="Times New Roman" w:hAnsi="Times New Roman"/>
          <w:lang w:val="hu-HU"/>
        </w:rPr>
        <w:t xml:space="preserve"> alapján a humán expozíció 5-szöröse), míg egerek</w:t>
      </w:r>
      <w:r w:rsidR="002D0A2A" w:rsidRPr="00E47E83">
        <w:rPr>
          <w:rFonts w:ascii="Times New Roman" w:hAnsi="Times New Roman"/>
          <w:lang w:val="hu-HU"/>
        </w:rPr>
        <w:t>nél</w:t>
      </w:r>
      <w:r w:rsidRPr="00E47E83">
        <w:rPr>
          <w:rFonts w:ascii="Times New Roman" w:hAnsi="Times New Roman"/>
          <w:lang w:val="hu-HU"/>
        </w:rPr>
        <w:t xml:space="preserve"> 750</w:t>
      </w:r>
      <w:r w:rsidR="00646F03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 volt (a humán expozíció 142-szerese).</w:t>
      </w:r>
    </w:p>
    <w:p w14:paraId="24EA3571" w14:textId="77777777" w:rsidR="005F36B2" w:rsidRPr="00E47E83" w:rsidRDefault="005F36B2">
      <w:pPr>
        <w:pStyle w:val="Szvegtrzs"/>
        <w:spacing w:before="5"/>
        <w:rPr>
          <w:sz w:val="21"/>
          <w:lang w:val="hu-HU"/>
        </w:rPr>
      </w:pPr>
    </w:p>
    <w:p w14:paraId="65CB35A0" w14:textId="25456C97" w:rsidR="00EF31E8" w:rsidRPr="00CA29AC" w:rsidRDefault="00F772C7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Kutyáknál emésztőrendszeri tüneteket figyeltek meg, elsősorban laza székletet, nyákos székletet, hasmenést és </w:t>
      </w:r>
      <w:r w:rsidR="008C2A5A">
        <w:rPr>
          <w:rFonts w:ascii="Times New Roman" w:hAnsi="Times New Roman"/>
          <w:lang w:val="hu-HU"/>
        </w:rPr>
        <w:t>nagy</w:t>
      </w:r>
      <w:r w:rsidR="008C2A5A" w:rsidRPr="00E47E83">
        <w:rPr>
          <w:rFonts w:ascii="Times New Roman" w:hAnsi="Times New Roman"/>
          <w:lang w:val="hu-HU"/>
        </w:rPr>
        <w:t xml:space="preserve">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ok mellett véres székletet. A „hatást nem okozó” dózist nem határozták meg.</w:t>
      </w:r>
    </w:p>
    <w:p w14:paraId="3FD51C75" w14:textId="77777777" w:rsidR="006535D6" w:rsidRPr="00CA29AC" w:rsidRDefault="006535D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DB18C78" w14:textId="77777777" w:rsidR="003C7AE2" w:rsidRPr="00CA29AC" w:rsidRDefault="003C7AE2" w:rsidP="00E92AEE">
      <w:pPr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lastRenderedPageBreak/>
        <w:t xml:space="preserve">A hagyományos </w:t>
      </w:r>
      <w:r w:rsidRPr="00E47E83">
        <w:rPr>
          <w:rFonts w:ascii="Times New Roman" w:hAnsi="Times New Roman"/>
          <w:i/>
          <w:lang w:val="hu-HU"/>
        </w:rPr>
        <w:t>in vitro</w:t>
      </w:r>
      <w:r w:rsidRPr="00E47E83">
        <w:rPr>
          <w:rFonts w:ascii="Times New Roman" w:hAnsi="Times New Roman"/>
          <w:lang w:val="hu-HU"/>
        </w:rPr>
        <w:t xml:space="preserve"> és </w:t>
      </w:r>
      <w:r w:rsidRPr="00E47E83">
        <w:rPr>
          <w:rFonts w:ascii="Times New Roman" w:hAnsi="Times New Roman"/>
          <w:i/>
          <w:lang w:val="hu-HU"/>
        </w:rPr>
        <w:t>in vivo</w:t>
      </w:r>
      <w:r w:rsidRPr="00E47E83">
        <w:rPr>
          <w:rFonts w:ascii="Times New Roman" w:hAnsi="Times New Roman"/>
          <w:lang w:val="hu-HU"/>
        </w:rPr>
        <w:t xml:space="preserve"> genotoxicitási vizsgálatokban a vildagliptin nem volt mutagén.</w:t>
      </w:r>
    </w:p>
    <w:p w14:paraId="4F66BAE0" w14:textId="7363968C" w:rsidR="00EF31E8" w:rsidRPr="00CA29AC" w:rsidRDefault="003C7AE2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Egy pa</w:t>
      </w:r>
      <w:r w:rsidR="00646F03" w:rsidRPr="00E47E83">
        <w:rPr>
          <w:rFonts w:ascii="Times New Roman" w:eastAsia="Times New Roman" w:hAnsi="Times New Roman"/>
          <w:lang w:val="hu-HU" w:bidi="en-US"/>
        </w:rPr>
        <w:t>t</w:t>
      </w:r>
      <w:r w:rsidRPr="00E47E83">
        <w:rPr>
          <w:rFonts w:ascii="Times New Roman" w:eastAsia="Times New Roman" w:hAnsi="Times New Roman"/>
          <w:lang w:val="hu-HU" w:bidi="en-US"/>
        </w:rPr>
        <w:t>kányok</w:t>
      </w:r>
      <w:r w:rsidR="003168A4" w:rsidRPr="00E47E83">
        <w:rPr>
          <w:rFonts w:ascii="Times New Roman" w:eastAsia="Times New Roman" w:hAnsi="Times New Roman"/>
          <w:lang w:val="hu-HU" w:bidi="en-US"/>
        </w:rPr>
        <w:t>kal</w:t>
      </w:r>
      <w:r w:rsidRPr="00E47E83">
        <w:rPr>
          <w:rFonts w:ascii="Times New Roman" w:eastAsia="Times New Roman" w:hAnsi="Times New Roman"/>
          <w:lang w:val="hu-HU" w:bidi="en-US"/>
        </w:rPr>
        <w:t xml:space="preserve"> végzett, a fertilitást és a korai embrionális fejlődést tanulmányozó vizsgálat nem utalt arra, hogy a vildagliptin károsan hatna a fertilitásra, a reproduktív teljesítményre vagy a korai embrionális fejlődésre. Az embriofoetalis toxicitást patkányok</w:t>
      </w:r>
      <w:r w:rsidR="002D0A2A" w:rsidRPr="00E47E83">
        <w:rPr>
          <w:rFonts w:ascii="Times New Roman" w:eastAsia="Times New Roman" w:hAnsi="Times New Roman"/>
          <w:lang w:val="hu-HU" w:bidi="en-US"/>
        </w:rPr>
        <w:t>nál</w:t>
      </w:r>
      <w:r w:rsidRPr="00E47E83">
        <w:rPr>
          <w:rFonts w:ascii="Times New Roman" w:eastAsia="Times New Roman" w:hAnsi="Times New Roman"/>
          <w:lang w:val="hu-HU" w:bidi="en-US"/>
        </w:rPr>
        <w:t xml:space="preserve"> és nyulak</w:t>
      </w:r>
      <w:r w:rsidR="002D0A2A" w:rsidRPr="00E47E83">
        <w:rPr>
          <w:rFonts w:ascii="Times New Roman" w:eastAsia="Times New Roman" w:hAnsi="Times New Roman"/>
          <w:lang w:val="hu-HU" w:bidi="en-US"/>
        </w:rPr>
        <w:t>nál</w:t>
      </w:r>
      <w:r w:rsidRPr="00E47E83">
        <w:rPr>
          <w:rFonts w:ascii="Times New Roman" w:eastAsia="Times New Roman" w:hAnsi="Times New Roman"/>
          <w:lang w:val="hu-HU" w:bidi="en-US"/>
        </w:rPr>
        <w:t xml:space="preserve"> vizsgálták. Patkányok</w:t>
      </w:r>
      <w:r w:rsidR="002D0A2A" w:rsidRPr="00E47E83">
        <w:rPr>
          <w:rFonts w:ascii="Times New Roman" w:eastAsia="Times New Roman" w:hAnsi="Times New Roman"/>
          <w:lang w:val="hu-HU" w:bidi="en-US"/>
        </w:rPr>
        <w:t>nál</w:t>
      </w:r>
      <w:r w:rsidRPr="00E47E83">
        <w:rPr>
          <w:rFonts w:ascii="Times New Roman" w:eastAsia="Times New Roman" w:hAnsi="Times New Roman"/>
          <w:lang w:val="hu-HU" w:bidi="en-US"/>
        </w:rPr>
        <w:t xml:space="preserve"> a lengőbordák incidenciájának növekedését észlelték, ami az anyai</w:t>
      </w:r>
      <w:r w:rsidRPr="00E47E83">
        <w:rPr>
          <w:rFonts w:ascii="Times New Roman" w:hAnsi="Times New Roman"/>
          <w:lang w:val="hu-HU"/>
        </w:rPr>
        <w:t xml:space="preserve"> testtömeg-paraméterek csökkenéséhez társult, és a „hatást nem okozó” dózis 75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 volt (a humán expozíció 10-szerese). Nyulak</w:t>
      </w:r>
      <w:r w:rsidR="002D0A2A" w:rsidRPr="00E47E83">
        <w:rPr>
          <w:rFonts w:ascii="Times New Roman" w:hAnsi="Times New Roman"/>
          <w:lang w:val="hu-HU"/>
        </w:rPr>
        <w:t xml:space="preserve"> eseté</w:t>
      </w:r>
      <w:r w:rsidRPr="00E47E83">
        <w:rPr>
          <w:rFonts w:ascii="Times New Roman" w:hAnsi="Times New Roman"/>
          <w:lang w:val="hu-HU"/>
        </w:rPr>
        <w:t>b</w:t>
      </w:r>
      <w:r w:rsidR="002D0A2A" w:rsidRPr="00E47E83">
        <w:rPr>
          <w:rFonts w:ascii="Times New Roman" w:hAnsi="Times New Roman"/>
          <w:lang w:val="hu-HU"/>
        </w:rPr>
        <w:t>e</w:t>
      </w:r>
      <w:r w:rsidRPr="00E47E83">
        <w:rPr>
          <w:rFonts w:ascii="Times New Roman" w:hAnsi="Times New Roman"/>
          <w:lang w:val="hu-HU"/>
        </w:rPr>
        <w:t xml:space="preserve">n a retardált fejlődésre utaló magzati </w:t>
      </w:r>
      <w:r w:rsidR="00821759">
        <w:rPr>
          <w:rFonts w:ascii="Times New Roman" w:hAnsi="Times New Roman"/>
          <w:lang w:val="hu-HU"/>
        </w:rPr>
        <w:t>testtömeg</w:t>
      </w:r>
      <w:r w:rsidRPr="00E47E83">
        <w:rPr>
          <w:rFonts w:ascii="Times New Roman" w:hAnsi="Times New Roman"/>
          <w:lang w:val="hu-HU"/>
        </w:rPr>
        <w:t>csökkenést és csontvázeltéréseket kizárólag súlyos anyai toxicitás jelenlétében figyeltek meg, a „hatást nem okozó” dózis 50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 xml:space="preserve">kg volt (a humán expozíció 9-szerese). Egy pre- és posztnatális fejlődési vizsgálatot </w:t>
      </w:r>
      <w:r w:rsidR="002D0A2A" w:rsidRPr="00E47E83">
        <w:rPr>
          <w:rFonts w:ascii="Times New Roman" w:hAnsi="Times New Roman"/>
          <w:lang w:val="hu-HU"/>
        </w:rPr>
        <w:t xml:space="preserve">végeztek </w:t>
      </w:r>
      <w:r w:rsidRPr="00E47E83">
        <w:rPr>
          <w:rFonts w:ascii="Times New Roman" w:hAnsi="Times New Roman"/>
          <w:lang w:val="hu-HU"/>
        </w:rPr>
        <w:t>patkányok</w:t>
      </w:r>
      <w:r w:rsidR="00E81E84" w:rsidRPr="00E47E83">
        <w:rPr>
          <w:rFonts w:ascii="Times New Roman" w:hAnsi="Times New Roman"/>
          <w:lang w:val="hu-HU"/>
        </w:rPr>
        <w:t>kal</w:t>
      </w:r>
      <w:r w:rsidRPr="00E47E83">
        <w:rPr>
          <w:rFonts w:ascii="Times New Roman" w:hAnsi="Times New Roman"/>
          <w:lang w:val="hu-HU"/>
        </w:rPr>
        <w:t>. Elváltozásokat csak anyai toxicitás mellett, ≥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150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kg-nál figyeltek meg az F1 generációban, köztük a testtömeg átmeneti csökkenését és a motoros aktivitás csökkenését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31BF0C7" w14:textId="77777777" w:rsidR="006535D6" w:rsidRPr="00CA29AC" w:rsidRDefault="006535D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1F0CE1F" w14:textId="5BE12935" w:rsidR="00EF31E8" w:rsidRPr="00CA29AC" w:rsidRDefault="00D34120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Egy kétéves karcinogenitási vizsgálatot végeztek patkányok</w:t>
      </w:r>
      <w:r w:rsidR="00E81E84" w:rsidRPr="00E47E83">
        <w:rPr>
          <w:rFonts w:ascii="Times New Roman" w:hAnsi="Times New Roman"/>
          <w:lang w:val="hu-HU"/>
        </w:rPr>
        <w:t>kal</w:t>
      </w:r>
      <w:r w:rsidRPr="00E47E83">
        <w:rPr>
          <w:rFonts w:ascii="Times New Roman" w:hAnsi="Times New Roman"/>
          <w:lang w:val="hu-HU"/>
        </w:rPr>
        <w:t>, 900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 xml:space="preserve">kg-ig terjedő orális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okkal (a maximális ajánlott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ok melletti humán expozíció megközelítőleg 200-szorosa). Nem észlelték a tumorok incidenciájának vildagliptinnek tulajdonítható növekedését. Egy másik kétéves karcinogenitási vizsgálatot egerek</w:t>
      </w:r>
      <w:r w:rsidR="002D0A2A" w:rsidRPr="00E47E83">
        <w:rPr>
          <w:rFonts w:ascii="Times New Roman" w:hAnsi="Times New Roman"/>
          <w:lang w:val="hu-HU"/>
        </w:rPr>
        <w:t>kel</w:t>
      </w:r>
      <w:r w:rsidRPr="00E47E83">
        <w:rPr>
          <w:rFonts w:ascii="Times New Roman" w:hAnsi="Times New Roman"/>
          <w:lang w:val="hu-HU"/>
        </w:rPr>
        <w:t xml:space="preserve"> végeztek, 1000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 xml:space="preserve">kg-ig terjedő orális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>okkal. Az emlő adenokarcinómák és a hemangiosar</w:t>
      </w:r>
      <w:r w:rsidR="00F36EF1" w:rsidRPr="00E47E83">
        <w:rPr>
          <w:rFonts w:ascii="Times New Roman" w:hAnsi="Times New Roman"/>
          <w:lang w:val="hu-HU"/>
        </w:rPr>
        <w:t>co</w:t>
      </w:r>
      <w:r w:rsidRPr="00E47E83">
        <w:rPr>
          <w:rFonts w:ascii="Times New Roman" w:hAnsi="Times New Roman"/>
          <w:lang w:val="hu-HU"/>
        </w:rPr>
        <w:t>mák incidenciájának növekedését figyelték meg, az adenokarcinómák esetén 500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 (a humán expozíció 59-szerese), a hemangiosar</w:t>
      </w:r>
      <w:r w:rsidR="00F36EF1" w:rsidRPr="00E47E83">
        <w:rPr>
          <w:rFonts w:ascii="Times New Roman" w:hAnsi="Times New Roman"/>
          <w:lang w:val="hu-HU"/>
        </w:rPr>
        <w:t>co</w:t>
      </w:r>
      <w:r w:rsidRPr="00E47E83">
        <w:rPr>
          <w:rFonts w:ascii="Times New Roman" w:hAnsi="Times New Roman"/>
          <w:lang w:val="hu-HU"/>
        </w:rPr>
        <w:t>mák esetén 100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>kg (a humán expozíció 16-szorosa) „hatást nem okozó” dózissal. Ezen tumorok incidenciájának egereknél észlelt növekedése nem jelent jelentős kockázatot emberek számára, mivel a vildagliptin és az elsődleges metabolitja nem genotoxikus, a tumorok előfordulását csak egyetlen fajban és csak nagyon magas szisztémás expozíció mellett észlelték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E204E36" w14:textId="77777777" w:rsidR="006535D6" w:rsidRPr="00CA29AC" w:rsidRDefault="006535D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8652404" w14:textId="51A19C12" w:rsidR="00EF31E8" w:rsidRPr="00CA29AC" w:rsidRDefault="00210E8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Egy 13</w:t>
      </w:r>
      <w:r w:rsidR="0096340F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 xml:space="preserve">hetes toxikológiai vizsgálatban </w:t>
      </w:r>
      <w:r w:rsidR="002D0A2A" w:rsidRPr="00E47E83">
        <w:rPr>
          <w:rFonts w:ascii="Times New Roman" w:eastAsia="Times New Roman" w:hAnsi="Times New Roman"/>
          <w:lang w:val="hu-HU" w:bidi="en-US"/>
        </w:rPr>
        <w:t xml:space="preserve">makákóknál </w:t>
      </w:r>
      <w:r w:rsidRPr="00E47E83">
        <w:rPr>
          <w:rFonts w:ascii="Times New Roman" w:eastAsia="Times New Roman" w:hAnsi="Times New Roman"/>
          <w:lang w:val="hu-HU" w:bidi="en-US"/>
        </w:rPr>
        <w:t>bőrléziókat írtak le ≥</w:t>
      </w:r>
      <w:r w:rsidR="0096340F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5</w:t>
      </w:r>
      <w:r w:rsidR="0096340F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mg/</w:t>
      </w:r>
      <w:r w:rsidR="00F36EF1" w:rsidRPr="00E47E83">
        <w:rPr>
          <w:rFonts w:ascii="Times New Roman" w:eastAsia="Times New Roman" w:hAnsi="Times New Roman"/>
          <w:lang w:val="hu-HU" w:bidi="en-US"/>
        </w:rPr>
        <w:t>tt</w:t>
      </w:r>
      <w:r w:rsidRPr="00E47E83">
        <w:rPr>
          <w:rFonts w:ascii="Times New Roman" w:eastAsia="Times New Roman" w:hAnsi="Times New Roman"/>
          <w:lang w:val="hu-HU" w:bidi="en-US"/>
        </w:rPr>
        <w:t xml:space="preserve">kg/nap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>ok mellett. Ezek következetesen az akrális részeken (kezek, lábak, fülek és farok) helyezkedtek el. Az 5</w:t>
      </w:r>
      <w:r w:rsidR="0096340F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mg/</w:t>
      </w:r>
      <w:r w:rsidR="00F36EF1" w:rsidRPr="00E47E83">
        <w:rPr>
          <w:rFonts w:ascii="Times New Roman" w:eastAsia="Times New Roman" w:hAnsi="Times New Roman"/>
          <w:lang w:val="hu-HU" w:bidi="en-US"/>
        </w:rPr>
        <w:t>tt</w:t>
      </w:r>
      <w:r w:rsidRPr="00E47E83">
        <w:rPr>
          <w:rFonts w:ascii="Times New Roman" w:eastAsia="Times New Roman" w:hAnsi="Times New Roman"/>
          <w:lang w:val="hu-HU" w:bidi="en-US"/>
        </w:rPr>
        <w:t xml:space="preserve">kg/nap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 xml:space="preserve"> mellett (ami megközelítőleg megfelel a 100</w:t>
      </w:r>
      <w:r w:rsidR="0096340F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 xml:space="preserve">mg-os </w:t>
      </w:r>
      <w:r w:rsidR="00931044" w:rsidRPr="00E47E83">
        <w:rPr>
          <w:rFonts w:ascii="Times New Roman" w:eastAsia="Times New Roman" w:hAnsi="Times New Roman"/>
          <w:lang w:val="hu-HU" w:bidi="en-US"/>
        </w:rPr>
        <w:t>dózis</w:t>
      </w:r>
      <w:r w:rsidRPr="00E47E83">
        <w:rPr>
          <w:rFonts w:ascii="Times New Roman" w:eastAsia="Times New Roman" w:hAnsi="Times New Roman"/>
          <w:lang w:val="hu-HU" w:bidi="en-US"/>
        </w:rPr>
        <w:t xml:space="preserve"> melletti humán</w:t>
      </w:r>
      <w:r w:rsidRPr="00E47E83">
        <w:rPr>
          <w:rFonts w:ascii="Times New Roman" w:hAnsi="Times New Roman"/>
          <w:lang w:val="hu-HU"/>
        </w:rPr>
        <w:t xml:space="preserve"> AUC-expozíciónak) csak hólyagokat figyeltek meg. Ezek a kezelés folytatása ellenére reverz</w:t>
      </w:r>
      <w:r w:rsidR="00F36EF1" w:rsidRPr="00E47E83">
        <w:rPr>
          <w:rFonts w:ascii="Times New Roman" w:hAnsi="Times New Roman"/>
          <w:lang w:val="hu-HU"/>
        </w:rPr>
        <w:t>i</w:t>
      </w:r>
      <w:r w:rsidRPr="00E47E83">
        <w:rPr>
          <w:rFonts w:ascii="Times New Roman" w:hAnsi="Times New Roman"/>
          <w:lang w:val="hu-HU"/>
        </w:rPr>
        <w:t>bilisek voltak, és nem jártak kórszövettani eltérésekkel. Leírtak pikkelyes, illetve lemezes hámlást, pörkképződést és farokfekélyeket, a megfelelő kórszövettani elváltozásokkal, ≥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20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 xml:space="preserve">kg/nap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mellett (a 100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 xml:space="preserve">mg-os humán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melletti AUC-expozíció megközelítőleg 3-szorosa). A farok nekrotikus lézióit figyelték meg ≥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80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 xml:space="preserve">kg </w:t>
      </w:r>
      <w:r w:rsidR="00931044" w:rsidRPr="00E47E83">
        <w:rPr>
          <w:rFonts w:ascii="Times New Roman" w:hAnsi="Times New Roman"/>
          <w:lang w:val="hu-HU"/>
        </w:rPr>
        <w:t>dózis</w:t>
      </w:r>
      <w:r w:rsidRPr="00E47E83">
        <w:rPr>
          <w:rFonts w:ascii="Times New Roman" w:hAnsi="Times New Roman"/>
          <w:lang w:val="hu-HU"/>
        </w:rPr>
        <w:t xml:space="preserve"> mellett. A 160</w:t>
      </w:r>
      <w:r w:rsidR="0096340F" w:rsidRPr="00E47E83">
        <w:rPr>
          <w:rFonts w:ascii="Times New Roman" w:hAnsi="Times New Roman"/>
          <w:lang w:val="hu-HU"/>
        </w:rPr>
        <w:t> </w:t>
      </w:r>
      <w:r w:rsidRPr="00E47E83">
        <w:rPr>
          <w:rFonts w:ascii="Times New Roman" w:hAnsi="Times New Roman"/>
          <w:lang w:val="hu-HU"/>
        </w:rPr>
        <w:t>mg/</w:t>
      </w:r>
      <w:r w:rsidR="00F36EF1" w:rsidRPr="00E47E83">
        <w:rPr>
          <w:rFonts w:ascii="Times New Roman" w:hAnsi="Times New Roman"/>
          <w:lang w:val="hu-HU"/>
        </w:rPr>
        <w:t>tt</w:t>
      </w:r>
      <w:r w:rsidRPr="00E47E83">
        <w:rPr>
          <w:rFonts w:ascii="Times New Roman" w:hAnsi="Times New Roman"/>
          <w:lang w:val="hu-HU"/>
        </w:rPr>
        <w:t xml:space="preserve">kg/nap </w:t>
      </w:r>
      <w:r w:rsidR="00931044" w:rsidRPr="00E47E83">
        <w:rPr>
          <w:rFonts w:ascii="Times New Roman" w:hAnsi="Times New Roman"/>
          <w:lang w:val="hu-HU"/>
        </w:rPr>
        <w:t>dóziss</w:t>
      </w:r>
      <w:r w:rsidRPr="00E47E83">
        <w:rPr>
          <w:rFonts w:ascii="Times New Roman" w:hAnsi="Times New Roman"/>
          <w:lang w:val="hu-HU"/>
        </w:rPr>
        <w:t>al kezelt majmok</w:t>
      </w:r>
      <w:r w:rsidR="002D0A2A" w:rsidRPr="00E47E83">
        <w:rPr>
          <w:rFonts w:ascii="Times New Roman" w:hAnsi="Times New Roman"/>
          <w:lang w:val="hu-HU"/>
        </w:rPr>
        <w:t>nál</w:t>
      </w:r>
      <w:r w:rsidRPr="00E47E83">
        <w:rPr>
          <w:rFonts w:ascii="Times New Roman" w:hAnsi="Times New Roman"/>
          <w:lang w:val="hu-HU"/>
        </w:rPr>
        <w:t xml:space="preserve"> egy négyhetes gyógyulási időszak alatt a bőrléziók irreverz</w:t>
      </w:r>
      <w:r w:rsidR="00F36EF1" w:rsidRPr="00E47E83">
        <w:rPr>
          <w:rFonts w:ascii="Times New Roman" w:hAnsi="Times New Roman"/>
          <w:lang w:val="hu-HU"/>
        </w:rPr>
        <w:t>i</w:t>
      </w:r>
      <w:r w:rsidRPr="00E47E83">
        <w:rPr>
          <w:rFonts w:ascii="Times New Roman" w:hAnsi="Times New Roman"/>
          <w:lang w:val="hu-HU"/>
        </w:rPr>
        <w:t>bilisnek bizonyultak</w:t>
      </w:r>
      <w:r w:rsidR="00EF31E8" w:rsidRPr="00E47E83">
        <w:rPr>
          <w:rFonts w:ascii="Times New Roman" w:hAnsi="Times New Roman"/>
          <w:lang w:val="hu-HU"/>
        </w:rPr>
        <w:t>.</w:t>
      </w:r>
    </w:p>
    <w:p w14:paraId="3B238259" w14:textId="77777777" w:rsidR="006535D6" w:rsidRPr="00CA29AC" w:rsidRDefault="006535D6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C4C6274" w14:textId="77777777" w:rsidR="00EF31E8" w:rsidRPr="00CA29AC" w:rsidRDefault="00EF31E8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Metformin</w:t>
      </w:r>
    </w:p>
    <w:p w14:paraId="7969D8F9" w14:textId="77777777" w:rsidR="001C0135" w:rsidRPr="00CA29AC" w:rsidRDefault="001C013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CB5CAAE" w14:textId="3FFA397A" w:rsidR="00E52600" w:rsidRPr="00CA29AC" w:rsidRDefault="009C28FB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A metforminra a hagyományos – farmakológiai biztonságossági, ismételt adagolású dózistoxicitási, genotoxicitási, karcinogenitási és reprodukcióra kifejtett toxicitási – vizsgálatokból származó nem</w:t>
      </w:r>
      <w:r w:rsidR="00036DC9">
        <w:rPr>
          <w:rFonts w:ascii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>klinikai jellegű adatok azt igazolták, hogy a készítmény alkalmazásakor humán vonatkozásban különleges kockázat nem várható</w:t>
      </w:r>
      <w:r w:rsidR="00EF31E8" w:rsidRPr="00E47E83">
        <w:rPr>
          <w:rFonts w:ascii="Times New Roman" w:hAnsi="Times New Roman"/>
          <w:lang w:val="hu-HU"/>
        </w:rPr>
        <w:t>.</w:t>
      </w:r>
    </w:p>
    <w:p w14:paraId="152D69BA" w14:textId="77777777" w:rsidR="00B01EAF" w:rsidRPr="00E47E83" w:rsidRDefault="00B01EAF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A3DC96F" w14:textId="77777777" w:rsidR="00B01EAF" w:rsidRPr="00E47E83" w:rsidRDefault="00B01EAF" w:rsidP="00AE1585">
      <w:pPr>
        <w:spacing w:after="0" w:line="240" w:lineRule="auto"/>
        <w:rPr>
          <w:rFonts w:ascii="Times New Roman" w:hAnsi="Times New Roman"/>
          <w:lang w:val="hu-HU"/>
        </w:rPr>
      </w:pPr>
    </w:p>
    <w:p w14:paraId="7F655806" w14:textId="77777777" w:rsidR="00AC0071" w:rsidRPr="00CA29AC" w:rsidRDefault="00AC0071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6.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GYÓGYSZERÉSZETI JELLEMZŐK</w:t>
      </w:r>
    </w:p>
    <w:p w14:paraId="6DEEE0ED" w14:textId="77777777" w:rsidR="007139EE" w:rsidRPr="00CA29AC" w:rsidRDefault="007139EE" w:rsidP="00E92AEE">
      <w:pPr>
        <w:suppressAutoHyphens/>
        <w:spacing w:after="0" w:line="240" w:lineRule="auto"/>
        <w:ind w:left="567" w:hanging="567"/>
        <w:rPr>
          <w:rFonts w:ascii="Times New Roman" w:hAnsi="Times New Roman"/>
          <w:lang w:val="hu-HU"/>
        </w:rPr>
      </w:pPr>
    </w:p>
    <w:p w14:paraId="0037E2F5" w14:textId="77777777" w:rsidR="00E969D2" w:rsidRPr="00E47E83" w:rsidRDefault="00E969D2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6.1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Segédanyagok felsorolása</w:t>
      </w:r>
    </w:p>
    <w:p w14:paraId="7B0A720B" w14:textId="77777777" w:rsidR="007139EE" w:rsidRPr="00CA29AC" w:rsidRDefault="007139EE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5AC6142B" w14:textId="79E49F23" w:rsidR="00E950FC" w:rsidRPr="00E47E83" w:rsidRDefault="00E950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color w:val="000000"/>
          <w:u w:val="single"/>
          <w:lang w:val="hu-HU" w:bidi="en-US"/>
        </w:rPr>
      </w:pPr>
      <w:r w:rsidRPr="00E47E83">
        <w:rPr>
          <w:rFonts w:ascii="Times New Roman" w:hAnsi="Times New Roman"/>
          <w:color w:val="000000"/>
          <w:u w:val="single"/>
          <w:lang w:val="hu-HU"/>
        </w:rPr>
        <w:t>Tablettamag</w:t>
      </w:r>
      <w:r w:rsidRPr="00E47E83">
        <w:rPr>
          <w:rFonts w:ascii="Times New Roman" w:eastAsia="TimesNewRoman,Bold" w:hAnsi="Times New Roman"/>
          <w:color w:val="000000"/>
          <w:u w:val="single"/>
          <w:lang w:val="hu-HU"/>
        </w:rPr>
        <w:t>:</w:t>
      </w:r>
    </w:p>
    <w:p w14:paraId="52BA0151" w14:textId="5983283F" w:rsidR="004027A1" w:rsidRPr="00CA29AC" w:rsidRDefault="004027A1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color w:val="000000"/>
          <w:lang w:val="hu-HU"/>
        </w:rPr>
        <w:t>mikrokristályos cellulóz</w:t>
      </w:r>
    </w:p>
    <w:p w14:paraId="4115BF4B" w14:textId="284BA322" w:rsidR="001B37F4" w:rsidRPr="00E47E83" w:rsidRDefault="001B37F4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hidroxipropilcellulóz</w:t>
      </w:r>
      <w:r w:rsidR="005F36B2" w:rsidRPr="00E47E83">
        <w:rPr>
          <w:rFonts w:ascii="Times New Roman" w:hAnsi="Times New Roman"/>
          <w:lang w:val="hu-HU"/>
        </w:rPr>
        <w:t xml:space="preserve"> (Névleges viszkozitás (10%-os oldat): 220 cps)</w:t>
      </w:r>
    </w:p>
    <w:p w14:paraId="562C3DBD" w14:textId="3DE9D4E9" w:rsidR="004027A1" w:rsidRPr="00E47E83" w:rsidRDefault="004027A1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kros</w:t>
      </w:r>
      <w:r w:rsidR="00357E40">
        <w:rPr>
          <w:rFonts w:ascii="Times New Roman" w:hAnsi="Times New Roman"/>
          <w:lang w:val="hu-HU"/>
        </w:rPr>
        <w:t>z</w:t>
      </w:r>
      <w:r w:rsidRPr="00E47E83">
        <w:rPr>
          <w:rFonts w:ascii="Times New Roman" w:hAnsi="Times New Roman"/>
          <w:lang w:val="hu-HU"/>
        </w:rPr>
        <w:t>povidon</w:t>
      </w:r>
    </w:p>
    <w:p w14:paraId="7A586A7F" w14:textId="78BE1555" w:rsidR="00733DE4" w:rsidRPr="00CA29AC" w:rsidRDefault="001B37F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magnézium-sztearát</w:t>
      </w:r>
    </w:p>
    <w:p w14:paraId="2CFA8A91" w14:textId="77777777" w:rsidR="001B37F4" w:rsidRPr="00CA29AC" w:rsidRDefault="001B37F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22A29D0B" w14:textId="77777777" w:rsidR="00733DE4" w:rsidRPr="00CA29AC" w:rsidRDefault="0079591F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Filmbevonat:</w:t>
      </w:r>
      <w:r w:rsidRPr="00E47E83">
        <w:rPr>
          <w:rFonts w:ascii="Times New Roman" w:hAnsi="Times New Roman"/>
          <w:lang w:val="hu-HU"/>
        </w:rPr>
        <w:t xml:space="preserve"> </w:t>
      </w:r>
    </w:p>
    <w:p w14:paraId="734CABB0" w14:textId="17792BB3" w:rsidR="00462171" w:rsidRPr="00CA29AC" w:rsidRDefault="0046217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hipromellóz</w:t>
      </w:r>
      <w:r w:rsidRPr="00E47E83">
        <w:rPr>
          <w:rFonts w:ascii="Times New Roman" w:hAnsi="Times New Roman"/>
          <w:iCs/>
          <w:lang w:val="hu-HU"/>
        </w:rPr>
        <w:t xml:space="preserve"> 2910</w:t>
      </w:r>
      <w:r w:rsidR="004027A1" w:rsidRPr="00E47E83">
        <w:rPr>
          <w:rFonts w:ascii="Times New Roman" w:hAnsi="Times New Roman"/>
          <w:iCs/>
          <w:lang w:val="hu-HU"/>
        </w:rPr>
        <w:t xml:space="preserve"> (E464)</w:t>
      </w:r>
    </w:p>
    <w:p w14:paraId="5F63673C" w14:textId="1E8E1FD0" w:rsidR="00462171" w:rsidRPr="00E47E83" w:rsidRDefault="00462171" w:rsidP="00AE15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lang w:val="hu-HU" w:bidi="en-US"/>
        </w:rPr>
      </w:pPr>
      <w:r w:rsidRPr="00E47E83">
        <w:rPr>
          <w:rFonts w:ascii="Times New Roman" w:hAnsi="Times New Roman"/>
          <w:lang w:val="hu-HU"/>
        </w:rPr>
        <w:t>titán-dioxid (E 171</w:t>
      </w:r>
      <w:r w:rsidRPr="00CA29AC">
        <w:rPr>
          <w:rFonts w:ascii="Times New Roman" w:hAnsi="Times New Roman"/>
          <w:iCs/>
          <w:lang w:val="hu-HU"/>
        </w:rPr>
        <w:t>)</w:t>
      </w:r>
    </w:p>
    <w:p w14:paraId="03941389" w14:textId="4E9373D1" w:rsidR="004027A1" w:rsidRPr="00E47E83" w:rsidRDefault="00E93026" w:rsidP="00AE158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lang w:val="hu-HU" w:bidi="en-US"/>
        </w:rPr>
      </w:pPr>
      <w:r>
        <w:rPr>
          <w:rFonts w:ascii="Times New Roman" w:hAnsi="Times New Roman"/>
          <w:lang w:val="hu-HU"/>
        </w:rPr>
        <w:t>makrogol</w:t>
      </w:r>
      <w:r w:rsidR="004027A1" w:rsidRPr="00E47E83">
        <w:rPr>
          <w:rFonts w:ascii="Times New Roman" w:hAnsi="Times New Roman"/>
          <w:lang w:val="hu-HU"/>
        </w:rPr>
        <w:t xml:space="preserve"> 4000 </w:t>
      </w:r>
      <w:r w:rsidR="004027A1" w:rsidRPr="00CA29AC">
        <w:rPr>
          <w:rFonts w:ascii="Times New Roman" w:hAnsi="Times New Roman"/>
          <w:lang w:val="hu-HU"/>
        </w:rPr>
        <w:t>(</w:t>
      </w:r>
      <w:r w:rsidR="004027A1" w:rsidRPr="00E47E83">
        <w:rPr>
          <w:rFonts w:ascii="Times New Roman" w:hAnsi="Times New Roman"/>
          <w:lang w:val="hu-HU"/>
        </w:rPr>
        <w:t>E1521</w:t>
      </w:r>
      <w:r w:rsidR="004027A1" w:rsidRPr="00CA29AC">
        <w:rPr>
          <w:rFonts w:ascii="Times New Roman" w:hAnsi="Times New Roman"/>
          <w:lang w:val="hu-HU"/>
        </w:rPr>
        <w:t>)</w:t>
      </w:r>
    </w:p>
    <w:p w14:paraId="4D06E69F" w14:textId="77765E09" w:rsidR="00462171" w:rsidRPr="00CA29AC" w:rsidRDefault="0046217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talkum</w:t>
      </w:r>
      <w:r w:rsidR="004027A1" w:rsidRPr="00E47E83">
        <w:rPr>
          <w:rFonts w:ascii="Times New Roman" w:hAnsi="Times New Roman"/>
          <w:lang w:val="hu-HU"/>
        </w:rPr>
        <w:t xml:space="preserve"> (E553b)</w:t>
      </w:r>
    </w:p>
    <w:p w14:paraId="1CCA3862" w14:textId="6A612785" w:rsidR="005F50F1" w:rsidRPr="00CA29AC" w:rsidRDefault="004027A1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sárga vas-oxid (</w:t>
      </w:r>
      <w:r w:rsidRPr="00E47E83">
        <w:rPr>
          <w:rFonts w:ascii="Times New Roman" w:hAnsi="Times New Roman"/>
          <w:iCs/>
          <w:lang w:val="hu-HU"/>
        </w:rPr>
        <w:t>E172)</w:t>
      </w:r>
    </w:p>
    <w:p w14:paraId="34005A5C" w14:textId="77777777" w:rsidR="00EE4CD2" w:rsidRPr="00E47E83" w:rsidRDefault="00EE4CD2" w:rsidP="00AE1585">
      <w:pPr>
        <w:spacing w:after="0" w:line="240" w:lineRule="auto"/>
        <w:rPr>
          <w:rFonts w:ascii="Times New Roman" w:hAnsi="Times New Roman"/>
          <w:lang w:val="hu-HU"/>
        </w:rPr>
      </w:pPr>
    </w:p>
    <w:p w14:paraId="0C9757F6" w14:textId="77777777" w:rsidR="00FD0FD5" w:rsidRPr="00CA29AC" w:rsidRDefault="00FD0FD5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6.2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Inkompatibilitások</w:t>
      </w:r>
    </w:p>
    <w:p w14:paraId="2516385C" w14:textId="77777777" w:rsidR="00FD0FD5" w:rsidRPr="00CA29AC" w:rsidRDefault="00FD0FD5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</w:p>
    <w:p w14:paraId="607CD98B" w14:textId="77777777" w:rsidR="00FD0FD5" w:rsidRPr="00CA29AC" w:rsidRDefault="00FD0FD5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lang w:val="hu-HU"/>
        </w:rPr>
      </w:pPr>
      <w:r w:rsidRPr="00E47E83">
        <w:rPr>
          <w:rFonts w:ascii="Times New Roman" w:hAnsi="Times New Roman"/>
          <w:lang w:val="hu-HU"/>
        </w:rPr>
        <w:t>Nem értelmezhető.</w:t>
      </w:r>
    </w:p>
    <w:p w14:paraId="30B28536" w14:textId="77777777" w:rsidR="00CD30F8" w:rsidRPr="00CA29AC" w:rsidRDefault="00CD30F8" w:rsidP="00E92AEE">
      <w:pPr>
        <w:spacing w:after="0" w:line="240" w:lineRule="auto"/>
        <w:rPr>
          <w:rFonts w:ascii="Times New Roman" w:hAnsi="Times New Roman"/>
          <w:lang w:val="hu-HU"/>
        </w:rPr>
      </w:pPr>
    </w:p>
    <w:p w14:paraId="4BAD28AE" w14:textId="77777777" w:rsidR="00490D52" w:rsidRPr="00CA29AC" w:rsidRDefault="00490D52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6.3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Felhasználhatósági időtartam</w:t>
      </w:r>
    </w:p>
    <w:p w14:paraId="4CFE80AA" w14:textId="77777777" w:rsidR="00CD30F8" w:rsidRPr="00CA29AC" w:rsidRDefault="00CD30F8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5A9AD159" w14:textId="5B951FB6" w:rsidR="00B01EAF" w:rsidRPr="00CA29AC" w:rsidRDefault="004027A1" w:rsidP="00E92AEE">
      <w:pPr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>2 év</w:t>
      </w:r>
    </w:p>
    <w:p w14:paraId="005E2A23" w14:textId="77777777" w:rsidR="00CD30F8" w:rsidRPr="00E47E83" w:rsidRDefault="00CD30F8" w:rsidP="00AE1585">
      <w:pPr>
        <w:spacing w:after="0" w:line="240" w:lineRule="auto"/>
        <w:rPr>
          <w:rFonts w:ascii="Times New Roman" w:hAnsi="Times New Roman"/>
          <w:lang w:val="hu-HU"/>
        </w:rPr>
      </w:pPr>
    </w:p>
    <w:p w14:paraId="37833C49" w14:textId="77777777" w:rsidR="008714BE" w:rsidRPr="00CA29AC" w:rsidRDefault="008714BE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6.4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Különleges tárolási előírások</w:t>
      </w:r>
    </w:p>
    <w:p w14:paraId="40AC7F82" w14:textId="77777777" w:rsidR="00CD30F8" w:rsidRPr="00CA29AC" w:rsidRDefault="00CD30F8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34A46EED" w14:textId="18DE1FB2" w:rsidR="00BA4ADB" w:rsidRPr="00CA29AC" w:rsidRDefault="00FC5772" w:rsidP="00E92AEE">
      <w:pPr>
        <w:spacing w:after="0" w:line="240" w:lineRule="auto"/>
        <w:outlineLvl w:val="0"/>
        <w:rPr>
          <w:rFonts w:ascii="Times New Roman" w:hAnsi="Times New Roman"/>
          <w:lang w:val="hu-HU"/>
        </w:rPr>
      </w:pPr>
      <w:r w:rsidRPr="00E47E83">
        <w:rPr>
          <w:rFonts w:ascii="Times New Roman" w:eastAsia="Times New Roman" w:hAnsi="Times New Roman"/>
          <w:lang w:val="hu-HU" w:bidi="en-US"/>
        </w:rPr>
        <w:t>Legfeljebb 25</w:t>
      </w:r>
      <w:r w:rsidR="002F00EC" w:rsidRPr="00E47E83">
        <w:rPr>
          <w:rFonts w:ascii="Times New Roman" w:eastAsia="Times New Roman" w:hAnsi="Times New Roman"/>
          <w:lang w:val="hu-HU" w:bidi="en-US"/>
        </w:rPr>
        <w:t> </w:t>
      </w:r>
      <w:r w:rsidRPr="00E47E83">
        <w:rPr>
          <w:rFonts w:ascii="Times New Roman" w:eastAsia="Times New Roman" w:hAnsi="Times New Roman"/>
          <w:lang w:val="hu-HU" w:bidi="en-US"/>
        </w:rPr>
        <w:t>°C-on tárolandó.</w:t>
      </w:r>
      <w:r w:rsidRPr="00E47E83">
        <w:rPr>
          <w:rFonts w:ascii="Times New Roman" w:eastAsia="Times New Roman" w:hAnsi="Times New Roman"/>
          <w:lang w:val="hu-HU"/>
        </w:rPr>
        <w:t xml:space="preserve"> </w:t>
      </w:r>
      <w:r w:rsidRPr="00E47E83">
        <w:rPr>
          <w:rFonts w:ascii="Times New Roman" w:hAnsi="Times New Roman"/>
          <w:lang w:val="hu-HU"/>
        </w:rPr>
        <w:t>A nedvességtől való védelem érdekében az eredeti csomagolásban tárolandó.</w:t>
      </w:r>
    </w:p>
    <w:p w14:paraId="234045A1" w14:textId="77777777" w:rsidR="00FC5772" w:rsidRPr="00CA29AC" w:rsidRDefault="00FC5772" w:rsidP="00E92AEE">
      <w:pPr>
        <w:spacing w:after="0" w:line="240" w:lineRule="auto"/>
        <w:outlineLvl w:val="0"/>
        <w:rPr>
          <w:rFonts w:ascii="Times New Roman" w:hAnsi="Times New Roman"/>
          <w:lang w:val="hu-HU"/>
        </w:rPr>
      </w:pPr>
    </w:p>
    <w:bookmarkEnd w:id="0"/>
    <w:p w14:paraId="73BBE88F" w14:textId="77777777" w:rsidR="004F65B9" w:rsidRPr="00CA29AC" w:rsidRDefault="004F65B9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6.5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Csomagolás típusa és kiszerelése</w:t>
      </w:r>
    </w:p>
    <w:p w14:paraId="0AD5A333" w14:textId="77777777" w:rsidR="00CD30F8" w:rsidRPr="00CA29AC" w:rsidRDefault="00CD30F8" w:rsidP="00E92AEE">
      <w:pPr>
        <w:spacing w:after="0" w:line="240" w:lineRule="auto"/>
        <w:ind w:left="567" w:hanging="567"/>
        <w:outlineLvl w:val="0"/>
        <w:rPr>
          <w:rFonts w:ascii="Times New Roman" w:hAnsi="Times New Roman"/>
          <w:lang w:val="hu-HU"/>
        </w:rPr>
      </w:pPr>
    </w:p>
    <w:p w14:paraId="0BA4C639" w14:textId="70A092FA" w:rsidR="004027A1" w:rsidRPr="00E47E83" w:rsidRDefault="004027A1" w:rsidP="004027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u w:val="single"/>
          <w:lang w:val="hu-HU"/>
        </w:rPr>
        <w:t>OPA/</w:t>
      </w:r>
      <w:r w:rsidR="00E93026">
        <w:rPr>
          <w:rFonts w:ascii="Times New Roman" w:hAnsi="Times New Roman"/>
          <w:u w:val="single"/>
          <w:lang w:val="hu-HU"/>
        </w:rPr>
        <w:t>A</w:t>
      </w:r>
      <w:r w:rsidRPr="00E47E83">
        <w:rPr>
          <w:rFonts w:ascii="Times New Roman" w:hAnsi="Times New Roman"/>
          <w:u w:val="single"/>
          <w:lang w:val="hu-HU"/>
        </w:rPr>
        <w:t>l/PVC//</w:t>
      </w:r>
      <w:r w:rsidR="00E93026">
        <w:rPr>
          <w:rFonts w:ascii="Times New Roman" w:hAnsi="Times New Roman"/>
          <w:u w:val="single"/>
          <w:lang w:val="hu-HU"/>
        </w:rPr>
        <w:t>A</w:t>
      </w:r>
      <w:r w:rsidRPr="00E47E83">
        <w:rPr>
          <w:rFonts w:ascii="Times New Roman" w:hAnsi="Times New Roman"/>
          <w:u w:val="single"/>
          <w:lang w:val="hu-HU"/>
        </w:rPr>
        <w:t>l buborékcsomagolás</w:t>
      </w:r>
      <w:r w:rsidRPr="00E47E83">
        <w:rPr>
          <w:rFonts w:ascii="Times New Roman" w:hAnsi="Times New Roman"/>
          <w:lang w:val="hu-HU"/>
        </w:rPr>
        <w:t>.</w:t>
      </w:r>
    </w:p>
    <w:p w14:paraId="4B55207E" w14:textId="374789F1" w:rsidR="004027A1" w:rsidRPr="00E47E83" w:rsidRDefault="004027A1" w:rsidP="004027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bidi="en-US"/>
        </w:rPr>
      </w:pPr>
      <w:r w:rsidRPr="00E47E83">
        <w:rPr>
          <w:rFonts w:ascii="Times New Roman" w:hAnsi="Times New Roman"/>
          <w:lang w:val="hu-HU"/>
        </w:rPr>
        <w:t>10, 30</w:t>
      </w:r>
      <w:r w:rsidRPr="00CA29AC">
        <w:rPr>
          <w:rFonts w:ascii="Times New Roman" w:hAnsi="Times New Roman"/>
          <w:lang w:val="hu-HU"/>
        </w:rPr>
        <w:t>, 60, 120, 180 és 360 </w:t>
      </w:r>
      <w:r w:rsidRPr="00E47E83">
        <w:rPr>
          <w:rFonts w:ascii="Times New Roman" w:hAnsi="Times New Roman"/>
          <w:lang w:val="hu-HU"/>
        </w:rPr>
        <w:t>filmtablettát tartalmazó csomagolá</w:t>
      </w:r>
      <w:r w:rsidRPr="00CA29AC">
        <w:rPr>
          <w:rFonts w:ascii="Times New Roman" w:hAnsi="Times New Roman"/>
          <w:lang w:val="hu-HU"/>
        </w:rPr>
        <w:t>s</w:t>
      </w:r>
      <w:r w:rsidRPr="00E47E83">
        <w:rPr>
          <w:rFonts w:ascii="Times New Roman" w:eastAsia="Times New Roman" w:hAnsi="Times New Roman"/>
          <w:lang w:val="hu-HU" w:bidi="en-US"/>
        </w:rPr>
        <w:t>ban</w:t>
      </w:r>
      <w:r w:rsidRPr="00E47E83">
        <w:rPr>
          <w:rFonts w:ascii="Times New Roman" w:hAnsi="Times New Roman"/>
          <w:lang w:val="hu-HU"/>
        </w:rPr>
        <w:t xml:space="preserve"> és 120 (2</w:t>
      </w:r>
      <w:r w:rsidRPr="00CA29AC">
        <w:rPr>
          <w:rFonts w:ascii="Times New Roman" w:hAnsi="Times New Roman"/>
          <w:lang w:val="hu-HU"/>
        </w:rPr>
        <w:t> </w:t>
      </w:r>
      <w:r w:rsidR="00E93026">
        <w:rPr>
          <w:rFonts w:ascii="Times New Roman" w:hAnsi="Times New Roman"/>
          <w:lang w:val="hu-HU"/>
        </w:rPr>
        <w:t>×</w:t>
      </w:r>
      <w:r w:rsidRPr="00E47E83">
        <w:rPr>
          <w:rFonts w:ascii="Times New Roman" w:hAnsi="Times New Roman"/>
          <w:lang w:val="hu-HU"/>
        </w:rPr>
        <w:t xml:space="preserve"> 60</w:t>
      </w:r>
      <w:r w:rsidRPr="00CA29AC">
        <w:rPr>
          <w:rFonts w:ascii="Times New Roman" w:hAnsi="Times New Roman"/>
          <w:lang w:val="hu-HU"/>
        </w:rPr>
        <w:t>)</w:t>
      </w:r>
      <w:r w:rsidRPr="00E47E83">
        <w:rPr>
          <w:rFonts w:ascii="Times New Roman" w:hAnsi="Times New Roman"/>
          <w:lang w:val="hu-HU"/>
        </w:rPr>
        <w:t xml:space="preserve">, </w:t>
      </w:r>
      <w:r w:rsidRPr="00CA29AC">
        <w:rPr>
          <w:rFonts w:ascii="Times New Roman" w:hAnsi="Times New Roman"/>
          <w:lang w:val="hu-HU"/>
        </w:rPr>
        <w:t>180 (3 </w:t>
      </w:r>
      <w:r w:rsidR="00E93026">
        <w:rPr>
          <w:rFonts w:ascii="Times New Roman" w:hAnsi="Times New Roman"/>
          <w:lang w:val="hu-HU"/>
        </w:rPr>
        <w:t>×</w:t>
      </w:r>
      <w:r w:rsidRPr="00CA29AC">
        <w:rPr>
          <w:rFonts w:ascii="Times New Roman" w:hAnsi="Times New Roman"/>
          <w:lang w:val="hu-HU"/>
        </w:rPr>
        <w:t xml:space="preserve"> 60) </w:t>
      </w:r>
      <w:r w:rsidRPr="00E47E83">
        <w:rPr>
          <w:rFonts w:ascii="Times New Roman" w:hAnsi="Times New Roman"/>
          <w:lang w:val="hu-HU"/>
        </w:rPr>
        <w:t xml:space="preserve">vagy 360 (6 </w:t>
      </w:r>
      <w:r w:rsidR="00E93026">
        <w:rPr>
          <w:rFonts w:ascii="Times New Roman" w:hAnsi="Times New Roman"/>
          <w:lang w:val="hu-HU"/>
        </w:rPr>
        <w:t>×</w:t>
      </w:r>
      <w:r w:rsidRPr="00E47E83">
        <w:rPr>
          <w:rFonts w:ascii="Times New Roman" w:hAnsi="Times New Roman"/>
          <w:lang w:val="hu-HU"/>
        </w:rPr>
        <w:t xml:space="preserve"> 60) filmtablettát tartalmazó gyűjtőcsomagolás</w:t>
      </w:r>
      <w:r w:rsidRPr="00E47E83">
        <w:rPr>
          <w:rFonts w:ascii="Times New Roman" w:eastAsia="Times New Roman" w:hAnsi="Times New Roman"/>
          <w:lang w:val="hu-HU" w:bidi="en-US"/>
        </w:rPr>
        <w:t>ban</w:t>
      </w:r>
      <w:r w:rsidRPr="00E47E83">
        <w:rPr>
          <w:rFonts w:ascii="Times New Roman" w:hAnsi="Times New Roman"/>
          <w:lang w:val="hu-HU"/>
        </w:rPr>
        <w:t xml:space="preserve"> kapható.</w:t>
      </w:r>
    </w:p>
    <w:p w14:paraId="0D48E3D8" w14:textId="77777777" w:rsidR="003D2C7F" w:rsidRPr="00CA29AC" w:rsidRDefault="003D2C7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40598C3E" w14:textId="1BAAE8B7" w:rsidR="003D2C7F" w:rsidRPr="00CA29AC" w:rsidRDefault="003D2C7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lang w:val="hu-HU"/>
        </w:rPr>
      </w:pPr>
      <w:r w:rsidRPr="00E47E83">
        <w:rPr>
          <w:rFonts w:ascii="Times New Roman" w:hAnsi="Times New Roman"/>
          <w:lang w:val="hu-HU"/>
        </w:rPr>
        <w:t>Nem feltétlenül mindegyik kiszerelés kerül kereskedelmi forgalomba.</w:t>
      </w:r>
    </w:p>
    <w:p w14:paraId="4665F7E5" w14:textId="77777777" w:rsidR="003D2C7F" w:rsidRPr="00CA29AC" w:rsidRDefault="003D2C7F" w:rsidP="00E92AEE">
      <w:pPr>
        <w:spacing w:after="0" w:line="240" w:lineRule="auto"/>
        <w:rPr>
          <w:rFonts w:ascii="Times New Roman" w:hAnsi="Times New Roman"/>
          <w:lang w:val="hu-HU"/>
        </w:rPr>
      </w:pPr>
    </w:p>
    <w:p w14:paraId="50E3F012" w14:textId="77777777" w:rsidR="00AD62FD" w:rsidRPr="00CA29AC" w:rsidRDefault="00AD62FD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6.6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 megsemmisítésre vonatkozó különleges óvintézkedések</w:t>
      </w:r>
      <w:r w:rsidR="002F00EC"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 xml:space="preserve"> és egyéb, a készítmény</w:t>
      </w:r>
      <w:r w:rsidR="00920E81"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 xml:space="preserve"> </w:t>
      </w:r>
      <w:r w:rsidR="002F00EC"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kezelésével kapcsolatos információk</w:t>
      </w:r>
    </w:p>
    <w:p w14:paraId="537DC13F" w14:textId="77777777" w:rsidR="00020BB3" w:rsidRPr="00CA29AC" w:rsidRDefault="00020BB3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A6B7E82" w14:textId="4E83A22A" w:rsidR="002F00EC" w:rsidRPr="00CA29AC" w:rsidRDefault="00BC5483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E47E83">
        <w:rPr>
          <w:rFonts w:ascii="Times New Roman" w:hAnsi="Times New Roman"/>
          <w:lang w:val="hu-HU"/>
        </w:rPr>
        <w:t xml:space="preserve">Bármilyen fel nem használt </w:t>
      </w:r>
      <w:r w:rsidR="00E93026">
        <w:rPr>
          <w:rFonts w:ascii="Times New Roman" w:hAnsi="Times New Roman"/>
          <w:lang w:val="hu-HU"/>
        </w:rPr>
        <w:t>gyógyszer</w:t>
      </w:r>
      <w:r w:rsidRPr="00E47E83">
        <w:rPr>
          <w:rFonts w:ascii="Times New Roman" w:hAnsi="Times New Roman"/>
          <w:lang w:val="hu-HU"/>
        </w:rPr>
        <w:t xml:space="preserve">, illetve hulladékanyag megsemmisítését </w:t>
      </w:r>
      <w:r w:rsidR="002F00EC" w:rsidRPr="00E47E83">
        <w:rPr>
          <w:rFonts w:ascii="Times New Roman" w:hAnsi="Times New Roman"/>
          <w:lang w:val="hu-HU"/>
        </w:rPr>
        <w:t>a gyógyszerekre vonatkozó előírások szerint kell végrehajtani.</w:t>
      </w:r>
    </w:p>
    <w:p w14:paraId="66D307C2" w14:textId="77777777" w:rsidR="00797F92" w:rsidRPr="00E47E83" w:rsidRDefault="00797F92" w:rsidP="00AE1585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Cs/>
          <w:color w:val="000000"/>
          <w:lang w:val="hu-HU"/>
        </w:rPr>
      </w:pPr>
    </w:p>
    <w:p w14:paraId="7A9C8731" w14:textId="77777777" w:rsidR="00E323F4" w:rsidRPr="00F721FD" w:rsidRDefault="00E323F4" w:rsidP="00CA29AC">
      <w:pPr>
        <w:tabs>
          <w:tab w:val="left" w:pos="2268"/>
        </w:tabs>
        <w:spacing w:after="0"/>
        <w:ind w:left="685" w:hanging="685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b/>
          <w:bCs/>
          <w:lang w:val="hu-HU"/>
        </w:rPr>
        <w:t>Megjegyzés</w:t>
      </w:r>
      <w:r w:rsidRPr="00F721FD">
        <w:rPr>
          <w:rFonts w:ascii="Times New Roman" w:hAnsi="Times New Roman"/>
          <w:lang w:val="hu-HU"/>
        </w:rPr>
        <w:t xml:space="preserve">: </w:t>
      </w:r>
      <w:r w:rsidRPr="00CA29AC">
        <w:rPr>
          <w:rFonts w:ascii="Times New Roman" w:hAnsi="Times New Roman"/>
          <w:bCs/>
        </w:rPr>
        <w:sym w:font="Wingdings" w:char="F058"/>
      </w:r>
      <w:r w:rsidRPr="00F721FD">
        <w:rPr>
          <w:rFonts w:ascii="Times New Roman" w:hAnsi="Times New Roman"/>
          <w:lang w:val="hu-HU"/>
        </w:rPr>
        <w:t xml:space="preserve"> (egy keresztes)</w:t>
      </w:r>
    </w:p>
    <w:p w14:paraId="61FB6EC4" w14:textId="77777777" w:rsidR="00E323F4" w:rsidRPr="00F721FD" w:rsidRDefault="00E323F4" w:rsidP="00CA29AC">
      <w:pPr>
        <w:tabs>
          <w:tab w:val="left" w:pos="2268"/>
        </w:tabs>
        <w:spacing w:after="0"/>
        <w:ind w:left="685" w:hanging="685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b/>
          <w:lang w:val="hu-HU"/>
        </w:rPr>
        <w:t>Osztályozás: II./1 csoport</w:t>
      </w:r>
    </w:p>
    <w:p w14:paraId="05D53ABC" w14:textId="77777777" w:rsidR="00E323F4" w:rsidRPr="00F721FD" w:rsidRDefault="00E323F4" w:rsidP="00CA29AC">
      <w:pPr>
        <w:tabs>
          <w:tab w:val="left" w:pos="2268"/>
        </w:tabs>
        <w:spacing w:after="0"/>
        <w:outlineLvl w:val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Korlátozott érvényű orvosi rendelvényhez kötött, szakorvosi/kórházi diagnózist követő járóbeteg-ellátásban alkalmazható gyógyszer (J).</w:t>
      </w:r>
    </w:p>
    <w:p w14:paraId="48DD785D" w14:textId="03D710EF" w:rsidR="00797F92" w:rsidRDefault="00797F92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6CB15C17" w14:textId="77777777" w:rsidR="00E323F4" w:rsidRPr="00E47E83" w:rsidRDefault="00E323F4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735F6E49" w14:textId="77777777" w:rsidR="003D1F39" w:rsidRPr="00CA29AC" w:rsidRDefault="003D1F39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7.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 FORGALOMBA HOZATALI ENGEDÉLY JOGOSULTJA</w:t>
      </w:r>
    </w:p>
    <w:p w14:paraId="01E4BDCF" w14:textId="77777777" w:rsidR="00212DCE" w:rsidRPr="00E47E83" w:rsidRDefault="00212DCE" w:rsidP="00212DC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</w:p>
    <w:p w14:paraId="04F0D235" w14:textId="61EDFBE0" w:rsidR="00212DCE" w:rsidRPr="00E47E83" w:rsidRDefault="00212DCE" w:rsidP="00212DC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color w:val="000000"/>
          <w:lang w:val="hu-HU"/>
        </w:rPr>
        <w:t>Genepharm S.A.</w:t>
      </w:r>
    </w:p>
    <w:p w14:paraId="25BCF03B" w14:textId="77777777" w:rsidR="00212DCE" w:rsidRPr="00E47E83" w:rsidRDefault="00212DCE" w:rsidP="00212DC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color w:val="000000"/>
          <w:lang w:val="hu-HU"/>
        </w:rPr>
        <w:t>18th km. Marathonos Avenue</w:t>
      </w:r>
    </w:p>
    <w:p w14:paraId="5C58CB04" w14:textId="77777777" w:rsidR="00212DCE" w:rsidRPr="00E47E83" w:rsidRDefault="00212DCE" w:rsidP="00212DC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color w:val="000000"/>
          <w:lang w:val="hu-HU"/>
        </w:rPr>
        <w:t>153 51 Pallini, Attiki</w:t>
      </w:r>
    </w:p>
    <w:p w14:paraId="2F16D2F1" w14:textId="58B38B95" w:rsidR="003D1F39" w:rsidRPr="00CA29AC" w:rsidRDefault="00212DCE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color w:val="000000"/>
          <w:lang w:val="hu-HU"/>
        </w:rPr>
        <w:t>Görögország</w:t>
      </w:r>
    </w:p>
    <w:p w14:paraId="15771FC3" w14:textId="77777777" w:rsidR="00212DCE" w:rsidRPr="00E47E83" w:rsidRDefault="00212DCE" w:rsidP="00F44878">
      <w:pPr>
        <w:pStyle w:val="Szvegtrzs"/>
        <w:spacing w:before="1"/>
        <w:ind w:right="6937"/>
        <w:rPr>
          <w:lang w:val="hu-HU"/>
        </w:rPr>
      </w:pPr>
    </w:p>
    <w:p w14:paraId="05A2FA73" w14:textId="77777777" w:rsidR="00EC0C9C" w:rsidRPr="00E47E83" w:rsidRDefault="00EC0C9C" w:rsidP="00AE15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586EB51D" w14:textId="77777777" w:rsidR="0098534F" w:rsidRPr="00CA29AC" w:rsidRDefault="0098534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8.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 FORGALOMBA HOZATALI ENGEDÉLY SZÁMA(I)</w:t>
      </w:r>
    </w:p>
    <w:p w14:paraId="2A27013D" w14:textId="77777777" w:rsidR="0098534F" w:rsidRPr="00CA29AC" w:rsidRDefault="0098534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</w:p>
    <w:p w14:paraId="732F0F78" w14:textId="77777777" w:rsidR="00376816" w:rsidRPr="00376816" w:rsidRDefault="00376816" w:rsidP="0037681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u w:val="single"/>
          <w:lang w:val="hu-HU" w:bidi="en-US"/>
        </w:rPr>
      </w:pPr>
      <w:bookmarkStart w:id="2" w:name="_Hlk103772115"/>
      <w:r w:rsidRPr="00376816">
        <w:rPr>
          <w:rFonts w:ascii="Times New Roman" w:hAnsi="Times New Roman"/>
          <w:u w:val="single"/>
          <w:lang w:val="hu-HU"/>
        </w:rPr>
        <w:t>Radicut 50 mg/850 mg filmtabletta</w:t>
      </w:r>
    </w:p>
    <w:p w14:paraId="2B4E56C0" w14:textId="77777777" w:rsidR="00376816" w:rsidRPr="00376816" w:rsidRDefault="00376816" w:rsidP="00376816">
      <w:pPr>
        <w:tabs>
          <w:tab w:val="left" w:pos="2127"/>
        </w:tabs>
        <w:spacing w:after="0"/>
        <w:rPr>
          <w:rFonts w:ascii="Times New Roman" w:hAnsi="Times New Roman"/>
          <w:caps/>
          <w:lang w:val="hu-HU"/>
        </w:rPr>
      </w:pPr>
      <w:r w:rsidRPr="00F721FD">
        <w:rPr>
          <w:rFonts w:ascii="Times New Roman" w:hAnsi="Times New Roman"/>
          <w:lang w:val="hu-HU"/>
        </w:rPr>
        <w:t>OGYI-T-24060/01</w:t>
      </w:r>
      <w:r w:rsidRPr="00F721FD">
        <w:rPr>
          <w:rFonts w:ascii="Times New Roman" w:hAnsi="Times New Roman"/>
          <w:lang w:val="hu-HU"/>
        </w:rPr>
        <w:tab/>
        <w:t>10×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7762CA2E" w14:textId="1BAD345C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OGYI-T-24060/02</w:t>
      </w:r>
      <w:r w:rsidRPr="00F721FD">
        <w:rPr>
          <w:rFonts w:ascii="Times New Roman" w:hAnsi="Times New Roman"/>
          <w:lang w:val="hu-HU"/>
        </w:rPr>
        <w:tab/>
        <w:t>30×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23F33D06" w14:textId="4A7C935B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OGYI-T-24060/03</w:t>
      </w:r>
      <w:r w:rsidRPr="00F721FD">
        <w:rPr>
          <w:rFonts w:ascii="Times New Roman" w:hAnsi="Times New Roman"/>
          <w:lang w:val="hu-HU"/>
        </w:rPr>
        <w:tab/>
        <w:t>60×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4578E1D3" w14:textId="0692962D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OGYI-T-24060/04</w:t>
      </w:r>
      <w:r w:rsidRPr="00F721FD">
        <w:rPr>
          <w:rFonts w:ascii="Times New Roman" w:hAnsi="Times New Roman"/>
          <w:lang w:val="hu-HU"/>
        </w:rPr>
        <w:tab/>
        <w:t>120×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497C42E7" w14:textId="2167D15A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OGYI-T-24060/05</w:t>
      </w:r>
      <w:r w:rsidRPr="00F721FD">
        <w:rPr>
          <w:rFonts w:ascii="Times New Roman" w:hAnsi="Times New Roman"/>
          <w:lang w:val="hu-HU"/>
        </w:rPr>
        <w:tab/>
        <w:t>180×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3F1F7D4C" w14:textId="25DA4EE8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OGYI-T-24060/06</w:t>
      </w:r>
      <w:r w:rsidRPr="00F721FD">
        <w:rPr>
          <w:rFonts w:ascii="Times New Roman" w:hAnsi="Times New Roman"/>
          <w:lang w:val="hu-HU"/>
        </w:rPr>
        <w:tab/>
        <w:t>360×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bookmarkEnd w:id="2"/>
    <w:p w14:paraId="6D85C357" w14:textId="77777777" w:rsidR="00376816" w:rsidRDefault="00376816" w:rsidP="003768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0572DF5E" w14:textId="5A258C57" w:rsidR="002D766E" w:rsidRPr="00376816" w:rsidRDefault="00376816" w:rsidP="003768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u w:val="single"/>
          <w:lang w:val="hu-HU"/>
        </w:rPr>
      </w:pPr>
      <w:r w:rsidRPr="00376816">
        <w:rPr>
          <w:rFonts w:ascii="Times New Roman" w:hAnsi="Times New Roman"/>
          <w:u w:val="single"/>
          <w:lang w:val="hu-HU"/>
        </w:rPr>
        <w:t>Radicut 50 mg/1000 mg filmtabletta</w:t>
      </w:r>
    </w:p>
    <w:p w14:paraId="458F4BAE" w14:textId="22144358" w:rsidR="00376816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bookmarkStart w:id="3" w:name="_Hlk103772187"/>
      <w:r w:rsidRPr="00F721FD">
        <w:rPr>
          <w:rFonts w:ascii="Times New Roman" w:hAnsi="Times New Roman"/>
          <w:lang w:val="hu-HU"/>
        </w:rPr>
        <w:t>OGYI-T-24060/07</w:t>
      </w:r>
      <w:r w:rsidRPr="00F721FD">
        <w:rPr>
          <w:rFonts w:ascii="Times New Roman" w:hAnsi="Times New Roman"/>
          <w:lang w:val="hu-HU"/>
        </w:rPr>
        <w:tab/>
        <w:t>10×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2557289B" w14:textId="7F6BDB06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OGYI-T-24060/08</w:t>
      </w:r>
      <w:r w:rsidRPr="00F721FD">
        <w:rPr>
          <w:rFonts w:ascii="Times New Roman" w:hAnsi="Times New Roman"/>
          <w:lang w:val="hu-HU"/>
        </w:rPr>
        <w:tab/>
        <w:t>30×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1BBD8659" w14:textId="0E5F9CBC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OGYI-T-24060/09</w:t>
      </w:r>
      <w:r w:rsidRPr="00F721FD">
        <w:rPr>
          <w:rFonts w:ascii="Times New Roman" w:hAnsi="Times New Roman"/>
          <w:lang w:val="hu-HU"/>
        </w:rPr>
        <w:tab/>
        <w:t>60×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50D7B51C" w14:textId="4DD6970A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lastRenderedPageBreak/>
        <w:t>OGYI-T-24060/10</w:t>
      </w:r>
      <w:r w:rsidRPr="00F721FD">
        <w:rPr>
          <w:rFonts w:ascii="Times New Roman" w:hAnsi="Times New Roman"/>
          <w:lang w:val="hu-HU"/>
        </w:rPr>
        <w:tab/>
        <w:t>120×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7E4BD686" w14:textId="46A21F30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OGYI-T-24060/11</w:t>
      </w:r>
      <w:r w:rsidRPr="00F721FD">
        <w:rPr>
          <w:rFonts w:ascii="Times New Roman" w:hAnsi="Times New Roman"/>
          <w:lang w:val="hu-HU"/>
        </w:rPr>
        <w:tab/>
        <w:t>180×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p w14:paraId="3E71CD56" w14:textId="3060004A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  <w:r w:rsidRPr="00F721FD">
        <w:rPr>
          <w:rFonts w:ascii="Times New Roman" w:hAnsi="Times New Roman"/>
          <w:lang w:val="hu-HU"/>
        </w:rPr>
        <w:t>OGYI-T-24060/12</w:t>
      </w:r>
      <w:r w:rsidRPr="00F721FD">
        <w:rPr>
          <w:rFonts w:ascii="Times New Roman" w:hAnsi="Times New Roman"/>
          <w:lang w:val="hu-HU"/>
        </w:rPr>
        <w:tab/>
        <w:t>360×</w:t>
      </w:r>
      <w:r w:rsidRPr="00F721FD">
        <w:rPr>
          <w:rFonts w:ascii="Times New Roman" w:hAnsi="Times New Roman"/>
          <w:lang w:val="hu-HU"/>
        </w:rPr>
        <w:tab/>
      </w:r>
      <w:r w:rsidRPr="00376816">
        <w:rPr>
          <w:rFonts w:ascii="Times New Roman" w:hAnsi="Times New Roman"/>
          <w:lang w:val="hu-HU"/>
        </w:rPr>
        <w:t>OPA/Al/PVC//Al buborékcsomagolás</w:t>
      </w:r>
    </w:p>
    <w:bookmarkEnd w:id="3"/>
    <w:p w14:paraId="3566D893" w14:textId="77777777" w:rsidR="00376816" w:rsidRPr="00F721FD" w:rsidRDefault="00376816" w:rsidP="00376816">
      <w:pPr>
        <w:tabs>
          <w:tab w:val="left" w:pos="2127"/>
        </w:tabs>
        <w:spacing w:after="0"/>
        <w:rPr>
          <w:rFonts w:ascii="Times New Roman" w:hAnsi="Times New Roman"/>
          <w:lang w:val="hu-HU"/>
        </w:rPr>
      </w:pPr>
    </w:p>
    <w:p w14:paraId="22EFC954" w14:textId="77777777" w:rsidR="0098534F" w:rsidRPr="00E47E83" w:rsidRDefault="0098534F" w:rsidP="00AE158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Cs/>
          <w:color w:val="000000"/>
          <w:lang w:val="hu-HU"/>
        </w:rPr>
      </w:pPr>
    </w:p>
    <w:p w14:paraId="640B6D7C" w14:textId="77777777" w:rsidR="0098534F" w:rsidRPr="00CA29AC" w:rsidRDefault="0098534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4" w:hanging="564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9.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 FORGALOMBA HOZATALI ENGEDÉLY ELSŐ KIADÁSÁNAK/ MEGÚJÍTÁSÁNAK DÁTUMA</w:t>
      </w:r>
    </w:p>
    <w:p w14:paraId="25742350" w14:textId="77777777" w:rsidR="0098534F" w:rsidRPr="00CA29AC" w:rsidRDefault="0098534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</w:p>
    <w:p w14:paraId="737B71CD" w14:textId="2507A571" w:rsidR="0098534F" w:rsidRPr="00CA29AC" w:rsidRDefault="0098534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hAnsi="Times New Roman"/>
          <w:color w:val="000000"/>
          <w:lang w:val="hu-HU"/>
        </w:rPr>
        <w:t>A forgalomba hozatali engedély első kiadásának dátuma:</w:t>
      </w:r>
      <w:r w:rsidR="002F00EC" w:rsidRPr="00E47E83">
        <w:rPr>
          <w:rFonts w:ascii="Times New Roman" w:hAnsi="Times New Roman"/>
          <w:color w:val="000000"/>
          <w:lang w:val="hu-HU"/>
        </w:rPr>
        <w:t xml:space="preserve"> </w:t>
      </w:r>
      <w:r w:rsidR="000A25FD">
        <w:rPr>
          <w:rFonts w:ascii="Times New Roman" w:hAnsi="Times New Roman"/>
          <w:color w:val="000000"/>
          <w:lang w:val="hu-HU"/>
        </w:rPr>
        <w:t>2022. május 18.</w:t>
      </w:r>
    </w:p>
    <w:p w14:paraId="61C9B916" w14:textId="77777777" w:rsidR="0098534F" w:rsidRPr="00E47E83" w:rsidRDefault="0098534F" w:rsidP="00AE158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color w:val="000000"/>
          <w:lang w:val="hu-HU"/>
        </w:rPr>
      </w:pPr>
    </w:p>
    <w:p w14:paraId="12CE6553" w14:textId="77777777" w:rsidR="0098534F" w:rsidRPr="00E47E83" w:rsidRDefault="0098534F" w:rsidP="00AE158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color w:val="000000"/>
          <w:lang w:val="hu-HU"/>
        </w:rPr>
      </w:pPr>
    </w:p>
    <w:p w14:paraId="1311DCF3" w14:textId="77777777" w:rsidR="0098534F" w:rsidRPr="00CA29AC" w:rsidRDefault="0098534F" w:rsidP="00E92AE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/>
        </w:rPr>
      </w:pP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>10.</w:t>
      </w:r>
      <w:r w:rsidRPr="00E47E83">
        <w:rPr>
          <w:rFonts w:ascii="Times New Roman" w:eastAsia="TimesNewRoman,Bold" w:hAnsi="Times New Roman"/>
          <w:b/>
          <w:bCs/>
          <w:color w:val="000000"/>
          <w:lang w:val="hu-HU"/>
        </w:rPr>
        <w:tab/>
      </w:r>
      <w:r w:rsidRPr="00E47E83">
        <w:rPr>
          <w:rFonts w:ascii="Times New Roman" w:hAnsi="Times New Roman"/>
          <w:b/>
          <w:color w:val="000000"/>
          <w:lang w:val="hu-HU"/>
        </w:rPr>
        <w:t>A SZÖVEG ELLENŐRZÉSÉNEK DÁTUMA</w:t>
      </w:r>
    </w:p>
    <w:p w14:paraId="2F5607CE" w14:textId="77777777" w:rsidR="00733DE4" w:rsidRPr="00CA29AC" w:rsidRDefault="00733DE4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12764627" w14:textId="0E33D91E" w:rsidR="002F00EC" w:rsidRPr="00CA29AC" w:rsidRDefault="008D1655" w:rsidP="00E92AE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2026</w:t>
      </w:r>
      <w:r w:rsidR="000A25FD">
        <w:rPr>
          <w:rFonts w:ascii="Times New Roman" w:hAnsi="Times New Roman"/>
          <w:lang w:val="hu-HU"/>
        </w:rPr>
        <w:t xml:space="preserve">. </w:t>
      </w:r>
      <w:r>
        <w:rPr>
          <w:rFonts w:ascii="Times New Roman" w:hAnsi="Times New Roman"/>
          <w:lang w:val="hu-HU"/>
        </w:rPr>
        <w:t>június 26</w:t>
      </w:r>
      <w:r w:rsidR="000A25FD">
        <w:rPr>
          <w:rFonts w:ascii="Times New Roman" w:hAnsi="Times New Roman"/>
          <w:lang w:val="hu-HU"/>
        </w:rPr>
        <w:t>.</w:t>
      </w:r>
    </w:p>
    <w:sectPr w:rsidR="002F00EC" w:rsidRPr="00CA29AC" w:rsidSect="00E92AEE"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69F3A" w14:textId="77777777" w:rsidR="00F92973" w:rsidRDefault="00F92973" w:rsidP="006B5C85">
      <w:pPr>
        <w:spacing w:after="0" w:line="240" w:lineRule="auto"/>
      </w:pPr>
      <w:r>
        <w:separator/>
      </w:r>
    </w:p>
  </w:endnote>
  <w:endnote w:type="continuationSeparator" w:id="0">
    <w:p w14:paraId="57709C5F" w14:textId="77777777" w:rsidR="00F92973" w:rsidRDefault="00F92973" w:rsidP="006B5C85">
      <w:pPr>
        <w:spacing w:after="0" w:line="240" w:lineRule="auto"/>
      </w:pPr>
      <w:r>
        <w:continuationSeparator/>
      </w:r>
    </w:p>
  </w:endnote>
  <w:endnote w:type="continuationNotice" w:id="1">
    <w:p w14:paraId="2A442BEB" w14:textId="77777777" w:rsidR="00F92973" w:rsidRDefault="00F92973" w:rsidP="006B5C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2775" w14:textId="77777777" w:rsidR="004B0B62" w:rsidRPr="004B0B62" w:rsidRDefault="004B0B62" w:rsidP="004B0B62">
    <w:pPr>
      <w:pStyle w:val="llb"/>
      <w:rPr>
        <w:rFonts w:ascii="Times New Roman" w:hAnsi="Times New Roman"/>
        <w:sz w:val="18"/>
      </w:rPr>
    </w:pPr>
    <w:r w:rsidRPr="004B0B62">
      <w:rPr>
        <w:rFonts w:ascii="Times New Roman" w:hAnsi="Times New Roman"/>
        <w:sz w:val="18"/>
      </w:rPr>
      <w:t>NNGYK/ETGY/10767/2026</w:t>
    </w:r>
  </w:p>
  <w:p w14:paraId="5E7DC1DF" w14:textId="6172FD09" w:rsidR="003530A1" w:rsidRPr="00E92AEE" w:rsidRDefault="004B0B62" w:rsidP="00E92AEE">
    <w:pPr>
      <w:pStyle w:val="llb"/>
      <w:rPr>
        <w:rFonts w:ascii="Times New Roman" w:hAnsi="Times New Roman"/>
        <w:sz w:val="18"/>
      </w:rPr>
    </w:pPr>
    <w:r w:rsidRPr="004B0B62">
      <w:rPr>
        <w:rFonts w:ascii="Times New Roman" w:hAnsi="Times New Roman"/>
        <w:sz w:val="18"/>
      </w:rPr>
      <w:t>NNGYK/ETGY/10769/2026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694F6" w14:textId="77777777" w:rsidR="00F92973" w:rsidRDefault="00F92973" w:rsidP="006B5C85">
      <w:pPr>
        <w:spacing w:after="0" w:line="240" w:lineRule="auto"/>
      </w:pPr>
      <w:r>
        <w:separator/>
      </w:r>
    </w:p>
  </w:footnote>
  <w:footnote w:type="continuationSeparator" w:id="0">
    <w:p w14:paraId="4935DEC9" w14:textId="77777777" w:rsidR="00F92973" w:rsidRDefault="00F92973" w:rsidP="006B5C85">
      <w:pPr>
        <w:spacing w:after="0" w:line="240" w:lineRule="auto"/>
      </w:pPr>
      <w:r>
        <w:continuationSeparator/>
      </w:r>
    </w:p>
  </w:footnote>
  <w:footnote w:type="continuationNotice" w:id="1">
    <w:p w14:paraId="3D4F69A5" w14:textId="77777777" w:rsidR="00F92973" w:rsidRDefault="00F92973" w:rsidP="006B5C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DF140" w14:textId="77777777" w:rsidR="003530A1" w:rsidRPr="00D5076A" w:rsidRDefault="003530A1">
    <w:pPr>
      <w:pStyle w:val="lfej"/>
      <w:jc w:val="center"/>
      <w:rPr>
        <w:rFonts w:ascii="Times New Roman" w:hAnsi="Times New Roman"/>
        <w:sz w:val="18"/>
        <w:szCs w:val="18"/>
      </w:rPr>
    </w:pPr>
    <w:r w:rsidRPr="00D5076A">
      <w:rPr>
        <w:rFonts w:ascii="Times New Roman" w:hAnsi="Times New Roman"/>
        <w:sz w:val="18"/>
        <w:szCs w:val="18"/>
      </w:rPr>
      <w:fldChar w:fldCharType="begin"/>
    </w:r>
    <w:r w:rsidRPr="00D5076A">
      <w:rPr>
        <w:rFonts w:ascii="Times New Roman" w:hAnsi="Times New Roman"/>
        <w:sz w:val="18"/>
        <w:szCs w:val="18"/>
      </w:rPr>
      <w:instrText>PAGE   \* MERGEFORMAT</w:instrText>
    </w:r>
    <w:r w:rsidRPr="00D5076A">
      <w:rPr>
        <w:rFonts w:ascii="Times New Roman" w:hAnsi="Times New Roman"/>
        <w:sz w:val="18"/>
        <w:szCs w:val="18"/>
      </w:rPr>
      <w:fldChar w:fldCharType="separate"/>
    </w:r>
    <w:r w:rsidRPr="00485C25">
      <w:rPr>
        <w:rFonts w:ascii="Times New Roman" w:hAnsi="Times New Roman"/>
        <w:noProof/>
        <w:sz w:val="18"/>
        <w:szCs w:val="18"/>
        <w:lang w:val="hu-HU"/>
      </w:rPr>
      <w:t>20</w:t>
    </w:r>
    <w:r w:rsidRPr="00D5076A">
      <w:rPr>
        <w:rFonts w:ascii="Times New Roman" w:hAnsi="Times New Roman"/>
        <w:sz w:val="18"/>
        <w:szCs w:val="18"/>
      </w:rPr>
      <w:fldChar w:fldCharType="end"/>
    </w:r>
  </w:p>
  <w:p w14:paraId="3ACD0F19" w14:textId="77777777" w:rsidR="003530A1" w:rsidRDefault="003530A1" w:rsidP="00E92AE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hybridMultilevel"/>
    <w:tmpl w:val="68EB2F62"/>
    <w:lvl w:ilvl="0" w:tplc="FFFFFFFF">
      <w:start w:val="1"/>
      <w:numFmt w:val="bullet"/>
      <w:lvlText w:val="*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D"/>
    <w:multiLevelType w:val="hybridMultilevel"/>
    <w:tmpl w:val="4962813A"/>
    <w:lvl w:ilvl="0" w:tplc="FFFFFFFF">
      <w:start w:val="1"/>
      <w:numFmt w:val="bullet"/>
      <w:lvlText w:val="†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DE4126C"/>
    <w:multiLevelType w:val="hybridMultilevel"/>
    <w:tmpl w:val="9ECC9F28"/>
    <w:lvl w:ilvl="0" w:tplc="C688DDC0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D374518"/>
    <w:multiLevelType w:val="multilevel"/>
    <w:tmpl w:val="C5FCD8F6"/>
    <w:lvl w:ilvl="0">
      <w:start w:val="4"/>
      <w:numFmt w:val="decimal"/>
      <w:lvlText w:val="%1"/>
      <w:lvlJc w:val="left"/>
      <w:pPr>
        <w:ind w:left="788" w:hanging="569"/>
      </w:pPr>
      <w:rPr>
        <w:rFonts w:hint="default"/>
        <w:lang w:val="en-US" w:eastAsia="en-US" w:bidi="en-US"/>
      </w:rPr>
    </w:lvl>
    <w:lvl w:ilvl="1">
      <w:start w:val="3"/>
      <w:numFmt w:val="decimal"/>
      <w:lvlText w:val="%1.%2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4" w15:restartNumberingAfterBreak="0">
    <w:nsid w:val="32E77513"/>
    <w:multiLevelType w:val="hybridMultilevel"/>
    <w:tmpl w:val="602871CC"/>
    <w:lvl w:ilvl="0" w:tplc="0CFA4B38">
      <w:numFmt w:val="bullet"/>
      <w:lvlText w:val=""/>
      <w:lvlJc w:val="left"/>
      <w:pPr>
        <w:ind w:left="788" w:hanging="569"/>
      </w:pPr>
      <w:rPr>
        <w:rFonts w:ascii="Symbol" w:eastAsia="Symbol" w:hAnsi="Symbol" w:cs="Symbol" w:hint="default"/>
        <w:w w:val="101"/>
        <w:sz w:val="22"/>
        <w:szCs w:val="22"/>
        <w:lang w:val="en-US" w:eastAsia="en-US" w:bidi="en-US"/>
      </w:rPr>
    </w:lvl>
    <w:lvl w:ilvl="1" w:tplc="06DA391E">
      <w:numFmt w:val="bullet"/>
      <w:lvlText w:val=""/>
      <w:lvlJc w:val="left"/>
      <w:pPr>
        <w:ind w:left="1350" w:hanging="563"/>
      </w:pPr>
      <w:rPr>
        <w:rFonts w:ascii="Symbol" w:eastAsia="Symbol" w:hAnsi="Symbol" w:cs="Symbol" w:hint="default"/>
        <w:w w:val="101"/>
        <w:sz w:val="22"/>
        <w:szCs w:val="22"/>
        <w:lang w:val="en-US" w:eastAsia="en-US" w:bidi="en-US"/>
      </w:rPr>
    </w:lvl>
    <w:lvl w:ilvl="2" w:tplc="9522B3B2">
      <w:numFmt w:val="bullet"/>
      <w:lvlText w:val="•"/>
      <w:lvlJc w:val="left"/>
      <w:pPr>
        <w:ind w:left="2289" w:hanging="563"/>
      </w:pPr>
      <w:rPr>
        <w:rFonts w:hint="default"/>
        <w:lang w:val="en-US" w:eastAsia="en-US" w:bidi="en-US"/>
      </w:rPr>
    </w:lvl>
    <w:lvl w:ilvl="3" w:tplc="35240A12">
      <w:numFmt w:val="bullet"/>
      <w:lvlText w:val="•"/>
      <w:lvlJc w:val="left"/>
      <w:pPr>
        <w:ind w:left="3219" w:hanging="563"/>
      </w:pPr>
      <w:rPr>
        <w:rFonts w:hint="default"/>
        <w:lang w:val="en-US" w:eastAsia="en-US" w:bidi="en-US"/>
      </w:rPr>
    </w:lvl>
    <w:lvl w:ilvl="4" w:tplc="8EAE2DFA">
      <w:numFmt w:val="bullet"/>
      <w:lvlText w:val="•"/>
      <w:lvlJc w:val="left"/>
      <w:pPr>
        <w:ind w:left="4149" w:hanging="563"/>
      </w:pPr>
      <w:rPr>
        <w:rFonts w:hint="default"/>
        <w:lang w:val="en-US" w:eastAsia="en-US" w:bidi="en-US"/>
      </w:rPr>
    </w:lvl>
    <w:lvl w:ilvl="5" w:tplc="5C823992">
      <w:numFmt w:val="bullet"/>
      <w:lvlText w:val="•"/>
      <w:lvlJc w:val="left"/>
      <w:pPr>
        <w:ind w:left="5079" w:hanging="563"/>
      </w:pPr>
      <w:rPr>
        <w:rFonts w:hint="default"/>
        <w:lang w:val="en-US" w:eastAsia="en-US" w:bidi="en-US"/>
      </w:rPr>
    </w:lvl>
    <w:lvl w:ilvl="6" w:tplc="2416C8D4">
      <w:numFmt w:val="bullet"/>
      <w:lvlText w:val="•"/>
      <w:lvlJc w:val="left"/>
      <w:pPr>
        <w:ind w:left="6009" w:hanging="563"/>
      </w:pPr>
      <w:rPr>
        <w:rFonts w:hint="default"/>
        <w:lang w:val="en-US" w:eastAsia="en-US" w:bidi="en-US"/>
      </w:rPr>
    </w:lvl>
    <w:lvl w:ilvl="7" w:tplc="F4FC09A2">
      <w:numFmt w:val="bullet"/>
      <w:lvlText w:val="•"/>
      <w:lvlJc w:val="left"/>
      <w:pPr>
        <w:ind w:left="6939" w:hanging="563"/>
      </w:pPr>
      <w:rPr>
        <w:rFonts w:hint="default"/>
        <w:lang w:val="en-US" w:eastAsia="en-US" w:bidi="en-US"/>
      </w:rPr>
    </w:lvl>
    <w:lvl w:ilvl="8" w:tplc="DD162E7A">
      <w:numFmt w:val="bullet"/>
      <w:lvlText w:val="•"/>
      <w:lvlJc w:val="left"/>
      <w:pPr>
        <w:ind w:left="7869" w:hanging="563"/>
      </w:pPr>
      <w:rPr>
        <w:rFonts w:hint="default"/>
        <w:lang w:val="en-US" w:eastAsia="en-US" w:bidi="en-US"/>
      </w:rPr>
    </w:lvl>
  </w:abstractNum>
  <w:abstractNum w:abstractNumId="5" w15:restartNumberingAfterBreak="0">
    <w:nsid w:val="3C7F1283"/>
    <w:multiLevelType w:val="hybridMultilevel"/>
    <w:tmpl w:val="C4BCF1AA"/>
    <w:lvl w:ilvl="0" w:tplc="8EF031B2">
      <w:start w:val="1"/>
      <w:numFmt w:val="decimal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en-US" w:eastAsia="en-US" w:bidi="en-US"/>
      </w:rPr>
    </w:lvl>
    <w:lvl w:ilvl="1" w:tplc="BEE84D96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F800D934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37647FEE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65445D30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4DA8B3D8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F9F0017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58F086D4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E210385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6" w15:restartNumberingAfterBreak="0">
    <w:nsid w:val="40431B06"/>
    <w:multiLevelType w:val="multilevel"/>
    <w:tmpl w:val="D3CE3BD4"/>
    <w:lvl w:ilvl="0">
      <w:start w:val="5"/>
      <w:numFmt w:val="decimal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7" w15:restartNumberingAfterBreak="0">
    <w:nsid w:val="479A2B0A"/>
    <w:multiLevelType w:val="multilevel"/>
    <w:tmpl w:val="A9DE40D8"/>
    <w:lvl w:ilvl="0">
      <w:start w:val="4"/>
      <w:numFmt w:val="decimal"/>
      <w:lvlText w:val="%1"/>
      <w:lvlJc w:val="left"/>
      <w:pPr>
        <w:ind w:left="219" w:hanging="339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219" w:hanging="339"/>
      </w:pPr>
      <w:rPr>
        <w:rFonts w:ascii="Times New Roman" w:eastAsia="Times New Roman" w:hAnsi="Times New Roman" w:cs="Times New Roman" w:hint="default"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121" w:hanging="33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072" w:hanging="33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023" w:hanging="33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4974" w:hanging="33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5925" w:hanging="33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6876" w:hanging="33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827" w:hanging="339"/>
      </w:pPr>
      <w:rPr>
        <w:rFonts w:hint="default"/>
        <w:lang w:val="en-US" w:eastAsia="en-US" w:bidi="en-US"/>
      </w:rPr>
    </w:lvl>
  </w:abstractNum>
  <w:abstractNum w:abstractNumId="8" w15:restartNumberingAfterBreak="0">
    <w:nsid w:val="49674236"/>
    <w:multiLevelType w:val="hybridMultilevel"/>
    <w:tmpl w:val="B6EE6474"/>
    <w:lvl w:ilvl="0" w:tplc="3AA2C23A">
      <w:start w:val="1"/>
      <w:numFmt w:val="upperLetter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3"/>
        <w:w w:val="101"/>
        <w:sz w:val="22"/>
        <w:szCs w:val="22"/>
        <w:lang w:val="en-US" w:eastAsia="en-US" w:bidi="en-US"/>
      </w:rPr>
    </w:lvl>
    <w:lvl w:ilvl="1" w:tplc="E362A79A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5F9A0E2E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5AD05A3E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850A3FAC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0A5852A4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E5382D82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2C5E972E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29A61592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9" w15:restartNumberingAfterBreak="0">
    <w:nsid w:val="4F066CCA"/>
    <w:multiLevelType w:val="hybridMultilevel"/>
    <w:tmpl w:val="26AA91B4"/>
    <w:lvl w:ilvl="0" w:tplc="25B04B8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4E63EB6"/>
    <w:multiLevelType w:val="hybridMultilevel"/>
    <w:tmpl w:val="33AEE67C"/>
    <w:lvl w:ilvl="0" w:tplc="E932CC28">
      <w:numFmt w:val="bullet"/>
      <w:lvlText w:val=""/>
      <w:lvlJc w:val="left"/>
      <w:pPr>
        <w:ind w:left="788" w:hanging="569"/>
      </w:pPr>
      <w:rPr>
        <w:rFonts w:ascii="Symbol" w:eastAsia="Symbol" w:hAnsi="Symbol" w:cs="Symbol" w:hint="default"/>
        <w:w w:val="101"/>
        <w:sz w:val="22"/>
        <w:szCs w:val="22"/>
        <w:lang w:val="en-US" w:eastAsia="en-US" w:bidi="en-US"/>
      </w:rPr>
    </w:lvl>
    <w:lvl w:ilvl="1" w:tplc="B0B21CCC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22F0932E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EE8AACDC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FCAA9BF8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187A43E6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41C8F3B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2528F5C4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F4E6E750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1" w15:restartNumberingAfterBreak="0">
    <w:nsid w:val="58284195"/>
    <w:multiLevelType w:val="multilevel"/>
    <w:tmpl w:val="867847AC"/>
    <w:lvl w:ilvl="0">
      <w:start w:val="4"/>
      <w:numFmt w:val="decimal"/>
      <w:lvlText w:val="%1"/>
      <w:lvlJc w:val="left"/>
      <w:pPr>
        <w:ind w:left="788" w:hanging="569"/>
      </w:pPr>
      <w:rPr>
        <w:rFonts w:hint="default"/>
        <w:lang w:val="en-US" w:eastAsia="en-US" w:bidi="en-US"/>
      </w:rPr>
    </w:lvl>
    <w:lvl w:ilvl="1">
      <w:start w:val="6"/>
      <w:numFmt w:val="decimal"/>
      <w:lvlText w:val="%1.%2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2" w15:restartNumberingAfterBreak="0">
    <w:nsid w:val="5BD83E9E"/>
    <w:multiLevelType w:val="multilevel"/>
    <w:tmpl w:val="DE4234BE"/>
    <w:lvl w:ilvl="0">
      <w:start w:val="1"/>
      <w:numFmt w:val="decimal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788" w:hanging="569"/>
      </w:pPr>
      <w:rPr>
        <w:rFonts w:ascii="Times New Roman" w:eastAsia="Times New Roman" w:hAnsi="Times New Roman" w:cs="Times New Roman" w:hint="default"/>
        <w:b/>
        <w:bCs/>
        <w:spacing w:val="-6"/>
        <w:w w:val="101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3" w15:restartNumberingAfterBreak="0">
    <w:nsid w:val="6F962324"/>
    <w:multiLevelType w:val="hybridMultilevel"/>
    <w:tmpl w:val="9626DD94"/>
    <w:lvl w:ilvl="0" w:tplc="F8B4CCA2">
      <w:numFmt w:val="bullet"/>
      <w:lvlText w:val="-"/>
      <w:lvlJc w:val="left"/>
      <w:pPr>
        <w:ind w:left="788" w:hanging="569"/>
      </w:pPr>
      <w:rPr>
        <w:rFonts w:hint="default"/>
        <w:w w:val="101"/>
        <w:lang w:val="en-US" w:eastAsia="en-US" w:bidi="en-US"/>
      </w:rPr>
    </w:lvl>
    <w:lvl w:ilvl="1" w:tplc="EFC041CC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AF8E49F0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12744722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537E8E10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9E4088AC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B664C78A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A51837A4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02362F1C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14" w15:restartNumberingAfterBreak="0">
    <w:nsid w:val="72587874"/>
    <w:multiLevelType w:val="hybridMultilevel"/>
    <w:tmpl w:val="9B0CC5EC"/>
    <w:lvl w:ilvl="0" w:tplc="D758DCC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3A432A6"/>
    <w:multiLevelType w:val="hybridMultilevel"/>
    <w:tmpl w:val="B530676C"/>
    <w:lvl w:ilvl="0" w:tplc="2558ED40">
      <w:start w:val="1"/>
      <w:numFmt w:val="decimal"/>
      <w:lvlText w:val="%1."/>
      <w:lvlJc w:val="left"/>
      <w:pPr>
        <w:ind w:left="1350" w:hanging="231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2"/>
        <w:szCs w:val="22"/>
        <w:lang w:val="en-US" w:eastAsia="en-US" w:bidi="en-US"/>
      </w:rPr>
    </w:lvl>
    <w:lvl w:ilvl="1" w:tplc="711CD65E">
      <w:numFmt w:val="bullet"/>
      <w:lvlText w:val="•"/>
      <w:lvlJc w:val="left"/>
      <w:pPr>
        <w:ind w:left="2196" w:hanging="231"/>
      </w:pPr>
      <w:rPr>
        <w:rFonts w:hint="default"/>
        <w:lang w:val="en-US" w:eastAsia="en-US" w:bidi="en-US"/>
      </w:rPr>
    </w:lvl>
    <w:lvl w:ilvl="2" w:tplc="58F88BC2">
      <w:numFmt w:val="bullet"/>
      <w:lvlText w:val="•"/>
      <w:lvlJc w:val="left"/>
      <w:pPr>
        <w:ind w:left="3033" w:hanging="231"/>
      </w:pPr>
      <w:rPr>
        <w:rFonts w:hint="default"/>
        <w:lang w:val="en-US" w:eastAsia="en-US" w:bidi="en-US"/>
      </w:rPr>
    </w:lvl>
    <w:lvl w:ilvl="3" w:tplc="36CA4310">
      <w:numFmt w:val="bullet"/>
      <w:lvlText w:val="•"/>
      <w:lvlJc w:val="left"/>
      <w:pPr>
        <w:ind w:left="3870" w:hanging="231"/>
      </w:pPr>
      <w:rPr>
        <w:rFonts w:hint="default"/>
        <w:lang w:val="en-US" w:eastAsia="en-US" w:bidi="en-US"/>
      </w:rPr>
    </w:lvl>
    <w:lvl w:ilvl="4" w:tplc="2D28A512">
      <w:numFmt w:val="bullet"/>
      <w:lvlText w:val="•"/>
      <w:lvlJc w:val="left"/>
      <w:pPr>
        <w:ind w:left="4707" w:hanging="231"/>
      </w:pPr>
      <w:rPr>
        <w:rFonts w:hint="default"/>
        <w:lang w:val="en-US" w:eastAsia="en-US" w:bidi="en-US"/>
      </w:rPr>
    </w:lvl>
    <w:lvl w:ilvl="5" w:tplc="330CDF0A">
      <w:numFmt w:val="bullet"/>
      <w:lvlText w:val="•"/>
      <w:lvlJc w:val="left"/>
      <w:pPr>
        <w:ind w:left="5544" w:hanging="231"/>
      </w:pPr>
      <w:rPr>
        <w:rFonts w:hint="default"/>
        <w:lang w:val="en-US" w:eastAsia="en-US" w:bidi="en-US"/>
      </w:rPr>
    </w:lvl>
    <w:lvl w:ilvl="6" w:tplc="2D848B74">
      <w:numFmt w:val="bullet"/>
      <w:lvlText w:val="•"/>
      <w:lvlJc w:val="left"/>
      <w:pPr>
        <w:ind w:left="6381" w:hanging="231"/>
      </w:pPr>
      <w:rPr>
        <w:rFonts w:hint="default"/>
        <w:lang w:val="en-US" w:eastAsia="en-US" w:bidi="en-US"/>
      </w:rPr>
    </w:lvl>
    <w:lvl w:ilvl="7" w:tplc="6E02E506">
      <w:numFmt w:val="bullet"/>
      <w:lvlText w:val="•"/>
      <w:lvlJc w:val="left"/>
      <w:pPr>
        <w:ind w:left="7218" w:hanging="231"/>
      </w:pPr>
      <w:rPr>
        <w:rFonts w:hint="default"/>
        <w:lang w:val="en-US" w:eastAsia="en-US" w:bidi="en-US"/>
      </w:rPr>
    </w:lvl>
    <w:lvl w:ilvl="8" w:tplc="9250B04A">
      <w:numFmt w:val="bullet"/>
      <w:lvlText w:val="•"/>
      <w:lvlJc w:val="left"/>
      <w:pPr>
        <w:ind w:left="8055" w:hanging="231"/>
      </w:pPr>
      <w:rPr>
        <w:rFonts w:hint="default"/>
        <w:lang w:val="en-US" w:eastAsia="en-US" w:bidi="en-US"/>
      </w:rPr>
    </w:lvl>
  </w:abstractNum>
  <w:abstractNum w:abstractNumId="16" w15:restartNumberingAfterBreak="0">
    <w:nsid w:val="77344D2B"/>
    <w:multiLevelType w:val="hybridMultilevel"/>
    <w:tmpl w:val="71EE4A84"/>
    <w:lvl w:ilvl="0" w:tplc="2B061434">
      <w:start w:val="1"/>
      <w:numFmt w:val="upperRoman"/>
      <w:lvlText w:val="%1."/>
      <w:lvlJc w:val="left"/>
      <w:pPr>
        <w:ind w:left="3403" w:hanging="195"/>
        <w:jc w:val="right"/>
      </w:pPr>
      <w:rPr>
        <w:rFonts w:ascii="Times New Roman" w:eastAsia="Times New Roman" w:hAnsi="Times New Roman" w:cs="Times New Roman" w:hint="default"/>
        <w:b/>
        <w:bCs/>
        <w:w w:val="101"/>
        <w:sz w:val="22"/>
        <w:szCs w:val="22"/>
        <w:lang w:val="en-US" w:eastAsia="en-US" w:bidi="en-US"/>
      </w:rPr>
    </w:lvl>
    <w:lvl w:ilvl="1" w:tplc="55366F7C">
      <w:start w:val="1"/>
      <w:numFmt w:val="upperLetter"/>
      <w:lvlText w:val="%2."/>
      <w:lvlJc w:val="left"/>
      <w:pPr>
        <w:ind w:left="4231" w:hanging="274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1"/>
        <w:sz w:val="22"/>
        <w:szCs w:val="22"/>
        <w:lang w:val="en-US" w:eastAsia="en-US" w:bidi="en-US"/>
      </w:rPr>
    </w:lvl>
    <w:lvl w:ilvl="2" w:tplc="6A106CD8">
      <w:numFmt w:val="bullet"/>
      <w:lvlText w:val="•"/>
      <w:lvlJc w:val="left"/>
      <w:pPr>
        <w:ind w:left="4849" w:hanging="274"/>
      </w:pPr>
      <w:rPr>
        <w:rFonts w:hint="default"/>
        <w:lang w:val="en-US" w:eastAsia="en-US" w:bidi="en-US"/>
      </w:rPr>
    </w:lvl>
    <w:lvl w:ilvl="3" w:tplc="2440FE18">
      <w:numFmt w:val="bullet"/>
      <w:lvlText w:val="•"/>
      <w:lvlJc w:val="left"/>
      <w:pPr>
        <w:ind w:left="5459" w:hanging="274"/>
      </w:pPr>
      <w:rPr>
        <w:rFonts w:hint="default"/>
        <w:lang w:val="en-US" w:eastAsia="en-US" w:bidi="en-US"/>
      </w:rPr>
    </w:lvl>
    <w:lvl w:ilvl="4" w:tplc="7AE28CF4">
      <w:numFmt w:val="bullet"/>
      <w:lvlText w:val="•"/>
      <w:lvlJc w:val="left"/>
      <w:pPr>
        <w:ind w:left="6069" w:hanging="274"/>
      </w:pPr>
      <w:rPr>
        <w:rFonts w:hint="default"/>
        <w:lang w:val="en-US" w:eastAsia="en-US" w:bidi="en-US"/>
      </w:rPr>
    </w:lvl>
    <w:lvl w:ilvl="5" w:tplc="CFE40022">
      <w:numFmt w:val="bullet"/>
      <w:lvlText w:val="•"/>
      <w:lvlJc w:val="left"/>
      <w:pPr>
        <w:ind w:left="6679" w:hanging="274"/>
      </w:pPr>
      <w:rPr>
        <w:rFonts w:hint="default"/>
        <w:lang w:val="en-US" w:eastAsia="en-US" w:bidi="en-US"/>
      </w:rPr>
    </w:lvl>
    <w:lvl w:ilvl="6" w:tplc="50821074">
      <w:numFmt w:val="bullet"/>
      <w:lvlText w:val="•"/>
      <w:lvlJc w:val="left"/>
      <w:pPr>
        <w:ind w:left="7289" w:hanging="274"/>
      </w:pPr>
      <w:rPr>
        <w:rFonts w:hint="default"/>
        <w:lang w:val="en-US" w:eastAsia="en-US" w:bidi="en-US"/>
      </w:rPr>
    </w:lvl>
    <w:lvl w:ilvl="7" w:tplc="B69296D6">
      <w:numFmt w:val="bullet"/>
      <w:lvlText w:val="•"/>
      <w:lvlJc w:val="left"/>
      <w:pPr>
        <w:ind w:left="7899" w:hanging="274"/>
      </w:pPr>
      <w:rPr>
        <w:rFonts w:hint="default"/>
        <w:lang w:val="en-US" w:eastAsia="en-US" w:bidi="en-US"/>
      </w:rPr>
    </w:lvl>
    <w:lvl w:ilvl="8" w:tplc="FC641014">
      <w:numFmt w:val="bullet"/>
      <w:lvlText w:val="•"/>
      <w:lvlJc w:val="left"/>
      <w:pPr>
        <w:ind w:left="8509" w:hanging="274"/>
      </w:pPr>
      <w:rPr>
        <w:rFonts w:hint="default"/>
        <w:lang w:val="en-US" w:eastAsia="en-US" w:bidi="en-US"/>
      </w:rPr>
    </w:lvl>
  </w:abstractNum>
  <w:abstractNum w:abstractNumId="17" w15:restartNumberingAfterBreak="0">
    <w:nsid w:val="778B6DE4"/>
    <w:multiLevelType w:val="hybridMultilevel"/>
    <w:tmpl w:val="7C3A5B0A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22C0938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330AD7"/>
    <w:multiLevelType w:val="hybridMultilevel"/>
    <w:tmpl w:val="3A1A52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C0938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531776"/>
    <w:multiLevelType w:val="hybridMultilevel"/>
    <w:tmpl w:val="7EA62D6E"/>
    <w:lvl w:ilvl="0" w:tplc="5C84BF0E">
      <w:start w:val="1"/>
      <w:numFmt w:val="decimal"/>
      <w:lvlText w:val="%1."/>
      <w:lvlJc w:val="left"/>
      <w:pPr>
        <w:ind w:left="788" w:hanging="569"/>
      </w:pPr>
      <w:rPr>
        <w:rFonts w:ascii="Times New Roman" w:eastAsia="Times New Roman" w:hAnsi="Times New Roman" w:cs="Times New Roman" w:hint="default"/>
        <w:spacing w:val="0"/>
        <w:w w:val="101"/>
        <w:sz w:val="22"/>
        <w:szCs w:val="22"/>
        <w:lang w:val="en-US" w:eastAsia="en-US" w:bidi="en-US"/>
      </w:rPr>
    </w:lvl>
    <w:lvl w:ilvl="1" w:tplc="100C22D0">
      <w:numFmt w:val="bullet"/>
      <w:lvlText w:val="•"/>
      <w:lvlJc w:val="left"/>
      <w:pPr>
        <w:ind w:left="1674" w:hanging="569"/>
      </w:pPr>
      <w:rPr>
        <w:rFonts w:hint="default"/>
        <w:lang w:val="en-US" w:eastAsia="en-US" w:bidi="en-US"/>
      </w:rPr>
    </w:lvl>
    <w:lvl w:ilvl="2" w:tplc="CAD03970">
      <w:numFmt w:val="bullet"/>
      <w:lvlText w:val="•"/>
      <w:lvlJc w:val="left"/>
      <w:pPr>
        <w:ind w:left="2569" w:hanging="569"/>
      </w:pPr>
      <w:rPr>
        <w:rFonts w:hint="default"/>
        <w:lang w:val="en-US" w:eastAsia="en-US" w:bidi="en-US"/>
      </w:rPr>
    </w:lvl>
    <w:lvl w:ilvl="3" w:tplc="DACC58A4">
      <w:numFmt w:val="bullet"/>
      <w:lvlText w:val="•"/>
      <w:lvlJc w:val="left"/>
      <w:pPr>
        <w:ind w:left="3464" w:hanging="569"/>
      </w:pPr>
      <w:rPr>
        <w:rFonts w:hint="default"/>
        <w:lang w:val="en-US" w:eastAsia="en-US" w:bidi="en-US"/>
      </w:rPr>
    </w:lvl>
    <w:lvl w:ilvl="4" w:tplc="EF3EA8A0">
      <w:numFmt w:val="bullet"/>
      <w:lvlText w:val="•"/>
      <w:lvlJc w:val="left"/>
      <w:pPr>
        <w:ind w:left="4359" w:hanging="569"/>
      </w:pPr>
      <w:rPr>
        <w:rFonts w:hint="default"/>
        <w:lang w:val="en-US" w:eastAsia="en-US" w:bidi="en-US"/>
      </w:rPr>
    </w:lvl>
    <w:lvl w:ilvl="5" w:tplc="93FA54C6">
      <w:numFmt w:val="bullet"/>
      <w:lvlText w:val="•"/>
      <w:lvlJc w:val="left"/>
      <w:pPr>
        <w:ind w:left="5254" w:hanging="569"/>
      </w:pPr>
      <w:rPr>
        <w:rFonts w:hint="default"/>
        <w:lang w:val="en-US" w:eastAsia="en-US" w:bidi="en-US"/>
      </w:rPr>
    </w:lvl>
    <w:lvl w:ilvl="6" w:tplc="B7BAD6B4">
      <w:numFmt w:val="bullet"/>
      <w:lvlText w:val="•"/>
      <w:lvlJc w:val="left"/>
      <w:pPr>
        <w:ind w:left="6149" w:hanging="569"/>
      </w:pPr>
      <w:rPr>
        <w:rFonts w:hint="default"/>
        <w:lang w:val="en-US" w:eastAsia="en-US" w:bidi="en-US"/>
      </w:rPr>
    </w:lvl>
    <w:lvl w:ilvl="7" w:tplc="3E628642">
      <w:numFmt w:val="bullet"/>
      <w:lvlText w:val="•"/>
      <w:lvlJc w:val="left"/>
      <w:pPr>
        <w:ind w:left="7044" w:hanging="569"/>
      </w:pPr>
      <w:rPr>
        <w:rFonts w:hint="default"/>
        <w:lang w:val="en-US" w:eastAsia="en-US" w:bidi="en-US"/>
      </w:rPr>
    </w:lvl>
    <w:lvl w:ilvl="8" w:tplc="F30EE1F8">
      <w:numFmt w:val="bullet"/>
      <w:lvlText w:val="•"/>
      <w:lvlJc w:val="left"/>
      <w:pPr>
        <w:ind w:left="7939" w:hanging="569"/>
      </w:pPr>
      <w:rPr>
        <w:rFonts w:hint="default"/>
        <w:lang w:val="en-US" w:eastAsia="en-US" w:bidi="en-US"/>
      </w:rPr>
    </w:lvl>
  </w:abstractNum>
  <w:abstractNum w:abstractNumId="20" w15:restartNumberingAfterBreak="0">
    <w:nsid w:val="7A9324AC"/>
    <w:multiLevelType w:val="hybridMultilevel"/>
    <w:tmpl w:val="1CA0A424"/>
    <w:lvl w:ilvl="0" w:tplc="7C6A5B58">
      <w:start w:val="1"/>
      <w:numFmt w:val="upperLetter"/>
      <w:lvlText w:val="%1."/>
      <w:lvlJc w:val="left"/>
      <w:pPr>
        <w:ind w:left="1919" w:hanging="570"/>
      </w:pPr>
      <w:rPr>
        <w:rFonts w:ascii="Times New Roman" w:eastAsia="Times New Roman" w:hAnsi="Times New Roman" w:cs="Times New Roman" w:hint="default"/>
        <w:b/>
        <w:bCs/>
        <w:spacing w:val="-3"/>
        <w:w w:val="101"/>
        <w:sz w:val="22"/>
        <w:szCs w:val="22"/>
        <w:lang w:val="en-US" w:eastAsia="en-US" w:bidi="en-US"/>
      </w:rPr>
    </w:lvl>
    <w:lvl w:ilvl="1" w:tplc="BD52789E">
      <w:numFmt w:val="bullet"/>
      <w:lvlText w:val="•"/>
      <w:lvlJc w:val="left"/>
      <w:pPr>
        <w:ind w:left="2700" w:hanging="570"/>
      </w:pPr>
      <w:rPr>
        <w:rFonts w:hint="default"/>
        <w:lang w:val="en-US" w:eastAsia="en-US" w:bidi="en-US"/>
      </w:rPr>
    </w:lvl>
    <w:lvl w:ilvl="2" w:tplc="E058477E">
      <w:numFmt w:val="bullet"/>
      <w:lvlText w:val="•"/>
      <w:lvlJc w:val="left"/>
      <w:pPr>
        <w:ind w:left="3481" w:hanging="570"/>
      </w:pPr>
      <w:rPr>
        <w:rFonts w:hint="default"/>
        <w:lang w:val="en-US" w:eastAsia="en-US" w:bidi="en-US"/>
      </w:rPr>
    </w:lvl>
    <w:lvl w:ilvl="3" w:tplc="208CE510">
      <w:numFmt w:val="bullet"/>
      <w:lvlText w:val="•"/>
      <w:lvlJc w:val="left"/>
      <w:pPr>
        <w:ind w:left="4262" w:hanging="570"/>
      </w:pPr>
      <w:rPr>
        <w:rFonts w:hint="default"/>
        <w:lang w:val="en-US" w:eastAsia="en-US" w:bidi="en-US"/>
      </w:rPr>
    </w:lvl>
    <w:lvl w:ilvl="4" w:tplc="256A9DA2">
      <w:numFmt w:val="bullet"/>
      <w:lvlText w:val="•"/>
      <w:lvlJc w:val="left"/>
      <w:pPr>
        <w:ind w:left="5043" w:hanging="570"/>
      </w:pPr>
      <w:rPr>
        <w:rFonts w:hint="default"/>
        <w:lang w:val="en-US" w:eastAsia="en-US" w:bidi="en-US"/>
      </w:rPr>
    </w:lvl>
    <w:lvl w:ilvl="5" w:tplc="C636BD76">
      <w:numFmt w:val="bullet"/>
      <w:lvlText w:val="•"/>
      <w:lvlJc w:val="left"/>
      <w:pPr>
        <w:ind w:left="5824" w:hanging="570"/>
      </w:pPr>
      <w:rPr>
        <w:rFonts w:hint="default"/>
        <w:lang w:val="en-US" w:eastAsia="en-US" w:bidi="en-US"/>
      </w:rPr>
    </w:lvl>
    <w:lvl w:ilvl="6" w:tplc="EE724E8A">
      <w:numFmt w:val="bullet"/>
      <w:lvlText w:val="•"/>
      <w:lvlJc w:val="left"/>
      <w:pPr>
        <w:ind w:left="6605" w:hanging="570"/>
      </w:pPr>
      <w:rPr>
        <w:rFonts w:hint="default"/>
        <w:lang w:val="en-US" w:eastAsia="en-US" w:bidi="en-US"/>
      </w:rPr>
    </w:lvl>
    <w:lvl w:ilvl="7" w:tplc="73B699CE">
      <w:numFmt w:val="bullet"/>
      <w:lvlText w:val="•"/>
      <w:lvlJc w:val="left"/>
      <w:pPr>
        <w:ind w:left="7386" w:hanging="570"/>
      </w:pPr>
      <w:rPr>
        <w:rFonts w:hint="default"/>
        <w:lang w:val="en-US" w:eastAsia="en-US" w:bidi="en-US"/>
      </w:rPr>
    </w:lvl>
    <w:lvl w:ilvl="8" w:tplc="E4D07F1A">
      <w:numFmt w:val="bullet"/>
      <w:lvlText w:val="•"/>
      <w:lvlJc w:val="left"/>
      <w:pPr>
        <w:ind w:left="8167" w:hanging="570"/>
      </w:pPr>
      <w:rPr>
        <w:rFonts w:hint="default"/>
        <w:lang w:val="en-US" w:eastAsia="en-US" w:bidi="en-US"/>
      </w:rPr>
    </w:lvl>
  </w:abstractNum>
  <w:num w:numId="1" w16cid:durableId="751852373">
    <w:abstractNumId w:val="18"/>
  </w:num>
  <w:num w:numId="2" w16cid:durableId="145319444">
    <w:abstractNumId w:val="17"/>
  </w:num>
  <w:num w:numId="3" w16cid:durableId="1081026653">
    <w:abstractNumId w:val="2"/>
  </w:num>
  <w:num w:numId="4" w16cid:durableId="1495494466">
    <w:abstractNumId w:val="9"/>
  </w:num>
  <w:num w:numId="5" w16cid:durableId="1551183860">
    <w:abstractNumId w:val="14"/>
  </w:num>
  <w:num w:numId="6" w16cid:durableId="1906986968">
    <w:abstractNumId w:val="5"/>
  </w:num>
  <w:num w:numId="7" w16cid:durableId="318310651">
    <w:abstractNumId w:val="19"/>
  </w:num>
  <w:num w:numId="8" w16cid:durableId="664866468">
    <w:abstractNumId w:val="10"/>
  </w:num>
  <w:num w:numId="9" w16cid:durableId="940576562">
    <w:abstractNumId w:val="8"/>
  </w:num>
  <w:num w:numId="10" w16cid:durableId="34157425">
    <w:abstractNumId w:val="20"/>
  </w:num>
  <w:num w:numId="11" w16cid:durableId="487862545">
    <w:abstractNumId w:val="6"/>
  </w:num>
  <w:num w:numId="12" w16cid:durableId="2048750807">
    <w:abstractNumId w:val="15"/>
  </w:num>
  <w:num w:numId="13" w16cid:durableId="1582640884">
    <w:abstractNumId w:val="11"/>
  </w:num>
  <w:num w:numId="14" w16cid:durableId="1588147175">
    <w:abstractNumId w:val="7"/>
  </w:num>
  <w:num w:numId="15" w16cid:durableId="1296254585">
    <w:abstractNumId w:val="4"/>
  </w:num>
  <w:num w:numId="16" w16cid:durableId="4983181">
    <w:abstractNumId w:val="3"/>
  </w:num>
  <w:num w:numId="17" w16cid:durableId="1375733076">
    <w:abstractNumId w:val="13"/>
  </w:num>
  <w:num w:numId="18" w16cid:durableId="1122381512">
    <w:abstractNumId w:val="12"/>
  </w:num>
  <w:num w:numId="19" w16cid:durableId="584457305">
    <w:abstractNumId w:val="16"/>
  </w:num>
  <w:num w:numId="20" w16cid:durableId="960383882">
    <w:abstractNumId w:val="0"/>
  </w:num>
  <w:num w:numId="21" w16cid:durableId="1436175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1E8"/>
    <w:rsid w:val="00001B20"/>
    <w:rsid w:val="000031AA"/>
    <w:rsid w:val="00010797"/>
    <w:rsid w:val="00011860"/>
    <w:rsid w:val="00011A19"/>
    <w:rsid w:val="00012560"/>
    <w:rsid w:val="00020BB3"/>
    <w:rsid w:val="00021B64"/>
    <w:rsid w:val="00022B6A"/>
    <w:rsid w:val="00022DC5"/>
    <w:rsid w:val="00023DA1"/>
    <w:rsid w:val="00025005"/>
    <w:rsid w:val="00030201"/>
    <w:rsid w:val="00034037"/>
    <w:rsid w:val="00036706"/>
    <w:rsid w:val="00036DC9"/>
    <w:rsid w:val="00040AA4"/>
    <w:rsid w:val="00044A66"/>
    <w:rsid w:val="00051345"/>
    <w:rsid w:val="00052652"/>
    <w:rsid w:val="0005416D"/>
    <w:rsid w:val="000602FF"/>
    <w:rsid w:val="000640E9"/>
    <w:rsid w:val="00065EA2"/>
    <w:rsid w:val="000664F6"/>
    <w:rsid w:val="000744A8"/>
    <w:rsid w:val="0007522D"/>
    <w:rsid w:val="00080BC1"/>
    <w:rsid w:val="000836B7"/>
    <w:rsid w:val="00083C17"/>
    <w:rsid w:val="000A12BD"/>
    <w:rsid w:val="000A186C"/>
    <w:rsid w:val="000A19E6"/>
    <w:rsid w:val="000A25FD"/>
    <w:rsid w:val="000A2C42"/>
    <w:rsid w:val="000B27D9"/>
    <w:rsid w:val="000B313A"/>
    <w:rsid w:val="000B52C6"/>
    <w:rsid w:val="000C49BB"/>
    <w:rsid w:val="000D7DA3"/>
    <w:rsid w:val="000E3E8D"/>
    <w:rsid w:val="000F4D43"/>
    <w:rsid w:val="000F53C6"/>
    <w:rsid w:val="000F7549"/>
    <w:rsid w:val="001014B6"/>
    <w:rsid w:val="00101AFD"/>
    <w:rsid w:val="00102761"/>
    <w:rsid w:val="00111B64"/>
    <w:rsid w:val="0012556D"/>
    <w:rsid w:val="001307E4"/>
    <w:rsid w:val="00131907"/>
    <w:rsid w:val="00131FBD"/>
    <w:rsid w:val="00132016"/>
    <w:rsid w:val="00132BA2"/>
    <w:rsid w:val="00133B94"/>
    <w:rsid w:val="00133E46"/>
    <w:rsid w:val="0013774F"/>
    <w:rsid w:val="00137DF9"/>
    <w:rsid w:val="00140D80"/>
    <w:rsid w:val="00141934"/>
    <w:rsid w:val="00142A36"/>
    <w:rsid w:val="00143778"/>
    <w:rsid w:val="00143F90"/>
    <w:rsid w:val="00151DFC"/>
    <w:rsid w:val="001521E8"/>
    <w:rsid w:val="00156600"/>
    <w:rsid w:val="0015704F"/>
    <w:rsid w:val="00160BC9"/>
    <w:rsid w:val="00161B0F"/>
    <w:rsid w:val="00163890"/>
    <w:rsid w:val="0016736D"/>
    <w:rsid w:val="00171610"/>
    <w:rsid w:val="001726A6"/>
    <w:rsid w:val="0017362A"/>
    <w:rsid w:val="00176B6B"/>
    <w:rsid w:val="00180320"/>
    <w:rsid w:val="0019254E"/>
    <w:rsid w:val="001A2133"/>
    <w:rsid w:val="001A57F3"/>
    <w:rsid w:val="001B37F4"/>
    <w:rsid w:val="001B4FE9"/>
    <w:rsid w:val="001C0135"/>
    <w:rsid w:val="001C0884"/>
    <w:rsid w:val="001C1344"/>
    <w:rsid w:val="001C2610"/>
    <w:rsid w:val="001C50E4"/>
    <w:rsid w:val="001C7471"/>
    <w:rsid w:val="001D1B01"/>
    <w:rsid w:val="001D1C85"/>
    <w:rsid w:val="001D406E"/>
    <w:rsid w:val="001D43BB"/>
    <w:rsid w:val="001D4728"/>
    <w:rsid w:val="001D66EE"/>
    <w:rsid w:val="001D7BFB"/>
    <w:rsid w:val="001E0086"/>
    <w:rsid w:val="001E23FB"/>
    <w:rsid w:val="001E2A73"/>
    <w:rsid w:val="001E2FD3"/>
    <w:rsid w:val="001E30F9"/>
    <w:rsid w:val="001E5B50"/>
    <w:rsid w:val="001F19FF"/>
    <w:rsid w:val="001F2798"/>
    <w:rsid w:val="001F693D"/>
    <w:rsid w:val="00201DCA"/>
    <w:rsid w:val="002052D8"/>
    <w:rsid w:val="00205A77"/>
    <w:rsid w:val="00210E84"/>
    <w:rsid w:val="0021116C"/>
    <w:rsid w:val="00212DCE"/>
    <w:rsid w:val="002153FF"/>
    <w:rsid w:val="00220BBF"/>
    <w:rsid w:val="00221392"/>
    <w:rsid w:val="00223447"/>
    <w:rsid w:val="00224777"/>
    <w:rsid w:val="00224947"/>
    <w:rsid w:val="00225A30"/>
    <w:rsid w:val="00227F03"/>
    <w:rsid w:val="002310F1"/>
    <w:rsid w:val="00231C88"/>
    <w:rsid w:val="002321FB"/>
    <w:rsid w:val="002330DB"/>
    <w:rsid w:val="00236B93"/>
    <w:rsid w:val="002405CB"/>
    <w:rsid w:val="002410F5"/>
    <w:rsid w:val="002414E2"/>
    <w:rsid w:val="00244F6E"/>
    <w:rsid w:val="00247390"/>
    <w:rsid w:val="00251992"/>
    <w:rsid w:val="00253253"/>
    <w:rsid w:val="00253E72"/>
    <w:rsid w:val="002557B6"/>
    <w:rsid w:val="00255F39"/>
    <w:rsid w:val="00256682"/>
    <w:rsid w:val="00256F10"/>
    <w:rsid w:val="002623BE"/>
    <w:rsid w:val="00262728"/>
    <w:rsid w:val="002628D1"/>
    <w:rsid w:val="00264533"/>
    <w:rsid w:val="00272FF7"/>
    <w:rsid w:val="00280D42"/>
    <w:rsid w:val="00281755"/>
    <w:rsid w:val="00285FB5"/>
    <w:rsid w:val="002925CF"/>
    <w:rsid w:val="002927B0"/>
    <w:rsid w:val="00296D32"/>
    <w:rsid w:val="002978D3"/>
    <w:rsid w:val="00297A37"/>
    <w:rsid w:val="002A249C"/>
    <w:rsid w:val="002A2A3B"/>
    <w:rsid w:val="002A7B3C"/>
    <w:rsid w:val="002B0E88"/>
    <w:rsid w:val="002B1C45"/>
    <w:rsid w:val="002B677D"/>
    <w:rsid w:val="002B7BBA"/>
    <w:rsid w:val="002C14A4"/>
    <w:rsid w:val="002C265A"/>
    <w:rsid w:val="002C477E"/>
    <w:rsid w:val="002D00AB"/>
    <w:rsid w:val="002D0A2A"/>
    <w:rsid w:val="002D0EC5"/>
    <w:rsid w:val="002D6285"/>
    <w:rsid w:val="002D766E"/>
    <w:rsid w:val="002E0B86"/>
    <w:rsid w:val="002E125F"/>
    <w:rsid w:val="002E40BB"/>
    <w:rsid w:val="002E6627"/>
    <w:rsid w:val="002F00EC"/>
    <w:rsid w:val="002F010E"/>
    <w:rsid w:val="002F0A56"/>
    <w:rsid w:val="002F2DB6"/>
    <w:rsid w:val="002F4DD6"/>
    <w:rsid w:val="00303627"/>
    <w:rsid w:val="00305A9A"/>
    <w:rsid w:val="00310403"/>
    <w:rsid w:val="0031209B"/>
    <w:rsid w:val="003168A4"/>
    <w:rsid w:val="003215F6"/>
    <w:rsid w:val="00322F73"/>
    <w:rsid w:val="00323C3E"/>
    <w:rsid w:val="0032526B"/>
    <w:rsid w:val="003267E1"/>
    <w:rsid w:val="00327419"/>
    <w:rsid w:val="00332B6D"/>
    <w:rsid w:val="00332F73"/>
    <w:rsid w:val="0033350B"/>
    <w:rsid w:val="00334819"/>
    <w:rsid w:val="003366DE"/>
    <w:rsid w:val="0034085B"/>
    <w:rsid w:val="00342CE4"/>
    <w:rsid w:val="00343EEA"/>
    <w:rsid w:val="0034453E"/>
    <w:rsid w:val="003516AB"/>
    <w:rsid w:val="00352E19"/>
    <w:rsid w:val="00352E81"/>
    <w:rsid w:val="003530A1"/>
    <w:rsid w:val="00354D5A"/>
    <w:rsid w:val="00355E0C"/>
    <w:rsid w:val="00357E40"/>
    <w:rsid w:val="0036218C"/>
    <w:rsid w:val="00363A72"/>
    <w:rsid w:val="00367458"/>
    <w:rsid w:val="00367663"/>
    <w:rsid w:val="003678B5"/>
    <w:rsid w:val="0037029E"/>
    <w:rsid w:val="00370841"/>
    <w:rsid w:val="00371D14"/>
    <w:rsid w:val="003725A0"/>
    <w:rsid w:val="0037638A"/>
    <w:rsid w:val="00376816"/>
    <w:rsid w:val="00376DB9"/>
    <w:rsid w:val="00381EB1"/>
    <w:rsid w:val="00381F6E"/>
    <w:rsid w:val="00382E02"/>
    <w:rsid w:val="0038406B"/>
    <w:rsid w:val="003859F4"/>
    <w:rsid w:val="00386826"/>
    <w:rsid w:val="003908D1"/>
    <w:rsid w:val="00394489"/>
    <w:rsid w:val="00394BBF"/>
    <w:rsid w:val="003A33DF"/>
    <w:rsid w:val="003A72DD"/>
    <w:rsid w:val="003B2B39"/>
    <w:rsid w:val="003B5445"/>
    <w:rsid w:val="003C07DE"/>
    <w:rsid w:val="003C672D"/>
    <w:rsid w:val="003C7AE2"/>
    <w:rsid w:val="003D1F39"/>
    <w:rsid w:val="003D2C7F"/>
    <w:rsid w:val="003D721F"/>
    <w:rsid w:val="003E1694"/>
    <w:rsid w:val="003E3592"/>
    <w:rsid w:val="003F0A42"/>
    <w:rsid w:val="003F0FA1"/>
    <w:rsid w:val="003F355D"/>
    <w:rsid w:val="003F4804"/>
    <w:rsid w:val="003F5DED"/>
    <w:rsid w:val="003F79CF"/>
    <w:rsid w:val="00401AFF"/>
    <w:rsid w:val="00402399"/>
    <w:rsid w:val="004027A1"/>
    <w:rsid w:val="0040297F"/>
    <w:rsid w:val="004029D5"/>
    <w:rsid w:val="00403946"/>
    <w:rsid w:val="00404976"/>
    <w:rsid w:val="004053BA"/>
    <w:rsid w:val="00411D9B"/>
    <w:rsid w:val="00412CFB"/>
    <w:rsid w:val="004138FA"/>
    <w:rsid w:val="00415918"/>
    <w:rsid w:val="00422C79"/>
    <w:rsid w:val="0042330F"/>
    <w:rsid w:val="00423E38"/>
    <w:rsid w:val="004246C7"/>
    <w:rsid w:val="0042568E"/>
    <w:rsid w:val="00426ACF"/>
    <w:rsid w:val="00432662"/>
    <w:rsid w:val="00433436"/>
    <w:rsid w:val="004362CC"/>
    <w:rsid w:val="00443980"/>
    <w:rsid w:val="004515EE"/>
    <w:rsid w:val="0045333A"/>
    <w:rsid w:val="0045696C"/>
    <w:rsid w:val="00462171"/>
    <w:rsid w:val="00462D52"/>
    <w:rsid w:val="004649BA"/>
    <w:rsid w:val="0046797C"/>
    <w:rsid w:val="00467E97"/>
    <w:rsid w:val="004711E3"/>
    <w:rsid w:val="004720C7"/>
    <w:rsid w:val="0047233F"/>
    <w:rsid w:val="00472E06"/>
    <w:rsid w:val="00483B98"/>
    <w:rsid w:val="004846A0"/>
    <w:rsid w:val="00485C25"/>
    <w:rsid w:val="004873DC"/>
    <w:rsid w:val="00490D52"/>
    <w:rsid w:val="00491C34"/>
    <w:rsid w:val="00492A89"/>
    <w:rsid w:val="004A486C"/>
    <w:rsid w:val="004A6B39"/>
    <w:rsid w:val="004B0B62"/>
    <w:rsid w:val="004B0F12"/>
    <w:rsid w:val="004B4472"/>
    <w:rsid w:val="004B4C3C"/>
    <w:rsid w:val="004B5293"/>
    <w:rsid w:val="004B67D4"/>
    <w:rsid w:val="004B6A12"/>
    <w:rsid w:val="004C2379"/>
    <w:rsid w:val="004C3686"/>
    <w:rsid w:val="004C3A5D"/>
    <w:rsid w:val="004C6291"/>
    <w:rsid w:val="004C67B1"/>
    <w:rsid w:val="004C6C20"/>
    <w:rsid w:val="004D0701"/>
    <w:rsid w:val="004D53E7"/>
    <w:rsid w:val="004E45CA"/>
    <w:rsid w:val="004F25F7"/>
    <w:rsid w:val="004F65B9"/>
    <w:rsid w:val="00500E16"/>
    <w:rsid w:val="005043FC"/>
    <w:rsid w:val="00504817"/>
    <w:rsid w:val="00507371"/>
    <w:rsid w:val="005078C7"/>
    <w:rsid w:val="005114C2"/>
    <w:rsid w:val="00514F4E"/>
    <w:rsid w:val="0051573F"/>
    <w:rsid w:val="0051597E"/>
    <w:rsid w:val="0051623C"/>
    <w:rsid w:val="00516E3D"/>
    <w:rsid w:val="00522E6F"/>
    <w:rsid w:val="005253F2"/>
    <w:rsid w:val="00527F7C"/>
    <w:rsid w:val="005305F9"/>
    <w:rsid w:val="00531FBD"/>
    <w:rsid w:val="00536831"/>
    <w:rsid w:val="00536F51"/>
    <w:rsid w:val="005421C6"/>
    <w:rsid w:val="00542A4A"/>
    <w:rsid w:val="005456CA"/>
    <w:rsid w:val="00545BA7"/>
    <w:rsid w:val="00550FDD"/>
    <w:rsid w:val="00553263"/>
    <w:rsid w:val="005671A6"/>
    <w:rsid w:val="00571D81"/>
    <w:rsid w:val="00572395"/>
    <w:rsid w:val="00577D0D"/>
    <w:rsid w:val="00580D02"/>
    <w:rsid w:val="00582D66"/>
    <w:rsid w:val="00591709"/>
    <w:rsid w:val="00594039"/>
    <w:rsid w:val="005B20F2"/>
    <w:rsid w:val="005C2908"/>
    <w:rsid w:val="005C301A"/>
    <w:rsid w:val="005C6FCE"/>
    <w:rsid w:val="005C74AD"/>
    <w:rsid w:val="005C78AF"/>
    <w:rsid w:val="005D4112"/>
    <w:rsid w:val="005E19E1"/>
    <w:rsid w:val="005E41F2"/>
    <w:rsid w:val="005E4BA8"/>
    <w:rsid w:val="005F06A5"/>
    <w:rsid w:val="005F1A4C"/>
    <w:rsid w:val="005F1F3F"/>
    <w:rsid w:val="005F2A06"/>
    <w:rsid w:val="005F36B2"/>
    <w:rsid w:val="005F50F1"/>
    <w:rsid w:val="005F760C"/>
    <w:rsid w:val="00600E2E"/>
    <w:rsid w:val="00611670"/>
    <w:rsid w:val="00614C41"/>
    <w:rsid w:val="00616BF4"/>
    <w:rsid w:val="006178C1"/>
    <w:rsid w:val="00617A76"/>
    <w:rsid w:val="00621943"/>
    <w:rsid w:val="0062266A"/>
    <w:rsid w:val="0062275F"/>
    <w:rsid w:val="00622A22"/>
    <w:rsid w:val="00624365"/>
    <w:rsid w:val="006252D5"/>
    <w:rsid w:val="00625C2B"/>
    <w:rsid w:val="006325DD"/>
    <w:rsid w:val="00633EA5"/>
    <w:rsid w:val="00635FDE"/>
    <w:rsid w:val="006405FE"/>
    <w:rsid w:val="00644F54"/>
    <w:rsid w:val="00646F03"/>
    <w:rsid w:val="006505BB"/>
    <w:rsid w:val="006506A9"/>
    <w:rsid w:val="00650C8E"/>
    <w:rsid w:val="0065157F"/>
    <w:rsid w:val="006535D6"/>
    <w:rsid w:val="00654696"/>
    <w:rsid w:val="00661D7C"/>
    <w:rsid w:val="00665A17"/>
    <w:rsid w:val="00670398"/>
    <w:rsid w:val="00675892"/>
    <w:rsid w:val="006774ED"/>
    <w:rsid w:val="006775E1"/>
    <w:rsid w:val="00682AE1"/>
    <w:rsid w:val="00685B76"/>
    <w:rsid w:val="00686FB1"/>
    <w:rsid w:val="00692A2C"/>
    <w:rsid w:val="006A163A"/>
    <w:rsid w:val="006B5569"/>
    <w:rsid w:val="006B5C85"/>
    <w:rsid w:val="006B7555"/>
    <w:rsid w:val="006D4112"/>
    <w:rsid w:val="006E011E"/>
    <w:rsid w:val="006E1EDA"/>
    <w:rsid w:val="006E3C99"/>
    <w:rsid w:val="006E49C1"/>
    <w:rsid w:val="006E66D0"/>
    <w:rsid w:val="006F2C2C"/>
    <w:rsid w:val="006F2E69"/>
    <w:rsid w:val="006F66D3"/>
    <w:rsid w:val="006F6BB3"/>
    <w:rsid w:val="006F79D0"/>
    <w:rsid w:val="00700863"/>
    <w:rsid w:val="00702D05"/>
    <w:rsid w:val="00710ACE"/>
    <w:rsid w:val="00713517"/>
    <w:rsid w:val="007139EE"/>
    <w:rsid w:val="00714D48"/>
    <w:rsid w:val="00716563"/>
    <w:rsid w:val="0071777A"/>
    <w:rsid w:val="007221EE"/>
    <w:rsid w:val="00722D33"/>
    <w:rsid w:val="00724532"/>
    <w:rsid w:val="00724E27"/>
    <w:rsid w:val="007273C9"/>
    <w:rsid w:val="00730460"/>
    <w:rsid w:val="00733DE4"/>
    <w:rsid w:val="007358E5"/>
    <w:rsid w:val="00737EB2"/>
    <w:rsid w:val="00740608"/>
    <w:rsid w:val="007414AF"/>
    <w:rsid w:val="00751BF7"/>
    <w:rsid w:val="00754BC2"/>
    <w:rsid w:val="007552A0"/>
    <w:rsid w:val="0075530C"/>
    <w:rsid w:val="00756D60"/>
    <w:rsid w:val="007574F1"/>
    <w:rsid w:val="007606DF"/>
    <w:rsid w:val="007608A2"/>
    <w:rsid w:val="00760F1A"/>
    <w:rsid w:val="00762D45"/>
    <w:rsid w:val="007666FE"/>
    <w:rsid w:val="007708A5"/>
    <w:rsid w:val="0077658C"/>
    <w:rsid w:val="007774A0"/>
    <w:rsid w:val="0078710C"/>
    <w:rsid w:val="0079591F"/>
    <w:rsid w:val="00797A4B"/>
    <w:rsid w:val="00797F92"/>
    <w:rsid w:val="007A11CC"/>
    <w:rsid w:val="007A121E"/>
    <w:rsid w:val="007A2D9D"/>
    <w:rsid w:val="007A2F4E"/>
    <w:rsid w:val="007A3EB4"/>
    <w:rsid w:val="007A72DF"/>
    <w:rsid w:val="007B0FD2"/>
    <w:rsid w:val="007B36DE"/>
    <w:rsid w:val="007C0539"/>
    <w:rsid w:val="007C5355"/>
    <w:rsid w:val="007C7134"/>
    <w:rsid w:val="007C7272"/>
    <w:rsid w:val="007D13CD"/>
    <w:rsid w:val="007D5BC3"/>
    <w:rsid w:val="007D64AC"/>
    <w:rsid w:val="007E059C"/>
    <w:rsid w:val="007E2752"/>
    <w:rsid w:val="007E4AE7"/>
    <w:rsid w:val="007E5607"/>
    <w:rsid w:val="007E5BDE"/>
    <w:rsid w:val="007E7B86"/>
    <w:rsid w:val="007F5B8E"/>
    <w:rsid w:val="0080241B"/>
    <w:rsid w:val="00802791"/>
    <w:rsid w:val="00803F2D"/>
    <w:rsid w:val="00805222"/>
    <w:rsid w:val="00805AAC"/>
    <w:rsid w:val="0080621E"/>
    <w:rsid w:val="00807C31"/>
    <w:rsid w:val="00807D1F"/>
    <w:rsid w:val="0081087B"/>
    <w:rsid w:val="008124A6"/>
    <w:rsid w:val="00812D6F"/>
    <w:rsid w:val="00815802"/>
    <w:rsid w:val="0081772A"/>
    <w:rsid w:val="00821759"/>
    <w:rsid w:val="00821E08"/>
    <w:rsid w:val="0082741E"/>
    <w:rsid w:val="008327B7"/>
    <w:rsid w:val="0083297A"/>
    <w:rsid w:val="008334BC"/>
    <w:rsid w:val="008342D8"/>
    <w:rsid w:val="008427A4"/>
    <w:rsid w:val="00843947"/>
    <w:rsid w:val="008445F7"/>
    <w:rsid w:val="00845D32"/>
    <w:rsid w:val="008543CF"/>
    <w:rsid w:val="00855203"/>
    <w:rsid w:val="008566CF"/>
    <w:rsid w:val="0085705F"/>
    <w:rsid w:val="00860926"/>
    <w:rsid w:val="00863D25"/>
    <w:rsid w:val="00863D60"/>
    <w:rsid w:val="0086437B"/>
    <w:rsid w:val="008677CF"/>
    <w:rsid w:val="00870F10"/>
    <w:rsid w:val="008714BE"/>
    <w:rsid w:val="00871AFC"/>
    <w:rsid w:val="00873E75"/>
    <w:rsid w:val="00875975"/>
    <w:rsid w:val="00877E1B"/>
    <w:rsid w:val="00881827"/>
    <w:rsid w:val="00883E32"/>
    <w:rsid w:val="008845DD"/>
    <w:rsid w:val="008867C8"/>
    <w:rsid w:val="00894473"/>
    <w:rsid w:val="00894B61"/>
    <w:rsid w:val="008954E3"/>
    <w:rsid w:val="00895D82"/>
    <w:rsid w:val="00897CF4"/>
    <w:rsid w:val="008A0CFD"/>
    <w:rsid w:val="008A1DEA"/>
    <w:rsid w:val="008A6A35"/>
    <w:rsid w:val="008B0278"/>
    <w:rsid w:val="008B7B4E"/>
    <w:rsid w:val="008C1EE4"/>
    <w:rsid w:val="008C2A5A"/>
    <w:rsid w:val="008C38BE"/>
    <w:rsid w:val="008C3CFD"/>
    <w:rsid w:val="008C7275"/>
    <w:rsid w:val="008C7E52"/>
    <w:rsid w:val="008D1655"/>
    <w:rsid w:val="008D2EAE"/>
    <w:rsid w:val="008E4449"/>
    <w:rsid w:val="008F0062"/>
    <w:rsid w:val="008F27E4"/>
    <w:rsid w:val="008F3CEB"/>
    <w:rsid w:val="008F7759"/>
    <w:rsid w:val="0090178F"/>
    <w:rsid w:val="00904746"/>
    <w:rsid w:val="00904BE0"/>
    <w:rsid w:val="009107F1"/>
    <w:rsid w:val="00911CBA"/>
    <w:rsid w:val="00915C02"/>
    <w:rsid w:val="00917E1A"/>
    <w:rsid w:val="009202CB"/>
    <w:rsid w:val="00920506"/>
    <w:rsid w:val="00920E81"/>
    <w:rsid w:val="00920FB2"/>
    <w:rsid w:val="00921CF9"/>
    <w:rsid w:val="00922822"/>
    <w:rsid w:val="00922A14"/>
    <w:rsid w:val="00924335"/>
    <w:rsid w:val="00931044"/>
    <w:rsid w:val="009329AA"/>
    <w:rsid w:val="009332AB"/>
    <w:rsid w:val="00933727"/>
    <w:rsid w:val="00933DA6"/>
    <w:rsid w:val="0094322C"/>
    <w:rsid w:val="00947B1F"/>
    <w:rsid w:val="00954250"/>
    <w:rsid w:val="009550CF"/>
    <w:rsid w:val="009551D4"/>
    <w:rsid w:val="00957D78"/>
    <w:rsid w:val="00960AC5"/>
    <w:rsid w:val="0096340F"/>
    <w:rsid w:val="009647EE"/>
    <w:rsid w:val="0097057B"/>
    <w:rsid w:val="00976BEB"/>
    <w:rsid w:val="00977E44"/>
    <w:rsid w:val="009842F5"/>
    <w:rsid w:val="009849A8"/>
    <w:rsid w:val="00984CCC"/>
    <w:rsid w:val="0098534F"/>
    <w:rsid w:val="0098587B"/>
    <w:rsid w:val="00987B74"/>
    <w:rsid w:val="00997606"/>
    <w:rsid w:val="009A2622"/>
    <w:rsid w:val="009A5986"/>
    <w:rsid w:val="009A5FAA"/>
    <w:rsid w:val="009A614A"/>
    <w:rsid w:val="009B0806"/>
    <w:rsid w:val="009B2493"/>
    <w:rsid w:val="009B2992"/>
    <w:rsid w:val="009B6B08"/>
    <w:rsid w:val="009C0BE3"/>
    <w:rsid w:val="009C28FB"/>
    <w:rsid w:val="009C3097"/>
    <w:rsid w:val="009C6165"/>
    <w:rsid w:val="009C6852"/>
    <w:rsid w:val="009D1079"/>
    <w:rsid w:val="009D1E77"/>
    <w:rsid w:val="009D22C9"/>
    <w:rsid w:val="009D64CE"/>
    <w:rsid w:val="009E5AC6"/>
    <w:rsid w:val="009E5FC4"/>
    <w:rsid w:val="009E6B80"/>
    <w:rsid w:val="009F237A"/>
    <w:rsid w:val="009F4A23"/>
    <w:rsid w:val="009F51A0"/>
    <w:rsid w:val="00A00612"/>
    <w:rsid w:val="00A010FD"/>
    <w:rsid w:val="00A03449"/>
    <w:rsid w:val="00A113B1"/>
    <w:rsid w:val="00A11C9D"/>
    <w:rsid w:val="00A13529"/>
    <w:rsid w:val="00A13B13"/>
    <w:rsid w:val="00A373B9"/>
    <w:rsid w:val="00A4016F"/>
    <w:rsid w:val="00A40ACA"/>
    <w:rsid w:val="00A40D6A"/>
    <w:rsid w:val="00A42438"/>
    <w:rsid w:val="00A42AAD"/>
    <w:rsid w:val="00A44860"/>
    <w:rsid w:val="00A44BB0"/>
    <w:rsid w:val="00A54E71"/>
    <w:rsid w:val="00A64707"/>
    <w:rsid w:val="00A74C11"/>
    <w:rsid w:val="00A759F8"/>
    <w:rsid w:val="00A75DC4"/>
    <w:rsid w:val="00A761E1"/>
    <w:rsid w:val="00A765A0"/>
    <w:rsid w:val="00A82578"/>
    <w:rsid w:val="00A8360B"/>
    <w:rsid w:val="00A8414B"/>
    <w:rsid w:val="00A84690"/>
    <w:rsid w:val="00A90AE3"/>
    <w:rsid w:val="00AA2B51"/>
    <w:rsid w:val="00AA5FEF"/>
    <w:rsid w:val="00AA755F"/>
    <w:rsid w:val="00AB20FC"/>
    <w:rsid w:val="00AB238D"/>
    <w:rsid w:val="00AB2F13"/>
    <w:rsid w:val="00AB3FF3"/>
    <w:rsid w:val="00AB5C9D"/>
    <w:rsid w:val="00AB6171"/>
    <w:rsid w:val="00AC0071"/>
    <w:rsid w:val="00AC6AFD"/>
    <w:rsid w:val="00AD04A8"/>
    <w:rsid w:val="00AD107E"/>
    <w:rsid w:val="00AD129F"/>
    <w:rsid w:val="00AD4106"/>
    <w:rsid w:val="00AD559C"/>
    <w:rsid w:val="00AD5FE2"/>
    <w:rsid w:val="00AD62FD"/>
    <w:rsid w:val="00AD6FA8"/>
    <w:rsid w:val="00AE03F9"/>
    <w:rsid w:val="00AE1585"/>
    <w:rsid w:val="00AE1A58"/>
    <w:rsid w:val="00AE3E52"/>
    <w:rsid w:val="00AE4DF1"/>
    <w:rsid w:val="00AE77FF"/>
    <w:rsid w:val="00AE7F3E"/>
    <w:rsid w:val="00AF300F"/>
    <w:rsid w:val="00AF329A"/>
    <w:rsid w:val="00AF64FA"/>
    <w:rsid w:val="00B01EAF"/>
    <w:rsid w:val="00B03281"/>
    <w:rsid w:val="00B04B92"/>
    <w:rsid w:val="00B0588C"/>
    <w:rsid w:val="00B115CC"/>
    <w:rsid w:val="00B169DC"/>
    <w:rsid w:val="00B16AE3"/>
    <w:rsid w:val="00B22237"/>
    <w:rsid w:val="00B22F9E"/>
    <w:rsid w:val="00B25F9B"/>
    <w:rsid w:val="00B26657"/>
    <w:rsid w:val="00B2765A"/>
    <w:rsid w:val="00B31F48"/>
    <w:rsid w:val="00B3600A"/>
    <w:rsid w:val="00B378D7"/>
    <w:rsid w:val="00B37CAF"/>
    <w:rsid w:val="00B45898"/>
    <w:rsid w:val="00B47AFC"/>
    <w:rsid w:val="00B511C2"/>
    <w:rsid w:val="00B51507"/>
    <w:rsid w:val="00B52A7B"/>
    <w:rsid w:val="00B6077B"/>
    <w:rsid w:val="00B636AA"/>
    <w:rsid w:val="00B6477F"/>
    <w:rsid w:val="00B656FA"/>
    <w:rsid w:val="00B67170"/>
    <w:rsid w:val="00B736E4"/>
    <w:rsid w:val="00B7710D"/>
    <w:rsid w:val="00B86B9B"/>
    <w:rsid w:val="00B9096E"/>
    <w:rsid w:val="00B925CA"/>
    <w:rsid w:val="00B93598"/>
    <w:rsid w:val="00B937DF"/>
    <w:rsid w:val="00B944DE"/>
    <w:rsid w:val="00B968E7"/>
    <w:rsid w:val="00BA499C"/>
    <w:rsid w:val="00BA4ADB"/>
    <w:rsid w:val="00BA7C10"/>
    <w:rsid w:val="00BB1BBF"/>
    <w:rsid w:val="00BB440F"/>
    <w:rsid w:val="00BB4E01"/>
    <w:rsid w:val="00BC107B"/>
    <w:rsid w:val="00BC1DFF"/>
    <w:rsid w:val="00BC3019"/>
    <w:rsid w:val="00BC3E92"/>
    <w:rsid w:val="00BC5483"/>
    <w:rsid w:val="00BC66EF"/>
    <w:rsid w:val="00BD12FC"/>
    <w:rsid w:val="00BD182F"/>
    <w:rsid w:val="00BD1C40"/>
    <w:rsid w:val="00BD37B7"/>
    <w:rsid w:val="00BD4E7A"/>
    <w:rsid w:val="00BD556C"/>
    <w:rsid w:val="00BD7A73"/>
    <w:rsid w:val="00BE0AB3"/>
    <w:rsid w:val="00BE414E"/>
    <w:rsid w:val="00BE448F"/>
    <w:rsid w:val="00BE4764"/>
    <w:rsid w:val="00BF33C7"/>
    <w:rsid w:val="00BF4606"/>
    <w:rsid w:val="00BF53F1"/>
    <w:rsid w:val="00BF5811"/>
    <w:rsid w:val="00BF6460"/>
    <w:rsid w:val="00C01BBA"/>
    <w:rsid w:val="00C02B38"/>
    <w:rsid w:val="00C073AE"/>
    <w:rsid w:val="00C1798B"/>
    <w:rsid w:val="00C212A2"/>
    <w:rsid w:val="00C23DE6"/>
    <w:rsid w:val="00C24AC2"/>
    <w:rsid w:val="00C25307"/>
    <w:rsid w:val="00C25CEA"/>
    <w:rsid w:val="00C270AC"/>
    <w:rsid w:val="00C27A5B"/>
    <w:rsid w:val="00C311C8"/>
    <w:rsid w:val="00C33F07"/>
    <w:rsid w:val="00C34B29"/>
    <w:rsid w:val="00C3540C"/>
    <w:rsid w:val="00C37C2F"/>
    <w:rsid w:val="00C447E7"/>
    <w:rsid w:val="00C5295A"/>
    <w:rsid w:val="00C52A09"/>
    <w:rsid w:val="00C52F97"/>
    <w:rsid w:val="00C57ABD"/>
    <w:rsid w:val="00C628E1"/>
    <w:rsid w:val="00C729DD"/>
    <w:rsid w:val="00C73AD5"/>
    <w:rsid w:val="00C74610"/>
    <w:rsid w:val="00C764F0"/>
    <w:rsid w:val="00C77A1B"/>
    <w:rsid w:val="00C85342"/>
    <w:rsid w:val="00C87EE4"/>
    <w:rsid w:val="00C90E82"/>
    <w:rsid w:val="00C93F05"/>
    <w:rsid w:val="00C94E2B"/>
    <w:rsid w:val="00CA29AC"/>
    <w:rsid w:val="00CA63EF"/>
    <w:rsid w:val="00CA6737"/>
    <w:rsid w:val="00CA7916"/>
    <w:rsid w:val="00CB1E52"/>
    <w:rsid w:val="00CB2597"/>
    <w:rsid w:val="00CB328F"/>
    <w:rsid w:val="00CB5384"/>
    <w:rsid w:val="00CB5D02"/>
    <w:rsid w:val="00CB6321"/>
    <w:rsid w:val="00CB676E"/>
    <w:rsid w:val="00CB765D"/>
    <w:rsid w:val="00CB79C8"/>
    <w:rsid w:val="00CC0FBB"/>
    <w:rsid w:val="00CC19D1"/>
    <w:rsid w:val="00CC26D9"/>
    <w:rsid w:val="00CC44CA"/>
    <w:rsid w:val="00CD0049"/>
    <w:rsid w:val="00CD2400"/>
    <w:rsid w:val="00CD30F8"/>
    <w:rsid w:val="00CD6A89"/>
    <w:rsid w:val="00CD759E"/>
    <w:rsid w:val="00CE2486"/>
    <w:rsid w:val="00CE36E0"/>
    <w:rsid w:val="00CE4341"/>
    <w:rsid w:val="00CE4B95"/>
    <w:rsid w:val="00CF2D52"/>
    <w:rsid w:val="00CF3624"/>
    <w:rsid w:val="00CF4005"/>
    <w:rsid w:val="00CF40D4"/>
    <w:rsid w:val="00CF4B8B"/>
    <w:rsid w:val="00CF50E2"/>
    <w:rsid w:val="00CF69A1"/>
    <w:rsid w:val="00CF6EAA"/>
    <w:rsid w:val="00CF7525"/>
    <w:rsid w:val="00D0282C"/>
    <w:rsid w:val="00D05FB1"/>
    <w:rsid w:val="00D16444"/>
    <w:rsid w:val="00D1684B"/>
    <w:rsid w:val="00D1782D"/>
    <w:rsid w:val="00D204FE"/>
    <w:rsid w:val="00D20F2E"/>
    <w:rsid w:val="00D25F03"/>
    <w:rsid w:val="00D26493"/>
    <w:rsid w:val="00D3209B"/>
    <w:rsid w:val="00D34120"/>
    <w:rsid w:val="00D361B8"/>
    <w:rsid w:val="00D3646D"/>
    <w:rsid w:val="00D40FF2"/>
    <w:rsid w:val="00D42F6A"/>
    <w:rsid w:val="00D46E80"/>
    <w:rsid w:val="00D47312"/>
    <w:rsid w:val="00D5076A"/>
    <w:rsid w:val="00D524B3"/>
    <w:rsid w:val="00D53205"/>
    <w:rsid w:val="00D60B18"/>
    <w:rsid w:val="00D62043"/>
    <w:rsid w:val="00D62E24"/>
    <w:rsid w:val="00D77110"/>
    <w:rsid w:val="00D808D2"/>
    <w:rsid w:val="00D81657"/>
    <w:rsid w:val="00D86A8E"/>
    <w:rsid w:val="00D87789"/>
    <w:rsid w:val="00D87EBB"/>
    <w:rsid w:val="00D923D4"/>
    <w:rsid w:val="00D93C9E"/>
    <w:rsid w:val="00D942DC"/>
    <w:rsid w:val="00DA142B"/>
    <w:rsid w:val="00DA4499"/>
    <w:rsid w:val="00DA6D9E"/>
    <w:rsid w:val="00DB337F"/>
    <w:rsid w:val="00DC203D"/>
    <w:rsid w:val="00DC2BB5"/>
    <w:rsid w:val="00DC6841"/>
    <w:rsid w:val="00DD0479"/>
    <w:rsid w:val="00DD0ED6"/>
    <w:rsid w:val="00DD2D10"/>
    <w:rsid w:val="00DD3D48"/>
    <w:rsid w:val="00DD69C3"/>
    <w:rsid w:val="00DD72BD"/>
    <w:rsid w:val="00DE0A41"/>
    <w:rsid w:val="00DE0F76"/>
    <w:rsid w:val="00DE1156"/>
    <w:rsid w:val="00DE35ED"/>
    <w:rsid w:val="00DE6513"/>
    <w:rsid w:val="00DE691A"/>
    <w:rsid w:val="00DE7E9A"/>
    <w:rsid w:val="00DF0DDB"/>
    <w:rsid w:val="00DF5C3A"/>
    <w:rsid w:val="00E00D85"/>
    <w:rsid w:val="00E10263"/>
    <w:rsid w:val="00E12A63"/>
    <w:rsid w:val="00E13139"/>
    <w:rsid w:val="00E14BDA"/>
    <w:rsid w:val="00E170FE"/>
    <w:rsid w:val="00E212B2"/>
    <w:rsid w:val="00E30F71"/>
    <w:rsid w:val="00E322D7"/>
    <w:rsid w:val="00E323F4"/>
    <w:rsid w:val="00E34602"/>
    <w:rsid w:val="00E356AA"/>
    <w:rsid w:val="00E3575A"/>
    <w:rsid w:val="00E365FF"/>
    <w:rsid w:val="00E40B0B"/>
    <w:rsid w:val="00E45503"/>
    <w:rsid w:val="00E47365"/>
    <w:rsid w:val="00E47E83"/>
    <w:rsid w:val="00E50421"/>
    <w:rsid w:val="00E50C88"/>
    <w:rsid w:val="00E52600"/>
    <w:rsid w:val="00E55589"/>
    <w:rsid w:val="00E57C77"/>
    <w:rsid w:val="00E62774"/>
    <w:rsid w:val="00E63CF8"/>
    <w:rsid w:val="00E64551"/>
    <w:rsid w:val="00E64F33"/>
    <w:rsid w:val="00E674BC"/>
    <w:rsid w:val="00E73521"/>
    <w:rsid w:val="00E73C31"/>
    <w:rsid w:val="00E748B9"/>
    <w:rsid w:val="00E7670E"/>
    <w:rsid w:val="00E76AC8"/>
    <w:rsid w:val="00E7710D"/>
    <w:rsid w:val="00E77E80"/>
    <w:rsid w:val="00E81E84"/>
    <w:rsid w:val="00E82E43"/>
    <w:rsid w:val="00E83606"/>
    <w:rsid w:val="00E8667A"/>
    <w:rsid w:val="00E92216"/>
    <w:rsid w:val="00E92AEE"/>
    <w:rsid w:val="00E93026"/>
    <w:rsid w:val="00E94BF3"/>
    <w:rsid w:val="00E950FC"/>
    <w:rsid w:val="00E969D2"/>
    <w:rsid w:val="00EA0649"/>
    <w:rsid w:val="00EA2DE8"/>
    <w:rsid w:val="00EA49C6"/>
    <w:rsid w:val="00EB5D19"/>
    <w:rsid w:val="00EC0B78"/>
    <w:rsid w:val="00EC0C9C"/>
    <w:rsid w:val="00EC0E65"/>
    <w:rsid w:val="00EC2E89"/>
    <w:rsid w:val="00EC31D9"/>
    <w:rsid w:val="00EC7BD5"/>
    <w:rsid w:val="00ED26D7"/>
    <w:rsid w:val="00ED4F13"/>
    <w:rsid w:val="00ED5A0A"/>
    <w:rsid w:val="00ED79B5"/>
    <w:rsid w:val="00EE0948"/>
    <w:rsid w:val="00EE1ABE"/>
    <w:rsid w:val="00EE4CD2"/>
    <w:rsid w:val="00EE6263"/>
    <w:rsid w:val="00EE73E0"/>
    <w:rsid w:val="00EF313A"/>
    <w:rsid w:val="00EF31E8"/>
    <w:rsid w:val="00EF43DC"/>
    <w:rsid w:val="00EF5A1E"/>
    <w:rsid w:val="00F01F37"/>
    <w:rsid w:val="00F068C5"/>
    <w:rsid w:val="00F06AE2"/>
    <w:rsid w:val="00F06FA0"/>
    <w:rsid w:val="00F10C4E"/>
    <w:rsid w:val="00F11567"/>
    <w:rsid w:val="00F120B9"/>
    <w:rsid w:val="00F12B16"/>
    <w:rsid w:val="00F1331C"/>
    <w:rsid w:val="00F15A1B"/>
    <w:rsid w:val="00F240AC"/>
    <w:rsid w:val="00F2607E"/>
    <w:rsid w:val="00F2626B"/>
    <w:rsid w:val="00F273D4"/>
    <w:rsid w:val="00F318D4"/>
    <w:rsid w:val="00F31C3F"/>
    <w:rsid w:val="00F322BD"/>
    <w:rsid w:val="00F34F76"/>
    <w:rsid w:val="00F36511"/>
    <w:rsid w:val="00F36EF1"/>
    <w:rsid w:val="00F37A12"/>
    <w:rsid w:val="00F44878"/>
    <w:rsid w:val="00F508C4"/>
    <w:rsid w:val="00F529B6"/>
    <w:rsid w:val="00F53794"/>
    <w:rsid w:val="00F545ED"/>
    <w:rsid w:val="00F569C8"/>
    <w:rsid w:val="00F572B4"/>
    <w:rsid w:val="00F604D7"/>
    <w:rsid w:val="00F65656"/>
    <w:rsid w:val="00F708BA"/>
    <w:rsid w:val="00F71F11"/>
    <w:rsid w:val="00F721FD"/>
    <w:rsid w:val="00F7310B"/>
    <w:rsid w:val="00F73963"/>
    <w:rsid w:val="00F74135"/>
    <w:rsid w:val="00F772C7"/>
    <w:rsid w:val="00F80022"/>
    <w:rsid w:val="00F814CE"/>
    <w:rsid w:val="00F85077"/>
    <w:rsid w:val="00F85195"/>
    <w:rsid w:val="00F907C8"/>
    <w:rsid w:val="00F92973"/>
    <w:rsid w:val="00F92B01"/>
    <w:rsid w:val="00F9563E"/>
    <w:rsid w:val="00F97819"/>
    <w:rsid w:val="00FA509C"/>
    <w:rsid w:val="00FB18BE"/>
    <w:rsid w:val="00FB1CCB"/>
    <w:rsid w:val="00FB44E1"/>
    <w:rsid w:val="00FB4C0E"/>
    <w:rsid w:val="00FB69C2"/>
    <w:rsid w:val="00FC1D8D"/>
    <w:rsid w:val="00FC5772"/>
    <w:rsid w:val="00FC7DF7"/>
    <w:rsid w:val="00FC7E1E"/>
    <w:rsid w:val="00FD0FD5"/>
    <w:rsid w:val="00FD38FD"/>
    <w:rsid w:val="00FD63EC"/>
    <w:rsid w:val="00FE0770"/>
    <w:rsid w:val="00FE21EC"/>
    <w:rsid w:val="00FE27A3"/>
    <w:rsid w:val="00FE5EC7"/>
    <w:rsid w:val="00FF07D2"/>
    <w:rsid w:val="00FF1D3A"/>
    <w:rsid w:val="00FF3C03"/>
    <w:rsid w:val="00FF51FF"/>
    <w:rsid w:val="00FF6C09"/>
    <w:rsid w:val="00FF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8E7F4"/>
  <w15:docId w15:val="{D7C93B08-C2E0-4868-9B0E-472BF58A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B5C85"/>
    <w:pPr>
      <w:spacing w:after="160" w:line="259" w:lineRule="auto"/>
    </w:pPr>
    <w:rPr>
      <w:sz w:val="22"/>
      <w:szCs w:val="22"/>
      <w:lang w:val="en-GB" w:eastAsia="en-US"/>
    </w:rPr>
  </w:style>
  <w:style w:type="paragraph" w:styleId="Cmsor1">
    <w:name w:val="heading 1"/>
    <w:basedOn w:val="Norml"/>
    <w:link w:val="Cmsor1Char"/>
    <w:uiPriority w:val="9"/>
    <w:qFormat/>
    <w:rsid w:val="006B5C85"/>
    <w:pPr>
      <w:widowControl w:val="0"/>
      <w:autoSpaceDE w:val="0"/>
      <w:autoSpaceDN w:val="0"/>
      <w:spacing w:before="32" w:after="0" w:line="240" w:lineRule="auto"/>
      <w:ind w:left="108"/>
      <w:outlineLvl w:val="0"/>
    </w:pPr>
    <w:rPr>
      <w:rFonts w:ascii="Times New Roman" w:eastAsia="Times New Roman" w:hAnsi="Times New Roman"/>
      <w:b/>
      <w:bCs/>
      <w:lang w:val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E45CA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1"/>
    <w:qFormat/>
    <w:rsid w:val="006B5C85"/>
    <w:pPr>
      <w:ind w:left="720"/>
      <w:contextualSpacing/>
    </w:pPr>
  </w:style>
  <w:style w:type="table" w:styleId="Rcsostblzat">
    <w:name w:val="Table Grid"/>
    <w:basedOn w:val="Normltblzat"/>
    <w:uiPriority w:val="39"/>
    <w:rsid w:val="00ED5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9329AA"/>
    <w:rPr>
      <w:color w:val="0000FF"/>
      <w:u w:val="single"/>
    </w:rPr>
  </w:style>
  <w:style w:type="character" w:styleId="Kiemels">
    <w:name w:val="Emphasis"/>
    <w:uiPriority w:val="20"/>
    <w:qFormat/>
    <w:rsid w:val="007E5607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F2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2F2DB6"/>
    <w:rPr>
      <w:rFonts w:ascii="Segoe UI" w:hAnsi="Segoe UI" w:cs="Segoe UI"/>
      <w:sz w:val="18"/>
      <w:szCs w:val="18"/>
      <w:lang w:val="en-GB"/>
    </w:rPr>
  </w:style>
  <w:style w:type="paragraph" w:customStyle="1" w:styleId="Default">
    <w:name w:val="Default"/>
    <w:rsid w:val="00BA4AD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TD">
    <w:name w:val="CTD"/>
    <w:basedOn w:val="Norml"/>
    <w:link w:val="CTDChar"/>
    <w:rsid w:val="00010797"/>
    <w:pPr>
      <w:spacing w:after="0"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CTDChar">
    <w:name w:val="CTD Char"/>
    <w:link w:val="CTD"/>
    <w:rsid w:val="0001079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fej">
    <w:name w:val="header"/>
    <w:basedOn w:val="Norml"/>
    <w:link w:val="lfejChar"/>
    <w:uiPriority w:val="99"/>
    <w:unhideWhenUsed/>
    <w:rsid w:val="0033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334819"/>
    <w:rPr>
      <w:lang w:val="en-GB"/>
    </w:rPr>
  </w:style>
  <w:style w:type="paragraph" w:styleId="llb">
    <w:name w:val="footer"/>
    <w:basedOn w:val="Norml"/>
    <w:link w:val="llbChar"/>
    <w:uiPriority w:val="99"/>
    <w:unhideWhenUsed/>
    <w:rsid w:val="00334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link w:val="llb"/>
    <w:uiPriority w:val="99"/>
    <w:rsid w:val="00334819"/>
    <w:rPr>
      <w:lang w:val="en-GB"/>
    </w:rPr>
  </w:style>
  <w:style w:type="character" w:styleId="Jegyzethivatkozs">
    <w:name w:val="annotation reference"/>
    <w:uiPriority w:val="99"/>
    <w:semiHidden/>
    <w:unhideWhenUsed/>
    <w:rsid w:val="00C764F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764F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C764F0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764F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764F0"/>
    <w:rPr>
      <w:b/>
      <w:bCs/>
      <w:sz w:val="20"/>
      <w:szCs w:val="20"/>
      <w:lang w:val="en-GB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CB79C8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-kntformzottChar">
    <w:name w:val="HTML-ként formázott Char"/>
    <w:link w:val="HTML-kntformzott"/>
    <w:uiPriority w:val="99"/>
    <w:semiHidden/>
    <w:rsid w:val="00CB79C8"/>
    <w:rPr>
      <w:rFonts w:ascii="Consolas" w:hAnsi="Consolas" w:cs="Consolas"/>
      <w:sz w:val="20"/>
      <w:szCs w:val="20"/>
      <w:lang w:val="en-GB"/>
    </w:rPr>
  </w:style>
  <w:style w:type="paragraph" w:styleId="Csakszveg">
    <w:name w:val="Plain Text"/>
    <w:basedOn w:val="Norml"/>
    <w:link w:val="CsakszvegChar"/>
    <w:uiPriority w:val="99"/>
    <w:semiHidden/>
    <w:unhideWhenUsed/>
    <w:rsid w:val="004C67B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CsakszvegChar">
    <w:name w:val="Csak szöveg Char"/>
    <w:link w:val="Csakszveg"/>
    <w:uiPriority w:val="99"/>
    <w:semiHidden/>
    <w:rsid w:val="004C67B1"/>
    <w:rPr>
      <w:rFonts w:ascii="Consolas" w:hAnsi="Consolas"/>
      <w:sz w:val="21"/>
      <w:szCs w:val="21"/>
      <w:lang w:val="en-GB"/>
    </w:rPr>
  </w:style>
  <w:style w:type="paragraph" w:styleId="Vltozat">
    <w:name w:val="Revision"/>
    <w:hidden/>
    <w:uiPriority w:val="99"/>
    <w:semiHidden/>
    <w:rsid w:val="00A64707"/>
    <w:rPr>
      <w:sz w:val="22"/>
      <w:szCs w:val="22"/>
      <w:lang w:val="en-GB"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6B5C85"/>
    <w:rPr>
      <w:rFonts w:ascii="Times New Roman" w:eastAsia="Times New Roman" w:hAnsi="Times New Roman"/>
      <w:b/>
      <w:bCs/>
      <w:sz w:val="22"/>
      <w:szCs w:val="22"/>
      <w:lang w:val="en-US" w:eastAsia="en-US" w:bidi="en-US"/>
    </w:rPr>
  </w:style>
  <w:style w:type="table" w:customStyle="1" w:styleId="TableNormal">
    <w:name w:val="Table Normal"/>
    <w:uiPriority w:val="2"/>
    <w:semiHidden/>
    <w:unhideWhenUsed/>
    <w:qFormat/>
    <w:rsid w:val="006B5C8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6B5C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en-US" w:bidi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6B5C85"/>
    <w:rPr>
      <w:rFonts w:ascii="Times New Roman" w:eastAsia="Times New Roman" w:hAnsi="Times New Roman"/>
      <w:sz w:val="22"/>
      <w:szCs w:val="22"/>
      <w:lang w:val="en-US" w:eastAsia="en-US" w:bidi="en-US"/>
    </w:rPr>
  </w:style>
  <w:style w:type="paragraph" w:customStyle="1" w:styleId="TableParagraph">
    <w:name w:val="Table Paragraph"/>
    <w:basedOn w:val="Norml"/>
    <w:uiPriority w:val="1"/>
    <w:qFormat/>
    <w:rsid w:val="006B5C85"/>
    <w:pPr>
      <w:widowControl w:val="0"/>
      <w:autoSpaceDE w:val="0"/>
      <w:autoSpaceDN w:val="0"/>
      <w:spacing w:after="0" w:line="240" w:lineRule="auto"/>
      <w:ind w:left="111"/>
    </w:pPr>
    <w:rPr>
      <w:rFonts w:ascii="Times New Roman" w:eastAsia="Times New Roman" w:hAnsi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12" ma:contentTypeDescription="Create a new document." ma:contentTypeScope="" ma:versionID="7f82f9fb9bee2e74f688f20e80cbc90e">
  <xsd:schema xmlns:xsd="http://www.w3.org/2001/XMLSchema" xmlns:xs="http://www.w3.org/2001/XMLSchema" xmlns:p="http://schemas.microsoft.com/office/2006/metadata/properties" xmlns:ns3="3502d38c-dfe1-41f5-820a-3a1de1c4a1f2" xmlns:ns4="f8dc07bf-426c-4a93-b29d-776c15d1545f" targetNamespace="http://schemas.microsoft.com/office/2006/metadata/properties" ma:root="true" ma:fieldsID="30562ba2503ad3228716669ff5f0cbf4" ns3:_="" ns4:_="">
    <xsd:import namespace="3502d38c-dfe1-41f5-820a-3a1de1c4a1f2"/>
    <xsd:import namespace="f8dc07bf-426c-4a93-b29d-776c15d154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c07bf-426c-4a93-b29d-776c15d1545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1B49EA-441E-4B4A-A7C3-36633988FC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198A95-8B6A-4385-8872-8EC675D7FE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f8dc07bf-426c-4a93-b29d-776c15d154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3CF62A-DF1C-4C8D-AFF5-0826C8C65CA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83DB12-B123-47DC-AA48-2238ABF3CA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18</Pages>
  <Words>6782</Words>
  <Characters>46802</Characters>
  <Application>Microsoft Office Word</Application>
  <DocSecurity>0</DocSecurity>
  <Lines>390</Lines>
  <Paragraphs>106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Richter Gedeon</Company>
  <LinksUpToDate>false</LinksUpToDate>
  <CharactersWithSpaces>53478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 Ágnes dr.</dc:creator>
  <cp:keywords/>
  <cp:lastModifiedBy>HU_OGYI_63.1</cp:lastModifiedBy>
  <cp:revision>14</cp:revision>
  <dcterms:created xsi:type="dcterms:W3CDTF">2026-03-05T16:03:00Z</dcterms:created>
  <dcterms:modified xsi:type="dcterms:W3CDTF">2026-07-08T08:57:00Z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  <property fmtid="{D5CDD505-2E9C-101B-9397-08002B2CF9AE}" pid="3" name="Created">
    <vt:filetime>2021-06-08T00:00:00Z</vt:filetime>
  </property>
  <property fmtid="{D5CDD505-2E9C-101B-9397-08002B2CF9AE}" pid="4" name="LastSaved">
    <vt:filetime>2022-02-14T00:00:00Z</vt:filetime>
  </property>
</Properties>
</file>