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00B8FF"/>
  <w:body>
    <w:p w14:paraId="5CB1648C" w14:textId="77777777" w:rsidR="00DE62E1" w:rsidRDefault="00692E8D">
      <w:pPr>
        <w:pStyle w:val="Norml11"/>
        <w:suppressAutoHyphens w:val="0"/>
        <w:ind w:left="567" w:hanging="567"/>
        <w:jc w:val="both"/>
        <w:rPr>
          <w:b/>
          <w:bCs/>
        </w:rPr>
      </w:pPr>
      <w:r>
        <w:rPr>
          <w:b/>
          <w:bCs/>
        </w:rPr>
        <w:t>1.</w:t>
      </w:r>
      <w:r>
        <w:rPr>
          <w:b/>
          <w:bCs/>
        </w:rPr>
        <w:tab/>
        <w:t>A GYÓGYSZER NEVE</w:t>
      </w:r>
    </w:p>
    <w:p w14:paraId="1C6B40C1" w14:textId="77777777" w:rsidR="00DE62E1" w:rsidRDefault="00DE62E1">
      <w:pPr>
        <w:pStyle w:val="Norml11"/>
        <w:suppressAutoHyphens w:val="0"/>
        <w:ind w:left="425" w:hanging="425"/>
        <w:jc w:val="both"/>
        <w:rPr>
          <w:b/>
          <w:bCs/>
        </w:rPr>
      </w:pPr>
    </w:p>
    <w:p w14:paraId="599FE32F" w14:textId="77777777" w:rsidR="00DE62E1" w:rsidRDefault="00692E8D">
      <w:pPr>
        <w:pStyle w:val="Norml11"/>
        <w:suppressAutoHyphens w:val="0"/>
      </w:pPr>
      <w:r>
        <w:t>Perindopril arginine/indapamide Krka 10</w:t>
      </w:r>
      <w:r>
        <w:rPr>
          <w:lang w:eastAsia="en-US"/>
        </w:rPr>
        <w:t> </w:t>
      </w:r>
      <w:r>
        <w:t>mg/2,5</w:t>
      </w:r>
      <w:r>
        <w:rPr>
          <w:lang w:eastAsia="en-US"/>
        </w:rPr>
        <w:t> </w:t>
      </w:r>
      <w:r>
        <w:t>mg tabletta</w:t>
      </w:r>
    </w:p>
    <w:p w14:paraId="65DB6F51" w14:textId="77777777" w:rsidR="00DE62E1" w:rsidRDefault="00DE62E1">
      <w:pPr>
        <w:pStyle w:val="Norml11"/>
        <w:suppressAutoHyphens w:val="0"/>
      </w:pPr>
    </w:p>
    <w:p w14:paraId="2E4A7030" w14:textId="77777777" w:rsidR="00DE62E1" w:rsidRDefault="00DE62E1">
      <w:pPr>
        <w:pStyle w:val="Norml11"/>
        <w:suppressAutoHyphens w:val="0"/>
      </w:pPr>
    </w:p>
    <w:p w14:paraId="78BE9B47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2.</w:t>
      </w:r>
      <w:r>
        <w:rPr>
          <w:b/>
          <w:bCs/>
        </w:rPr>
        <w:tab/>
        <w:t>MINŐSÉGI ÉS MENNYISÉGI ÖSSZETÉTEL</w:t>
      </w:r>
    </w:p>
    <w:p w14:paraId="4357FBB0" w14:textId="77777777" w:rsidR="00DE62E1" w:rsidRDefault="00DE62E1">
      <w:pPr>
        <w:pStyle w:val="Norml11"/>
        <w:suppressAutoHyphens w:val="0"/>
        <w:ind w:left="426" w:hanging="426"/>
        <w:rPr>
          <w:b/>
          <w:bCs/>
        </w:rPr>
      </w:pPr>
    </w:p>
    <w:p w14:paraId="215F6362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10</w:t>
      </w:r>
      <w:r>
        <w:rPr>
          <w:sz w:val="22"/>
          <w:szCs w:val="22"/>
          <w:lang w:eastAsia="en-US"/>
        </w:rPr>
        <w:t> </w:t>
      </w:r>
      <w:r>
        <w:rPr>
          <w:sz w:val="22"/>
          <w:szCs w:val="22"/>
        </w:rPr>
        <w:t>mg perindopril-arginint (</w:t>
      </w:r>
      <w:r>
        <w:rPr>
          <w:sz w:val="22"/>
          <w:szCs w:val="22"/>
          <w:lang w:eastAsia="en-US"/>
        </w:rPr>
        <w:t>amely megfelel 6,790 mg perindoprilnak</w:t>
      </w:r>
      <w:r>
        <w:rPr>
          <w:sz w:val="22"/>
          <w:szCs w:val="22"/>
        </w:rPr>
        <w:t>) és 2,5</w:t>
      </w:r>
      <w:r>
        <w:rPr>
          <w:sz w:val="22"/>
          <w:szCs w:val="22"/>
          <w:lang w:eastAsia="en-US"/>
        </w:rPr>
        <w:t> </w:t>
      </w:r>
      <w:r>
        <w:rPr>
          <w:sz w:val="22"/>
          <w:szCs w:val="22"/>
        </w:rPr>
        <w:t>mg indapamidot tartalmaz tablettánként.</w:t>
      </w:r>
    </w:p>
    <w:p w14:paraId="63747546" w14:textId="77777777" w:rsidR="00DE62E1" w:rsidRDefault="00DE62E1">
      <w:pPr>
        <w:suppressAutoHyphens w:val="0"/>
        <w:rPr>
          <w:i/>
          <w:sz w:val="22"/>
          <w:szCs w:val="22"/>
        </w:rPr>
      </w:pPr>
    </w:p>
    <w:p w14:paraId="05C3F3FF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 xml:space="preserve">A segédanyagok teljes listáját </w:t>
      </w:r>
      <w:r>
        <w:rPr>
          <w:iCs/>
          <w:sz w:val="22"/>
          <w:szCs w:val="22"/>
        </w:rPr>
        <w:t xml:space="preserve">lásd </w:t>
      </w:r>
      <w:r>
        <w:rPr>
          <w:sz w:val="22"/>
          <w:szCs w:val="22"/>
        </w:rPr>
        <w:t>a 6.1 pontban.</w:t>
      </w:r>
    </w:p>
    <w:p w14:paraId="497430E3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09845799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352147F9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3.</w:t>
      </w:r>
      <w:r>
        <w:rPr>
          <w:b/>
          <w:bCs/>
        </w:rPr>
        <w:tab/>
        <w:t>GYÓGYSZERFORMA</w:t>
      </w:r>
    </w:p>
    <w:p w14:paraId="58D2E88F" w14:textId="77777777" w:rsidR="00DE62E1" w:rsidRDefault="00DE62E1">
      <w:pPr>
        <w:suppressAutoHyphens w:val="0"/>
        <w:rPr>
          <w:sz w:val="22"/>
          <w:szCs w:val="22"/>
        </w:rPr>
      </w:pPr>
    </w:p>
    <w:p w14:paraId="2E308C45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Tabletta</w:t>
      </w:r>
    </w:p>
    <w:p w14:paraId="1781F023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6EE6239D" w14:textId="77777777" w:rsidR="00DE62E1" w:rsidRDefault="00692E8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 xml:space="preserve">Fehér vagy csaknem fehér, kerek, körülbelül 8 mm átmérőjű, </w:t>
      </w:r>
      <w:r>
        <w:rPr>
          <w:bCs/>
          <w:sz w:val="22"/>
          <w:szCs w:val="22"/>
          <w:lang w:eastAsia="en-US"/>
        </w:rPr>
        <w:t xml:space="preserve">mindkét oldalán enyhén domború felületű tabletta, egyik oldalán A2 mélynyomású jelzéssel ellátva. </w:t>
      </w:r>
    </w:p>
    <w:p w14:paraId="0DF12105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768C6E57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04720249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4.</w:t>
      </w:r>
      <w:r>
        <w:rPr>
          <w:b/>
          <w:bCs/>
        </w:rPr>
        <w:tab/>
        <w:t>KLINIKAI JELLEMZŐK</w:t>
      </w:r>
    </w:p>
    <w:p w14:paraId="24CE559B" w14:textId="77777777" w:rsidR="00DE62E1" w:rsidRDefault="00DE62E1">
      <w:pPr>
        <w:pStyle w:val="Norml11"/>
        <w:suppressAutoHyphens w:val="0"/>
        <w:ind w:left="426" w:hanging="426"/>
        <w:rPr>
          <w:b/>
          <w:bCs/>
        </w:rPr>
      </w:pPr>
    </w:p>
    <w:p w14:paraId="1AB6DFCC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4.1</w:t>
      </w:r>
      <w:r>
        <w:rPr>
          <w:b/>
          <w:bCs/>
        </w:rPr>
        <w:tab/>
        <w:t>Terápiás javallatok</w:t>
      </w:r>
    </w:p>
    <w:p w14:paraId="74B44955" w14:textId="77777777" w:rsidR="00DE62E1" w:rsidRDefault="00DE62E1">
      <w:pPr>
        <w:widowControl w:val="0"/>
        <w:tabs>
          <w:tab w:val="left" w:pos="3705"/>
        </w:tabs>
        <w:overflowPunct w:val="0"/>
        <w:textAlignment w:val="baseline"/>
        <w:rPr>
          <w:sz w:val="22"/>
          <w:szCs w:val="22"/>
        </w:rPr>
      </w:pPr>
    </w:p>
    <w:p w14:paraId="436E32DF" w14:textId="77777777" w:rsidR="00DE62E1" w:rsidRDefault="00692E8D">
      <w:pPr>
        <w:widowControl w:val="0"/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A Perindopril arginine/indapamide Krka 10</w:t>
      </w:r>
      <w:r>
        <w:rPr>
          <w:sz w:val="22"/>
          <w:szCs w:val="22"/>
          <w:lang w:eastAsia="en-US"/>
        </w:rPr>
        <w:t> </w:t>
      </w:r>
      <w:r>
        <w:rPr>
          <w:sz w:val="22"/>
          <w:szCs w:val="22"/>
        </w:rPr>
        <w:t>mg/2,5</w:t>
      </w:r>
      <w:r>
        <w:rPr>
          <w:sz w:val="22"/>
          <w:szCs w:val="22"/>
          <w:lang w:eastAsia="en-US"/>
        </w:rPr>
        <w:t> </w:t>
      </w:r>
      <w:r>
        <w:rPr>
          <w:sz w:val="22"/>
          <w:szCs w:val="22"/>
        </w:rPr>
        <w:t>mg tabletta helyettesítő kezelésként olyan essentialis hypertoniás betegek esetében javallott, akiknél az ugyanilyen dózisban együttesen alkalmazott perindopril- és indapamid kezelés megfelelő vérnyomáskontrollt biztosított.</w:t>
      </w:r>
    </w:p>
    <w:p w14:paraId="75A26B8D" w14:textId="77777777" w:rsidR="00DE62E1" w:rsidRDefault="00DE62E1">
      <w:pPr>
        <w:suppressAutoHyphens w:val="0"/>
        <w:rPr>
          <w:sz w:val="22"/>
          <w:szCs w:val="22"/>
        </w:rPr>
      </w:pPr>
    </w:p>
    <w:p w14:paraId="7304F88E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4.2</w:t>
      </w:r>
      <w:r>
        <w:rPr>
          <w:b/>
          <w:bCs/>
        </w:rPr>
        <w:tab/>
        <w:t>Adagolás és alkalmazás</w:t>
      </w:r>
    </w:p>
    <w:p w14:paraId="20C05500" w14:textId="77777777" w:rsidR="00DE62E1" w:rsidRDefault="00DE62E1">
      <w:pPr>
        <w:suppressAutoHyphens w:val="0"/>
        <w:rPr>
          <w:sz w:val="22"/>
          <w:szCs w:val="22"/>
        </w:rPr>
      </w:pPr>
    </w:p>
    <w:p w14:paraId="0D89ACC2" w14:textId="77777777" w:rsidR="00DE62E1" w:rsidRDefault="00692E8D">
      <w:pPr>
        <w:suppressAutoHyphens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Adagolás</w:t>
      </w:r>
    </w:p>
    <w:p w14:paraId="75B53416" w14:textId="77777777" w:rsidR="00DE62E1" w:rsidRDefault="00DE62E1">
      <w:pPr>
        <w:suppressAutoHyphens w:val="0"/>
        <w:rPr>
          <w:sz w:val="22"/>
          <w:szCs w:val="22"/>
        </w:rPr>
      </w:pPr>
    </w:p>
    <w:p w14:paraId="439C373D" w14:textId="77777777" w:rsidR="00DE62E1" w:rsidRDefault="00692E8D">
      <w:pPr>
        <w:pStyle w:val="SlogObojestranskoPo0pt"/>
        <w:jc w:val="left"/>
        <w:rPr>
          <w:szCs w:val="22"/>
          <w:lang w:val="hu-HU"/>
        </w:rPr>
      </w:pPr>
      <w:r>
        <w:rPr>
          <w:szCs w:val="22"/>
          <w:lang w:val="hu-HU"/>
        </w:rPr>
        <w:t xml:space="preserve">A szokásos adag naponta egyszer egy </w:t>
      </w:r>
      <w:r>
        <w:rPr>
          <w:bCs/>
          <w:szCs w:val="22"/>
          <w:lang w:val="hu-HU"/>
        </w:rPr>
        <w:t>Perindopril arginine/indapamide Krka</w:t>
      </w:r>
      <w:r>
        <w:rPr>
          <w:szCs w:val="22"/>
          <w:lang w:val="hu-HU"/>
        </w:rPr>
        <w:t xml:space="preserve"> 10 mg/2,5 mg</w:t>
      </w:r>
      <w:r>
        <w:rPr>
          <w:bCs/>
          <w:szCs w:val="22"/>
          <w:lang w:val="hu-HU"/>
        </w:rPr>
        <w:t xml:space="preserve"> ta</w:t>
      </w:r>
      <w:r>
        <w:rPr>
          <w:szCs w:val="22"/>
          <w:lang w:val="hu-HU"/>
        </w:rPr>
        <w:t>bletta, amit lehetőleg reggel, étkezés előtt javasolt bevenni.</w:t>
      </w:r>
    </w:p>
    <w:p w14:paraId="5AFFF3C1" w14:textId="77777777" w:rsidR="00DE62E1" w:rsidRDefault="00DE62E1">
      <w:pPr>
        <w:tabs>
          <w:tab w:val="left" w:pos="284"/>
          <w:tab w:val="left" w:pos="567"/>
        </w:tabs>
        <w:suppressAutoHyphens w:val="0"/>
        <w:autoSpaceDE/>
        <w:rPr>
          <w:i/>
          <w:iCs/>
          <w:snapToGrid w:val="0"/>
          <w:sz w:val="22"/>
          <w:szCs w:val="22"/>
          <w:lang w:eastAsia="hu-HU"/>
        </w:rPr>
      </w:pPr>
    </w:p>
    <w:p w14:paraId="28370FBA" w14:textId="77777777" w:rsidR="00DE62E1" w:rsidRDefault="00692E8D">
      <w:pPr>
        <w:tabs>
          <w:tab w:val="left" w:pos="284"/>
          <w:tab w:val="left" w:pos="567"/>
        </w:tabs>
        <w:suppressAutoHyphens w:val="0"/>
        <w:autoSpaceDE/>
        <w:rPr>
          <w:i/>
          <w:iCs/>
          <w:snapToGrid w:val="0"/>
          <w:sz w:val="22"/>
          <w:szCs w:val="22"/>
          <w:lang w:val="de-DE" w:eastAsia="hu-HU"/>
        </w:rPr>
      </w:pPr>
      <w:r>
        <w:rPr>
          <w:i/>
          <w:iCs/>
          <w:snapToGrid w:val="0"/>
          <w:sz w:val="22"/>
          <w:szCs w:val="22"/>
          <w:lang w:eastAsia="hu-HU"/>
        </w:rPr>
        <w:t>Idősek (lásd 4.4</w:t>
      </w:r>
      <w:r>
        <w:rPr>
          <w:sz w:val="22"/>
          <w:szCs w:val="22"/>
          <w:lang w:eastAsia="en-US"/>
        </w:rPr>
        <w:t> </w:t>
      </w:r>
      <w:r>
        <w:rPr>
          <w:i/>
          <w:iCs/>
          <w:snapToGrid w:val="0"/>
          <w:sz w:val="22"/>
          <w:szCs w:val="22"/>
          <w:lang w:eastAsia="hu-HU"/>
        </w:rPr>
        <w:t>pont)</w:t>
      </w:r>
    </w:p>
    <w:p w14:paraId="63631987" w14:textId="77777777" w:rsidR="00DE62E1" w:rsidRDefault="00692E8D">
      <w:pPr>
        <w:widowControl w:val="0"/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Idősek esetében a plazma kreatinin értékének megítélésekor figyelembe kell venni a kort, a testtömeget és a nemet. Az időskorú betegeket csak abban az esetben szabad kezelni, ha normális a vesefunkciójuk és mérlegeltük a várható vérnyomáscsökkenést.</w:t>
      </w:r>
    </w:p>
    <w:p w14:paraId="6BD72A67" w14:textId="77777777" w:rsidR="00DE62E1" w:rsidRDefault="00DE62E1">
      <w:pPr>
        <w:widowControl w:val="0"/>
        <w:overflowPunct w:val="0"/>
        <w:textAlignment w:val="baseline"/>
        <w:rPr>
          <w:sz w:val="22"/>
          <w:szCs w:val="22"/>
        </w:rPr>
      </w:pPr>
    </w:p>
    <w:p w14:paraId="3882B3DE" w14:textId="77777777" w:rsidR="00DE62E1" w:rsidRDefault="00692E8D">
      <w:pPr>
        <w:tabs>
          <w:tab w:val="left" w:pos="284"/>
          <w:tab w:val="left" w:pos="567"/>
        </w:tabs>
        <w:suppressAutoHyphens w:val="0"/>
        <w:autoSpaceDE/>
        <w:rPr>
          <w:i/>
          <w:iCs/>
          <w:snapToGrid w:val="0"/>
          <w:sz w:val="22"/>
          <w:szCs w:val="22"/>
          <w:lang w:eastAsia="hu-HU"/>
        </w:rPr>
      </w:pPr>
      <w:r>
        <w:rPr>
          <w:i/>
          <w:sz w:val="22"/>
          <w:szCs w:val="22"/>
        </w:rPr>
        <w:t xml:space="preserve">Vesekárosodás </w:t>
      </w:r>
      <w:r>
        <w:rPr>
          <w:i/>
          <w:iCs/>
          <w:snapToGrid w:val="0"/>
          <w:sz w:val="22"/>
          <w:szCs w:val="22"/>
          <w:lang w:eastAsia="hu-HU"/>
        </w:rPr>
        <w:t>(lásd 4.4</w:t>
      </w:r>
      <w:r>
        <w:rPr>
          <w:sz w:val="22"/>
          <w:szCs w:val="22"/>
          <w:lang w:eastAsia="en-US"/>
        </w:rPr>
        <w:t> </w:t>
      </w:r>
      <w:r>
        <w:rPr>
          <w:i/>
          <w:iCs/>
          <w:snapToGrid w:val="0"/>
          <w:sz w:val="22"/>
          <w:szCs w:val="22"/>
          <w:lang w:eastAsia="hu-HU"/>
        </w:rPr>
        <w:t>pont)</w:t>
      </w:r>
    </w:p>
    <w:p w14:paraId="093B2EA2" w14:textId="77777777" w:rsidR="00DE62E1" w:rsidRDefault="00692E8D">
      <w:pPr>
        <w:tabs>
          <w:tab w:val="left" w:pos="284"/>
          <w:tab w:val="left" w:pos="567"/>
        </w:tabs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>Súlyos és mérsékelten károsodott vesefunkciójú betegek esetében (60</w:t>
      </w:r>
      <w:r>
        <w:rPr>
          <w:sz w:val="22"/>
          <w:szCs w:val="22"/>
          <w:lang w:eastAsia="en-US"/>
        </w:rPr>
        <w:t> </w:t>
      </w:r>
      <w:r>
        <w:rPr>
          <w:sz w:val="22"/>
          <w:szCs w:val="22"/>
        </w:rPr>
        <w:t>ml/perc-nél alacsonyabb kreatinin-clearance), a kezelés ellenjavallt.</w:t>
      </w:r>
    </w:p>
    <w:p w14:paraId="3E78AE4E" w14:textId="77777777" w:rsidR="00DE62E1" w:rsidRDefault="00692E8D">
      <w:pPr>
        <w:widowControl w:val="0"/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A szokásos orvosi utánkövetés során gyakran kell ellenőrizni a szérum kreatinin- és a szérum káliumszinteket.</w:t>
      </w:r>
    </w:p>
    <w:p w14:paraId="36C3BBAE" w14:textId="77777777" w:rsidR="00DE62E1" w:rsidRDefault="00DE62E1">
      <w:pPr>
        <w:widowControl w:val="0"/>
        <w:overflowPunct w:val="0"/>
        <w:textAlignment w:val="baseline"/>
        <w:rPr>
          <w:i/>
          <w:sz w:val="22"/>
          <w:szCs w:val="22"/>
        </w:rPr>
      </w:pPr>
    </w:p>
    <w:p w14:paraId="0E03D7C8" w14:textId="77777777" w:rsidR="00DE62E1" w:rsidRDefault="00692E8D">
      <w:pPr>
        <w:widowControl w:val="0"/>
        <w:overflowPunct w:val="0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</w:rPr>
        <w:t>Májkárosodás (lásd 4.3, 4.4 és 5.2</w:t>
      </w:r>
      <w:r>
        <w:rPr>
          <w:sz w:val="22"/>
          <w:szCs w:val="22"/>
        </w:rPr>
        <w:t> </w:t>
      </w:r>
      <w:r>
        <w:rPr>
          <w:i/>
          <w:sz w:val="22"/>
          <w:szCs w:val="22"/>
        </w:rPr>
        <w:t>pont)</w:t>
      </w:r>
    </w:p>
    <w:p w14:paraId="4479D7C4" w14:textId="77777777" w:rsidR="00DE62E1" w:rsidRDefault="00692E8D">
      <w:pPr>
        <w:widowControl w:val="0"/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Súlyos májkárosodás esetén ellenjavallt a készítmény alkalmazása.</w:t>
      </w:r>
    </w:p>
    <w:p w14:paraId="11575851" w14:textId="77777777" w:rsidR="00DE62E1" w:rsidRDefault="00692E8D">
      <w:pPr>
        <w:widowControl w:val="0"/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Közepesen súlyos májkárosodásban szenvedő betegek kezelésekor nem szükséges módosítani a dózist.</w:t>
      </w:r>
    </w:p>
    <w:p w14:paraId="5EE3D44B" w14:textId="77777777" w:rsidR="00DE62E1" w:rsidRDefault="00DE62E1">
      <w:pPr>
        <w:widowControl w:val="0"/>
        <w:overflowPunct w:val="0"/>
        <w:textAlignment w:val="baseline"/>
        <w:rPr>
          <w:sz w:val="22"/>
          <w:szCs w:val="22"/>
        </w:rPr>
      </w:pPr>
    </w:p>
    <w:p w14:paraId="65543C47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Gyermekek és serdülők</w:t>
      </w:r>
    </w:p>
    <w:p w14:paraId="6B99535F" w14:textId="77777777" w:rsidR="00DE62E1" w:rsidRDefault="00692E8D">
      <w:pPr>
        <w:widowControl w:val="0"/>
        <w:overflowPunct w:val="0"/>
        <w:textAlignment w:val="baseline"/>
        <w:rPr>
          <w:i/>
          <w:sz w:val="22"/>
          <w:szCs w:val="22"/>
        </w:rPr>
      </w:pPr>
      <w:r>
        <w:rPr>
          <w:sz w:val="22"/>
          <w:szCs w:val="22"/>
        </w:rPr>
        <w:t>A perindopril-arginin/indapamid biztonságosságát és hatásosságát gyermekek és serdülők esetében nem igazolták. Nem áll rendelkezésre adat.</w:t>
      </w:r>
    </w:p>
    <w:p w14:paraId="74204CB5" w14:textId="77777777" w:rsidR="00DE62E1" w:rsidRDefault="00692E8D">
      <w:pPr>
        <w:widowControl w:val="0"/>
        <w:overflowPunct w:val="0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Gyermekek és serdülők esetében a Perindopril arginine/indapamide Krka </w:t>
      </w:r>
      <w:r>
        <w:rPr>
          <w:sz w:val="22"/>
          <w:szCs w:val="22"/>
        </w:rPr>
        <w:t xml:space="preserve">tabletta </w:t>
      </w:r>
      <w:r>
        <w:rPr>
          <w:iCs/>
          <w:sz w:val="22"/>
          <w:szCs w:val="22"/>
        </w:rPr>
        <w:t>nem alkalmazható.</w:t>
      </w:r>
    </w:p>
    <w:p w14:paraId="162BBCDC" w14:textId="77777777" w:rsidR="00DE62E1" w:rsidRDefault="00DE62E1">
      <w:pPr>
        <w:suppressAutoHyphens w:val="0"/>
        <w:rPr>
          <w:sz w:val="22"/>
          <w:szCs w:val="22"/>
        </w:rPr>
      </w:pPr>
    </w:p>
    <w:p w14:paraId="26F8F633" w14:textId="77777777" w:rsidR="00DE62E1" w:rsidRDefault="00692E8D">
      <w:pPr>
        <w:suppressAutoHyphens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Az alkalmazás módja</w:t>
      </w:r>
    </w:p>
    <w:p w14:paraId="3809D7CC" w14:textId="77777777" w:rsidR="00DE62E1" w:rsidRDefault="00DE62E1">
      <w:pPr>
        <w:suppressAutoHyphens w:val="0"/>
        <w:rPr>
          <w:sz w:val="22"/>
          <w:szCs w:val="22"/>
        </w:rPr>
      </w:pPr>
    </w:p>
    <w:p w14:paraId="6CA87BB5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Szájon át történő alkalmazásra</w:t>
      </w:r>
    </w:p>
    <w:p w14:paraId="169EBD5A" w14:textId="77777777" w:rsidR="00DE62E1" w:rsidRDefault="00DE62E1">
      <w:pPr>
        <w:widowControl w:val="0"/>
        <w:overflowPunct w:val="0"/>
        <w:textAlignment w:val="baseline"/>
        <w:rPr>
          <w:iCs/>
          <w:sz w:val="22"/>
          <w:szCs w:val="22"/>
        </w:rPr>
      </w:pPr>
    </w:p>
    <w:p w14:paraId="62D2DD11" w14:textId="77777777" w:rsidR="00DE62E1" w:rsidRDefault="00692E8D">
      <w:pPr>
        <w:widowControl w:val="0"/>
        <w:overflowPunct w:val="0"/>
        <w:textAlignment w:val="baseline"/>
        <w:rPr>
          <w:b/>
          <w:sz w:val="22"/>
          <w:szCs w:val="22"/>
        </w:rPr>
      </w:pPr>
      <w:r>
        <w:rPr>
          <w:b/>
          <w:sz w:val="22"/>
          <w:szCs w:val="22"/>
        </w:rPr>
        <w:t>4.3</w:t>
      </w:r>
      <w:r>
        <w:rPr>
          <w:b/>
          <w:sz w:val="22"/>
          <w:szCs w:val="22"/>
        </w:rPr>
        <w:tab/>
        <w:t>Ellenjavallatok</w:t>
      </w:r>
    </w:p>
    <w:p w14:paraId="4E77B7EE" w14:textId="77777777" w:rsidR="00DE62E1" w:rsidRDefault="00DE62E1">
      <w:pPr>
        <w:widowControl w:val="0"/>
        <w:overflowPunct w:val="0"/>
        <w:textAlignment w:val="baseline"/>
        <w:rPr>
          <w:sz w:val="22"/>
          <w:szCs w:val="22"/>
        </w:rPr>
      </w:pPr>
    </w:p>
    <w:p w14:paraId="61D80EBC" w14:textId="77777777" w:rsidR="00DE62E1" w:rsidRDefault="00692E8D">
      <w:pPr>
        <w:widowControl w:val="0"/>
        <w:overflowPunct w:val="0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  <w:u w:val="single"/>
        </w:rPr>
        <w:t xml:space="preserve">A perindoprilra </w:t>
      </w:r>
      <w:r>
        <w:rPr>
          <w:i/>
          <w:iCs/>
          <w:sz w:val="22"/>
          <w:szCs w:val="22"/>
          <w:u w:val="single"/>
          <w:lang w:val="en-GB"/>
        </w:rPr>
        <w:t>vonatkozóan</w:t>
      </w:r>
      <w:r>
        <w:rPr>
          <w:i/>
          <w:sz w:val="22"/>
          <w:szCs w:val="22"/>
        </w:rPr>
        <w:t>:</w:t>
      </w:r>
    </w:p>
    <w:p w14:paraId="38BA2401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sz w:val="22"/>
          <w:szCs w:val="22"/>
        </w:rPr>
      </w:pPr>
      <w:r>
        <w:rPr>
          <w:bCs/>
          <w:sz w:val="22"/>
          <w:szCs w:val="22"/>
        </w:rPr>
        <w:t>a</w:t>
      </w:r>
      <w:r>
        <w:rPr>
          <w:sz w:val="22"/>
          <w:szCs w:val="22"/>
        </w:rPr>
        <w:t xml:space="preserve"> készítmény hatóanyagával vagy bármely más ACE-gátlóval szembeni túlérzékenység;</w:t>
      </w:r>
    </w:p>
    <w:p w14:paraId="58040ECE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sz w:val="22"/>
          <w:szCs w:val="22"/>
        </w:rPr>
      </w:pPr>
      <w:r>
        <w:rPr>
          <w:sz w:val="22"/>
          <w:szCs w:val="22"/>
        </w:rPr>
        <w:t>korábbi ACE-gátló-kezeléssel összefüggésben jelentkező angiooedema (Quincke-ödéma) a kórtörténetben (lásd 4.4</w:t>
      </w:r>
      <w:r>
        <w:rPr>
          <w:szCs w:val="22"/>
        </w:rPr>
        <w:t> </w:t>
      </w:r>
      <w:r>
        <w:rPr>
          <w:sz w:val="22"/>
          <w:szCs w:val="22"/>
        </w:rPr>
        <w:t>pont);</w:t>
      </w:r>
    </w:p>
    <w:p w14:paraId="2EB8E9E0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sz w:val="22"/>
          <w:szCs w:val="22"/>
        </w:rPr>
      </w:pPr>
      <w:r>
        <w:rPr>
          <w:sz w:val="22"/>
          <w:szCs w:val="22"/>
        </w:rPr>
        <w:t>örökletes vagy idiopathiás angiooedema;</w:t>
      </w:r>
    </w:p>
    <w:p w14:paraId="06F10594" w14:textId="77777777" w:rsidR="00DE62E1" w:rsidRDefault="00692E8D">
      <w:pPr>
        <w:pStyle w:val="Szvegtrzs"/>
        <w:numPr>
          <w:ilvl w:val="0"/>
          <w:numId w:val="4"/>
        </w:numPr>
        <w:suppressAutoHyphens w:val="0"/>
        <w:spacing w:before="0" w:after="0"/>
        <w:ind w:left="567" w:hanging="567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>a terhesség második és harmadik trimesztere (lásd 4.4 és 4.6</w:t>
      </w:r>
      <w:r>
        <w:rPr>
          <w:szCs w:val="22"/>
          <w:lang w:val="hu-HU"/>
        </w:rPr>
        <w:t> </w:t>
      </w:r>
      <w:r>
        <w:rPr>
          <w:sz w:val="22"/>
          <w:szCs w:val="22"/>
          <w:lang w:val="hu-HU"/>
        </w:rPr>
        <w:t>pont);</w:t>
      </w:r>
    </w:p>
    <w:p w14:paraId="676FB204" w14:textId="77777777" w:rsidR="00DE62E1" w:rsidRDefault="00692E8D">
      <w:pPr>
        <w:pStyle w:val="Norml11"/>
        <w:numPr>
          <w:ilvl w:val="0"/>
          <w:numId w:val="4"/>
        </w:numPr>
        <w:suppressAutoHyphens w:val="0"/>
        <w:ind w:left="567" w:hanging="567"/>
      </w:pPr>
      <w:r>
        <w:t>a Perindopril arginine/indapamide Krka egyidejű alkalmazása aliszkirén-tartalmú készítményekkel ellenjavallt diabetes mellitusban szenvedő vagy károsodott veseműködésű betegeknél (GFR &lt; 60 ml/perc/1,73 m</w:t>
      </w:r>
      <w:r>
        <w:rPr>
          <w:vertAlign w:val="superscript"/>
        </w:rPr>
        <w:t>2</w:t>
      </w:r>
      <w:r>
        <w:t>) (lásd 4.5 és 5.1 pont);</w:t>
      </w:r>
    </w:p>
    <w:p w14:paraId="430D2695" w14:textId="77777777" w:rsidR="00DE62E1" w:rsidRDefault="00692E8D">
      <w:pPr>
        <w:pStyle w:val="Norml11"/>
        <w:numPr>
          <w:ilvl w:val="0"/>
          <w:numId w:val="4"/>
        </w:numPr>
        <w:suppressAutoHyphens w:val="0"/>
        <w:ind w:left="567" w:hanging="567"/>
      </w:pPr>
      <w:r>
        <w:t>szakubitril/valzartán egyidejű alkalmazása (lásd 4.4 és 4.5 pont);</w:t>
      </w:r>
    </w:p>
    <w:p w14:paraId="6A8E07E1" w14:textId="77777777" w:rsidR="00DE62E1" w:rsidRDefault="00692E8D">
      <w:pPr>
        <w:pStyle w:val="Norml11"/>
        <w:numPr>
          <w:ilvl w:val="0"/>
          <w:numId w:val="4"/>
        </w:numPr>
        <w:suppressAutoHyphens w:val="0"/>
        <w:ind w:left="567" w:hanging="567"/>
      </w:pPr>
      <w:r>
        <w:t>extrakorporális kezelések esetén, ha a vér negatív töltésű membránokkal érintkezik (lásd 4.5 pont);</w:t>
      </w:r>
    </w:p>
    <w:p w14:paraId="65D13633" w14:textId="77777777" w:rsidR="00DE62E1" w:rsidRDefault="00692E8D">
      <w:pPr>
        <w:pStyle w:val="Norml11"/>
        <w:numPr>
          <w:ilvl w:val="0"/>
          <w:numId w:val="4"/>
        </w:numPr>
        <w:suppressAutoHyphens w:val="0"/>
        <w:ind w:left="567" w:hanging="567"/>
      </w:pPr>
      <w:r>
        <w:t>jelentős kétoldali veseartéria-stenosis vagy az egyetlen működő veséhez vezető artéria stenosisa (lásd 4.4 pont).</w:t>
      </w:r>
    </w:p>
    <w:p w14:paraId="26193F36" w14:textId="77777777" w:rsidR="00DE62E1" w:rsidRDefault="00DE62E1">
      <w:pPr>
        <w:widowControl w:val="0"/>
        <w:overflowPunct w:val="0"/>
        <w:ind w:left="567" w:hanging="425"/>
        <w:textAlignment w:val="baseline"/>
        <w:rPr>
          <w:sz w:val="22"/>
          <w:szCs w:val="22"/>
        </w:rPr>
      </w:pPr>
    </w:p>
    <w:p w14:paraId="319AB7AF" w14:textId="77777777" w:rsidR="00DE62E1" w:rsidRDefault="00692E8D">
      <w:pPr>
        <w:widowControl w:val="0"/>
        <w:overflowPunct w:val="0"/>
        <w:textAlignment w:val="baseline"/>
        <w:rPr>
          <w:i/>
          <w:sz w:val="22"/>
          <w:szCs w:val="22"/>
        </w:rPr>
      </w:pPr>
      <w:r>
        <w:rPr>
          <w:i/>
          <w:sz w:val="22"/>
          <w:szCs w:val="22"/>
          <w:u w:val="single"/>
        </w:rPr>
        <w:t xml:space="preserve">Az indapamidra </w:t>
      </w:r>
      <w:r>
        <w:rPr>
          <w:i/>
          <w:iCs/>
          <w:sz w:val="22"/>
          <w:szCs w:val="22"/>
          <w:u w:val="single"/>
          <w:lang w:val="en-GB"/>
        </w:rPr>
        <w:t>vonatkozóan</w:t>
      </w:r>
      <w:r>
        <w:rPr>
          <w:i/>
          <w:sz w:val="22"/>
          <w:szCs w:val="22"/>
        </w:rPr>
        <w:t>:</w:t>
      </w:r>
    </w:p>
    <w:p w14:paraId="17858FD7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a készítmény hatóanyagával, vagy bármely más szulfonamiddal szembeni túlérzékenység;</w:t>
      </w:r>
    </w:p>
    <w:p w14:paraId="79EBE7B8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hepaticus encephalopathia;</w:t>
      </w:r>
    </w:p>
    <w:p w14:paraId="6A257C05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súlyos májkárosodás;</w:t>
      </w:r>
    </w:p>
    <w:p w14:paraId="3B13C786" w14:textId="77777777" w:rsidR="00DE62E1" w:rsidRDefault="00692E8D">
      <w:pPr>
        <w:widowControl w:val="0"/>
        <w:numPr>
          <w:ilvl w:val="0"/>
          <w:numId w:val="4"/>
        </w:numPr>
        <w:overflowPunct w:val="0"/>
        <w:ind w:left="567" w:hanging="567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hypokalaemia.</w:t>
      </w:r>
    </w:p>
    <w:p w14:paraId="00DA3541" w14:textId="77777777" w:rsidR="00DE62E1" w:rsidRDefault="00DE62E1">
      <w:pPr>
        <w:widowControl w:val="0"/>
        <w:overflowPunct w:val="0"/>
        <w:ind w:left="567" w:hanging="567"/>
        <w:textAlignment w:val="baseline"/>
        <w:rPr>
          <w:bCs/>
          <w:sz w:val="22"/>
          <w:szCs w:val="22"/>
        </w:rPr>
      </w:pPr>
    </w:p>
    <w:p w14:paraId="4E399C5C" w14:textId="77777777" w:rsidR="00DE62E1" w:rsidRDefault="00692E8D">
      <w:pPr>
        <w:widowControl w:val="0"/>
        <w:overflowPunct w:val="0"/>
        <w:textAlignment w:val="baseline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 Perindopril arginine/indapamide Krka 10</w:t>
      </w:r>
      <w:r>
        <w:rPr>
          <w:i/>
          <w:sz w:val="22"/>
          <w:szCs w:val="22"/>
          <w:u w:val="single"/>
          <w:lang w:eastAsia="en-US"/>
        </w:rPr>
        <w:t> </w:t>
      </w:r>
      <w:r>
        <w:rPr>
          <w:i/>
          <w:sz w:val="22"/>
          <w:szCs w:val="22"/>
          <w:u w:val="single"/>
        </w:rPr>
        <w:t>mg/2,5</w:t>
      </w:r>
      <w:r>
        <w:rPr>
          <w:i/>
          <w:sz w:val="22"/>
          <w:szCs w:val="22"/>
          <w:u w:val="single"/>
          <w:lang w:eastAsia="en-US"/>
        </w:rPr>
        <w:t> </w:t>
      </w:r>
      <w:r>
        <w:rPr>
          <w:i/>
          <w:sz w:val="22"/>
          <w:szCs w:val="22"/>
          <w:u w:val="single"/>
        </w:rPr>
        <w:t>mg tablettára</w:t>
      </w:r>
      <w:r>
        <w:rPr>
          <w:sz w:val="22"/>
          <w:szCs w:val="22"/>
          <w:u w:val="single"/>
        </w:rPr>
        <w:t xml:space="preserve"> </w:t>
      </w:r>
      <w:r>
        <w:rPr>
          <w:i/>
          <w:sz w:val="22"/>
          <w:szCs w:val="22"/>
          <w:u w:val="single"/>
        </w:rPr>
        <w:t>vonatkozóan:</w:t>
      </w:r>
    </w:p>
    <w:p w14:paraId="13305389" w14:textId="77777777" w:rsidR="00DE62E1" w:rsidRDefault="00692E8D">
      <w:pPr>
        <w:widowControl w:val="0"/>
        <w:numPr>
          <w:ilvl w:val="0"/>
          <w:numId w:val="4"/>
        </w:numPr>
        <w:overflowPunct w:val="0"/>
        <w:ind w:hanging="578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A készítmény, 6.1</w:t>
      </w:r>
      <w:r>
        <w:rPr>
          <w:sz w:val="22"/>
          <w:szCs w:val="22"/>
          <w:lang w:eastAsia="en-US"/>
        </w:rPr>
        <w:t xml:space="preserve"> </w:t>
      </w:r>
      <w:r>
        <w:rPr>
          <w:bCs/>
          <w:sz w:val="22"/>
          <w:szCs w:val="22"/>
        </w:rPr>
        <w:t>pontban felsorolt bármely segédanyagával szembeni túlérzékenység;</w:t>
      </w:r>
    </w:p>
    <w:p w14:paraId="4001731B" w14:textId="77777777" w:rsidR="00DE62E1" w:rsidRDefault="00692E8D">
      <w:pPr>
        <w:widowControl w:val="0"/>
        <w:numPr>
          <w:ilvl w:val="0"/>
          <w:numId w:val="4"/>
        </w:numPr>
        <w:overflowPunct w:val="0"/>
        <w:ind w:hanging="578"/>
        <w:textAlignment w:val="baseline"/>
        <w:rPr>
          <w:bCs/>
          <w:sz w:val="22"/>
          <w:szCs w:val="22"/>
        </w:rPr>
      </w:pPr>
      <w:r>
        <w:rPr>
          <w:bCs/>
          <w:sz w:val="22"/>
          <w:szCs w:val="22"/>
        </w:rPr>
        <w:t>súlyos vagy közepesen súlyos fokú vesekárosodás (60 ml/perc alatti kreatinin-clearance).</w:t>
      </w:r>
    </w:p>
    <w:p w14:paraId="12A99F77" w14:textId="77777777" w:rsidR="00DE62E1" w:rsidRDefault="00DE62E1">
      <w:pPr>
        <w:widowControl w:val="0"/>
        <w:overflowPunct w:val="0"/>
        <w:textAlignment w:val="baseline"/>
        <w:rPr>
          <w:i/>
          <w:sz w:val="22"/>
          <w:szCs w:val="22"/>
        </w:rPr>
      </w:pPr>
    </w:p>
    <w:p w14:paraId="105744BE" w14:textId="77777777" w:rsidR="00DE62E1" w:rsidRDefault="00692E8D">
      <w:pPr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Elegendő terápiás tapasztalat hiányában a Perindopril arginine/indapamide Krka tabletta nem alkalmazható:</w:t>
      </w:r>
    </w:p>
    <w:p w14:paraId="7EF4DC73" w14:textId="77777777" w:rsidR="00DE62E1" w:rsidRDefault="00692E8D">
      <w:pPr>
        <w:numPr>
          <w:ilvl w:val="0"/>
          <w:numId w:val="12"/>
        </w:numPr>
        <w:suppressAutoHyphens w:val="0"/>
        <w:autoSpaceDE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dializált betegek esetében,</w:t>
      </w:r>
    </w:p>
    <w:p w14:paraId="12BA2729" w14:textId="77777777" w:rsidR="00DE62E1" w:rsidRDefault="00692E8D">
      <w:pPr>
        <w:numPr>
          <w:ilvl w:val="0"/>
          <w:numId w:val="12"/>
        </w:numPr>
        <w:suppressAutoHyphens w:val="0"/>
        <w:autoSpaceDE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kezeletlen dekompenzált szívelégtelenségben szenvedő betegeknél.</w:t>
      </w:r>
    </w:p>
    <w:p w14:paraId="0A7CFB48" w14:textId="77777777" w:rsidR="00DE62E1" w:rsidRDefault="00DE62E1">
      <w:pPr>
        <w:widowControl w:val="0"/>
        <w:overflowPunct w:val="0"/>
        <w:textAlignment w:val="baseline"/>
        <w:rPr>
          <w:b/>
          <w:bCs/>
        </w:rPr>
      </w:pPr>
    </w:p>
    <w:p w14:paraId="77C0B326" w14:textId="77777777" w:rsidR="00DE62E1" w:rsidRDefault="00692E8D">
      <w:pPr>
        <w:pStyle w:val="Norml11"/>
        <w:suppressAutoHyphens w:val="0"/>
        <w:rPr>
          <w:b/>
          <w:bCs/>
        </w:rPr>
      </w:pPr>
      <w:r>
        <w:rPr>
          <w:b/>
          <w:bCs/>
        </w:rPr>
        <w:t>4.4</w:t>
      </w:r>
      <w:r>
        <w:rPr>
          <w:b/>
          <w:bCs/>
        </w:rPr>
        <w:tab/>
        <w:t>Különleges figyelmeztetések és az alkalmazással kapcsolatos óvintézkedések</w:t>
      </w:r>
    </w:p>
    <w:p w14:paraId="36A5A946" w14:textId="77777777" w:rsidR="00DE62E1" w:rsidRDefault="00DE62E1">
      <w:pPr>
        <w:suppressAutoHyphens w:val="0"/>
        <w:rPr>
          <w:bCs/>
          <w:i/>
          <w:sz w:val="22"/>
          <w:szCs w:val="22"/>
          <w:u w:val="single"/>
        </w:rPr>
      </w:pPr>
    </w:p>
    <w:p w14:paraId="0C5BAEA3" w14:textId="77777777" w:rsidR="00DE62E1" w:rsidRDefault="00692E8D">
      <w:pPr>
        <w:suppressAutoHyphens w:val="0"/>
        <w:rPr>
          <w:bCs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Különleges figyelmeztetések</w:t>
      </w:r>
    </w:p>
    <w:p w14:paraId="34474C47" w14:textId="77777777" w:rsidR="00DE62E1" w:rsidRDefault="00DE62E1">
      <w:pPr>
        <w:pStyle w:val="Szvegtrzs"/>
        <w:suppressAutoHyphens w:val="0"/>
        <w:spacing w:before="0" w:after="0"/>
        <w:jc w:val="left"/>
        <w:rPr>
          <w:bCs/>
          <w:i/>
          <w:iCs/>
          <w:sz w:val="22"/>
          <w:szCs w:val="22"/>
          <w:u w:val="single"/>
          <w:lang w:val="hu-HU"/>
        </w:rPr>
      </w:pPr>
    </w:p>
    <w:p w14:paraId="2E4607F3" w14:textId="77777777" w:rsidR="00DE62E1" w:rsidRDefault="00692E8D">
      <w:pPr>
        <w:pStyle w:val="Szvegtrzs"/>
        <w:suppressAutoHyphens w:val="0"/>
        <w:spacing w:before="0" w:after="0"/>
        <w:jc w:val="left"/>
        <w:rPr>
          <w:bCs/>
          <w:i/>
          <w:iCs/>
          <w:sz w:val="22"/>
          <w:szCs w:val="22"/>
          <w:lang w:val="hu-HU"/>
        </w:rPr>
      </w:pPr>
      <w:r>
        <w:rPr>
          <w:bCs/>
          <w:i/>
          <w:iCs/>
          <w:sz w:val="22"/>
          <w:szCs w:val="22"/>
          <w:u w:val="single"/>
          <w:lang w:val="hu-HU"/>
        </w:rPr>
        <w:t>A perindoprilra és indapamidra vonatkozóan</w:t>
      </w:r>
      <w:r>
        <w:rPr>
          <w:bCs/>
          <w:i/>
          <w:iCs/>
          <w:sz w:val="22"/>
          <w:szCs w:val="22"/>
          <w:lang w:val="hu-HU"/>
        </w:rPr>
        <w:t>:</w:t>
      </w:r>
    </w:p>
    <w:p w14:paraId="4FABCC0B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0CBFA8E0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Lítium</w:t>
      </w:r>
    </w:p>
    <w:p w14:paraId="2FBE5BEA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lítium együttes alkalmazása a perindopril és az indapamid kombinációjával általában nem ajánlott (lásd 4.5 pont).</w:t>
      </w:r>
    </w:p>
    <w:p w14:paraId="34D8DEE0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7EEAFA0F" w14:textId="77777777" w:rsidR="00DE62E1" w:rsidRDefault="00692E8D">
      <w:pPr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 perindoprilra vonatkozóan:</w:t>
      </w:r>
    </w:p>
    <w:p w14:paraId="1788049E" w14:textId="77777777" w:rsidR="00DE62E1" w:rsidRDefault="00DE62E1">
      <w:pPr>
        <w:suppressAutoHyphens w:val="0"/>
        <w:rPr>
          <w:iCs/>
          <w:sz w:val="22"/>
          <w:szCs w:val="22"/>
          <w:u w:val="single"/>
        </w:rPr>
      </w:pPr>
    </w:p>
    <w:p w14:paraId="5825DBEB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A renin</w:t>
      </w:r>
      <w:r>
        <w:rPr>
          <w:i/>
          <w:sz w:val="22"/>
          <w:szCs w:val="22"/>
        </w:rPr>
        <w:noBreakHyphen/>
        <w:t>angiotenzin</w:t>
      </w:r>
      <w:r>
        <w:rPr>
          <w:i/>
          <w:sz w:val="22"/>
          <w:szCs w:val="22"/>
        </w:rPr>
        <w:noBreakHyphen/>
        <w:t>aldoszteron rendszer kettős blokádja (RAAS)</w:t>
      </w:r>
    </w:p>
    <w:p w14:paraId="3F729AE4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Bizonyíték van rá, hogy az ACE-gátlók, angiotenzin II</w:t>
      </w:r>
      <w:r>
        <w:rPr>
          <w:sz w:val="22"/>
          <w:szCs w:val="22"/>
        </w:rPr>
        <w:noBreakHyphen/>
        <w:t>receptor-blokkolók vagy az aliszkirén egyidejű alkalmazása fokozza a hypotonia, hyperkalaemia és csökkent veseműködés kockázatát (beleértve az akut veseelégtelenséget is), ezért a RAAS ACE-gátlók, angiotenzin II</w:t>
      </w:r>
      <w:r>
        <w:rPr>
          <w:sz w:val="22"/>
          <w:szCs w:val="22"/>
        </w:rPr>
        <w:noBreakHyphen/>
        <w:t>receptor-blokkolók vagy aliszkirén kombinált alkalmazásával történő kettős blokádja nem javasolt (lásd 4.5 és 5.1 pont).</w:t>
      </w:r>
    </w:p>
    <w:p w14:paraId="2AACF279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Ha a kettősblokád-kezelést abszolút szükségesnek ítélik, az csak szakorvos felügyeletével, a vesefunkció, az elektrolitszintek és a vérnyomás gyakori és szoros ellenőrzése mellett történhet.</w:t>
      </w:r>
    </w:p>
    <w:p w14:paraId="47DED709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Az ACE-gátlók és angiotenzin II</w:t>
      </w:r>
      <w:r>
        <w:rPr>
          <w:sz w:val="22"/>
          <w:szCs w:val="22"/>
        </w:rPr>
        <w:noBreakHyphen/>
        <w:t>receptor-blokkolók nem alkalmazhatók egyidejűleg diabeteses nephropathiában szenvedő betegeknél.</w:t>
      </w:r>
    </w:p>
    <w:p w14:paraId="4AEC4E42" w14:textId="77777777" w:rsidR="00DE62E1" w:rsidRDefault="00DE62E1">
      <w:pPr>
        <w:outlineLvl w:val="0"/>
        <w:rPr>
          <w:i/>
          <w:iCs/>
          <w:noProof/>
          <w:sz w:val="22"/>
          <w:szCs w:val="22"/>
        </w:rPr>
      </w:pPr>
    </w:p>
    <w:p w14:paraId="66831995" w14:textId="77777777" w:rsidR="00DE62E1" w:rsidRDefault="00692E8D">
      <w:pPr>
        <w:pStyle w:val="Cmsor7"/>
        <w:tabs>
          <w:tab w:val="left" w:pos="284"/>
          <w:tab w:val="left" w:pos="709"/>
          <w:tab w:val="left" w:pos="993"/>
        </w:tabs>
        <w:suppressAutoHyphens w:val="0"/>
        <w:jc w:val="left"/>
      </w:pPr>
      <w:r>
        <w:lastRenderedPageBreak/>
        <w:t>Káliummegtakarító gyógyszerek, káliumpótlók vagy káliumtartalmú sópótlók</w:t>
      </w:r>
    </w:p>
    <w:p w14:paraId="4E7960A4" w14:textId="77777777" w:rsidR="00DE62E1" w:rsidRDefault="00692E8D">
      <w:pPr>
        <w:tabs>
          <w:tab w:val="left" w:pos="284"/>
          <w:tab w:val="left" w:pos="709"/>
          <w:tab w:val="left" w:pos="993"/>
        </w:tabs>
        <w:rPr>
          <w:sz w:val="22"/>
          <w:szCs w:val="22"/>
        </w:rPr>
      </w:pPr>
      <w:r>
        <w:rPr>
          <w:sz w:val="22"/>
          <w:szCs w:val="22"/>
        </w:rPr>
        <w:t xml:space="preserve">A perindopril kombinálása káliummegtakarító gyógyszerekkel, </w:t>
      </w:r>
      <w:r>
        <w:rPr>
          <w:iCs/>
          <w:sz w:val="22"/>
          <w:szCs w:val="22"/>
        </w:rPr>
        <w:t xml:space="preserve">káliumpótlókkal, </w:t>
      </w:r>
      <w:r>
        <w:rPr>
          <w:sz w:val="22"/>
          <w:szCs w:val="22"/>
        </w:rPr>
        <w:t>illetve káliumtartalmú sópótlókkal általában nem javasolt (lásd 4.5 pont).</w:t>
      </w:r>
    </w:p>
    <w:p w14:paraId="217D428E" w14:textId="77777777" w:rsidR="00DE62E1" w:rsidRDefault="00DE62E1">
      <w:pPr>
        <w:tabs>
          <w:tab w:val="left" w:pos="0"/>
          <w:tab w:val="left" w:pos="284"/>
          <w:tab w:val="left" w:pos="567"/>
          <w:tab w:val="left" w:pos="709"/>
        </w:tabs>
        <w:suppressAutoHyphens w:val="0"/>
        <w:autoSpaceDE/>
        <w:rPr>
          <w:i/>
          <w:iCs/>
          <w:snapToGrid w:val="0"/>
          <w:sz w:val="22"/>
          <w:szCs w:val="22"/>
          <w:lang w:eastAsia="hu-HU"/>
        </w:rPr>
      </w:pPr>
    </w:p>
    <w:p w14:paraId="5D6F064B" w14:textId="77777777" w:rsidR="00DE62E1" w:rsidRDefault="00692E8D">
      <w:pPr>
        <w:tabs>
          <w:tab w:val="left" w:pos="0"/>
          <w:tab w:val="left" w:pos="284"/>
          <w:tab w:val="left" w:pos="567"/>
          <w:tab w:val="left" w:pos="709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i/>
          <w:iCs/>
          <w:snapToGrid w:val="0"/>
          <w:sz w:val="22"/>
          <w:szCs w:val="22"/>
          <w:lang w:eastAsia="hu-HU"/>
        </w:rPr>
        <w:t>Neutropenia/agranulocytosis/</w:t>
      </w:r>
      <w:r>
        <w:rPr>
          <w:i/>
          <w:iCs/>
          <w:sz w:val="22"/>
          <w:szCs w:val="22"/>
        </w:rPr>
        <w:t>thrombocytopenia/anaemia</w:t>
      </w:r>
    </w:p>
    <w:p w14:paraId="07515ABE" w14:textId="77777777" w:rsidR="00DE62E1" w:rsidRDefault="00692E8D">
      <w:pPr>
        <w:tabs>
          <w:tab w:val="left" w:pos="0"/>
        </w:tabs>
        <w:suppressAutoHyphens w:val="0"/>
        <w:autoSpaceDE/>
        <w:outlineLvl w:val="0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 xml:space="preserve">Az ACE-gátlókat szedő betegek esetében beszámoltak neutropenia/agranulocytosis, thrombocytopenia és anaemia előfordulásáról. Ép veseműködésű betegeknél és ha egyéb komplikáló tényezők nem állnak fenn, ritkán fordul elő neutropenia. A perindoprilt fokozott óvatossággal kell alkalmazni olyan betegek esetében, akik kollagén-érbetegségben szenvednek, immunszuppresszív terápiában részesülnek, allopurinol- vagy prokainamid-kezelést kapnak, illetve ezen komplikáló tényezők együttes </w:t>
      </w:r>
      <w:r>
        <w:rPr>
          <w:snapToGrid w:val="0"/>
          <w:sz w:val="22"/>
          <w:szCs w:val="22"/>
          <w:lang w:val="en-GB" w:eastAsia="hu-HU"/>
        </w:rPr>
        <w:t>fennállásakor</w:t>
      </w:r>
      <w:r>
        <w:rPr>
          <w:snapToGrid w:val="0"/>
          <w:sz w:val="22"/>
          <w:szCs w:val="22"/>
          <w:lang w:eastAsia="hu-HU"/>
        </w:rPr>
        <w:t xml:space="preserve">, különösen akkor, ha </w:t>
      </w:r>
      <w:r>
        <w:rPr>
          <w:sz w:val="22"/>
          <w:szCs w:val="22"/>
          <w:lang w:eastAsia="en-GB"/>
        </w:rPr>
        <w:t>a vesefunkciójuk előzőleg már károsodott volt</w:t>
      </w:r>
      <w:r>
        <w:rPr>
          <w:snapToGrid w:val="0"/>
          <w:sz w:val="22"/>
          <w:szCs w:val="22"/>
          <w:lang w:eastAsia="hu-HU"/>
        </w:rPr>
        <w:t>. Ezen betegek közül némelyeknél súlyos fertőzés alakult ki, amely néhány esetben nem reagált az intenzív antibiotikum kezelésre sem. Amennyiben a perindoprilt ilyen betegnél alkalmazzák, akkor a fehérvérsejtek számának időszakos ellenőrzése javasolt, és figyelmeztetni kell a beteget, hogy jelentsen bármilyen fertőzésre utaló jelet (például torokfájás, láz) (lásd 4.5 és 4.8</w:t>
      </w:r>
      <w:r>
        <w:rPr>
          <w:sz w:val="22"/>
          <w:szCs w:val="22"/>
          <w:lang w:eastAsia="en-GB"/>
        </w:rPr>
        <w:t> </w:t>
      </w:r>
      <w:r>
        <w:rPr>
          <w:snapToGrid w:val="0"/>
          <w:sz w:val="22"/>
          <w:szCs w:val="22"/>
          <w:lang w:eastAsia="hu-HU"/>
        </w:rPr>
        <w:t>pont).</w:t>
      </w:r>
    </w:p>
    <w:p w14:paraId="5712E94A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0B8C938D" w14:textId="77777777" w:rsidR="00DE62E1" w:rsidRDefault="00692E8D">
      <w:pPr>
        <w:overflowPunct w:val="0"/>
        <w:textAlignment w:val="baseline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Renovascularis hypertonia</w:t>
      </w:r>
    </w:p>
    <w:p w14:paraId="2B054FA2" w14:textId="77777777" w:rsidR="00DE62E1" w:rsidRDefault="00692E8D">
      <w:pPr>
        <w:rPr>
          <w:sz w:val="22"/>
          <w:szCs w:val="22"/>
          <w:lang w:eastAsia="en-GB"/>
        </w:rPr>
      </w:pPr>
      <w:r>
        <w:rPr>
          <w:sz w:val="22"/>
          <w:szCs w:val="22"/>
          <w:lang w:eastAsia="en-GB"/>
        </w:rPr>
        <w:t xml:space="preserve">Fokozott a hypotonia és a veseelégtelenség kockázata a bilaterális veseartéria-stenosisban vagy az egyetlen működő vese artériájának stenosisában szenvedő, ACE-gátlóval kezelt betegeknél (lásd 4.3 pont). </w:t>
      </w:r>
      <w:r>
        <w:rPr>
          <w:bCs/>
          <w:iCs/>
          <w:sz w:val="22"/>
          <w:szCs w:val="22"/>
          <w:lang w:val="en-US" w:eastAsia="en-GB"/>
        </w:rPr>
        <w:t>A diuretikumokkal végzett kezelés ilyenkor súlyosbító tényező lehet</w:t>
      </w:r>
      <w:r>
        <w:rPr>
          <w:sz w:val="22"/>
          <w:szCs w:val="22"/>
          <w:lang w:eastAsia="en-GB"/>
        </w:rPr>
        <w:t xml:space="preserve">. A vesefunkció </w:t>
      </w:r>
      <w:r>
        <w:rPr>
          <w:bCs/>
          <w:iCs/>
          <w:sz w:val="22"/>
          <w:szCs w:val="22"/>
          <w:lang w:val="en-US" w:eastAsia="en-GB"/>
        </w:rPr>
        <w:t xml:space="preserve">elvesztése </w:t>
      </w:r>
      <w:r>
        <w:rPr>
          <w:sz w:val="22"/>
          <w:szCs w:val="22"/>
          <w:lang w:eastAsia="en-GB"/>
        </w:rPr>
        <w:t xml:space="preserve">még az egyoldali veseartéria-stenosisban szenvedő betegeknél is </w:t>
      </w:r>
      <w:r>
        <w:rPr>
          <w:bCs/>
          <w:iCs/>
          <w:sz w:val="22"/>
          <w:szCs w:val="22"/>
          <w:lang w:val="en-US" w:eastAsia="en-GB"/>
        </w:rPr>
        <w:t>előfordulhat</w:t>
      </w:r>
      <w:r>
        <w:rPr>
          <w:sz w:val="22"/>
          <w:szCs w:val="22"/>
          <w:lang w:eastAsia="en-GB"/>
        </w:rPr>
        <w:t xml:space="preserve"> a szérum kreatininszintjének csupán kismértékű változása mellett.</w:t>
      </w:r>
    </w:p>
    <w:p w14:paraId="05CCB14D" w14:textId="77777777" w:rsidR="00DE62E1" w:rsidRDefault="00DE62E1">
      <w:pPr>
        <w:tabs>
          <w:tab w:val="left" w:pos="567"/>
          <w:tab w:val="left" w:pos="709"/>
        </w:tabs>
        <w:suppressAutoHyphens w:val="0"/>
        <w:autoSpaceDE/>
        <w:rPr>
          <w:i/>
          <w:iCs/>
          <w:snapToGrid w:val="0"/>
          <w:sz w:val="22"/>
          <w:szCs w:val="22"/>
          <w:lang w:eastAsia="hu-HU"/>
        </w:rPr>
      </w:pPr>
    </w:p>
    <w:p w14:paraId="18BA9A56" w14:textId="77777777" w:rsidR="00DE62E1" w:rsidRDefault="00692E8D">
      <w:pPr>
        <w:tabs>
          <w:tab w:val="left" w:pos="567"/>
          <w:tab w:val="left" w:pos="709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i/>
          <w:iCs/>
          <w:snapToGrid w:val="0"/>
          <w:sz w:val="22"/>
          <w:szCs w:val="22"/>
          <w:lang w:eastAsia="hu-HU"/>
        </w:rPr>
        <w:t>Túlérzékenység/angiooedema</w:t>
      </w:r>
    </w:p>
    <w:p w14:paraId="49BF9408" w14:textId="77777777" w:rsidR="00DE62E1" w:rsidRDefault="00692E8D">
      <w:pPr>
        <w:tabs>
          <w:tab w:val="left" w:pos="567"/>
        </w:tabs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Angiotenzin-konvertáló enzimgátlókat, köztük a perindoprilt szedő betegeknél ritkán az arc, a végtagok, az ajkak, a nyelv, a hangrés és/vagy a gége angiooedemájáról számoltak be (lásd 4.8</w:t>
      </w:r>
      <w:r>
        <w:rPr>
          <w:bCs/>
          <w:sz w:val="22"/>
          <w:szCs w:val="22"/>
        </w:rPr>
        <w:t> </w:t>
      </w:r>
      <w:r>
        <w:rPr>
          <w:snapToGrid w:val="0"/>
          <w:sz w:val="22"/>
          <w:szCs w:val="22"/>
          <w:lang w:eastAsia="hu-HU"/>
        </w:rPr>
        <w:t xml:space="preserve">pont). Ez a kezelés során bármikor jelentkezhet. </w:t>
      </w:r>
      <w:r>
        <w:rPr>
          <w:snapToGrid w:val="0"/>
          <w:sz w:val="22"/>
          <w:szCs w:val="22"/>
          <w:lang w:val="en-GB" w:eastAsia="hu-HU"/>
        </w:rPr>
        <w:t>Ilyen esetekben a perindopril-kezelést azonnal abba kell hagyni és megfelelő monitorozásról kell gondoskodni, hogy megbizonyosodhassunk a tünetek teljes megszűnéséről a beteg elbocsátása előtt</w:t>
      </w:r>
      <w:r>
        <w:rPr>
          <w:snapToGrid w:val="0"/>
          <w:sz w:val="22"/>
          <w:szCs w:val="22"/>
          <w:lang w:eastAsia="hu-HU"/>
        </w:rPr>
        <w:t>. Az olyan esetekben, amikor a duzzanat csak az arcra és az ajkakra korlátozódik, az állapot általában kezelés nélkül rendeződik, azonban az antihisztaminok hasznosak a tünetek enyhítésére.</w:t>
      </w:r>
    </w:p>
    <w:p w14:paraId="559ED8FD" w14:textId="77777777" w:rsidR="00DE62E1" w:rsidRDefault="00DE62E1">
      <w:pPr>
        <w:tabs>
          <w:tab w:val="left" w:pos="567"/>
        </w:tabs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</w:p>
    <w:p w14:paraId="49F732D5" w14:textId="77777777" w:rsidR="00DE62E1" w:rsidRDefault="00692E8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 gégeödémával járó angiooedema végzetes lehet. Ha a nyelv, a glottis vagy a gége is érintett, az valószínűleg légúti obstrukciót okoz, ilyenkor azonnal megfelelő kezelést kell alkalmazni, beleértve 0,3-0,5 ml 1:1000 hígítású adrenalin-oldat </w:t>
      </w:r>
      <w:r>
        <w:rPr>
          <w:bCs/>
          <w:i/>
          <w:sz w:val="22"/>
          <w:szCs w:val="22"/>
        </w:rPr>
        <w:t>subcutan</w:t>
      </w:r>
      <w:r>
        <w:rPr>
          <w:bCs/>
          <w:sz w:val="22"/>
          <w:szCs w:val="22"/>
        </w:rPr>
        <w:t xml:space="preserve"> adását és/vagy a beteg légutainak biztosítását.</w:t>
      </w:r>
    </w:p>
    <w:p w14:paraId="2B65F5D0" w14:textId="77777777" w:rsidR="00DE62E1" w:rsidRDefault="00DE62E1">
      <w:pPr>
        <w:tabs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0193FDA4" w14:textId="77777777" w:rsidR="00DE62E1" w:rsidRDefault="00692E8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Beszámoltak arról, hogy az ACE-gátlókat szedő fekete bőrű betegek körében nagyobb gyakorisággal fordult elő angiooedema, mint a nem fekete bőrűeknél.</w:t>
      </w:r>
    </w:p>
    <w:p w14:paraId="25761E39" w14:textId="77777777" w:rsidR="00DE62E1" w:rsidRDefault="00DE62E1">
      <w:pPr>
        <w:tabs>
          <w:tab w:val="left" w:pos="284"/>
          <w:tab w:val="left" w:pos="567"/>
          <w:tab w:val="left" w:pos="709"/>
        </w:tabs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3F72398A" w14:textId="77777777" w:rsidR="00DE62E1" w:rsidRDefault="00692E8D">
      <w:pPr>
        <w:tabs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 xml:space="preserve">Azoknál a betegeknél, akiknek a kórelőzményében ACE-gátló-kezeléstől független angiooedema szerepel, az ACE-gátlók szedésekor fokozott az angiooedema kialakulásának kockázata (lásd 4.3 pont). </w:t>
      </w:r>
    </w:p>
    <w:p w14:paraId="1C163764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1B57C7CE" w14:textId="77777777" w:rsidR="00DE62E1" w:rsidRDefault="00692E8D">
      <w:pPr>
        <w:tabs>
          <w:tab w:val="left" w:pos="0"/>
        </w:tabs>
        <w:suppressAutoHyphens w:val="0"/>
        <w:autoSpaceDE/>
        <w:outlineLvl w:val="0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Az ACE-gátlókkal kezelt betegek esetében ritkán intestinalis angiooedemáról számoltak be. Ezek a betegek hasi fájdalommal jelentkeztek (hányingerrel és hányással vagy ezek nélkül); ezt egyes esetekben nem előzte meg az arc ödémája, és a C-1-észteráz-szint normális volt. Az angiooedema diagnózisát hasi CT-vel, ultrahanggal vagy műtétkor állapították meg, és a tünetek megszűntek az ACE-gátló leállítása után. A hasi fájdalommal jelentkező, ACE-gátlót szedő betegek esetében az intestinalis angiooedema lehetőségét is figyelembe kell venni a differenciáldiagnózis során.</w:t>
      </w:r>
    </w:p>
    <w:p w14:paraId="1198E076" w14:textId="77777777" w:rsidR="00DE62E1" w:rsidRDefault="00DE62E1">
      <w:pPr>
        <w:tabs>
          <w:tab w:val="left" w:pos="0"/>
        </w:tabs>
        <w:suppressAutoHyphens w:val="0"/>
        <w:autoSpaceDE/>
        <w:outlineLvl w:val="0"/>
        <w:rPr>
          <w:snapToGrid w:val="0"/>
          <w:sz w:val="22"/>
          <w:szCs w:val="22"/>
          <w:lang w:eastAsia="hu-HU"/>
        </w:rPr>
      </w:pPr>
    </w:p>
    <w:p w14:paraId="30E7D24E" w14:textId="77777777" w:rsidR="00DE62E1" w:rsidRDefault="00692E8D">
      <w:pPr>
        <w:tabs>
          <w:tab w:val="left" w:pos="567"/>
        </w:tabs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Az angiooedema fokozott kockázata miatt a perindopril és a szakubitril/valzartán kombinációja ellenjavallt (lásd 4.3 pont). A szakubitril/valzartán-kezelés nem kezdhető el a perindopril-kezelés utolsó dózisának bevételét követő 36 órán belül. Amennyiben a szakubitril/valzartán-kezelés leállításra kerül, a perindopril-kezelés nem kezdhető el a szakubitril/valzartán utolsó dózisát követő 36 órán belül (lásd 4.3 és 4.5 pont).</w:t>
      </w:r>
    </w:p>
    <w:p w14:paraId="487BC018" w14:textId="77777777" w:rsidR="00DE62E1" w:rsidRDefault="00692E8D">
      <w:pPr>
        <w:tabs>
          <w:tab w:val="left" w:pos="567"/>
        </w:tabs>
        <w:overflowPunct w:val="0"/>
        <w:textAlignment w:val="baseline"/>
        <w:rPr>
          <w:sz w:val="22"/>
          <w:szCs w:val="22"/>
        </w:rPr>
      </w:pPr>
      <w:r>
        <w:rPr>
          <w:sz w:val="22"/>
          <w:szCs w:val="22"/>
        </w:rPr>
        <w:t>Neutrális endopeptidáz (NEP)-gátlók (például racekadotril) és ACE-gátlók együttes alkalmazása szintén az angiooedema kialakulásának fokozott kockázatával járhat (lásd 4.5 pont).</w:t>
      </w:r>
      <w:r>
        <w:rPr>
          <w:rFonts w:ascii="MS Sans Serif" w:hAnsi="MS Sans Serif" w:cs="MS Sans Serif"/>
          <w:sz w:val="20"/>
          <w:szCs w:val="20"/>
        </w:rPr>
        <w:t xml:space="preserve"> </w:t>
      </w:r>
      <w:r>
        <w:rPr>
          <w:sz w:val="22"/>
          <w:szCs w:val="22"/>
        </w:rPr>
        <w:t xml:space="preserve">Ezért </w:t>
      </w:r>
      <w:r>
        <w:rPr>
          <w:sz w:val="22"/>
          <w:szCs w:val="22"/>
        </w:rPr>
        <w:lastRenderedPageBreak/>
        <w:t>perindoprillal kezelt betegek esetében körültekintő előny/kockázat-értékelésre van szükség a NEP-gátlók (például racekadotril) alkalmazásának megkezdése előtt.</w:t>
      </w:r>
    </w:p>
    <w:p w14:paraId="4E8536AE" w14:textId="77777777" w:rsidR="00DE62E1" w:rsidRDefault="00DE62E1">
      <w:pPr>
        <w:tabs>
          <w:tab w:val="left" w:pos="0"/>
        </w:tabs>
        <w:suppressAutoHyphens w:val="0"/>
        <w:autoSpaceDE/>
        <w:outlineLvl w:val="0"/>
        <w:rPr>
          <w:snapToGrid w:val="0"/>
          <w:sz w:val="22"/>
          <w:szCs w:val="22"/>
          <w:lang w:eastAsia="hu-HU"/>
        </w:rPr>
      </w:pPr>
    </w:p>
    <w:p w14:paraId="678F8282" w14:textId="77777777" w:rsidR="00DE62E1" w:rsidRDefault="00692E8D">
      <w:pPr>
        <w:pStyle w:val="Default"/>
        <w:keepNext/>
        <w:rPr>
          <w:rFonts w:ascii="Times New Roman" w:hAnsi="Times New Roman" w:cs="Times New Roman"/>
          <w:i/>
          <w:sz w:val="22"/>
          <w:szCs w:val="22"/>
        </w:rPr>
      </w:pPr>
      <w:r>
        <w:rPr>
          <w:rFonts w:ascii="Times New Roman" w:hAnsi="Times New Roman" w:cs="Times New Roman"/>
          <w:bCs/>
          <w:i/>
          <w:sz w:val="22"/>
          <w:szCs w:val="22"/>
        </w:rPr>
        <w:t>Együttes alkalmazás mTOR-inhibitorokkal (mint például szirolimusz, everolimusz, temszirolimusz):</w:t>
      </w:r>
    </w:p>
    <w:p w14:paraId="078E9224" w14:textId="77777777" w:rsidR="00DE62E1" w:rsidRDefault="00692E8D">
      <w:pPr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  <w:r>
        <w:rPr>
          <w:bCs/>
          <w:sz w:val="22"/>
          <w:szCs w:val="22"/>
        </w:rPr>
        <w:t>Azok a betegek, akik egyidejűleg mTOR-inhibitor (mint például szirolimusz, everolimusz, temszirolimusz) terápiát alkalmaznak, az angiooedema megemelkedett kockázatának lehetnek kitéve (például a légutak vagy nyelv duzzanata, légzéskárosodással vagy anélkül) (lásd 4.5</w:t>
      </w:r>
      <w:r>
        <w:rPr>
          <w:sz w:val="22"/>
          <w:szCs w:val="22"/>
        </w:rPr>
        <w:t> </w:t>
      </w:r>
      <w:r>
        <w:rPr>
          <w:bCs/>
          <w:sz w:val="22"/>
          <w:szCs w:val="22"/>
        </w:rPr>
        <w:t>pont).</w:t>
      </w:r>
    </w:p>
    <w:p w14:paraId="03892B8D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405863BD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Deszenzibilizáció alatt előforduló anafilaxiás reakciók</w:t>
      </w:r>
    </w:p>
    <w:p w14:paraId="19F72740" w14:textId="77777777" w:rsidR="00DE62E1" w:rsidRDefault="00692E8D">
      <w:pPr>
        <w:pStyle w:val="Szvegtrzsbehzssal"/>
        <w:tabs>
          <w:tab w:val="left" w:pos="0"/>
        </w:tabs>
      </w:pPr>
      <w:r>
        <w:t>Egyedi esetekben beszámoltak olyan betegekről, akiknél ACE-gátló szedése mellett a hártyásszárnyúak (méh, darázs) mérgével végzett deszenzibilizáló kezelés során tartós, életveszélyes anafilaxiás reakciót tapasztaltak. A deszenzibilizáló kezelésben részesülő allergiás betegek esetében az ACE-gátlókat óvatosan kell alkalmazni, és kerülendő azoknál, akik méreg-immunterápiában részesülnek. Ugyanakkor azoknál a betegeknél, akiknek mind az ACE-gátló, mind pedig a deszenzibilizáló kezelésre szüksége van, ezek a reakciók megelőzhetők, ha az ACE-gátló-terápiát legalább 24</w:t>
      </w:r>
      <w:r>
        <w:rPr>
          <w:snapToGrid w:val="0"/>
        </w:rPr>
        <w:t> </w:t>
      </w:r>
      <w:r>
        <w:t>órával a deszenzibilizáló kezelés megkezdése előtt időlegesen leállítják.</w:t>
      </w:r>
    </w:p>
    <w:p w14:paraId="39A970B5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34559AE8" w14:textId="77777777" w:rsidR="00DE62E1" w:rsidRDefault="00692E8D">
      <w:pPr>
        <w:rPr>
          <w:i/>
          <w:iCs/>
          <w:sz w:val="22"/>
          <w:szCs w:val="22"/>
          <w:lang w:eastAsia="en-GB"/>
        </w:rPr>
      </w:pPr>
      <w:r>
        <w:rPr>
          <w:i/>
          <w:iCs/>
          <w:sz w:val="22"/>
          <w:szCs w:val="22"/>
          <w:lang w:eastAsia="en-GB"/>
        </w:rPr>
        <w:t>Az LDL-aferezis alatt előforduló anafilaxiás reakciók</w:t>
      </w:r>
    </w:p>
    <w:p w14:paraId="5324973D" w14:textId="77777777" w:rsidR="00DE62E1" w:rsidRDefault="00692E8D">
      <w:pPr>
        <w:rPr>
          <w:sz w:val="22"/>
          <w:szCs w:val="22"/>
          <w:lang w:eastAsia="en-GB"/>
        </w:rPr>
      </w:pPr>
      <w:r>
        <w:rPr>
          <w:sz w:val="22"/>
          <w:szCs w:val="22"/>
          <w:lang w:eastAsia="en-GB"/>
        </w:rPr>
        <w:t>Az ACE-gátlókat szedő betegeknél a dextrán-szulfátokkal végzett kis sűrűségű lipoprotein (LDL)</w:t>
      </w:r>
      <w:r>
        <w:rPr>
          <w:sz w:val="22"/>
          <w:szCs w:val="22"/>
          <w:lang w:eastAsia="en-GB"/>
        </w:rPr>
        <w:noBreakHyphen/>
        <w:t>aferezis alatt életveszélyes anafilaxiás reakciókat tapasztaltak. Ezek a reakciók elkerülhetők, ha az egyes aferezis kezelések előtt időlegesen felfüggesztik az ACE-gátló-kezelést.</w:t>
      </w:r>
    </w:p>
    <w:p w14:paraId="3DCADAA6" w14:textId="77777777" w:rsidR="00DE62E1" w:rsidRDefault="00DE62E1">
      <w:pPr>
        <w:autoSpaceDN w:val="0"/>
        <w:adjustRightInd w:val="0"/>
        <w:rPr>
          <w:sz w:val="22"/>
          <w:szCs w:val="22"/>
          <w:lang w:eastAsia="en-US"/>
        </w:rPr>
      </w:pPr>
    </w:p>
    <w:p w14:paraId="2A32E3D4" w14:textId="77777777" w:rsidR="00DE62E1" w:rsidRDefault="00692E8D">
      <w:pPr>
        <w:keepNext/>
        <w:rPr>
          <w:i/>
          <w:iCs/>
          <w:sz w:val="22"/>
          <w:szCs w:val="22"/>
          <w:lang w:eastAsia="en-GB"/>
        </w:rPr>
      </w:pPr>
      <w:r>
        <w:rPr>
          <w:i/>
          <w:iCs/>
          <w:sz w:val="22"/>
          <w:szCs w:val="22"/>
          <w:lang w:eastAsia="en-GB"/>
        </w:rPr>
        <w:t>Hemodializált betegek</w:t>
      </w:r>
    </w:p>
    <w:p w14:paraId="7D5B0777" w14:textId="77777777" w:rsidR="00DE62E1" w:rsidRDefault="00692E8D">
      <w:pPr>
        <w:autoSpaceDN w:val="0"/>
        <w:adjustRightInd w:val="0"/>
        <w:rPr>
          <w:sz w:val="22"/>
          <w:szCs w:val="22"/>
          <w:lang w:eastAsia="en-GB"/>
        </w:rPr>
      </w:pPr>
      <w:r>
        <w:rPr>
          <w:sz w:val="22"/>
          <w:szCs w:val="22"/>
          <w:lang w:eastAsia="en-GB"/>
        </w:rPr>
        <w:t>Anafilaxiás reakciókról számoltak be olyan betegek esetében, akiknél úgynevezett high-flux membránokat (például AN 69) használtak, és egyidejűleg ACE-gátló-kezelésben részesültek. Ezeknél a betegeknél mérlegelni kell más típusú membrán, vagy másik osztályba tartozó antihipertenzív szer alkalmazását.</w:t>
      </w:r>
    </w:p>
    <w:p w14:paraId="283A5D10" w14:textId="77777777" w:rsidR="00DE62E1" w:rsidRDefault="00DE62E1">
      <w:pPr>
        <w:autoSpaceDN w:val="0"/>
        <w:adjustRightInd w:val="0"/>
        <w:rPr>
          <w:sz w:val="22"/>
          <w:szCs w:val="22"/>
          <w:lang w:eastAsia="en-US"/>
        </w:rPr>
      </w:pPr>
    </w:p>
    <w:p w14:paraId="6210F9F7" w14:textId="77777777" w:rsidR="00DE62E1" w:rsidRDefault="00692E8D">
      <w:pPr>
        <w:pStyle w:val="Nincstrkz"/>
        <w:rPr>
          <w:rFonts w:ascii="Times New Roman" w:hAnsi="Times New Roman"/>
          <w:i/>
        </w:rPr>
      </w:pPr>
      <w:r>
        <w:rPr>
          <w:rFonts w:ascii="Times New Roman" w:hAnsi="Times New Roman"/>
          <w:i/>
        </w:rPr>
        <w:t>Primaer aldosteronismus</w:t>
      </w:r>
    </w:p>
    <w:p w14:paraId="405259B0" w14:textId="77777777" w:rsidR="00DE62E1" w:rsidRDefault="00692E8D">
      <w:pPr>
        <w:pStyle w:val="Szvegtrzsbehzssal"/>
        <w:tabs>
          <w:tab w:val="left" w:pos="709"/>
        </w:tabs>
      </w:pPr>
      <w:r>
        <w:t>A primaer hyperaldosteronismusban szenvedő betegek általában nem reagálnak a renin-angiotenzin rendszert gátló vérnyomáscsökkentő gyógyszerekre. Ezért ennek a készítménynek az alkalmazása nem ajánlott.</w:t>
      </w:r>
    </w:p>
    <w:p w14:paraId="3247906D" w14:textId="77777777" w:rsidR="00DE62E1" w:rsidRDefault="00DE62E1">
      <w:pPr>
        <w:keepNext/>
        <w:rPr>
          <w:i/>
          <w:iCs/>
          <w:sz w:val="22"/>
          <w:szCs w:val="22"/>
        </w:rPr>
      </w:pPr>
    </w:p>
    <w:p w14:paraId="7E7C771E" w14:textId="77777777" w:rsidR="00DE62E1" w:rsidRDefault="00692E8D">
      <w:pPr>
        <w:keepNext/>
        <w:rPr>
          <w:sz w:val="22"/>
          <w:szCs w:val="22"/>
        </w:rPr>
      </w:pPr>
      <w:r>
        <w:rPr>
          <w:i/>
          <w:iCs/>
          <w:sz w:val="22"/>
          <w:szCs w:val="22"/>
        </w:rPr>
        <w:t>Terhesség</w:t>
      </w:r>
    </w:p>
    <w:p w14:paraId="07F2ABB8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snapToGrid w:val="0"/>
          <w:sz w:val="22"/>
          <w:szCs w:val="22"/>
          <w:lang w:eastAsia="hu-HU"/>
        </w:rPr>
        <w:t xml:space="preserve">Az ACE-gátló-kezelést nem szabad a terhesség alatt elkezdeni. Hacsak az </w:t>
      </w:r>
      <w:r>
        <w:rPr>
          <w:snapToGrid w:val="0"/>
          <w:sz w:val="22"/>
          <w:szCs w:val="22"/>
          <w:lang w:val="en-GB" w:eastAsia="hu-HU"/>
        </w:rPr>
        <w:t>ACE-gátlóval történő folyamatos kezelés nem elengedhetetlen, a terhességet tervező betegeket más, olyan antihipertenzív kezelésre kell átállítani, melynek biztonságossága terhességben alátámasztott. Az ACE-gátló szedését azonnal abba kell hagyni, amennyiben terhességet állapítottak meg. Szükség esetén más, megfelelő kezelést kell elkezdeni (lásd 4.3 és 4.6</w:t>
      </w:r>
      <w:r>
        <w:rPr>
          <w:snapToGrid w:val="0"/>
          <w:szCs w:val="22"/>
        </w:rPr>
        <w:t> </w:t>
      </w:r>
      <w:r>
        <w:rPr>
          <w:snapToGrid w:val="0"/>
          <w:sz w:val="22"/>
          <w:szCs w:val="22"/>
          <w:lang w:val="en-GB" w:eastAsia="hu-HU"/>
        </w:rPr>
        <w:t>pont).</w:t>
      </w:r>
    </w:p>
    <w:p w14:paraId="03B26207" w14:textId="77777777" w:rsidR="00DE62E1" w:rsidRDefault="00DE62E1">
      <w:pPr>
        <w:suppressAutoHyphens w:val="0"/>
        <w:rPr>
          <w:bCs/>
          <w:iCs/>
          <w:sz w:val="22"/>
          <w:szCs w:val="22"/>
        </w:rPr>
      </w:pPr>
    </w:p>
    <w:p w14:paraId="6D675226" w14:textId="77777777" w:rsidR="00DE62E1" w:rsidRDefault="00692E8D">
      <w:pPr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Az indapamidra vonatkozóan:</w:t>
      </w:r>
    </w:p>
    <w:p w14:paraId="2FC77112" w14:textId="77777777" w:rsidR="00DE62E1" w:rsidRDefault="00DE62E1">
      <w:pPr>
        <w:suppressAutoHyphens w:val="0"/>
        <w:rPr>
          <w:iCs/>
          <w:sz w:val="22"/>
          <w:szCs w:val="22"/>
          <w:u w:val="single"/>
        </w:rPr>
      </w:pPr>
    </w:p>
    <w:p w14:paraId="11497D5C" w14:textId="77777777" w:rsidR="00DE62E1" w:rsidRDefault="00692E8D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Hepaticus encephalopathia</w:t>
      </w:r>
    </w:p>
    <w:p w14:paraId="4B5AE047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Károsodott májfunkció esetén, a tiazid- és a tiazid-típusú diuretikumok – </w:t>
      </w:r>
      <w:r>
        <w:rPr>
          <w:sz w:val="22"/>
          <w:szCs w:val="22"/>
        </w:rPr>
        <w:t xml:space="preserve">különösen az elektrolit-egyensúly felborulásakor </w:t>
      </w:r>
      <w:r>
        <w:rPr>
          <w:iCs/>
          <w:sz w:val="22"/>
          <w:szCs w:val="22"/>
        </w:rPr>
        <w:t>–</w:t>
      </w:r>
      <w:r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hepaticus encephalopathiát okozhatnak, amely akár májkómához is vezethet. Amennyiben ez jelentkezik, a diuretikum alkalmazását azonnal abba kell hagyni.</w:t>
      </w:r>
    </w:p>
    <w:p w14:paraId="785AE3EC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51E6D6A9" w14:textId="77777777" w:rsidR="00DE62E1" w:rsidRDefault="00692E8D">
      <w:pPr>
        <w:tabs>
          <w:tab w:val="left" w:pos="0"/>
          <w:tab w:val="left" w:pos="284"/>
          <w:tab w:val="left" w:pos="709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Fényérzékenység</w:t>
      </w:r>
    </w:p>
    <w:p w14:paraId="1FC5EA09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tiazidok és a tiazidokkal rokon diuretikumok kapcsán fényérzékenységi reakciók eseteiről számoltak be (lásd 4.8</w:t>
      </w:r>
      <w:r>
        <w:rPr>
          <w:sz w:val="22"/>
        </w:rPr>
        <w:t> </w:t>
      </w:r>
      <w:r>
        <w:rPr>
          <w:sz w:val="22"/>
          <w:szCs w:val="22"/>
        </w:rPr>
        <w:t>pont). Amennyiben a kezelés alatt fényérzékenységi reakció fordul elő, ajánlatos leállítani a kezelést. Ha a diuretikum újbóli adása szükséges</w:t>
      </w:r>
      <w:r>
        <w:rPr>
          <w:sz w:val="22"/>
          <w:szCs w:val="22"/>
          <w:lang w:val="en-GB"/>
        </w:rPr>
        <w:t xml:space="preserve">, a </w:t>
      </w:r>
      <w:r>
        <w:rPr>
          <w:sz w:val="22"/>
          <w:szCs w:val="22"/>
        </w:rPr>
        <w:t>napfénynek vagy mesterséges UVA</w:t>
      </w:r>
      <w:r>
        <w:rPr>
          <w:sz w:val="22"/>
          <w:szCs w:val="22"/>
        </w:rPr>
        <w:noBreakHyphen/>
        <w:t>sugárzásnak kitett testrészek védelme javasolt.</w:t>
      </w:r>
    </w:p>
    <w:p w14:paraId="06B0308B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3042ECBC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Az alkalmazással kapcsolatos óvintézkedések</w:t>
      </w:r>
    </w:p>
    <w:p w14:paraId="1280B088" w14:textId="77777777" w:rsidR="00DE62E1" w:rsidRDefault="00DE62E1">
      <w:pPr>
        <w:keepNext/>
        <w:suppressAutoHyphens w:val="0"/>
        <w:rPr>
          <w:iCs/>
          <w:sz w:val="22"/>
          <w:szCs w:val="22"/>
        </w:rPr>
      </w:pPr>
    </w:p>
    <w:p w14:paraId="6E0108C7" w14:textId="77777777" w:rsidR="00DE62E1" w:rsidRDefault="00692E8D">
      <w:pPr>
        <w:suppressAutoHyphens w:val="0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>A perindoprilra és indapamidra vonatkozóan:</w:t>
      </w:r>
    </w:p>
    <w:p w14:paraId="38BA9D0D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6A27BEC8" w14:textId="77777777" w:rsidR="00DE62E1" w:rsidRDefault="00692E8D">
      <w:pPr>
        <w:suppressAutoHyphens w:val="0"/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Vesekárosodás</w:t>
      </w:r>
    </w:p>
    <w:p w14:paraId="11CEEE4D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Súlyos és közepesen súlyos fokú vesekárosodás esetén (kreatinin-clearance &lt; 60 ml/perc), a kezelés ellenjavallt.</w:t>
      </w:r>
    </w:p>
    <w:p w14:paraId="4A98CC2D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Bizonyos esetekben, amikor a betegnek nem volt korábban nyilvánvaló vesekárosodása, és a vérvizsgálatok funkcionális veseelégtelenséget mutatnak, a kezelést abba kell hagyni, és esetleg kisebb dózissal, vagy csak a gyógyszer valamelyik összetevőjével újraindítani.</w:t>
      </w:r>
    </w:p>
    <w:p w14:paraId="62DDA9C5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Ezeknél a betegeknél a szokásos orvosi ellenőrzésbe bele kell tartoznia a szérum kálium- és kreatininszintjének gyakori ellenőrzésének, amit két heti kezelés után, majd a már beállított kezelés mellett kéthavonta el kell végezni. Veseelégtelenségről főként olyan betegek esetében számoltak be, akiknek súlyos szívelégtelenségük vagy már fennálló vesekárosodásuk, például veseartéria-szűkületük volt.</w:t>
      </w:r>
    </w:p>
    <w:p w14:paraId="6CC6D915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készítmény alkalmazása általában nem javasolt kétoldali veseartéria-szűkületben vagy egy működő vese esetén.</w:t>
      </w:r>
    </w:p>
    <w:p w14:paraId="2382F7C3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7267B480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Hypotonia, folyadék- és elektrolithiány</w:t>
      </w:r>
    </w:p>
    <w:p w14:paraId="0F848957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Előzetesen meglévő nátriumhiány esetén (különösen olyan egyéneknél, akiknek veseartéria-szűkülete van) fennáll a hirtelen vérnyomásesés </w:t>
      </w:r>
      <w:r>
        <w:rPr>
          <w:iCs/>
          <w:sz w:val="22"/>
          <w:szCs w:val="22"/>
          <w:lang w:val="en-GB"/>
        </w:rPr>
        <w:t>kockázata</w:t>
      </w:r>
      <w:r>
        <w:rPr>
          <w:iCs/>
          <w:sz w:val="22"/>
          <w:szCs w:val="22"/>
        </w:rPr>
        <w:t xml:space="preserve">. Ezért ilyen </w:t>
      </w:r>
      <w:r>
        <w:rPr>
          <w:iCs/>
          <w:sz w:val="22"/>
          <w:szCs w:val="22"/>
          <w:lang w:val="en-GB"/>
        </w:rPr>
        <w:t xml:space="preserve">betegek esetén módszeresen keresni </w:t>
      </w:r>
      <w:r>
        <w:rPr>
          <w:iCs/>
          <w:sz w:val="22"/>
          <w:szCs w:val="22"/>
        </w:rPr>
        <w:t xml:space="preserve">kell a folyadék- és elektrolithiány klinikai jeleit, melyek például rövid ideig tartó hányás, hasmenés </w:t>
      </w:r>
      <w:r>
        <w:rPr>
          <w:iCs/>
          <w:sz w:val="22"/>
          <w:szCs w:val="22"/>
          <w:lang w:val="en-GB"/>
        </w:rPr>
        <w:t xml:space="preserve">során is kialakulhatnak. Ezeknél a betegeknél </w:t>
      </w:r>
      <w:r>
        <w:rPr>
          <w:iCs/>
          <w:sz w:val="22"/>
          <w:szCs w:val="22"/>
        </w:rPr>
        <w:t>a szérum elektrolitértékek rendszeres ellenőrzése javasolt.</w:t>
      </w:r>
    </w:p>
    <w:p w14:paraId="6A958560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Jelentős hypotonia esetén izotóniás sóoldat </w:t>
      </w:r>
      <w:r>
        <w:rPr>
          <w:iCs/>
          <w:sz w:val="22"/>
          <w:szCs w:val="22"/>
          <w:lang w:val="en-GB"/>
        </w:rPr>
        <w:t xml:space="preserve">intravénás </w:t>
      </w:r>
      <w:r>
        <w:rPr>
          <w:iCs/>
          <w:sz w:val="22"/>
          <w:szCs w:val="22"/>
        </w:rPr>
        <w:t>alkalmazására lehet szükség.</w:t>
      </w:r>
    </w:p>
    <w:p w14:paraId="052AAB9D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Átmeneti hypotonia nem zárja ki a kezelés folytatását. A megfelelő vértérfogat és vérnyomás elérése után a kezelést akár kisebb dózissal, akár csak az egyik hatóanyaggal ismét el lehet kezdeni.</w:t>
      </w:r>
    </w:p>
    <w:p w14:paraId="5106638D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7D25F6EE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Káliumszint</w:t>
      </w:r>
    </w:p>
    <w:p w14:paraId="347EF914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perindopril és az indapamid együttes alkalmazása – különösen cukorbetegek vagy veseelégtelenségben szenvedők esetében – nem előzi meg a hypokalaemia kialakulását. Mint bármilyen más vérnyomáscsökkentő szer és diuretikum kombinációja esetén, itt is el kell végezni a szérumkáliumszintek rendszeres ellenőrzését.</w:t>
      </w:r>
    </w:p>
    <w:p w14:paraId="06264E69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069AB2F8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 perindoprilra vonatkozóan:</w:t>
      </w:r>
    </w:p>
    <w:p w14:paraId="77D076A2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13641AF1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Köhögés</w:t>
      </w:r>
    </w:p>
    <w:p w14:paraId="026A4D39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Az angiotenzin-konvertáló enzimgátlók alkalmazása kapcsán száraz köhögés jelentkezéséről számoltak be. Ennek jellemzője, hogy tartós, és a kezelés abbahagyásakor megszűnik. Ezt a tünetet iatrogén eredetűnek kell tekinteni. Ha az angiotenzin-konvertáló enzimgátló adása ennek ellenére továbbra is indokolt, akkor mérlegelhető a kezelés folytatása.</w:t>
      </w:r>
    </w:p>
    <w:p w14:paraId="432123A0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69609980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Gyermekek és serdülők</w:t>
      </w:r>
    </w:p>
    <w:p w14:paraId="39EDB551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perindopril hatásosságát és tolerálhatóságát sem önmagában, sem kombinációban nem igazolták még gyermekek és serdülők esetében.</w:t>
      </w:r>
    </w:p>
    <w:p w14:paraId="6F51BAE4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2D7BAE32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Az artériás hypotonia és/vagy a veseelégtelenség kockázata (szívelégtelenség, víz- és elektrolithiány, stb. esetén)</w:t>
      </w:r>
    </w:p>
    <w:p w14:paraId="7CD68742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renin-angiotenzin-aldoszteron rendszer fokozott működését figyelték meg, különösen kifejezett víz- és elektrolithiány esetén (szigorú sószegény étrend vagy hosszú távú diuretikus kezelés), olyan betegeknél, akiknek kezdetben alacsony volt a vérnyomása, valamint veseartéria-szűkületben, pangásos szívelégtelenségben, vagy ödémával és ascitesszel járó májcirrózisban szenvedő betegeknél.</w:t>
      </w:r>
    </w:p>
    <w:p w14:paraId="4D0FD9AD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Ennek a rendszernek az angiotenzin-konvertáló enzimgátlók által történő blokkolása ezért – különösen az első alkalmazáskor és a kezelés első két hetében – a vérnyomás hirtelen esését és/vagy a szérum kreatininszintjének növekedését okozhatja, ami funkcionális veseelégtelenségre utal. Esetenként, bár ritkán, ez jelentkezhet akutan, és változó lehet a jelentkezéséig eltelt idő. Ilyen esetekben a kezelést kisebb dózissal kell kezdeni, és azt fokozatosan kell növelni.</w:t>
      </w:r>
    </w:p>
    <w:p w14:paraId="741E8E7F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534D975F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Idősek</w:t>
      </w:r>
    </w:p>
    <w:p w14:paraId="62B4ED74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Cs/>
          <w:sz w:val="22"/>
          <w:szCs w:val="22"/>
        </w:rPr>
        <w:t>A kezelés megkezdése előtt a vesefunkciót és a szérum káliumszintjét meg kell határozni. Ezt követően a kezdődózist a vérnyomás-válasznak megfelelően kell módosítani – különösen víz- és elektrolithiány esetén – azért, hogy elkerüljük a hirtelen kialakuló hypotoniát.</w:t>
      </w:r>
    </w:p>
    <w:p w14:paraId="52066217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59EDFC39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Atherosclerosis</w:t>
      </w:r>
    </w:p>
    <w:p w14:paraId="19F1F7D1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hypotonia kockázata minden beteg esetében fennáll, de odafigyelés szükséges azoknál a betegeknél, akiknek ischaemiás szívbetegsége vagy agyi keringési zavara van. Ilyen esetben a kezelést kisebb dózissal kell kezdeni.</w:t>
      </w:r>
    </w:p>
    <w:p w14:paraId="72BCCFFC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5083E630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Renovascularis hypertonia</w:t>
      </w:r>
    </w:p>
    <w:p w14:paraId="6F22B226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iCs/>
          <w:sz w:val="22"/>
          <w:szCs w:val="22"/>
        </w:rPr>
        <w:t xml:space="preserve">A renovascularis hypertonia megfelelő kezelése a </w:t>
      </w:r>
      <w:r>
        <w:rPr>
          <w:iCs/>
          <w:sz w:val="22"/>
          <w:szCs w:val="22"/>
          <w:lang w:val="en-GB"/>
        </w:rPr>
        <w:t>revaszkularizáció</w:t>
      </w:r>
      <w:r>
        <w:rPr>
          <w:iCs/>
          <w:sz w:val="22"/>
          <w:szCs w:val="22"/>
        </w:rPr>
        <w:t xml:space="preserve">. </w:t>
      </w:r>
      <w:r>
        <w:rPr>
          <w:bCs/>
          <w:iCs/>
          <w:sz w:val="22"/>
          <w:szCs w:val="22"/>
        </w:rPr>
        <w:t xml:space="preserve">Mindazonáltal, </w:t>
      </w:r>
      <w:r>
        <w:rPr>
          <w:bCs/>
          <w:iCs/>
          <w:sz w:val="22"/>
          <w:szCs w:val="22"/>
          <w:lang w:val="en-GB"/>
        </w:rPr>
        <w:t>az angiotenzin-konvertáló enzim-inhibitorok előnyösek lehetnek azoknál a renovascularis hypertoniával jelentkező betegeknél akik rekonstruktív műtétre várnak, vagy akkor, ha a műtét elvégzése nem lehetséges.</w:t>
      </w:r>
    </w:p>
    <w:p w14:paraId="21195F88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sz w:val="22"/>
          <w:szCs w:val="22"/>
        </w:rPr>
        <w:t>A Perindopril arginine/indapamide Krka 10 mg/2,5 mg tablettával történő kezelés nem megfelelő azon betegek számára, akiknek ismert vagy feltételezett veseartéria-szűkülete van, mert a kezelést kórházi körülmények között, a Perindopril arginine/indapamide Krka 10 mg/2,5 mg-nál kisebb dózisban kell elkezdeni.</w:t>
      </w:r>
    </w:p>
    <w:p w14:paraId="6572A478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7A1C750B" w14:textId="77777777" w:rsidR="00DE62E1" w:rsidRDefault="00692E8D">
      <w:pPr>
        <w:tabs>
          <w:tab w:val="left" w:pos="0"/>
          <w:tab w:val="left" w:pos="284"/>
          <w:tab w:val="left" w:pos="993"/>
        </w:tabs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Szívelégtelenség/súlyos szívelégtelenség</w:t>
      </w:r>
    </w:p>
    <w:p w14:paraId="30C324F4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iCs/>
          <w:sz w:val="22"/>
          <w:szCs w:val="22"/>
        </w:rPr>
        <w:t>Súlyos (IV. fokú) szívelégtelenségben szenvedő betegek esetében a Perindopril arginine/indapamide Krka 10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>mg/2,5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 xml:space="preserve">mg tabletta nem alkalmas, mert a kezelést orvosi felügyelet mellett, csökkentett  kezdődózis adásával kell elkezdeni. </w:t>
      </w:r>
      <w:r>
        <w:rPr>
          <w:iCs/>
          <w:sz w:val="22"/>
          <w:szCs w:val="22"/>
          <w:lang w:val="en-GB"/>
        </w:rPr>
        <w:t>Coronaria-elégtelenségben szenvedő</w:t>
      </w:r>
      <w:r>
        <w:rPr>
          <w:iCs/>
          <w:sz w:val="22"/>
          <w:szCs w:val="22"/>
        </w:rPr>
        <w:t xml:space="preserve"> hypertoniás betegek esetén a béta-blokkoló-kezelést nem szabad abbahagyni: az ACE-gátlót kell hozzáadni a béta-blokkolóhoz.</w:t>
      </w:r>
    </w:p>
    <w:p w14:paraId="496D6527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04CE7212" w14:textId="77777777" w:rsidR="00DE62E1" w:rsidRDefault="00692E8D">
      <w:pPr>
        <w:tabs>
          <w:tab w:val="left" w:pos="567"/>
        </w:tabs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  <w:r>
        <w:rPr>
          <w:i/>
          <w:iCs/>
          <w:snapToGrid w:val="0"/>
          <w:sz w:val="22"/>
          <w:szCs w:val="22"/>
          <w:lang w:eastAsia="hu-HU"/>
        </w:rPr>
        <w:t>Cukorbetegek</w:t>
      </w:r>
    </w:p>
    <w:p w14:paraId="7EFADB66" w14:textId="77777777" w:rsidR="00DE62E1" w:rsidRDefault="00692E8D">
      <w:pPr>
        <w:tabs>
          <w:tab w:val="left" w:pos="567"/>
        </w:tabs>
        <w:suppressAutoHyphens w:val="0"/>
        <w:autoSpaceDN w:val="0"/>
        <w:adjustRightInd w:val="0"/>
        <w:rPr>
          <w:iCs/>
          <w:sz w:val="22"/>
          <w:szCs w:val="22"/>
        </w:rPr>
      </w:pPr>
      <w:r>
        <w:rPr>
          <w:sz w:val="22"/>
          <w:szCs w:val="22"/>
        </w:rPr>
        <w:t>Inzulin-dependens diabetes mellitusban szenvedő betegek (spontán hajlam a káliumszint emelkedésére) eset</w:t>
      </w:r>
      <w:r>
        <w:rPr>
          <w:iCs/>
          <w:sz w:val="22"/>
          <w:szCs w:val="22"/>
        </w:rPr>
        <w:t>én a kezelést orvosi felügyelettel és csökkentett kezdő dózis adásával kell elkezdeni, emiatt a Perindopril arginine/indapamide Krka 10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>mg/2,5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>mg tabletta nem alkalmas a kezelésre.</w:t>
      </w:r>
    </w:p>
    <w:p w14:paraId="78BFE777" w14:textId="77777777" w:rsidR="00DE62E1" w:rsidRDefault="00692E8D">
      <w:pPr>
        <w:tabs>
          <w:tab w:val="left" w:pos="567"/>
        </w:tabs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Az előzőleg orális antidiabetikumokkal vagy inzulinnal kezelt diabeteses betegek esetében a vércukorszint gondos ellenőrzésére van szükség, főként az ACE-gátló-kezelés első hónapjában (lásd 4.5</w:t>
      </w:r>
      <w:r>
        <w:rPr>
          <w:bCs/>
          <w:iCs/>
          <w:sz w:val="22"/>
          <w:szCs w:val="22"/>
        </w:rPr>
        <w:t> </w:t>
      </w:r>
      <w:r>
        <w:rPr>
          <w:snapToGrid w:val="0"/>
          <w:sz w:val="22"/>
          <w:szCs w:val="22"/>
          <w:lang w:eastAsia="hu-HU"/>
        </w:rPr>
        <w:t xml:space="preserve">pont). </w:t>
      </w:r>
    </w:p>
    <w:p w14:paraId="751FB38B" w14:textId="77777777" w:rsidR="00DE62E1" w:rsidRDefault="00DE62E1">
      <w:pPr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5C37CA50" w14:textId="77777777" w:rsidR="00DE62E1" w:rsidRDefault="00692E8D">
      <w:pPr>
        <w:keepNext/>
        <w:tabs>
          <w:tab w:val="left" w:pos="567"/>
        </w:tabs>
        <w:suppressAutoHyphens w:val="0"/>
        <w:autoSpaceDN w:val="0"/>
        <w:adjustRightInd w:val="0"/>
        <w:rPr>
          <w:i/>
          <w:iCs/>
          <w:snapToGrid w:val="0"/>
          <w:sz w:val="22"/>
          <w:szCs w:val="22"/>
          <w:lang w:eastAsia="hu-HU"/>
        </w:rPr>
      </w:pPr>
      <w:r>
        <w:rPr>
          <w:i/>
          <w:iCs/>
          <w:snapToGrid w:val="0"/>
          <w:sz w:val="22"/>
          <w:szCs w:val="22"/>
          <w:lang w:eastAsia="hu-HU"/>
        </w:rPr>
        <w:t>Etnikai különbségek</w:t>
      </w:r>
    </w:p>
    <w:p w14:paraId="635951C7" w14:textId="77777777" w:rsidR="00DE62E1" w:rsidRDefault="00692E8D">
      <w:pPr>
        <w:tabs>
          <w:tab w:val="left" w:pos="567"/>
        </w:tabs>
        <w:suppressAutoHyphens w:val="0"/>
        <w:autoSpaceDN w:val="0"/>
        <w:adjustRightInd w:val="0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 többi ACE-gátlóhoz hasonlóan a perindopril is láthatóan kevésbé csökkenti a feketebőrű betegek vérnyomását, mint a nem-fekete bőrűekét, feltehetően azért, mert a feketebőrűek hypertoniában szenvedő populációjában az alacsony reninszinttel járó állapot prevalenciája nagyobb.</w:t>
      </w:r>
    </w:p>
    <w:p w14:paraId="74A31CA7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308F18F2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Sebészeti beavatkozás/anesztézia</w:t>
      </w:r>
    </w:p>
    <w:p w14:paraId="7CBCD380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Általános érzéstelenítés során az angiotenzin-konvertáló enzimgátlók vérnyomásesést okozhatnak, különösen, ha </w:t>
      </w:r>
      <w:r>
        <w:rPr>
          <w:sz w:val="22"/>
          <w:szCs w:val="22"/>
        </w:rPr>
        <w:t xml:space="preserve">vérnyomáscsökkenést okozó </w:t>
      </w:r>
      <w:r>
        <w:rPr>
          <w:iCs/>
          <w:sz w:val="22"/>
          <w:szCs w:val="22"/>
        </w:rPr>
        <w:t>anesztetikumokkal együtt adják őket.</w:t>
      </w:r>
    </w:p>
    <w:p w14:paraId="730AE2A9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Ezért a hosszú hatástartamú angiotenzin-konvertáló enzimgátlók, így a perindopril adását, a műtét előtt lehetőleg egy nappal ajánlott felfüggeszteni.</w:t>
      </w:r>
    </w:p>
    <w:p w14:paraId="03A675B1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23FDCA5D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Aorta vagy mitralis stenosis/hypertrophiás cardiomyopathia</w:t>
      </w:r>
    </w:p>
    <w:p w14:paraId="5A491B10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Az ACE-gátlókat óvatosan kell alkalmazni olyan betegek esetében, akiknek balkamra kiáramlási pálya szűkülete van.</w:t>
      </w:r>
    </w:p>
    <w:p w14:paraId="41A02761" w14:textId="77777777" w:rsidR="00DE62E1" w:rsidRDefault="00DE62E1">
      <w:pPr>
        <w:suppressAutoHyphens w:val="0"/>
        <w:rPr>
          <w:iCs/>
          <w:sz w:val="22"/>
          <w:szCs w:val="22"/>
          <w:u w:val="single"/>
        </w:rPr>
      </w:pPr>
    </w:p>
    <w:p w14:paraId="381383AA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Májelégtelenség</w:t>
      </w:r>
    </w:p>
    <w:p w14:paraId="5FAED8EA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  <w:lang w:val="en-GB"/>
        </w:rPr>
        <w:t xml:space="preserve">Az ACE-gátlók alkalmazását ritkán egy olyan tünetegyüttessel hozták összefüggésbe, amely cholestaticus sárgasággal kezdődik, majd fulmináns májnekrózishoz, illetve (néha) halálhoz vezet. </w:t>
      </w:r>
      <w:r>
        <w:rPr>
          <w:iCs/>
          <w:sz w:val="22"/>
          <w:szCs w:val="22"/>
        </w:rPr>
        <w:t xml:space="preserve">Ennek a tünetegyüttesnek a mechanizmusa nem ismert. </w:t>
      </w:r>
      <w:r>
        <w:rPr>
          <w:bCs/>
          <w:iCs/>
          <w:sz w:val="22"/>
          <w:szCs w:val="22"/>
        </w:rPr>
        <w:t>Azoknál a betegeknél, akiknél sárgaság alakul ki vagy a májenzimek szintje jelentősen emelkedik, az ACE-gátló-kezelést abba kell hagyni, és megfelelő orvosi ellenőrzésüket biztosítani kell (lásd 4.8 pont)</w:t>
      </w:r>
    </w:p>
    <w:p w14:paraId="51C45FC6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759B15CE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Hyperkalaemia</w:t>
      </w:r>
    </w:p>
    <w:p w14:paraId="59A068BC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  <w:lang w:val="en-GB"/>
        </w:rPr>
        <w:t xml:space="preserve">Néhány ACE-gátlóval </w:t>
      </w:r>
      <w:r>
        <w:rPr>
          <w:sz w:val="22"/>
          <w:szCs w:val="22"/>
        </w:rPr>
        <w:t xml:space="preserve">– a perindoprilt is beleértve – kezelt beteg esetében a szérum káliumszintjének emelkedését figyelték meg. A hyperkalaemia kialakulásának rizikófaktorai közé tartozik a veseelégtelenség, a vesefunkció romlása, a 70 év feletti életkor, diabetes mellitus, interkurrens történések, különösen a dehidráció, akut szívelégtelenség, metabolikus acidózis; káliummegtakarító </w:t>
      </w:r>
      <w:r>
        <w:rPr>
          <w:sz w:val="22"/>
          <w:szCs w:val="22"/>
        </w:rPr>
        <w:lastRenderedPageBreak/>
        <w:t xml:space="preserve">diuretikumok (például spironolakton, eplerenon, triamteren, amilorid), káliumpótlók, ill. káliumtartalmú sópótlók egyidejű alkalmazása; továbbá a szérum káliumszintjének emelkedését okozó gyógyszerek alkalmazása (például heparinok, </w:t>
      </w:r>
      <w:r>
        <w:rPr>
          <w:bCs/>
          <w:iCs/>
          <w:sz w:val="22"/>
          <w:szCs w:val="22"/>
        </w:rPr>
        <w:t>ko-trimoxazol, ami trimetoprim/szulfametoxazol néven is ismert,</w:t>
      </w:r>
      <w:r>
        <w:rPr>
          <w:sz w:val="22"/>
          <w:szCs w:val="22"/>
        </w:rPr>
        <w:t xml:space="preserve"> egyéb ACE-gátlók, angiotenzin II</w:t>
      </w:r>
      <w:r>
        <w:rPr>
          <w:sz w:val="22"/>
          <w:szCs w:val="22"/>
        </w:rPr>
        <w:noBreakHyphen/>
        <w:t>receptor-antagonisták, acetilszalicilsav 3 g/nap vagy annál nagyobb dózisban, COX</w:t>
      </w:r>
      <w:r>
        <w:rPr>
          <w:sz w:val="22"/>
          <w:szCs w:val="22"/>
        </w:rPr>
        <w:noBreakHyphen/>
        <w:t>2</w:t>
      </w:r>
      <w:r>
        <w:rPr>
          <w:sz w:val="22"/>
          <w:szCs w:val="22"/>
        </w:rPr>
        <w:noBreakHyphen/>
        <w:t>gátlók és nem szelektív NSAID-ok, immunszuppresszív szerek, mint például a ciklosporin vagy takrolimusz, trimetoprim).</w:t>
      </w:r>
    </w:p>
    <w:p w14:paraId="79DED986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 xml:space="preserve">A káliumpótlók, a káliummegtakarító diuretikumok, illetve a káliumtartalmú sópótlók alkalmazása különösen a károsodott veseműködésű betegek esetében, a szérum káliumszintjének jelentős emelkedéséhez vezethet. A hyperkalaemia súlyos, néha végzetes szívritmuszavarokat okozhat. Amennyiben a fent említett gyógyszerek egyidejű alkalmazása szükséges, akkor </w:t>
      </w:r>
      <w:r>
        <w:rPr>
          <w:sz w:val="22"/>
          <w:szCs w:val="22"/>
          <w:lang w:val="en-GB"/>
        </w:rPr>
        <w:t>csak elővigyázatossággal és a szérum káliumszintjének gyakori ellenőrzése mellett alkalmazhatók</w:t>
      </w:r>
      <w:r>
        <w:rPr>
          <w:sz w:val="22"/>
          <w:szCs w:val="22"/>
        </w:rPr>
        <w:t xml:space="preserve"> (lásd 4.5 pont).</w:t>
      </w:r>
    </w:p>
    <w:p w14:paraId="754BD2BA" w14:textId="77777777" w:rsidR="00DE62E1" w:rsidRDefault="00DE62E1">
      <w:pPr>
        <w:suppressAutoHyphens w:val="0"/>
        <w:rPr>
          <w:iCs/>
          <w:sz w:val="22"/>
          <w:szCs w:val="22"/>
          <w:u w:val="single"/>
        </w:rPr>
      </w:pPr>
    </w:p>
    <w:p w14:paraId="78E01CE2" w14:textId="77777777" w:rsidR="00DE62E1" w:rsidRDefault="00692E8D">
      <w:pPr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Indapamidra vonatkozóan:</w:t>
      </w:r>
    </w:p>
    <w:p w14:paraId="48C0F8EC" w14:textId="77777777" w:rsidR="00DE62E1" w:rsidRDefault="00DE62E1">
      <w:pPr>
        <w:suppressAutoHyphens w:val="0"/>
        <w:rPr>
          <w:i/>
          <w:iCs/>
          <w:sz w:val="22"/>
          <w:szCs w:val="22"/>
          <w:u w:val="single"/>
        </w:rPr>
      </w:pPr>
    </w:p>
    <w:p w14:paraId="2E1A4216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Folyadék- és elektrolitegyensúly</w:t>
      </w:r>
    </w:p>
    <w:p w14:paraId="4066235A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Nátriumszint</w:t>
      </w:r>
    </w:p>
    <w:p w14:paraId="296719F9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nátriumszintet a kezelés megkezdése előtt, majd ezt követően szabályos időközönként meg kell mérni. A szérum nátriumszintjének csökkenése kezdetben tünetmentes lehet, ezért a rendszeres ellenőrzés alapvetően szükséges. Idős vagy májcirrózisban szenvedő beteg esetében még gyakrabban kell ellenőrizni a szérum nátriumszintjét (lásd 4.8 és 4.9 pont).</w:t>
      </w:r>
    </w:p>
    <w:p w14:paraId="735C3CF8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sz w:val="22"/>
          <w:szCs w:val="22"/>
        </w:rPr>
        <w:t>Bármilyen diuretikus kezelés okozhat hyponatraemiát, ami néha nagyon súlyos következményekkel járhat. A hypovolaemiával járó hyponatraemia dehidrációhoz és orthostaticus hypotoniához vezethet. Az egyidejű kloridion-vesztés másodlagosan kompenzatórikus metabolikus alkalózist eredményezhet: ennek incidenciája és mértéke csekély.</w:t>
      </w:r>
    </w:p>
    <w:p w14:paraId="349BFC4B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5F2A8902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Káliumszint</w:t>
      </w:r>
    </w:p>
    <w:p w14:paraId="7DD701AA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  <w:lang w:val="en-GB"/>
        </w:rPr>
        <w:t xml:space="preserve">A hypokalaemiához vezető káliumszint-csökkenés </w:t>
      </w:r>
      <w:r>
        <w:rPr>
          <w:iCs/>
          <w:sz w:val="22"/>
          <w:szCs w:val="22"/>
        </w:rPr>
        <w:t xml:space="preserve">a tiazid és rokon </w:t>
      </w:r>
      <w:r>
        <w:rPr>
          <w:iCs/>
          <w:sz w:val="22"/>
          <w:szCs w:val="22"/>
          <w:lang w:val="en-GB"/>
        </w:rPr>
        <w:t>diuretikumok fő</w:t>
      </w:r>
      <w:r>
        <w:rPr>
          <w:iCs/>
          <w:sz w:val="22"/>
          <w:szCs w:val="22"/>
        </w:rPr>
        <w:t xml:space="preserve"> kockázata. A hypokalaemia izomproblémákat okozhat. </w:t>
      </w:r>
      <w:r>
        <w:rPr>
          <w:sz w:val="22"/>
          <w:szCs w:val="22"/>
          <w:lang w:val="en-GB"/>
        </w:rPr>
        <w:t xml:space="preserve">Rhabdomyolysis eseteiről számoltak be, főleg súlyos hypokalaemiával összefüggésben. </w:t>
      </w:r>
      <w:r>
        <w:rPr>
          <w:iCs/>
          <w:sz w:val="22"/>
          <w:szCs w:val="22"/>
        </w:rPr>
        <w:t xml:space="preserve">A hypokalaemia (&lt; 3,4 mmol/l) kialakulását </w:t>
      </w:r>
      <w:r>
        <w:rPr>
          <w:iCs/>
          <w:sz w:val="22"/>
          <w:szCs w:val="22"/>
          <w:lang w:val="en-GB"/>
        </w:rPr>
        <w:t>meg kell előzni</w:t>
      </w:r>
      <w:r>
        <w:rPr>
          <w:iCs/>
          <w:sz w:val="22"/>
          <w:szCs w:val="22"/>
        </w:rPr>
        <w:t xml:space="preserve"> bizonyos, </w:t>
      </w:r>
      <w:r>
        <w:rPr>
          <w:iCs/>
          <w:sz w:val="22"/>
          <w:szCs w:val="22"/>
          <w:lang w:val="en-GB"/>
        </w:rPr>
        <w:t>magas rizikójú betegcsoportok</w:t>
      </w:r>
      <w:r>
        <w:rPr>
          <w:iCs/>
          <w:sz w:val="22"/>
          <w:szCs w:val="22"/>
        </w:rPr>
        <w:t xml:space="preserve">, mint például idősek és/vagy </w:t>
      </w:r>
      <w:r>
        <w:rPr>
          <w:iCs/>
          <w:sz w:val="22"/>
          <w:szCs w:val="22"/>
          <w:lang w:val="en-GB"/>
        </w:rPr>
        <w:t>alultápláltak– függetlenül attól, hogy a betegek más gyógyszereket is szednek-e –, asciteses és ödémás cirrhosisos betegek, szívkoszorúér-betegek és szívelégtelenségben szenvedők esetében</w:t>
      </w:r>
      <w:r>
        <w:rPr>
          <w:iCs/>
          <w:sz w:val="22"/>
          <w:szCs w:val="22"/>
        </w:rPr>
        <w:t>.</w:t>
      </w:r>
    </w:p>
    <w:p w14:paraId="3C67E532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Ilyen esetekben a hypokalaemia fokozza a szívglikozidok kardiotoxicitását és a ritmuszavarok kockázatát.</w:t>
      </w:r>
    </w:p>
    <w:p w14:paraId="78D0948A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megnyúlt QT-intervallum, akár congenitalis, akár iatrogen eredetű, szintén kockázati tényező. A hypokalaemia</w:t>
      </w:r>
      <w:r>
        <w:rPr>
          <w:iCs/>
          <w:sz w:val="22"/>
          <w:szCs w:val="22"/>
          <w:lang w:val="en-GB"/>
        </w:rPr>
        <w:t>, mint</w:t>
      </w:r>
      <w:r>
        <w:rPr>
          <w:iCs/>
          <w:sz w:val="22"/>
          <w:szCs w:val="22"/>
        </w:rPr>
        <w:t xml:space="preserve"> a bradycardia, is hajlamosít a súlyos szívritmuszavarok (különösen a potenciálisan végzetes „</w:t>
      </w:r>
      <w:r>
        <w:rPr>
          <w:i/>
          <w:iCs/>
          <w:sz w:val="22"/>
          <w:szCs w:val="22"/>
        </w:rPr>
        <w:t>torsades de pointes</w:t>
      </w:r>
      <w:r>
        <w:rPr>
          <w:iCs/>
          <w:sz w:val="22"/>
          <w:szCs w:val="22"/>
        </w:rPr>
        <w:t>”) kialakulására.</w:t>
      </w:r>
    </w:p>
    <w:p w14:paraId="74DF691E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  <w:lang w:val="en-GB"/>
        </w:rPr>
        <w:t>Minden ilyen esetben gyakrabban kell ellenőrizni a szérum káliumszintjét. Az első káliumszint-mérést a kezelés megkezdése utáni első héten kell elvégezni. Alacsony szérum káliumszintek esetén, azokat korrigálni kell.Ha a hypokalaemia a magnézium alacsony szérumkoncentrációjával összefüggésben alakul ki, akkor terápiarezisztens lehet, ha a magnézium szérumszintjét nem korrigálják.</w:t>
      </w:r>
    </w:p>
    <w:p w14:paraId="39D08ED2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1103EFEC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Magnéziumszint</w:t>
      </w:r>
    </w:p>
    <w:p w14:paraId="5F17FE35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tiazidok és a velük rokon diuretikumok – többek között az indapamid – bizonyítottan fokozzák a magnézium kiválasztását a vizelettel, ami hypomagnesaemiát okozhat (lásd 4.5 és 4.8 pont).</w:t>
      </w:r>
    </w:p>
    <w:p w14:paraId="3680306A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6ECE2154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Kalciumszint</w:t>
      </w:r>
    </w:p>
    <w:p w14:paraId="74E19703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tiazid- és a tiazidokkal rokon diuretikumok csökkenthetik a kalcium vizelettel történő kiválasztását, emiatt a szérum kalciumszintje enyhén és átmenetileg emelkedhet. Kifejezett hypercalcaemia nem diagnosztizált hyperparathyreosis jele lehet. Ilyen esetben a kezelést a mellékpajzsmirigy-funkció kivizsgálásáig fel kell függeszteni.</w:t>
      </w:r>
    </w:p>
    <w:p w14:paraId="0D6B45E7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6765737A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Vércukor</w:t>
      </w:r>
    </w:p>
    <w:p w14:paraId="3A0BF0E1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Diabeteses betegek esetében fontos a vércukorszint gyakori ellenőrzése, különösen akkor, ha a káliumszint alacsony.</w:t>
      </w:r>
    </w:p>
    <w:p w14:paraId="7724AE3E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553D7DCD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lastRenderedPageBreak/>
        <w:t>Húgysav</w:t>
      </w:r>
    </w:p>
    <w:p w14:paraId="33101649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Hyperuricaemias betegek esetében fokozódhat a köszvényes rohamra való hajlam.</w:t>
      </w:r>
    </w:p>
    <w:p w14:paraId="0B33CF2E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5D9FD753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Vesefunkció és diuretikumok</w:t>
      </w:r>
    </w:p>
    <w:p w14:paraId="58146D28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tiazid- és a tiazidokkal rokon diuretikumok hatásossága csak akkor teljes, ha a vesefunkció normális vagy csak enyhén károsodott (ha felnőttek esetében a szérum kreatininszintje alacsonyabb mint körülbelül 25 mg/l, azaz 220 mikromol/l).</w:t>
      </w:r>
    </w:p>
    <w:p w14:paraId="22AC87DA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Cs/>
          <w:sz w:val="22"/>
          <w:szCs w:val="22"/>
        </w:rPr>
        <w:t>Idősek esetében a szérum kreatinin értékét korrigálni kell a Cockroft-képlet szerint, ami figyelembe veszi a beteg életkorát, testtömegét és nemét:</w:t>
      </w:r>
    </w:p>
    <w:p w14:paraId="4FE47463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0A51CAAB" w14:textId="77777777" w:rsidR="00DE62E1" w:rsidRDefault="00692E8D">
      <w:pPr>
        <w:suppressAutoHyphens w:val="0"/>
        <w:ind w:left="284"/>
        <w:rPr>
          <w:iCs/>
          <w:sz w:val="22"/>
          <w:szCs w:val="22"/>
        </w:rPr>
      </w:pPr>
      <w:r>
        <w:rPr>
          <w:iCs/>
          <w:sz w:val="22"/>
          <w:szCs w:val="22"/>
        </w:rPr>
        <w:t>Cl</w:t>
      </w:r>
      <w:r>
        <w:rPr>
          <w:iCs/>
          <w:sz w:val="22"/>
          <w:szCs w:val="22"/>
          <w:vertAlign w:val="subscript"/>
        </w:rPr>
        <w:t>KR</w:t>
      </w:r>
      <w:r>
        <w:rPr>
          <w:iCs/>
          <w:sz w:val="22"/>
          <w:szCs w:val="22"/>
        </w:rPr>
        <w:t xml:space="preserve"> = (140 – életkor) × testtömeg / 0,814 × plazma kreatininszintje</w:t>
      </w:r>
    </w:p>
    <w:p w14:paraId="7ED8A748" w14:textId="77777777" w:rsidR="00DE62E1" w:rsidRDefault="00692E8D">
      <w:pPr>
        <w:suppressAutoHyphens w:val="0"/>
        <w:ind w:left="284"/>
        <w:rPr>
          <w:iCs/>
          <w:sz w:val="22"/>
          <w:szCs w:val="22"/>
        </w:rPr>
      </w:pPr>
      <w:r>
        <w:rPr>
          <w:iCs/>
          <w:sz w:val="22"/>
          <w:szCs w:val="22"/>
        </w:rPr>
        <w:t>(melyben az életkor években, a testtömeg kg-ban, a plazma kreatininszintje mikromol/l-ben van kifejezve)</w:t>
      </w:r>
    </w:p>
    <w:p w14:paraId="589678F4" w14:textId="77777777" w:rsidR="00DE62E1" w:rsidRDefault="00DE62E1">
      <w:pPr>
        <w:suppressAutoHyphens w:val="0"/>
        <w:ind w:left="284"/>
        <w:rPr>
          <w:iCs/>
          <w:sz w:val="22"/>
          <w:szCs w:val="22"/>
        </w:rPr>
      </w:pPr>
    </w:p>
    <w:p w14:paraId="1FAB15F7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Ez a képlet idős férfiakra érvényes, nők esetében az eredményt 0,85-tel kell szorozni.</w:t>
      </w:r>
    </w:p>
    <w:p w14:paraId="017658BC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3436DA06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kezelés kezdetén a diuretikum okozta víz- és nátriumvesztés következtében kialakuló hypovolaemia a glomerulus filtráció csökkenéséhez vezet. Ez utóbbi a vér karbamid- és kreatininszintjének emelkedését eredményezi. Ennek az átmeneti funkcionális veseelégtelenségnek ép vesefunkciójú betegek esetében nincsenek káros következményei, azonban a már meglévő vesekárosodást ronthatja.</w:t>
      </w:r>
    </w:p>
    <w:p w14:paraId="3756D4B9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192B998F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Sportolók</w:t>
      </w:r>
    </w:p>
    <w:p w14:paraId="38AEC4BD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sportolók figyelmét fel kell hívni arra, hogy ez a gyógyszer olyan hatóanyagot tartalmaz, amely doppingteszt esetén pozitív eredményt adhat.</w:t>
      </w:r>
    </w:p>
    <w:p w14:paraId="23BE4C92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568C4292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Choroidealis effusio, akut myopia és másodlagos zárt zugú glaucoma</w:t>
      </w:r>
    </w:p>
    <w:p w14:paraId="5DE2CA75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szulfonamid vagy szulfonamid-származék gyógyszerek idioszinkráziás reakciót válthatnak ki, amely látótérkieséssel járó choroidealis effusiót, átmeneti myopiát és akut zárt zugú glaucomát eredményezhet. A tünetek közé tartoznak a látásélesség-csökkenés és a szemfájdalom akut megjelenése, és ezek jellemző módon a kezelés megkezdése után órákon - heteken belül jelentkeznek. A kezeletlen zárt zugú glaucoma tartós látáskárosodáshoz vezethet. Az elsődleges kezelés a gyógyszer alkalmazásának azonnali megszakítása. Azonnali gyógyszeres vagy műtéti kezelésre lehet szükség, ha az intraocularis nyomás kontrollálatlan marad. Az akut zárt zugú glaucoma kialakulásának rizikófaktorai közé tartozhat a kórtörténetben előforduló szulfonamid- vagy penicillinallergia.</w:t>
      </w:r>
    </w:p>
    <w:p w14:paraId="607DC82A" w14:textId="77777777" w:rsidR="00DE62E1" w:rsidRDefault="00DE62E1">
      <w:pPr>
        <w:suppressAutoHyphens w:val="0"/>
        <w:rPr>
          <w:b/>
          <w:iCs/>
          <w:sz w:val="22"/>
          <w:szCs w:val="22"/>
        </w:rPr>
      </w:pPr>
    </w:p>
    <w:p w14:paraId="5474CF0B" w14:textId="77777777" w:rsidR="00DE62E1" w:rsidRDefault="00692E8D">
      <w:pPr>
        <w:suppressAutoHyphens w:val="0"/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Nátrium</w:t>
      </w:r>
    </w:p>
    <w:p w14:paraId="2037C665" w14:textId="77777777" w:rsidR="00DE62E1" w:rsidRDefault="00692E8D">
      <w:pPr>
        <w:pStyle w:val="Norml11"/>
        <w:rPr>
          <w:iCs/>
        </w:rPr>
      </w:pPr>
      <w:r>
        <w:rPr>
          <w:iCs/>
        </w:rPr>
        <w:t>A készítmény kevesebb mint 1 mmol (23 mg) nátriumot tartalmaz tablettánként, azaz gyakorlatilag „nátriummentes”.</w:t>
      </w:r>
    </w:p>
    <w:p w14:paraId="16C2CBAA" w14:textId="77777777" w:rsidR="00DE62E1" w:rsidRDefault="00DE62E1">
      <w:pPr>
        <w:suppressAutoHyphens w:val="0"/>
        <w:rPr>
          <w:b/>
          <w:iCs/>
          <w:sz w:val="22"/>
          <w:szCs w:val="22"/>
        </w:rPr>
      </w:pPr>
    </w:p>
    <w:p w14:paraId="4A0BEA5C" w14:textId="77777777" w:rsidR="00DE62E1" w:rsidRDefault="00692E8D">
      <w:pPr>
        <w:suppressAutoHyphens w:val="0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4.5</w:t>
      </w:r>
      <w:r>
        <w:rPr>
          <w:b/>
          <w:iCs/>
          <w:sz w:val="22"/>
          <w:szCs w:val="22"/>
        </w:rPr>
        <w:tab/>
        <w:t>Gyógyszerkölcsönhatások és egyéb interakciók</w:t>
      </w:r>
    </w:p>
    <w:p w14:paraId="462AAEB4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6E7CFCB7" w14:textId="77777777" w:rsidR="00DE62E1" w:rsidRDefault="00692E8D">
      <w:pPr>
        <w:suppressAutoHyphens w:val="0"/>
        <w:rPr>
          <w:bCs/>
          <w:i/>
          <w:iCs/>
          <w:sz w:val="22"/>
          <w:szCs w:val="22"/>
          <w:u w:val="single"/>
        </w:rPr>
      </w:pPr>
      <w:r>
        <w:rPr>
          <w:bCs/>
          <w:i/>
          <w:iCs/>
          <w:sz w:val="22"/>
          <w:szCs w:val="22"/>
          <w:u w:val="single"/>
        </w:rPr>
        <w:t>A perindoprilra és indapamidra vonatkozóan:</w:t>
      </w:r>
    </w:p>
    <w:p w14:paraId="4BF7E3B4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7FE74787" w14:textId="77777777" w:rsidR="00DE62E1" w:rsidRDefault="00692E8D">
      <w:pPr>
        <w:widowControl w:val="0"/>
        <w:suppressAutoHyphens w:val="0"/>
        <w:autoSpaceDE/>
        <w:rPr>
          <w:i/>
          <w:iCs/>
          <w:sz w:val="22"/>
          <w:szCs w:val="22"/>
          <w:lang w:val="en-GB" w:eastAsia="sl-SI"/>
        </w:rPr>
      </w:pPr>
      <w:r>
        <w:rPr>
          <w:i/>
          <w:iCs/>
          <w:sz w:val="22"/>
          <w:szCs w:val="22"/>
          <w:lang w:val="en-GB" w:eastAsia="sl-SI"/>
        </w:rPr>
        <w:t>Nem ajánlott kombinációk:</w:t>
      </w:r>
    </w:p>
    <w:p w14:paraId="66B00FC2" w14:textId="77777777" w:rsidR="00DE62E1" w:rsidRDefault="00692E8D">
      <w:pPr>
        <w:widowControl w:val="0"/>
        <w:numPr>
          <w:ilvl w:val="0"/>
          <w:numId w:val="8"/>
        </w:numPr>
        <w:suppressAutoHyphens w:val="0"/>
        <w:autoSpaceDE/>
        <w:ind w:left="567" w:hanging="567"/>
        <w:rPr>
          <w:i/>
          <w:sz w:val="22"/>
          <w:szCs w:val="22"/>
        </w:rPr>
      </w:pPr>
      <w:r>
        <w:rPr>
          <w:i/>
          <w:sz w:val="22"/>
          <w:szCs w:val="22"/>
          <w:lang w:val="en-GB" w:eastAsia="hu-HU"/>
        </w:rPr>
        <w:t>Lítium:</w:t>
      </w:r>
      <w:r>
        <w:rPr>
          <w:sz w:val="22"/>
          <w:szCs w:val="22"/>
          <w:lang w:val="en-GB" w:eastAsia="hu-HU"/>
        </w:rPr>
        <w:t xml:space="preserve"> A szérum lítiumkoncentrációk reverzibilis emelkedéséről és toxicitásról számoltak be a lítium és az ACE-gátlók egyidejű alkalmazásánál. Az indapamid-perindopril kombináció lítiummal való együttes alkalmazása nem javasolt, de ha ez az együttes alkalmazás mégis szükséges, akkor a szérum lítiumszintjét gondosan ellenőrizni kell (lásd 4.4</w:t>
      </w:r>
      <w:r>
        <w:rPr>
          <w:sz w:val="22"/>
          <w:szCs w:val="22"/>
        </w:rPr>
        <w:t> </w:t>
      </w:r>
      <w:r>
        <w:rPr>
          <w:sz w:val="22"/>
          <w:szCs w:val="22"/>
          <w:lang w:val="en-GB" w:eastAsia="hu-HU"/>
        </w:rPr>
        <w:t>pont).</w:t>
      </w:r>
    </w:p>
    <w:p w14:paraId="0B59804A" w14:textId="77777777" w:rsidR="00DE62E1" w:rsidRDefault="00DE62E1">
      <w:pPr>
        <w:widowControl w:val="0"/>
        <w:suppressAutoHyphens w:val="0"/>
        <w:autoSpaceDE/>
        <w:ind w:left="567"/>
        <w:rPr>
          <w:i/>
          <w:sz w:val="22"/>
          <w:szCs w:val="22"/>
        </w:rPr>
      </w:pPr>
    </w:p>
    <w:p w14:paraId="039B3F33" w14:textId="77777777" w:rsidR="00DE62E1" w:rsidRDefault="00692E8D">
      <w:pPr>
        <w:widowControl w:val="0"/>
        <w:suppressAutoHyphens w:val="0"/>
        <w:autoSpaceDE/>
        <w:rPr>
          <w:i/>
          <w:iCs/>
          <w:sz w:val="22"/>
          <w:szCs w:val="22"/>
          <w:lang w:val="en-GB" w:eastAsia="en-US"/>
        </w:rPr>
      </w:pPr>
      <w:r>
        <w:rPr>
          <w:i/>
          <w:iCs/>
          <w:sz w:val="22"/>
          <w:szCs w:val="22"/>
          <w:lang w:val="en-GB" w:eastAsia="en-US"/>
        </w:rPr>
        <w:t>Különleges elővigyázatosságot igénylő kombinációk:</w:t>
      </w:r>
    </w:p>
    <w:p w14:paraId="75D4305C" w14:textId="77777777" w:rsidR="00DE62E1" w:rsidRDefault="00692E8D">
      <w:pPr>
        <w:suppressAutoHyphens w:val="0"/>
        <w:ind w:left="567" w:hanging="567"/>
        <w:rPr>
          <w:iCs/>
          <w:sz w:val="22"/>
          <w:szCs w:val="22"/>
        </w:rPr>
      </w:pPr>
      <w:r>
        <w:rPr>
          <w:iCs/>
          <w:sz w:val="22"/>
          <w:szCs w:val="22"/>
        </w:rPr>
        <w:t>-</w:t>
      </w:r>
      <w:r>
        <w:rPr>
          <w:iCs/>
          <w:sz w:val="22"/>
          <w:szCs w:val="22"/>
        </w:rPr>
        <w:tab/>
      </w:r>
      <w:r>
        <w:rPr>
          <w:i/>
          <w:sz w:val="22"/>
          <w:szCs w:val="22"/>
        </w:rPr>
        <w:t>Baklofén:</w:t>
      </w:r>
      <w:r>
        <w:rPr>
          <w:iCs/>
          <w:sz w:val="22"/>
          <w:szCs w:val="22"/>
        </w:rPr>
        <w:t xml:space="preserve"> fokozott vérnyomáscsökkentő hatás. A vérnyomást ellenőrizni kell és a vérnyomáscsökkentő dózisa módosítandó, amennyiben szükséges.</w:t>
      </w:r>
    </w:p>
    <w:p w14:paraId="68503966" w14:textId="77777777" w:rsidR="00DE62E1" w:rsidRDefault="00692E8D">
      <w:pPr>
        <w:suppressAutoHyphens w:val="0"/>
        <w:autoSpaceDE/>
        <w:ind w:left="567" w:hanging="567"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-</w:t>
      </w:r>
      <w:r>
        <w:rPr>
          <w:snapToGrid w:val="0"/>
          <w:sz w:val="22"/>
          <w:szCs w:val="22"/>
          <w:lang w:eastAsia="hu-HU"/>
        </w:rPr>
        <w:tab/>
      </w:r>
      <w:r>
        <w:rPr>
          <w:i/>
          <w:sz w:val="22"/>
          <w:szCs w:val="22"/>
        </w:rPr>
        <w:t xml:space="preserve">Nem-szteroid gyulladáscsökkentők (NSAID-ok) </w:t>
      </w:r>
      <w:r>
        <w:rPr>
          <w:i/>
          <w:snapToGrid w:val="0"/>
          <w:sz w:val="22"/>
          <w:szCs w:val="22"/>
          <w:lang w:eastAsia="hu-HU"/>
        </w:rPr>
        <w:t>(beleértve az acetilszalicilsavat is, 3 g/nap vagy annál nagyobb dózisban):</w:t>
      </w:r>
      <w:r>
        <w:rPr>
          <w:snapToGrid w:val="0"/>
          <w:sz w:val="22"/>
          <w:szCs w:val="22"/>
          <w:lang w:eastAsia="hu-HU"/>
        </w:rPr>
        <w:t xml:space="preserve"> az ACE-gátlók és nem-szteroid gyulladáscsökkentő szerek (például gyulladáscsökkentő dózisban alkalmazott acetilszalicilsav, COX-2-gátlók és nem-szelektív NSAID-ok) egyidejű alkalmazása esetén a vérnyomáscsökkentő hatás gyengülhet. ACE</w:t>
      </w:r>
      <w:r>
        <w:rPr>
          <w:snapToGrid w:val="0"/>
          <w:sz w:val="22"/>
          <w:szCs w:val="22"/>
          <w:lang w:eastAsia="hu-HU"/>
        </w:rPr>
        <w:noBreakHyphen/>
        <w:t xml:space="preserve">gátlók és NSAID-ok egyidejű alkalmazása fokozhatja a veseműködés romlásának kockázatát, </w:t>
      </w:r>
      <w:r>
        <w:rPr>
          <w:snapToGrid w:val="0"/>
          <w:sz w:val="22"/>
          <w:szCs w:val="22"/>
          <w:lang w:eastAsia="hu-HU"/>
        </w:rPr>
        <w:lastRenderedPageBreak/>
        <w:t xml:space="preserve">beleértve az akut veseelégtelenség lehetőségét, valamint a szérum káliumszintjének emelkedését, különösen fennálló vesekárosodás esetén. Ez a kombináció fokozott körültekintéssel alkalmazható, </w:t>
      </w:r>
      <w:r>
        <w:rPr>
          <w:snapToGrid w:val="0"/>
          <w:sz w:val="22"/>
          <w:szCs w:val="22"/>
          <w:lang w:val="en-GB" w:eastAsia="hu-HU"/>
        </w:rPr>
        <w:t>különösen időseknél</w:t>
      </w:r>
      <w:r>
        <w:rPr>
          <w:snapToGrid w:val="0"/>
          <w:sz w:val="22"/>
          <w:szCs w:val="22"/>
          <w:lang w:eastAsia="hu-HU"/>
        </w:rPr>
        <w:t>. A betegek megfelelő hidráltsági állapotát biztosítani kell, és mérlegelendő a veseműködés ellenőrzése az egyidejű kezelés megkezdése után, majd azt követően rendszeresen.</w:t>
      </w:r>
    </w:p>
    <w:p w14:paraId="68B6E12F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4AE9ADD4" w14:textId="77777777" w:rsidR="00DE62E1" w:rsidRDefault="00692E8D">
      <w:pPr>
        <w:widowControl w:val="0"/>
        <w:suppressAutoHyphens w:val="0"/>
        <w:autoSpaceDE/>
        <w:rPr>
          <w:i/>
          <w:iCs/>
          <w:sz w:val="22"/>
          <w:szCs w:val="22"/>
          <w:lang w:val="en-GB" w:eastAsia="en-US"/>
        </w:rPr>
      </w:pPr>
      <w:r>
        <w:rPr>
          <w:i/>
          <w:iCs/>
          <w:sz w:val="22"/>
          <w:szCs w:val="22"/>
          <w:lang w:val="en-GB" w:eastAsia="en-US"/>
        </w:rPr>
        <w:t>Óvatosságot igénylő kombinációk:</w:t>
      </w:r>
    </w:p>
    <w:p w14:paraId="01BE6B1F" w14:textId="77777777" w:rsidR="00DE62E1" w:rsidRDefault="00692E8D">
      <w:pPr>
        <w:suppressAutoHyphens w:val="0"/>
        <w:ind w:left="567" w:hanging="567"/>
        <w:rPr>
          <w:iCs/>
          <w:sz w:val="22"/>
          <w:szCs w:val="22"/>
        </w:rPr>
      </w:pPr>
      <w:r>
        <w:rPr>
          <w:iCs/>
          <w:sz w:val="22"/>
          <w:szCs w:val="22"/>
        </w:rPr>
        <w:t>-</w:t>
      </w:r>
      <w:r>
        <w:rPr>
          <w:iCs/>
          <w:sz w:val="22"/>
          <w:szCs w:val="22"/>
        </w:rPr>
        <w:tab/>
      </w:r>
      <w:r>
        <w:rPr>
          <w:i/>
          <w:sz w:val="22"/>
          <w:szCs w:val="22"/>
        </w:rPr>
        <w:t>Imipramin-típusú (triciklusos) antidepresszánsok, neuroleptikumok:</w:t>
      </w:r>
      <w:r>
        <w:rPr>
          <w:iCs/>
          <w:sz w:val="22"/>
          <w:szCs w:val="22"/>
        </w:rPr>
        <w:t xml:space="preserve"> a vérnyomáscsökkentő hatás fokozódik és fokozott az orthostaticus hypotonia kockázata (additív hatás).</w:t>
      </w:r>
    </w:p>
    <w:p w14:paraId="01203438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4B80056A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Perindoprilra vonatkozóan:</w:t>
      </w:r>
    </w:p>
    <w:p w14:paraId="095C7F68" w14:textId="77777777" w:rsidR="00DE62E1" w:rsidRDefault="00DE62E1">
      <w:pPr>
        <w:suppressAutoHyphens w:val="0"/>
        <w:rPr>
          <w:i/>
          <w:iCs/>
          <w:sz w:val="22"/>
          <w:szCs w:val="22"/>
          <w:u w:val="single"/>
        </w:rPr>
      </w:pPr>
    </w:p>
    <w:p w14:paraId="3C907F97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klinikai vizsgálati adatok azt mutatták, hogy a renin-angiotenzin-aldoszteron rendszernek (RAAS) ACE-gátlók, angiotenzin II</w:t>
      </w:r>
      <w:r>
        <w:rPr>
          <w:sz w:val="22"/>
          <w:szCs w:val="22"/>
        </w:rPr>
        <w:noBreakHyphen/>
        <w:t>receptor-blokkolók vagy aliszkirén kombinációjával történő kettős blokádja nagyobb gyakorisággal okoz mellékhatásokat, például hypotoniát, hyperkalaemiát és beszűkült veseműködést (beleértve az akut veseelégtelenséget is), mint a csak egyféle RAAS-ra ható szer alkalmazása (lásd 4.3, 4.4 és 5.1</w:t>
      </w:r>
      <w:r>
        <w:rPr>
          <w:snapToGrid w:val="0"/>
          <w:sz w:val="22"/>
          <w:szCs w:val="22"/>
          <w:lang w:eastAsia="hu-HU"/>
        </w:rPr>
        <w:t> </w:t>
      </w:r>
      <w:r>
        <w:rPr>
          <w:sz w:val="22"/>
          <w:szCs w:val="22"/>
        </w:rPr>
        <w:t>pont).</w:t>
      </w:r>
    </w:p>
    <w:p w14:paraId="0E7B9049" w14:textId="77777777" w:rsidR="00DE62E1" w:rsidRDefault="00DE62E1">
      <w:pPr>
        <w:suppressAutoHyphens w:val="0"/>
        <w:rPr>
          <w:i/>
          <w:iCs/>
          <w:sz w:val="22"/>
          <w:szCs w:val="22"/>
        </w:rPr>
      </w:pPr>
    </w:p>
    <w:p w14:paraId="355AFE7C" w14:textId="77777777" w:rsidR="00DE62E1" w:rsidRDefault="00692E8D">
      <w:pPr>
        <w:rPr>
          <w:i/>
          <w:iCs/>
          <w:sz w:val="22"/>
          <w:szCs w:val="22"/>
        </w:rPr>
      </w:pPr>
      <w:r>
        <w:rPr>
          <w:i/>
          <w:iCs/>
          <w:sz w:val="22"/>
          <w:szCs w:val="22"/>
        </w:rPr>
        <w:t>Hyperkalaemiát előidéző gyógyszerek</w:t>
      </w:r>
    </w:p>
    <w:p w14:paraId="7EE1BD33" w14:textId="77777777" w:rsidR="00DE62E1" w:rsidRDefault="00692E8D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Egyes gyógyszerek vagy terápiás csoportok fokozhatják a hyperkalaemia kialakulását: aliszkirén, káliumsók, kálium</w:t>
      </w:r>
      <w:r>
        <w:rPr>
          <w:iCs/>
          <w:sz w:val="22"/>
          <w:szCs w:val="22"/>
        </w:rPr>
        <w:t>megtakarító</w:t>
      </w:r>
      <w:r>
        <w:rPr>
          <w:bCs/>
          <w:iCs/>
          <w:sz w:val="22"/>
          <w:szCs w:val="22"/>
        </w:rPr>
        <w:t xml:space="preserve"> diuretikumok, ACE-gátlók, angiotenzin II</w:t>
      </w:r>
      <w:r>
        <w:rPr>
          <w:bCs/>
          <w:iCs/>
          <w:sz w:val="22"/>
          <w:szCs w:val="22"/>
        </w:rPr>
        <w:noBreakHyphen/>
        <w:t>receptor-antagonisták, NSAID</w:t>
      </w:r>
      <w:r>
        <w:rPr>
          <w:bCs/>
          <w:iCs/>
          <w:sz w:val="22"/>
          <w:szCs w:val="22"/>
        </w:rPr>
        <w:noBreakHyphen/>
        <w:t>ok, heparinok, immunszuppresszív szerek, mint például ciklosporin vagy takrolimusz, trimetoprim. Ezeknek a gyógyszereknek a kombinációja fokozza a hyperkalaemia kockázatát.</w:t>
      </w:r>
    </w:p>
    <w:p w14:paraId="35244BC8" w14:textId="77777777" w:rsidR="00DE62E1" w:rsidRDefault="00DE62E1">
      <w:pPr>
        <w:rPr>
          <w:i/>
          <w:iCs/>
          <w:sz w:val="22"/>
          <w:szCs w:val="22"/>
        </w:rPr>
      </w:pPr>
    </w:p>
    <w:p w14:paraId="4C7C140B" w14:textId="77777777" w:rsidR="00DE62E1" w:rsidRDefault="00692E8D">
      <w:pPr>
        <w:outlineLvl w:val="0"/>
        <w:rPr>
          <w:i/>
          <w:sz w:val="22"/>
          <w:szCs w:val="22"/>
        </w:rPr>
      </w:pPr>
      <w:r>
        <w:rPr>
          <w:i/>
          <w:sz w:val="22"/>
          <w:szCs w:val="22"/>
        </w:rPr>
        <w:t>Ellenjavalt kombinációk (lásd 4.3 pont):</w:t>
      </w:r>
    </w:p>
    <w:p w14:paraId="4F19C269" w14:textId="77777777" w:rsidR="00DE62E1" w:rsidRDefault="00692E8D">
      <w:pPr>
        <w:numPr>
          <w:ilvl w:val="0"/>
          <w:numId w:val="9"/>
        </w:numPr>
        <w:ind w:left="567" w:hanging="567"/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 xml:space="preserve">Aliszkirén: </w:t>
      </w:r>
      <w:r>
        <w:rPr>
          <w:sz w:val="22"/>
          <w:szCs w:val="22"/>
        </w:rPr>
        <w:t>diabeteses vagy károsodott veseműködésű betegek esetén</w:t>
      </w:r>
      <w:r>
        <w:rPr>
          <w:bCs/>
          <w:sz w:val="22"/>
          <w:szCs w:val="22"/>
        </w:rPr>
        <w:t xml:space="preserve"> a hyperkalaemia és a romló vesefunkció kockázata, valamint a cardiovascularis morbiditás és mortalitás egyaránt fokozott.</w:t>
      </w:r>
    </w:p>
    <w:p w14:paraId="2A441CDF" w14:textId="77777777" w:rsidR="00DE62E1" w:rsidRDefault="00692E8D">
      <w:pPr>
        <w:numPr>
          <w:ilvl w:val="0"/>
          <w:numId w:val="9"/>
        </w:numPr>
        <w:tabs>
          <w:tab w:val="left" w:pos="0"/>
          <w:tab w:val="left" w:pos="567"/>
        </w:tabs>
        <w:autoSpaceDE/>
        <w:ind w:left="567" w:hanging="567"/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>Extrakorporális kezelések:</w:t>
      </w:r>
      <w:r>
        <w:rPr>
          <w:b/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Extrakorporális kezelések, melyek során a vér negatív töltésű felületekkel érintkezik, mint például nagy átáramlású dializáló vagy hemofiltrációs membránok (például poliakrilonitril membránok) és dextrán-szulfáttal történő alacsony denzitású lipoprotein-aferezis, a súlyos anafilaktoid reakciók fokozott kockázata miatt (lásd 4.3 pont). Amennyiben ilyen kezelés szükséges, megfontolandó más típusú dializáló membrán vagy egy másik csoportba tartozó vérnyomáscsökkentő szer alkalmazása.</w:t>
      </w:r>
    </w:p>
    <w:p w14:paraId="121471FA" w14:textId="77777777" w:rsidR="00DE62E1" w:rsidRDefault="00692E8D">
      <w:pPr>
        <w:numPr>
          <w:ilvl w:val="0"/>
          <w:numId w:val="9"/>
        </w:numPr>
        <w:tabs>
          <w:tab w:val="left" w:pos="0"/>
          <w:tab w:val="left" w:pos="567"/>
        </w:tabs>
        <w:autoSpaceDE/>
        <w:ind w:left="567" w:hanging="567"/>
        <w:rPr>
          <w:iCs/>
          <w:sz w:val="22"/>
          <w:szCs w:val="22"/>
        </w:rPr>
      </w:pPr>
      <w:r>
        <w:rPr>
          <w:i/>
          <w:iCs/>
          <w:sz w:val="22"/>
          <w:szCs w:val="22"/>
        </w:rPr>
        <w:t>Szakubitril/valzartán:</w:t>
      </w:r>
      <w:r>
        <w:rPr>
          <w:b/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A perindopril és szakubitril/valzartán egyidejű alkalmazása ellenjavallt, mivel a neprilizin és az ACE egyidejű gátlása növelheti az angiooedema kockázatát. A szakubitril/valzartán</w:t>
      </w:r>
      <w:r>
        <w:rPr>
          <w:iCs/>
          <w:sz w:val="22"/>
          <w:szCs w:val="22"/>
        </w:rPr>
        <w:noBreakHyphen/>
        <w:t>kezelés nem kezdhető el a perindopril-kezelés utolsó adagját követő 36 órán belül. A perindopril-kezelés nem kezdhető el a szakubitril/valzartán utolsó adagjának bevételét követő 36 órán belül (lásd 4.3 és 4.4 pont).</w:t>
      </w:r>
    </w:p>
    <w:p w14:paraId="35654AEE" w14:textId="77777777" w:rsidR="00DE62E1" w:rsidRDefault="00DE62E1">
      <w:pPr>
        <w:tabs>
          <w:tab w:val="left" w:pos="0"/>
          <w:tab w:val="left" w:pos="567"/>
        </w:tabs>
        <w:autoSpaceDE/>
        <w:rPr>
          <w:i/>
          <w:iCs/>
          <w:sz w:val="22"/>
          <w:szCs w:val="22"/>
        </w:rPr>
      </w:pPr>
    </w:p>
    <w:p w14:paraId="09F84E67" w14:textId="77777777" w:rsidR="00DE62E1" w:rsidRDefault="00692E8D">
      <w:pPr>
        <w:widowControl w:val="0"/>
        <w:suppressAutoHyphens w:val="0"/>
        <w:autoSpaceDE/>
        <w:rPr>
          <w:b/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lang w:val="en-GB" w:eastAsia="sl-SI"/>
        </w:rPr>
        <w:t>Nem ajánlott kombinációk:</w:t>
      </w:r>
    </w:p>
    <w:p w14:paraId="15E472E7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i/>
          <w:sz w:val="22"/>
          <w:szCs w:val="22"/>
        </w:rPr>
        <w:t>Aliszkirén:</w:t>
      </w:r>
      <w:r>
        <w:rPr>
          <w:sz w:val="22"/>
          <w:szCs w:val="22"/>
        </w:rPr>
        <w:t xml:space="preserve"> </w:t>
      </w:r>
      <w:r>
        <w:rPr>
          <w:bCs/>
          <w:sz w:val="22"/>
          <w:szCs w:val="22"/>
        </w:rPr>
        <w:t xml:space="preserve">azoknál a betegeknél, akik nem szenvednek diabetesben vagy a veseműködésük nem károsodott, a hyperkalaemia és a vesefunkció-romlás kockázata, valamint a cardiovascularis morbiditás és mortalitás egyaránt fokozott </w:t>
      </w:r>
      <w:r>
        <w:rPr>
          <w:bCs/>
          <w:iCs/>
          <w:sz w:val="22"/>
          <w:szCs w:val="22"/>
        </w:rPr>
        <w:t>(lásd</w:t>
      </w:r>
      <w:r>
        <w:rPr>
          <w:bCs/>
          <w:i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4.4</w:t>
      </w:r>
      <w:r>
        <w:rPr>
          <w:iCs/>
          <w:sz w:val="22"/>
          <w:szCs w:val="22"/>
        </w:rPr>
        <w:t> </w:t>
      </w:r>
      <w:r>
        <w:rPr>
          <w:bCs/>
          <w:iCs/>
          <w:sz w:val="22"/>
          <w:szCs w:val="22"/>
        </w:rPr>
        <w:t>pont).</w:t>
      </w:r>
    </w:p>
    <w:p w14:paraId="7818C535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 xml:space="preserve">ACE-gátló és angiotenzin-receptor-blokkoló egyidejű alkalmazása: </w:t>
      </w:r>
      <w:r>
        <w:rPr>
          <w:bCs/>
          <w:sz w:val="22"/>
          <w:szCs w:val="22"/>
        </w:rPr>
        <w:t>atheroscleroticus betegségben, szívelégtelenségben vagy célszervi károsodással járó diabetesben szenvedő betegeknél, ACE-gátló és angiotenzin-receptor-blokkoló egyidejű alkalmazása esetén a szakirodalomban nagyobb gyakorisággal számoltak be hypotonia, syncope, hyperkalaemia és vesefunkció-romlás (beleértve az akut veseelégtelenséget is) előfordulásáról, mint a renin</w:t>
      </w:r>
      <w:r>
        <w:rPr>
          <w:bCs/>
          <w:sz w:val="22"/>
          <w:szCs w:val="22"/>
        </w:rPr>
        <w:noBreakHyphen/>
        <w:t>angiotenzin-aldoszteron rendszerre ható monoterápia esetén. A kettősblokád-kezelés (például egy ACE-inhibitor és egy angiotenzin II</w:t>
      </w:r>
      <w:r>
        <w:rPr>
          <w:bCs/>
          <w:sz w:val="22"/>
          <w:szCs w:val="22"/>
        </w:rPr>
        <w:noBreakHyphen/>
        <w:t>receptor-antagonista kombinációja) alkalmazását egyedi esetekre kell korlátozni, a vesefunkció, a káliumszint és a vérnyomás szoros ellenőrzése mellett (lásd 4.4</w:t>
      </w:r>
      <w:r>
        <w:rPr>
          <w:iCs/>
          <w:sz w:val="22"/>
          <w:szCs w:val="22"/>
        </w:rPr>
        <w:t> </w:t>
      </w:r>
      <w:r>
        <w:rPr>
          <w:bCs/>
          <w:sz w:val="22"/>
          <w:szCs w:val="22"/>
        </w:rPr>
        <w:t>pont).</w:t>
      </w:r>
    </w:p>
    <w:p w14:paraId="6952726B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Esztramusztin:</w:t>
      </w:r>
      <w:r>
        <w:rPr>
          <w:bCs/>
          <w:sz w:val="22"/>
          <w:szCs w:val="22"/>
        </w:rPr>
        <w:t xml:space="preserve"> mellékhatások, mint például angioneuroticus oedema (angiooedema) előfordulásának kockázata fokozódik.</w:t>
      </w:r>
    </w:p>
    <w:p w14:paraId="1AFC6FEE" w14:textId="77777777" w:rsidR="00DE62E1" w:rsidRDefault="00692E8D">
      <w:pPr>
        <w:numPr>
          <w:ilvl w:val="0"/>
          <w:numId w:val="3"/>
        </w:numPr>
        <w:tabs>
          <w:tab w:val="left" w:pos="0"/>
          <w:tab w:val="left" w:pos="567"/>
        </w:tabs>
        <w:autoSpaceDE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lastRenderedPageBreak/>
        <w:t>Ko-trimoxazol (trimetoprim/szulfametoxazol):</w:t>
      </w:r>
      <w:r>
        <w:rPr>
          <w:bCs/>
          <w:sz w:val="22"/>
          <w:szCs w:val="22"/>
        </w:rPr>
        <w:t xml:space="preserve"> Egyidejű ko-trimoxazol (trimetoprim/szulfametoxazol)-kezelés alatt álló betegek esetében a hyperkalaemia kockázata fokozódhat (lásd 4.4</w:t>
      </w:r>
      <w:r>
        <w:rPr>
          <w:iCs/>
          <w:sz w:val="22"/>
          <w:szCs w:val="22"/>
        </w:rPr>
        <w:t> </w:t>
      </w:r>
      <w:r>
        <w:rPr>
          <w:bCs/>
          <w:sz w:val="22"/>
          <w:szCs w:val="22"/>
        </w:rPr>
        <w:t>pont).</w:t>
      </w:r>
    </w:p>
    <w:p w14:paraId="615EB701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Káliummegtakarító diuretikumok (például triamteren, amilorid), kálium(sók):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hyperkalaemia (esetenként halálos), különösen vesekárosodással egyidejűleg (additív hyperkalaemizáló hatások). A perindoprilnak a fent említett gyógyszerekkel történő kombinációja nem ajánlott (lásd 4.4</w:t>
      </w:r>
      <w:r>
        <w:rPr>
          <w:iCs/>
          <w:sz w:val="22"/>
          <w:szCs w:val="22"/>
        </w:rPr>
        <w:t> </w:t>
      </w:r>
      <w:r>
        <w:rPr>
          <w:bCs/>
          <w:sz w:val="22"/>
          <w:szCs w:val="22"/>
        </w:rPr>
        <w:t>pont). Amennyiben együttes adásuk indokolt, ez fokozott óvatossággal és a szérum káliumszintjének gyakori ellenőrzése mellett történjen. Spironolakton szívelégtelenségben történő alkalmazásáról lásd a “</w:t>
      </w:r>
      <w:r>
        <w:rPr>
          <w:iCs/>
          <w:sz w:val="22"/>
          <w:szCs w:val="22"/>
        </w:rPr>
        <w:t>Különleges elővigyázatosságot igénylő kombinációk</w:t>
      </w:r>
      <w:r>
        <w:rPr>
          <w:bCs/>
          <w:sz w:val="22"/>
          <w:szCs w:val="22"/>
        </w:rPr>
        <w:t>” című részt.</w:t>
      </w:r>
    </w:p>
    <w:p w14:paraId="099F8E63" w14:textId="77777777" w:rsidR="00DE62E1" w:rsidRDefault="00DE62E1">
      <w:pPr>
        <w:suppressAutoHyphens w:val="0"/>
        <w:autoSpaceDE/>
        <w:rPr>
          <w:i/>
          <w:iCs/>
          <w:sz w:val="22"/>
          <w:szCs w:val="22"/>
        </w:rPr>
      </w:pPr>
    </w:p>
    <w:p w14:paraId="49262A74" w14:textId="77777777" w:rsidR="00DE62E1" w:rsidRDefault="00692E8D">
      <w:pPr>
        <w:widowControl w:val="0"/>
        <w:suppressAutoHyphens w:val="0"/>
        <w:autoSpaceDE/>
        <w:rPr>
          <w:i/>
          <w:iCs/>
          <w:sz w:val="22"/>
          <w:szCs w:val="22"/>
          <w:lang w:val="en-GB" w:eastAsia="sl-SI"/>
        </w:rPr>
      </w:pPr>
      <w:r>
        <w:rPr>
          <w:i/>
          <w:iCs/>
          <w:sz w:val="22"/>
          <w:szCs w:val="22"/>
          <w:lang w:val="en-GB" w:eastAsia="sl-SI"/>
        </w:rPr>
        <w:t>Különleges elővigyázatosságot igénylő kombinációk:</w:t>
      </w:r>
    </w:p>
    <w:p w14:paraId="583790B6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Antidiabetikumok (inzulin, orális antidiabetikumok):</w:t>
      </w:r>
      <w:r>
        <w:rPr>
          <w:bCs/>
          <w:sz w:val="22"/>
          <w:szCs w:val="22"/>
        </w:rPr>
        <w:t xml:space="preserve"> epidemiológiai vizsgálatok arra utaltak, hogy az ACE-gátlók és antidiabetikumok (inzulinok, orális antidiabetikumok) együttes alkalmazása fokozhatja a vércukorszint-csökkentő hatást és a hypoglykaemia kockázatát. Ez a jelenség nagyobb valószínűséggel fordul elő a kombinációs kezelés első heteiben, valamint vesekárosodásban szenvedő betegek esetén</w:t>
      </w:r>
      <w:r>
        <w:rPr>
          <w:sz w:val="22"/>
          <w:szCs w:val="22"/>
        </w:rPr>
        <w:t>.</w:t>
      </w:r>
    </w:p>
    <w:p w14:paraId="66B77786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Nem káliummegtakarító diuretikumok:</w:t>
      </w:r>
      <w:r>
        <w:rPr>
          <w:sz w:val="22"/>
          <w:szCs w:val="22"/>
        </w:rPr>
        <w:t xml:space="preserve"> diuretikus terápiában részesülő betegeknél – különösen azoknál, akiknél volumen- és/vagy sóhiányos állapot áll fenn – kifejezett vérnyomáscsökkenés tapasztalható az ACE-gátló-kezelés megkezdését követően. A hipotenzív hatás kialakulásának esélyét mérsékelni lehet a diuretikus kezelés felfüggesztésével, a perindopril-kezelés kis és fokozatosan emelkedő dózisokkal történő megkezdése előtt a volumen- vagy sóbevitel fokozásával.</w:t>
      </w:r>
    </w:p>
    <w:p w14:paraId="27712E9E" w14:textId="77777777" w:rsidR="00DE62E1" w:rsidRDefault="00692E8D">
      <w:pPr>
        <w:ind w:left="567"/>
        <w:rPr>
          <w:sz w:val="22"/>
          <w:szCs w:val="22"/>
        </w:rPr>
      </w:pPr>
      <w:r>
        <w:rPr>
          <w:i/>
          <w:sz w:val="22"/>
          <w:szCs w:val="22"/>
        </w:rPr>
        <w:t>Artériás hypertoniában</w:t>
      </w:r>
      <w:r>
        <w:rPr>
          <w:sz w:val="22"/>
          <w:szCs w:val="22"/>
        </w:rPr>
        <w:t>, ha a korábbi diuretikus terápia volumen-/sóhiányos állapotot okozott, vagy a diuretikus kezelést kell felfüggeszteni az ACE-gátló-kezelés megkezdése előtt, ebben az esetben egy nem-káliummegtakarító diuretikumot lehet ezután újra alkalmazni, vagy az ACE</w:t>
      </w:r>
      <w:r>
        <w:rPr>
          <w:sz w:val="22"/>
          <w:szCs w:val="22"/>
        </w:rPr>
        <w:noBreakHyphen/>
        <w:t>gátló-kezelést kell kis és fokozatosan emelkedő dózisokkal elkezdeni.</w:t>
      </w:r>
    </w:p>
    <w:p w14:paraId="3C161C32" w14:textId="77777777" w:rsidR="00DE62E1" w:rsidRDefault="00692E8D">
      <w:pPr>
        <w:ind w:left="567"/>
        <w:rPr>
          <w:sz w:val="22"/>
          <w:szCs w:val="22"/>
        </w:rPr>
      </w:pPr>
      <w:r>
        <w:rPr>
          <w:i/>
          <w:sz w:val="22"/>
          <w:szCs w:val="22"/>
        </w:rPr>
        <w:t>Diuretikummal kezelt pangásos szívelégtelenségben</w:t>
      </w:r>
      <w:r>
        <w:rPr>
          <w:sz w:val="22"/>
          <w:szCs w:val="22"/>
        </w:rPr>
        <w:t xml:space="preserve"> az ACE-gátló-kezelést nagyon kis dózissal kell megkezdeni, lehetőség szerint az egyidejűleg alkalmazott nem káliummegtakarító diuretikum dózisának csökkentését követően.</w:t>
      </w:r>
    </w:p>
    <w:p w14:paraId="374477DE" w14:textId="77777777" w:rsidR="00DE62E1" w:rsidRDefault="00692E8D">
      <w:pPr>
        <w:ind w:left="567"/>
        <w:rPr>
          <w:sz w:val="22"/>
          <w:szCs w:val="22"/>
        </w:rPr>
      </w:pPr>
      <w:r>
        <w:rPr>
          <w:sz w:val="22"/>
          <w:szCs w:val="22"/>
        </w:rPr>
        <w:t>A vesefunkciót (szérum kreatininszintjét) minden esetben rendszeresen ellenőrizni kell az ACE</w:t>
      </w:r>
      <w:r>
        <w:rPr>
          <w:sz w:val="22"/>
          <w:szCs w:val="22"/>
        </w:rPr>
        <w:noBreakHyphen/>
        <w:t>gátló-kezelés első heteiben.</w:t>
      </w:r>
    </w:p>
    <w:p w14:paraId="58B740FC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Káliummegtakarító diuretikumok (eplerenon, spironolakton)</w:t>
      </w:r>
      <w:r>
        <w:rPr>
          <w:sz w:val="22"/>
          <w:szCs w:val="22"/>
        </w:rPr>
        <w:t>: napi 12,5 mg – 50 mg eplerenon vagy spironolakton és kis dózisú ACE-gátló:</w:t>
      </w:r>
    </w:p>
    <w:p w14:paraId="0944EC60" w14:textId="77777777" w:rsidR="00DE62E1" w:rsidRDefault="00692E8D">
      <w:pPr>
        <w:ind w:left="567"/>
        <w:rPr>
          <w:sz w:val="22"/>
          <w:szCs w:val="22"/>
        </w:rPr>
      </w:pPr>
      <w:r>
        <w:rPr>
          <w:sz w:val="22"/>
          <w:szCs w:val="22"/>
        </w:rPr>
        <w:t>A NYHA szerinti II.-IV. stádiumú szívelégtelenség (ejekciós frakció &lt; 40%) kezelése, valamint korábbi ACE-gátló- és kacsdiuretikum-kezelés esetén fennáll a hyperkalaemia kockázata (potenciálisan halálos), különösen a kombinációra vonatkozó előírási ajánlások be nem tartása esetében.</w:t>
      </w:r>
    </w:p>
    <w:p w14:paraId="342CD6C6" w14:textId="77777777" w:rsidR="00DE62E1" w:rsidRDefault="00692E8D">
      <w:pPr>
        <w:ind w:left="567"/>
        <w:rPr>
          <w:sz w:val="22"/>
          <w:szCs w:val="22"/>
        </w:rPr>
      </w:pPr>
      <w:r>
        <w:rPr>
          <w:sz w:val="22"/>
          <w:szCs w:val="22"/>
        </w:rPr>
        <w:t>A kombinációs kezelés megkezdése előtt ellenőrizni kell, hogy nem áll-e fenn hyperkalaemia és vesekárosodás. A kezelés első hónapjában a kálium- és kreatininszint gondos ellenőrzése ajánlott hetente egyszer, majd havonta.</w:t>
      </w:r>
    </w:p>
    <w:p w14:paraId="373830BD" w14:textId="77777777" w:rsidR="00DE62E1" w:rsidRDefault="00692E8D">
      <w:pPr>
        <w:numPr>
          <w:ilvl w:val="0"/>
          <w:numId w:val="7"/>
        </w:numPr>
        <w:suppressAutoHyphens w:val="0"/>
        <w:autoSpaceDE/>
        <w:ind w:left="567" w:hanging="567"/>
        <w:rPr>
          <w:bCs/>
          <w:sz w:val="22"/>
          <w:szCs w:val="22"/>
        </w:rPr>
      </w:pPr>
      <w:r>
        <w:rPr>
          <w:bCs/>
          <w:i/>
          <w:sz w:val="22"/>
          <w:szCs w:val="22"/>
        </w:rPr>
        <w:t>Racekadotril:</w:t>
      </w:r>
      <w:r>
        <w:rPr>
          <w:sz w:val="22"/>
          <w:szCs w:val="22"/>
        </w:rPr>
        <w:t xml:space="preserve"> i</w:t>
      </w:r>
      <w:r>
        <w:rPr>
          <w:bCs/>
          <w:sz w:val="22"/>
          <w:szCs w:val="22"/>
        </w:rPr>
        <w:t xml:space="preserve">smeretes, hogy az ACE-gátlók (mint például a perindopril) angiooedemát okozhatnak. Racekadotrillel (egy, az akut hasmenés kezelésére szolgáló gyógyszer) történő együttes alkalmazás során </w:t>
      </w:r>
      <w:r>
        <w:rPr>
          <w:bCs/>
        </w:rPr>
        <w:t>ez a kockázat emelkedhet</w:t>
      </w:r>
      <w:r>
        <w:rPr>
          <w:bCs/>
          <w:sz w:val="22"/>
          <w:szCs w:val="22"/>
        </w:rPr>
        <w:t>.</w:t>
      </w:r>
    </w:p>
    <w:p w14:paraId="01B28F17" w14:textId="77777777" w:rsidR="00DE62E1" w:rsidRDefault="00692E8D">
      <w:pPr>
        <w:numPr>
          <w:ilvl w:val="0"/>
          <w:numId w:val="7"/>
        </w:numPr>
        <w:suppressAutoHyphens w:val="0"/>
        <w:autoSpaceDE/>
        <w:ind w:left="567" w:hanging="567"/>
        <w:rPr>
          <w:sz w:val="22"/>
          <w:szCs w:val="22"/>
        </w:rPr>
      </w:pPr>
      <w:r>
        <w:rPr>
          <w:bCs/>
          <w:i/>
          <w:sz w:val="22"/>
          <w:szCs w:val="22"/>
        </w:rPr>
        <w:t>mTOR-inhibitorok (mint például: szirolimusz, everolimusz, temszirolimusz):</w:t>
      </w:r>
      <w:r>
        <w:rPr>
          <w:b/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azok a betegek, akik egyidejűleg mTOR-inhibitor-terápiát alkalmaznak, az angiooedema megemelkedett kockázatának lehetnek kitéve (lásd 4.4</w:t>
      </w:r>
      <w:r>
        <w:rPr>
          <w:sz w:val="22"/>
          <w:szCs w:val="22"/>
        </w:rPr>
        <w:t> </w:t>
      </w:r>
      <w:r>
        <w:rPr>
          <w:bCs/>
          <w:sz w:val="22"/>
          <w:szCs w:val="22"/>
        </w:rPr>
        <w:t>pont).</w:t>
      </w:r>
    </w:p>
    <w:p w14:paraId="3A282352" w14:textId="77777777" w:rsidR="00DE62E1" w:rsidRDefault="00DE62E1">
      <w:pPr>
        <w:tabs>
          <w:tab w:val="left" w:pos="567"/>
        </w:tabs>
        <w:suppressAutoHyphens w:val="0"/>
        <w:ind w:left="567"/>
        <w:rPr>
          <w:iCs/>
          <w:sz w:val="22"/>
          <w:szCs w:val="22"/>
        </w:rPr>
      </w:pPr>
    </w:p>
    <w:p w14:paraId="30DFE2F3" w14:textId="77777777" w:rsidR="00DE62E1" w:rsidRDefault="00692E8D">
      <w:pPr>
        <w:widowControl w:val="0"/>
        <w:suppressAutoHyphens w:val="0"/>
        <w:autoSpaceDE/>
        <w:rPr>
          <w:i/>
          <w:iCs/>
          <w:sz w:val="22"/>
          <w:szCs w:val="22"/>
          <w:lang w:val="en-GB" w:eastAsia="sl-SI"/>
        </w:rPr>
      </w:pPr>
      <w:r>
        <w:rPr>
          <w:i/>
          <w:iCs/>
          <w:sz w:val="22"/>
          <w:szCs w:val="22"/>
          <w:lang w:val="en-GB" w:eastAsia="sl-SI"/>
        </w:rPr>
        <w:t>Óvatosságot igénylő kombinációk:</w:t>
      </w:r>
    </w:p>
    <w:p w14:paraId="18124CD0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Vérnyomáscsökkentők és értágítók:</w:t>
      </w:r>
      <w:r>
        <w:rPr>
          <w:sz w:val="22"/>
          <w:szCs w:val="22"/>
        </w:rPr>
        <w:t xml:space="preserve"> ezeknek a szereknek az </w:t>
      </w:r>
      <w:r>
        <w:rPr>
          <w:bCs/>
          <w:iCs/>
          <w:sz w:val="22"/>
          <w:szCs w:val="22"/>
        </w:rPr>
        <w:t xml:space="preserve">egyidejű alkalmazása a perindopril vérnyomáscsökkentő hatását fokozhatja. </w:t>
      </w:r>
      <w:r>
        <w:rPr>
          <w:sz w:val="22"/>
          <w:szCs w:val="22"/>
        </w:rPr>
        <w:t>Nitroglicerinnel és más nitrátokkal vagy egyéb értágítókkal való együttadásuk további vérnyomáseséshez vezethet.</w:t>
      </w:r>
    </w:p>
    <w:p w14:paraId="11197473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Allopurinol, citosztatikumok, immunszuppresszív szerek, szisztémás kortikoszteroidok vagy prokainamid:</w:t>
      </w:r>
      <w:r>
        <w:rPr>
          <w:sz w:val="22"/>
          <w:szCs w:val="22"/>
        </w:rPr>
        <w:t xml:space="preserve"> ACE-gátlóval való együttadásuk növelheti a leukopenia kialakulásának kockázatát (lásd 4.4 pont).</w:t>
      </w:r>
    </w:p>
    <w:p w14:paraId="18950BB0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Anesztetikumok:</w:t>
      </w:r>
      <w:r>
        <w:rPr>
          <w:sz w:val="22"/>
          <w:szCs w:val="22"/>
        </w:rPr>
        <w:t xml:space="preserve"> az ACE-gátlók bizonyos típusú anesztetikumok vérnyomáscsökkentő hatását fokozhatják (lásd 4.4 pont).</w:t>
      </w:r>
    </w:p>
    <w:p w14:paraId="28EE2359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lastRenderedPageBreak/>
        <w:t xml:space="preserve">Gliptinek (linagliptin, szaxagliptin, szitagliptin, vildagliptin): </w:t>
      </w:r>
      <w:r>
        <w:rPr>
          <w:bCs/>
          <w:iCs/>
          <w:sz w:val="22"/>
          <w:szCs w:val="22"/>
        </w:rPr>
        <w:t>ACE-gátlóval együtt alkalmazva fokozódik az angiooedema kockázata, a dipeptidil-peptidáz-IV (DPP-IV) gliptinek által csökkentett aktivitásán keresztül.</w:t>
      </w:r>
    </w:p>
    <w:p w14:paraId="52CEE0F4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Szimpatomimetikumok:</w:t>
      </w:r>
      <w:r>
        <w:rPr>
          <w:bCs/>
          <w:iCs/>
          <w:sz w:val="22"/>
          <w:szCs w:val="22"/>
        </w:rPr>
        <w:t xml:space="preserve"> a szimpatomimetikumok mérsékelhetik az ACE-gátlók antihipertenzív hatását.</w:t>
      </w:r>
    </w:p>
    <w:p w14:paraId="6598BF63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Arany: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lang w:val="en-GB"/>
        </w:rPr>
        <w:t xml:space="preserve">Ritkán </w:t>
      </w:r>
      <w:r>
        <w:rPr>
          <w:sz w:val="22"/>
          <w:szCs w:val="22"/>
        </w:rPr>
        <w:t>nitritoid rekciókról (amelynek tünetei az arc kipirulása, émelygés, hányás, hypotonia) számoltak be parenterális arany-készítmények (nátrium-auro-tiomaleát) és ACE</w:t>
      </w:r>
      <w:r>
        <w:rPr>
          <w:sz w:val="22"/>
          <w:szCs w:val="22"/>
        </w:rPr>
        <w:noBreakHyphen/>
        <w:t>gátlók (köztük a perindopril) együttes adagolása esetén.</w:t>
      </w:r>
    </w:p>
    <w:p w14:paraId="2FF3357F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20581EA2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Indapamidra vonatkozóan:</w:t>
      </w:r>
    </w:p>
    <w:p w14:paraId="6F9BE9FE" w14:textId="77777777" w:rsidR="00DE62E1" w:rsidRDefault="00DE62E1">
      <w:pPr>
        <w:keepNext/>
        <w:suppressAutoHyphens w:val="0"/>
        <w:rPr>
          <w:iCs/>
          <w:sz w:val="22"/>
          <w:szCs w:val="22"/>
        </w:rPr>
      </w:pPr>
    </w:p>
    <w:p w14:paraId="4B6C9781" w14:textId="77777777" w:rsidR="00DE62E1" w:rsidRDefault="00692E8D">
      <w:pPr>
        <w:widowControl w:val="0"/>
        <w:tabs>
          <w:tab w:val="left" w:pos="284"/>
          <w:tab w:val="left" w:pos="709"/>
        </w:tabs>
        <w:suppressAutoHyphens w:val="0"/>
        <w:autoSpaceDE/>
        <w:rPr>
          <w:i/>
          <w:iCs/>
          <w:sz w:val="22"/>
          <w:szCs w:val="22"/>
          <w:lang w:val="en-GB" w:eastAsia="en-US"/>
        </w:rPr>
      </w:pPr>
      <w:r>
        <w:rPr>
          <w:i/>
          <w:iCs/>
          <w:sz w:val="22"/>
          <w:szCs w:val="22"/>
          <w:lang w:val="en-GB" w:eastAsia="en-US"/>
        </w:rPr>
        <w:t>Különleges elővigyázatosságot igénylő kombinációk:</w:t>
      </w:r>
    </w:p>
    <w:p w14:paraId="1FFD0ECD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 xml:space="preserve">Torsades de pointes típusú ritmuszavart kiváltó gyógyszerek: </w:t>
      </w:r>
      <w:r>
        <w:rPr>
          <w:sz w:val="22"/>
          <w:szCs w:val="22"/>
        </w:rPr>
        <w:t xml:space="preserve">a hypokalaemia kockázata miatt az indapamid csak óvatosan adható együtt olyan szerekkel, amelyek </w:t>
      </w:r>
      <w:r>
        <w:rPr>
          <w:i/>
          <w:sz w:val="22"/>
          <w:szCs w:val="22"/>
        </w:rPr>
        <w:t>torsades de pointes</w:t>
      </w:r>
      <w:r>
        <w:rPr>
          <w:sz w:val="22"/>
          <w:szCs w:val="22"/>
        </w:rPr>
        <w:t xml:space="preserve"> típusú ritmuszavart válthatnak ki, mint például az IA. típusú antiaritmiás szerek (pl. kinidin, hidrokinidin, dizopiramid), a III. típusú antiaritmiás szerek (pl. amiodaron, dofetilid, ibutilid, bretílium, szotalol); bizonyos fenotiazin neuroleptikumok (pl. klórpromazin, ciamemazin, levomepromazin, tioridazin, trifluoperazin), benzamidok (pl. amiszulprid, szulpirid, szultoprid, tiaprid), butirofenonok (pl. droperidol, haloperidol), egyéb neuroleptikumok (pl. pimozid), továbbá egyéb szerek (pl. bepridil, ciszaprid, difemanil, </w:t>
      </w:r>
      <w:r>
        <w:rPr>
          <w:i/>
          <w:sz w:val="22"/>
          <w:szCs w:val="22"/>
        </w:rPr>
        <w:t>iv.</w:t>
      </w:r>
      <w:r>
        <w:rPr>
          <w:sz w:val="22"/>
          <w:szCs w:val="22"/>
        </w:rPr>
        <w:t xml:space="preserve"> eritromicin, halofantrin, mizolasztin, moxifloxacin, pentamidin, sparfloxacin, </w:t>
      </w:r>
      <w:r>
        <w:rPr>
          <w:i/>
          <w:sz w:val="22"/>
          <w:szCs w:val="22"/>
        </w:rPr>
        <w:t>iv.</w:t>
      </w:r>
      <w:r>
        <w:rPr>
          <w:sz w:val="22"/>
          <w:szCs w:val="22"/>
        </w:rPr>
        <w:t xml:space="preserve"> vinkamin, metadon, asztemizol, terfenadin). Az alacsony káliumszint megelőzése, szükség szerinti korrigálása és a QT</w:t>
      </w:r>
      <w:r>
        <w:rPr>
          <w:sz w:val="22"/>
          <w:szCs w:val="22"/>
        </w:rPr>
        <w:noBreakHyphen/>
        <w:t>intervallum rendszeres ellenőrzése javasolt.</w:t>
      </w:r>
    </w:p>
    <w:p w14:paraId="4A2D8745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Káliumszintet csökkentő gyógyszerek:</w:t>
      </w:r>
      <w:r>
        <w:rPr>
          <w:sz w:val="22"/>
          <w:szCs w:val="22"/>
        </w:rPr>
        <w:t xml:space="preserve"> amfotericin B (</w:t>
      </w:r>
      <w:r>
        <w:rPr>
          <w:i/>
          <w:sz w:val="22"/>
          <w:szCs w:val="22"/>
        </w:rPr>
        <w:t>iv</w:t>
      </w:r>
      <w:r>
        <w:rPr>
          <w:sz w:val="22"/>
          <w:szCs w:val="22"/>
        </w:rPr>
        <w:t>.), glüko- és mineralokortikoidok (szisztémásan alkalmazva), tetrakozaktid, bélizgató hatású laxatívumok</w:t>
      </w:r>
      <w:r>
        <w:rPr>
          <w:sz w:val="22"/>
          <w:szCs w:val="22"/>
          <w:lang w:val="en-GB"/>
        </w:rPr>
        <w:t>: az</w:t>
      </w:r>
      <w:r>
        <w:rPr>
          <w:sz w:val="22"/>
          <w:szCs w:val="22"/>
        </w:rPr>
        <w:t xml:space="preserve"> alacsony káliumszint kockázata fokozódik (additív hatás). Rendszeresen ellenőrizni és szükség esetén korrigálni kell a káliumszintet. Fokozott körültekintés szükséges egyidejű digitálisz-terápia esetén. Nem bélizgató hatású hashajtókat kell alkalmazni.</w:t>
      </w:r>
    </w:p>
    <w:p w14:paraId="4FAB2FC4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Szívglikozidok:</w:t>
      </w:r>
      <w:r>
        <w:rPr>
          <w:sz w:val="22"/>
          <w:szCs w:val="22"/>
        </w:rPr>
        <w:t xml:space="preserve"> a hypokalaemia és/vagy hypomagnesaemia hajlamosít a digitálisz toxicitás kialakulására. Ellenőrizni kell a plazma kálium- és magnéziumszintjét, valamint az EKG-t, és szükség szerint módosítani kell a kezelést.</w:t>
      </w:r>
    </w:p>
    <w:p w14:paraId="755459E7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Allopurinol:</w:t>
      </w:r>
      <w:r>
        <w:rPr>
          <w:sz w:val="22"/>
          <w:szCs w:val="22"/>
        </w:rPr>
        <w:t xml:space="preserve"> indapamiddal történő egyidejű kezelés fokozhatja az allopurinollal szembeni túlérzékenységi reakciók előfordulását.</w:t>
      </w:r>
    </w:p>
    <w:p w14:paraId="4009DBBE" w14:textId="77777777" w:rsidR="00DE62E1" w:rsidRDefault="00DE62E1">
      <w:pPr>
        <w:tabs>
          <w:tab w:val="left" w:pos="567"/>
        </w:tabs>
        <w:suppressAutoHyphens w:val="0"/>
        <w:autoSpaceDE/>
        <w:rPr>
          <w:i/>
          <w:iCs/>
          <w:snapToGrid w:val="0"/>
          <w:sz w:val="22"/>
          <w:szCs w:val="22"/>
          <w:lang w:eastAsia="hu-HU"/>
        </w:rPr>
      </w:pPr>
    </w:p>
    <w:p w14:paraId="553FE65B" w14:textId="77777777" w:rsidR="00DE62E1" w:rsidRDefault="00692E8D">
      <w:pPr>
        <w:widowControl w:val="0"/>
        <w:tabs>
          <w:tab w:val="left" w:pos="284"/>
          <w:tab w:val="left" w:pos="709"/>
        </w:tabs>
        <w:suppressAutoHyphens w:val="0"/>
        <w:autoSpaceDE/>
        <w:rPr>
          <w:b/>
          <w:snapToGrid w:val="0"/>
          <w:sz w:val="22"/>
          <w:szCs w:val="22"/>
          <w:lang w:eastAsia="hu-HU"/>
        </w:rPr>
      </w:pPr>
      <w:r>
        <w:rPr>
          <w:i/>
          <w:iCs/>
          <w:sz w:val="22"/>
          <w:szCs w:val="22"/>
          <w:lang w:val="en-GB" w:eastAsia="en-US"/>
        </w:rPr>
        <w:t>Óvatosságot igénylő kombinációk:</w:t>
      </w:r>
    </w:p>
    <w:p w14:paraId="0F752533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 xml:space="preserve">Káliummegtakarító diuretikumok (amilorid, spironolakton, triamteren): </w:t>
      </w:r>
      <w:r>
        <w:rPr>
          <w:sz w:val="22"/>
          <w:szCs w:val="22"/>
        </w:rPr>
        <w:t>jóllehet a racionális kombinációk hasznosak bizonyos betegek esetében, hypokalaemia vagy hyperkalaemia (főleg veseelégtelenségben szenvedő vagy diabeteses betegeknél) mégis előfordulhat. A plazma káliumszintjét és az EKG-t ellenőrizni kell, és ha szükséges, a terápián változtatni kell.</w:t>
      </w:r>
    </w:p>
    <w:p w14:paraId="1C20DDD6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Metformin:</w:t>
      </w:r>
      <w:r>
        <w:rPr>
          <w:sz w:val="22"/>
          <w:szCs w:val="22"/>
        </w:rPr>
        <w:t xml:space="preserve"> diuretikum (elsősorban kacsdiuretikum) alkalmazása kapcsán jelentkező funkcionális veseelégtelenség esetén fokozott a metformin okozta tejsavas acidózis kockázata. Metformin nem alkalmazható, ha a szérum kreatininszintje meghaladja a 15 mg/l-t (135 mikromol/l) férfiaknál, ill. 12 mg/l-t (110 mikromol/l) nőknél.</w:t>
      </w:r>
    </w:p>
    <w:p w14:paraId="33EB1915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Jódtartalmú kontrasztanyagok:</w:t>
      </w:r>
      <w:r>
        <w:rPr>
          <w:sz w:val="22"/>
          <w:szCs w:val="22"/>
        </w:rPr>
        <w:t xml:space="preserve"> diuretikum okozta dehidráció esetén fokozott az akut veseelégtelenség kockázata, főleg olyankor, ha nagy dózisú jódtartalmú kontrasztanyagot alkalmaznak. A jódtartalmú készítmény beadása előtt rehidrálás szükséges.</w:t>
      </w:r>
    </w:p>
    <w:p w14:paraId="5D2E1943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Kalcium(sók):</w:t>
      </w:r>
      <w:r>
        <w:rPr>
          <w:sz w:val="22"/>
          <w:szCs w:val="22"/>
        </w:rPr>
        <w:t xml:space="preserve"> a vizelettel történő kalcium-kiválasztás csökkenése miatt fokozódik a hypercalcaemia kockázata.</w:t>
      </w:r>
    </w:p>
    <w:p w14:paraId="4C8C08FD" w14:textId="77777777" w:rsidR="00DE62E1" w:rsidRDefault="00692E8D">
      <w:pPr>
        <w:numPr>
          <w:ilvl w:val="0"/>
          <w:numId w:val="3"/>
        </w:numPr>
        <w:suppressAutoHyphens w:val="0"/>
        <w:autoSpaceDE/>
        <w:rPr>
          <w:sz w:val="22"/>
          <w:szCs w:val="22"/>
        </w:rPr>
      </w:pPr>
      <w:r>
        <w:rPr>
          <w:bCs/>
          <w:i/>
          <w:sz w:val="22"/>
          <w:szCs w:val="22"/>
        </w:rPr>
        <w:t>Ciklosporin, takrolimusz:</w:t>
      </w:r>
      <w:r>
        <w:rPr>
          <w:sz w:val="22"/>
          <w:szCs w:val="22"/>
        </w:rPr>
        <w:t xml:space="preserve"> a keringő ciklosporinszintek változása nélkül, a szérum kreatininszint emelkedésének kockázata áll fenn, víz-, ill. sóhiány nélkül is.</w:t>
      </w:r>
    </w:p>
    <w:p w14:paraId="3341B019" w14:textId="77777777" w:rsidR="00DE62E1" w:rsidRDefault="00692E8D">
      <w:pPr>
        <w:pStyle w:val="Szvegtrzsbehzssal"/>
        <w:numPr>
          <w:ilvl w:val="0"/>
          <w:numId w:val="3"/>
        </w:numPr>
        <w:tabs>
          <w:tab w:val="left" w:pos="567"/>
        </w:tabs>
        <w:suppressAutoHyphens w:val="0"/>
        <w:autoSpaceDN w:val="0"/>
        <w:adjustRightInd w:val="0"/>
        <w:ind w:right="0"/>
      </w:pPr>
      <w:r>
        <w:rPr>
          <w:bCs/>
          <w:i/>
        </w:rPr>
        <w:t>Kortikoszteroidok, tetrakozaktid (szisztémásan adagolva):</w:t>
      </w:r>
      <w:r>
        <w:rPr>
          <w:b/>
          <w:bCs/>
          <w:iCs/>
        </w:rPr>
        <w:t xml:space="preserve"> </w:t>
      </w:r>
      <w:r>
        <w:t>csökken az antihipertenzív hatás (fokozott víz- és nátriumretenció a kortikoszteroid miatt).</w:t>
      </w:r>
    </w:p>
    <w:p w14:paraId="7A0D6EEB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70652448" w14:textId="77777777" w:rsidR="00DE62E1" w:rsidRDefault="00692E8D">
      <w:pPr>
        <w:suppressAutoHyphens w:val="0"/>
        <w:ind w:left="567" w:hanging="567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4.6</w:t>
      </w:r>
      <w:r>
        <w:rPr>
          <w:b/>
          <w:iCs/>
          <w:sz w:val="22"/>
          <w:szCs w:val="22"/>
        </w:rPr>
        <w:tab/>
        <w:t>Termékenység, terhesség és szoptatás</w:t>
      </w:r>
    </w:p>
    <w:p w14:paraId="732DC22F" w14:textId="77777777" w:rsidR="00DE62E1" w:rsidRDefault="00DE62E1">
      <w:pPr>
        <w:rPr>
          <w:sz w:val="22"/>
          <w:szCs w:val="22"/>
        </w:rPr>
      </w:pPr>
    </w:p>
    <w:p w14:paraId="3D7F71CC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  <w:lang w:val="en-GB"/>
        </w:rPr>
        <w:lastRenderedPageBreak/>
        <w:t>A kombináció egyes összetevőinek terhességben és szoptatás ideje alatt kifejtett hatásai alapján a</w:t>
      </w:r>
      <w:r>
        <w:rPr>
          <w:iCs/>
          <w:sz w:val="22"/>
          <w:szCs w:val="22"/>
        </w:rPr>
        <w:t xml:space="preserve"> </w:t>
      </w:r>
      <w:r>
        <w:rPr>
          <w:sz w:val="22"/>
          <w:szCs w:val="22"/>
        </w:rPr>
        <w:t>Perindopril arginine/indapamide Krka tabletta</w:t>
      </w:r>
      <w:r>
        <w:rPr>
          <w:iCs/>
          <w:sz w:val="22"/>
          <w:szCs w:val="22"/>
        </w:rPr>
        <w:t xml:space="preserve"> alkalmazása nem javasolt a terhesség első trimeszterében.</w:t>
      </w:r>
    </w:p>
    <w:p w14:paraId="5D3D682A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A </w:t>
      </w:r>
      <w:r>
        <w:rPr>
          <w:sz w:val="22"/>
          <w:szCs w:val="22"/>
        </w:rPr>
        <w:t>Perindopril arginine/indapamide Krka tabletta</w:t>
      </w:r>
      <w:r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  <w:lang w:val="en-GB"/>
        </w:rPr>
        <w:t xml:space="preserve">alkalmazása ellenjavallt </w:t>
      </w:r>
      <w:r>
        <w:rPr>
          <w:iCs/>
          <w:sz w:val="22"/>
          <w:szCs w:val="22"/>
        </w:rPr>
        <w:t>a terhesség második és harmadik trimeszterében.</w:t>
      </w:r>
    </w:p>
    <w:p w14:paraId="17D1F0EC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A </w:t>
      </w:r>
      <w:r>
        <w:rPr>
          <w:sz w:val="22"/>
          <w:szCs w:val="22"/>
        </w:rPr>
        <w:t>Perindopril arginine/indapamide Krka tabletta</w:t>
      </w:r>
      <w:r>
        <w:rPr>
          <w:iCs/>
          <w:sz w:val="22"/>
          <w:szCs w:val="22"/>
        </w:rPr>
        <w:t xml:space="preserve"> a szoptatás ideje alatt nem javasolt.</w:t>
      </w:r>
      <w:r>
        <w:t xml:space="preserve"> </w:t>
      </w:r>
      <w:r>
        <w:rPr>
          <w:iCs/>
          <w:sz w:val="22"/>
          <w:szCs w:val="22"/>
        </w:rPr>
        <w:t>El kell dönteni, hogy a szoptatást függesztik fel, vagy a Perindopril arginine/indapamide Krka-kezelést szakítják meg, figyelembe véve a terápia fontosságát az anya szempontjából.</w:t>
      </w:r>
    </w:p>
    <w:p w14:paraId="6C144328" w14:textId="77777777" w:rsidR="00DE62E1" w:rsidRDefault="00DE62E1">
      <w:pPr>
        <w:rPr>
          <w:sz w:val="22"/>
          <w:szCs w:val="22"/>
        </w:rPr>
      </w:pPr>
    </w:p>
    <w:p w14:paraId="606142ED" w14:textId="77777777" w:rsidR="00DE62E1" w:rsidRDefault="00692E8D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Terhesség</w:t>
      </w:r>
    </w:p>
    <w:p w14:paraId="0E515F6F" w14:textId="77777777" w:rsidR="00DE62E1" w:rsidRDefault="00DE62E1">
      <w:pPr>
        <w:pStyle w:val="EMEAEnBodyText"/>
        <w:keepNext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lang w:val="hu-HU"/>
        </w:rPr>
      </w:pPr>
    </w:p>
    <w:p w14:paraId="62C6D6ED" w14:textId="77777777" w:rsidR="00DE62E1" w:rsidRDefault="00692E8D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Perindoprilra vonatkozóan:</w:t>
      </w:r>
    </w:p>
    <w:p w14:paraId="01302562" w14:textId="77777777" w:rsidR="00DE62E1" w:rsidRDefault="00DE62E1">
      <w:pPr>
        <w:widowControl w:val="0"/>
        <w:tabs>
          <w:tab w:val="left" w:pos="567"/>
        </w:tabs>
        <w:autoSpaceDN w:val="0"/>
        <w:adjustRightInd w:val="0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59"/>
      </w:tblGrid>
      <w:tr w:rsidR="00DE62E1" w14:paraId="5850CC56" w14:textId="77777777">
        <w:tc>
          <w:tcPr>
            <w:tcW w:w="9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6C791" w14:textId="77777777" w:rsidR="00DE62E1" w:rsidRDefault="00692E8D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ACE-gátló alkalmazása nem javasolt a terhesség első trimeszterében (lásd 4.4 pont).</w:t>
            </w:r>
          </w:p>
          <w:p w14:paraId="17F2CA8A" w14:textId="77777777" w:rsidR="00DE62E1" w:rsidRDefault="00692E8D">
            <w:pPr>
              <w:tabs>
                <w:tab w:val="left" w:pos="567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Az ACE-gátló alkalmazása ellenjavallt a második és harmadik trimeszterben (lásd 4.3 és 4.4 pont).</w:t>
            </w:r>
          </w:p>
        </w:tc>
      </w:tr>
    </w:tbl>
    <w:p w14:paraId="2EBBEA47" w14:textId="77777777" w:rsidR="00DE62E1" w:rsidRDefault="00DE62E1">
      <w:pPr>
        <w:autoSpaceDN w:val="0"/>
        <w:adjustRightInd w:val="0"/>
        <w:rPr>
          <w:sz w:val="22"/>
          <w:szCs w:val="22"/>
        </w:rPr>
      </w:pPr>
    </w:p>
    <w:p w14:paraId="7A177EA8" w14:textId="77777777" w:rsidR="00DE62E1" w:rsidRDefault="00692E8D">
      <w:pPr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Az ACE-gátlók első trimeszterben történő szedését követő teratogén kockázatra vonatkozó epidemiológiai bizonyíték nem egyértelmű, a kockázat kismértékű növekedése azonban nem zárható ki. Hacsak az ACE-gátlóval történő folyamatos kezelés nem elengedhetetlen, a terhességet tervező betegeket más, olyan antihipertenzív kezelésre kell átállítani, melynek biztonságossága terhességben alátámasztott. Terhesség megállapításakor az ACE-gátló szedését azonnal abba kell hagyni, és egy másik, megfelelő</w:t>
      </w:r>
      <w:r>
        <w:rPr>
          <w:snapToGrid w:val="0"/>
          <w:sz w:val="22"/>
          <w:szCs w:val="22"/>
          <w:lang w:eastAsia="hu-HU"/>
        </w:rPr>
        <w:t xml:space="preserve"> </w:t>
      </w:r>
      <w:r>
        <w:rPr>
          <w:sz w:val="22"/>
          <w:szCs w:val="22"/>
        </w:rPr>
        <w:t>kezelést kell elkezdeni.</w:t>
      </w:r>
    </w:p>
    <w:p w14:paraId="7262DD34" w14:textId="77777777" w:rsidR="00DE62E1" w:rsidRDefault="00DE62E1">
      <w:pPr>
        <w:autoSpaceDN w:val="0"/>
        <w:adjustRightInd w:val="0"/>
        <w:rPr>
          <w:sz w:val="22"/>
          <w:szCs w:val="22"/>
        </w:rPr>
      </w:pPr>
    </w:p>
    <w:p w14:paraId="55CCFC90" w14:textId="77777777" w:rsidR="00DE62E1" w:rsidRDefault="00692E8D">
      <w:pPr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</w:t>
      </w:r>
      <w:r>
        <w:rPr>
          <w:snapToGrid w:val="0"/>
          <w:sz w:val="22"/>
          <w:szCs w:val="22"/>
          <w:lang w:eastAsia="hu-HU"/>
        </w:rPr>
        <w:t xml:space="preserve"> </w:t>
      </w:r>
      <w:r>
        <w:rPr>
          <w:sz w:val="22"/>
          <w:szCs w:val="22"/>
        </w:rPr>
        <w:t>terhesség második és harmadik trimeszterében történő ACE-inhibitor-kezelés bizonyítottan magzatkárosító hatású (csökkent veseműködés, oligohydramnion, a koponya csontosodásának visszamaradása) és újszülöttkori toxicitáshoz (veseelégtelenség, hypotonia, hyperkalaemia) vezet (lásd 5.3 pont).</w:t>
      </w:r>
    </w:p>
    <w:p w14:paraId="34021713" w14:textId="77777777" w:rsidR="00DE62E1" w:rsidRDefault="00692E8D">
      <w:pPr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 xml:space="preserve">Abban az esetben, ha az ACE-inihibitor expozíció a második trimeszterben vagy később történt, a veseműködés és a koponya ultrahangos ellenőrzése javasolt. </w:t>
      </w:r>
    </w:p>
    <w:p w14:paraId="4F3C09EB" w14:textId="77777777" w:rsidR="00DE62E1" w:rsidRDefault="00692E8D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lang w:val="hu-HU"/>
        </w:rPr>
      </w:pPr>
      <w:r>
        <w:rPr>
          <w:lang w:val="hu-HU"/>
        </w:rPr>
        <w:t xml:space="preserve">Az ACE-gátlót szedő anyák csecsemőit gondosan meg kell figyelni a hypotonia észlelése érdekében. </w:t>
      </w:r>
      <w:r>
        <w:t>(lásd 4.3 és 4.4 pont).</w:t>
      </w:r>
    </w:p>
    <w:p w14:paraId="4D556A4A" w14:textId="77777777" w:rsidR="00DE62E1" w:rsidRDefault="00DE62E1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lang w:val="hu-HU"/>
        </w:rPr>
      </w:pPr>
    </w:p>
    <w:p w14:paraId="60DB84A1" w14:textId="77777777" w:rsidR="00DE62E1" w:rsidRDefault="00692E8D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Indapamidra vonatkozóan:</w:t>
      </w:r>
    </w:p>
    <w:p w14:paraId="607BF5F8" w14:textId="77777777" w:rsidR="00DE62E1" w:rsidRDefault="00DE62E1">
      <w:pPr>
        <w:autoSpaceDN w:val="0"/>
        <w:adjustRightInd w:val="0"/>
        <w:rPr>
          <w:sz w:val="22"/>
          <w:szCs w:val="22"/>
        </w:rPr>
      </w:pPr>
    </w:p>
    <w:p w14:paraId="0E981100" w14:textId="77777777" w:rsidR="00DE62E1" w:rsidRDefault="00692E8D">
      <w:pPr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Az indapamid terhes nőknél történő alkalmazása tekintetében nincs, vagy csak korlátozott mennyiségű információ (kevesebb mint 300 terhesség esetében) áll rendelkezésre. A terhesség harmadik trimesztere alatti elhúzódó tiazid-expozíció csökkentheti az anyai plazmavolument és az uteroplacentalis vérellátást, ami foetoplacentalis ischaemiát és a növekedés retardációját idézheti elő.</w:t>
      </w:r>
    </w:p>
    <w:p w14:paraId="7AD0E1AC" w14:textId="77777777" w:rsidR="00DE62E1" w:rsidRDefault="00DE62E1">
      <w:pPr>
        <w:autoSpaceDN w:val="0"/>
        <w:adjustRightInd w:val="0"/>
        <w:rPr>
          <w:sz w:val="22"/>
          <w:szCs w:val="22"/>
        </w:rPr>
      </w:pPr>
    </w:p>
    <w:p w14:paraId="3A6E77EC" w14:textId="77777777" w:rsidR="00DE62E1" w:rsidRDefault="00692E8D">
      <w:pPr>
        <w:tabs>
          <w:tab w:val="left" w:pos="284"/>
          <w:tab w:val="left" w:pos="709"/>
          <w:tab w:val="left" w:pos="993"/>
        </w:tabs>
        <w:rPr>
          <w:sz w:val="22"/>
          <w:szCs w:val="22"/>
        </w:rPr>
      </w:pPr>
      <w:r>
        <w:rPr>
          <w:sz w:val="22"/>
          <w:szCs w:val="22"/>
        </w:rPr>
        <w:t>Állatokon végzett vizsgálatok során nem találtak közvetlen vagy közvetett káros hatást a reproduktív toxicitás tekintetében (lásd 5.3 pont).</w:t>
      </w:r>
    </w:p>
    <w:p w14:paraId="3AFB7D10" w14:textId="77777777" w:rsidR="00DE62E1" w:rsidRDefault="00DE62E1">
      <w:pPr>
        <w:tabs>
          <w:tab w:val="left" w:pos="284"/>
          <w:tab w:val="left" w:pos="709"/>
          <w:tab w:val="left" w:pos="993"/>
        </w:tabs>
        <w:rPr>
          <w:iCs/>
          <w:sz w:val="22"/>
          <w:szCs w:val="22"/>
          <w:u w:val="single"/>
        </w:rPr>
      </w:pPr>
    </w:p>
    <w:p w14:paraId="5CF9B0F8" w14:textId="77777777" w:rsidR="00DE62E1" w:rsidRDefault="00692E8D">
      <w:pPr>
        <w:pStyle w:val="Szvegtrzsbehzssal"/>
        <w:tabs>
          <w:tab w:val="left" w:pos="567"/>
        </w:tabs>
      </w:pPr>
      <w:r>
        <w:t>Elővigyázatosságból az indapamid alkalmazása terhesség során kerülendő.</w:t>
      </w:r>
    </w:p>
    <w:p w14:paraId="7206F1FB" w14:textId="77777777" w:rsidR="00DE62E1" w:rsidRDefault="00DE62E1">
      <w:pPr>
        <w:tabs>
          <w:tab w:val="left" w:pos="284"/>
          <w:tab w:val="left" w:pos="709"/>
          <w:tab w:val="left" w:pos="993"/>
        </w:tabs>
        <w:rPr>
          <w:iCs/>
          <w:sz w:val="22"/>
          <w:szCs w:val="22"/>
          <w:u w:val="single"/>
        </w:rPr>
      </w:pPr>
    </w:p>
    <w:p w14:paraId="0F7E2CDD" w14:textId="77777777" w:rsidR="00DE62E1" w:rsidRDefault="00692E8D">
      <w:pPr>
        <w:tabs>
          <w:tab w:val="left" w:pos="284"/>
          <w:tab w:val="left" w:pos="709"/>
          <w:tab w:val="left" w:pos="993"/>
        </w:tabs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Szoptatás</w:t>
      </w:r>
    </w:p>
    <w:p w14:paraId="768BC55E" w14:textId="77777777" w:rsidR="00DE62E1" w:rsidRDefault="00692E8D">
      <w:pPr>
        <w:tabs>
          <w:tab w:val="left" w:pos="284"/>
        </w:tabs>
        <w:rPr>
          <w:sz w:val="22"/>
          <w:szCs w:val="22"/>
        </w:rPr>
      </w:pPr>
      <w:r>
        <w:rPr>
          <w:sz w:val="22"/>
          <w:szCs w:val="22"/>
        </w:rPr>
        <w:t>A Perindopril arginine/indapamide Krka tabletta alkalmazása a szoptatás ideje alatt nem ajánlott.</w:t>
      </w:r>
    </w:p>
    <w:p w14:paraId="6B1F91FE" w14:textId="77777777" w:rsidR="00DE62E1" w:rsidRDefault="00DE62E1">
      <w:pPr>
        <w:tabs>
          <w:tab w:val="left" w:pos="284"/>
        </w:tabs>
        <w:rPr>
          <w:sz w:val="22"/>
          <w:szCs w:val="22"/>
        </w:rPr>
      </w:pPr>
    </w:p>
    <w:p w14:paraId="3530BE60" w14:textId="77777777" w:rsidR="00DE62E1" w:rsidRDefault="00692E8D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Perindoprilra vonatkozóan:</w:t>
      </w:r>
    </w:p>
    <w:p w14:paraId="2A044184" w14:textId="77777777" w:rsidR="00DE62E1" w:rsidRDefault="00DE62E1">
      <w:pPr>
        <w:suppressAutoHyphens w:val="0"/>
        <w:autoSpaceDN w:val="0"/>
        <w:adjustRightInd w:val="0"/>
        <w:rPr>
          <w:sz w:val="22"/>
          <w:szCs w:val="22"/>
          <w:lang w:eastAsia="en-US"/>
        </w:rPr>
      </w:pPr>
    </w:p>
    <w:p w14:paraId="00523A3A" w14:textId="77777777" w:rsidR="00DE62E1" w:rsidRDefault="00692E8D">
      <w:pPr>
        <w:suppressAutoHyphens w:val="0"/>
        <w:autoSpaceDN w:val="0"/>
        <w:adjustRightInd w:val="0"/>
        <w:rPr>
          <w:sz w:val="22"/>
          <w:szCs w:val="22"/>
          <w:lang w:eastAsia="en-US"/>
        </w:rPr>
      </w:pPr>
      <w:r>
        <w:rPr>
          <w:sz w:val="22"/>
          <w:szCs w:val="22"/>
          <w:lang w:val="en-GB" w:eastAsia="en-US"/>
        </w:rPr>
        <w:t xml:space="preserve">Tekintettel arra, hogy a perindopril szoptatás alatti alkalmazásáról nem áll rendelkezésre információ, a perindopril adása nem javasolt, helyette olyan </w:t>
      </w:r>
      <w:r>
        <w:rPr>
          <w:sz w:val="22"/>
          <w:szCs w:val="22"/>
          <w:lang w:eastAsia="en-US"/>
        </w:rPr>
        <w:t>készítményt kell előnyben részesíteni</w:t>
      </w:r>
      <w:r>
        <w:rPr>
          <w:sz w:val="22"/>
          <w:szCs w:val="22"/>
          <w:lang w:val="en-GB" w:eastAsia="en-US"/>
        </w:rPr>
        <w:t xml:space="preserve">, melynek a szoptatásra vonatkozó </w:t>
      </w:r>
      <w:r>
        <w:rPr>
          <w:sz w:val="22"/>
          <w:szCs w:val="22"/>
          <w:lang w:eastAsia="en-US"/>
        </w:rPr>
        <w:t>biztonságossági</w:t>
      </w:r>
      <w:r>
        <w:rPr>
          <w:sz w:val="22"/>
          <w:szCs w:val="22"/>
          <w:lang w:val="en-GB" w:eastAsia="en-US"/>
        </w:rPr>
        <w:t xml:space="preserve"> profilja jobban </w:t>
      </w:r>
      <w:r>
        <w:rPr>
          <w:sz w:val="22"/>
          <w:szCs w:val="22"/>
          <w:lang w:eastAsia="en-US"/>
        </w:rPr>
        <w:t>alátámasztott</w:t>
      </w:r>
      <w:r>
        <w:rPr>
          <w:sz w:val="22"/>
          <w:szCs w:val="22"/>
          <w:lang w:val="en-GB" w:eastAsia="en-US"/>
        </w:rPr>
        <w:t>, különösen újszülött vagy koraszülött szoptatása esetén.</w:t>
      </w:r>
    </w:p>
    <w:p w14:paraId="6D906B4E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58717DEE" w14:textId="77777777" w:rsidR="00DE62E1" w:rsidRDefault="00692E8D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u w:val="single"/>
          <w:lang w:val="hu-HU"/>
        </w:rPr>
      </w:pPr>
      <w:r>
        <w:rPr>
          <w:i/>
          <w:iCs/>
          <w:u w:val="single"/>
          <w:lang w:val="hu-HU"/>
        </w:rPr>
        <w:t>Indapamidra vonatkozóan:</w:t>
      </w:r>
    </w:p>
    <w:p w14:paraId="14F8FF96" w14:textId="77777777" w:rsidR="00DE62E1" w:rsidRDefault="00DE62E1">
      <w:pPr>
        <w:pStyle w:val="EMEAEnBodyText"/>
        <w:tabs>
          <w:tab w:val="left" w:pos="284"/>
          <w:tab w:val="left" w:pos="567"/>
          <w:tab w:val="left" w:pos="709"/>
        </w:tabs>
        <w:spacing w:before="0" w:after="0"/>
        <w:jc w:val="left"/>
        <w:rPr>
          <w:i/>
          <w:iCs/>
          <w:u w:val="single"/>
          <w:lang w:val="hu-HU"/>
        </w:rPr>
      </w:pPr>
    </w:p>
    <w:p w14:paraId="2F71D517" w14:textId="77777777" w:rsidR="00DE62E1" w:rsidRDefault="00692E8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Az indapamid, illetve az indapamid metabolitjainak </w:t>
      </w:r>
      <w:r>
        <w:rPr>
          <w:iCs/>
          <w:sz w:val="22"/>
          <w:szCs w:val="22"/>
        </w:rPr>
        <w:t>anyatejbe</w:t>
      </w:r>
      <w:r>
        <w:rPr>
          <w:sz w:val="22"/>
          <w:szCs w:val="22"/>
        </w:rPr>
        <w:t xml:space="preserve"> történő </w:t>
      </w:r>
      <w:r>
        <w:rPr>
          <w:iCs/>
          <w:sz w:val="22"/>
          <w:szCs w:val="22"/>
        </w:rPr>
        <w:t>kiválasztódásával</w:t>
      </w:r>
      <w:r>
        <w:rPr>
          <w:sz w:val="22"/>
          <w:szCs w:val="22"/>
        </w:rPr>
        <w:t xml:space="preserve"> kapcsolatban </w:t>
      </w:r>
      <w:r>
        <w:rPr>
          <w:iCs/>
          <w:sz w:val="22"/>
          <w:szCs w:val="22"/>
        </w:rPr>
        <w:t>nem áll rendelkezésre elegendő</w:t>
      </w:r>
      <w:r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 xml:space="preserve">információ. Szulfonamid-származékokkal szembeni túlérzékenység, hypokalaemia is előfordulhat. Az újszülöttre/csecsemőre nézve </w:t>
      </w:r>
      <w:r>
        <w:rPr>
          <w:sz w:val="22"/>
          <w:szCs w:val="22"/>
        </w:rPr>
        <w:t xml:space="preserve">a </w:t>
      </w:r>
      <w:r>
        <w:rPr>
          <w:iCs/>
          <w:sz w:val="22"/>
          <w:szCs w:val="22"/>
        </w:rPr>
        <w:t>kockázatot nem lehet kizárni</w:t>
      </w:r>
      <w:r>
        <w:rPr>
          <w:sz w:val="22"/>
          <w:szCs w:val="22"/>
        </w:rPr>
        <w:t>.</w:t>
      </w:r>
    </w:p>
    <w:p w14:paraId="3D08A4A7" w14:textId="77777777" w:rsidR="00DE62E1" w:rsidRDefault="00DE62E1">
      <w:pPr>
        <w:tabs>
          <w:tab w:val="left" w:pos="567"/>
        </w:tabs>
        <w:rPr>
          <w:sz w:val="22"/>
          <w:szCs w:val="22"/>
        </w:rPr>
      </w:pPr>
    </w:p>
    <w:p w14:paraId="0FA17795" w14:textId="77777777" w:rsidR="00DE62E1" w:rsidRDefault="00692E8D">
      <w:pPr>
        <w:tabs>
          <w:tab w:val="left" w:pos="567"/>
        </w:tabs>
        <w:rPr>
          <w:sz w:val="22"/>
          <w:szCs w:val="22"/>
        </w:rPr>
      </w:pPr>
      <w:r>
        <w:rPr>
          <w:sz w:val="22"/>
          <w:szCs w:val="22"/>
        </w:rPr>
        <w:t>Az indapamid a tiazid-típusú diuretikumokkal rokon vegyület, melyekről ismert, hogy hatásukra a laktáció csökkenhet vagy megszűnhet.</w:t>
      </w:r>
    </w:p>
    <w:p w14:paraId="40754B99" w14:textId="77777777" w:rsidR="00DE62E1" w:rsidRDefault="00DE62E1">
      <w:pPr>
        <w:rPr>
          <w:noProof/>
          <w:sz w:val="22"/>
          <w:szCs w:val="22"/>
        </w:rPr>
      </w:pPr>
    </w:p>
    <w:p w14:paraId="6EE1F675" w14:textId="77777777" w:rsidR="00DE62E1" w:rsidRDefault="00692E8D">
      <w:pPr>
        <w:pStyle w:val="Szvegtrzsbehzssal"/>
        <w:tabs>
          <w:tab w:val="left" w:pos="567"/>
        </w:tabs>
      </w:pPr>
      <w:r>
        <w:t>Az indapamid szoptatás alatt nem ajánlott.</w:t>
      </w:r>
    </w:p>
    <w:p w14:paraId="6DB8EA73" w14:textId="77777777" w:rsidR="00DE62E1" w:rsidRDefault="00DE62E1">
      <w:pPr>
        <w:rPr>
          <w:noProof/>
          <w:sz w:val="22"/>
          <w:szCs w:val="22"/>
        </w:rPr>
      </w:pPr>
    </w:p>
    <w:p w14:paraId="6A073908" w14:textId="77777777" w:rsidR="00DE62E1" w:rsidRDefault="00692E8D">
      <w:pPr>
        <w:pStyle w:val="Szvegtrzsbehzssal"/>
        <w:tabs>
          <w:tab w:val="left" w:pos="567"/>
        </w:tabs>
        <w:rPr>
          <w:u w:val="single"/>
        </w:rPr>
      </w:pPr>
      <w:r>
        <w:rPr>
          <w:u w:val="single"/>
        </w:rPr>
        <w:t>Termékenység</w:t>
      </w:r>
    </w:p>
    <w:p w14:paraId="3223E078" w14:textId="77777777" w:rsidR="00DE62E1" w:rsidRDefault="00DE62E1">
      <w:pPr>
        <w:rPr>
          <w:i/>
          <w:noProof/>
          <w:sz w:val="22"/>
          <w:szCs w:val="22"/>
        </w:rPr>
      </w:pPr>
    </w:p>
    <w:p w14:paraId="25671909" w14:textId="77777777" w:rsidR="00DE62E1" w:rsidRDefault="00692E8D">
      <w:pPr>
        <w:rPr>
          <w:i/>
          <w:noProof/>
          <w:sz w:val="22"/>
          <w:szCs w:val="22"/>
        </w:rPr>
      </w:pPr>
      <w:r>
        <w:rPr>
          <w:i/>
          <w:noProof/>
          <w:sz w:val="22"/>
          <w:szCs w:val="22"/>
        </w:rPr>
        <w:t>A perindoprilra és az indapamidra vonatkozóan:</w:t>
      </w:r>
    </w:p>
    <w:p w14:paraId="7F384602" w14:textId="77777777" w:rsidR="00DE62E1" w:rsidRDefault="00692E8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Reproduktív toxicitási vizsgálatokban nem befolyásolta a termékenységet nőstény és hím patkányok esetén (lásd 5.3 pont). A humán termékenységre gyakorolt hatás nem várható.</w:t>
      </w:r>
    </w:p>
    <w:p w14:paraId="2CE2AF77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0F724213" w14:textId="77777777" w:rsidR="00DE62E1" w:rsidRDefault="00692E8D">
      <w:pPr>
        <w:suppressAutoHyphens w:val="0"/>
        <w:ind w:left="567" w:hanging="567"/>
        <w:rPr>
          <w:b/>
          <w:bCs/>
          <w:iCs/>
          <w:sz w:val="22"/>
          <w:szCs w:val="22"/>
        </w:rPr>
      </w:pPr>
      <w:r>
        <w:rPr>
          <w:b/>
          <w:bCs/>
          <w:iCs/>
          <w:sz w:val="22"/>
          <w:szCs w:val="22"/>
        </w:rPr>
        <w:t>4.7</w:t>
      </w:r>
      <w:r>
        <w:rPr>
          <w:b/>
          <w:bCs/>
          <w:iCs/>
          <w:sz w:val="22"/>
          <w:szCs w:val="22"/>
        </w:rPr>
        <w:tab/>
        <w:t>A készítmény hatásai a gépjárművezetéshez és a gépek kezeléséhez szükséges képességekre</w:t>
      </w:r>
    </w:p>
    <w:p w14:paraId="2D5D7E36" w14:textId="77777777" w:rsidR="00DE62E1" w:rsidRDefault="00DE62E1">
      <w:pPr>
        <w:suppressAutoHyphens w:val="0"/>
        <w:rPr>
          <w:bCs/>
          <w:i/>
          <w:iCs/>
          <w:sz w:val="22"/>
          <w:szCs w:val="22"/>
        </w:rPr>
      </w:pPr>
    </w:p>
    <w:p w14:paraId="76BFB701" w14:textId="77777777" w:rsidR="00DE62E1" w:rsidRDefault="00692E8D">
      <w:pPr>
        <w:suppressAutoHyphens w:val="0"/>
        <w:rPr>
          <w:bCs/>
          <w:i/>
          <w:iCs/>
          <w:sz w:val="22"/>
          <w:szCs w:val="22"/>
        </w:rPr>
      </w:pPr>
      <w:r>
        <w:rPr>
          <w:bCs/>
          <w:i/>
          <w:iCs/>
          <w:sz w:val="22"/>
          <w:szCs w:val="22"/>
        </w:rPr>
        <w:t>A perindoprilra, az indapamidra és a Perindopril arginine/indapamide Krka tablettára vonatkozóan</w:t>
      </w:r>
    </w:p>
    <w:p w14:paraId="33DC95F4" w14:textId="77777777" w:rsidR="00DE62E1" w:rsidRDefault="00DE62E1">
      <w:pPr>
        <w:suppressAutoHyphens w:val="0"/>
        <w:rPr>
          <w:bCs/>
          <w:i/>
          <w:iCs/>
          <w:sz w:val="22"/>
          <w:szCs w:val="22"/>
        </w:rPr>
      </w:pPr>
    </w:p>
    <w:p w14:paraId="30717D65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Bár sem a két hatóanyag, sem a Perindopril arginine/indapamide Krka tabletta nem befolyásolja az éberséget, egyes betegeknél a vérnyomás csökkenése miatt felléphetnek egyedi reakciók, különösen a kezelés megkezdésekor vagy más vérnyomáscsökkentőkkel történő együttes kezelés során. Ezek következtében a gépjárművezetéshez és a gépek kezeléséhez szükséges képességek károsodhatnak.</w:t>
      </w:r>
    </w:p>
    <w:p w14:paraId="0CE457AC" w14:textId="77777777" w:rsidR="00DE62E1" w:rsidRDefault="00DE62E1">
      <w:pPr>
        <w:suppressAutoHyphens w:val="0"/>
        <w:rPr>
          <w:sz w:val="22"/>
          <w:szCs w:val="22"/>
        </w:rPr>
      </w:pPr>
    </w:p>
    <w:p w14:paraId="2F041C01" w14:textId="77777777" w:rsidR="00DE62E1" w:rsidRDefault="00692E8D">
      <w:pPr>
        <w:pStyle w:val="Norml11"/>
        <w:keepNext/>
        <w:suppressAutoHyphens w:val="0"/>
        <w:ind w:left="567" w:hanging="567"/>
        <w:rPr>
          <w:b/>
          <w:bCs/>
        </w:rPr>
      </w:pPr>
      <w:r>
        <w:rPr>
          <w:b/>
          <w:bCs/>
        </w:rPr>
        <w:t>4.8</w:t>
      </w:r>
      <w:r>
        <w:rPr>
          <w:b/>
          <w:bCs/>
        </w:rPr>
        <w:tab/>
        <w:t>Nemkívánatos hatások, mellékhatások</w:t>
      </w:r>
    </w:p>
    <w:p w14:paraId="4BB326E2" w14:textId="77777777" w:rsidR="00DE62E1" w:rsidRDefault="00DE62E1">
      <w:pPr>
        <w:keepNext/>
        <w:suppressAutoHyphens w:val="0"/>
        <w:rPr>
          <w:sz w:val="22"/>
          <w:szCs w:val="22"/>
        </w:rPr>
      </w:pPr>
    </w:p>
    <w:p w14:paraId="32E781BF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a.</w:t>
      </w:r>
      <w:r>
        <w:rPr>
          <w:sz w:val="22"/>
          <w:szCs w:val="22"/>
        </w:rPr>
        <w:tab/>
        <w:t>A biztonságossági profil összefoglalása</w:t>
      </w:r>
    </w:p>
    <w:p w14:paraId="76694776" w14:textId="77777777" w:rsidR="00DE62E1" w:rsidRDefault="00DE62E1">
      <w:pPr>
        <w:rPr>
          <w:bCs/>
          <w:iCs/>
          <w:sz w:val="22"/>
          <w:szCs w:val="22"/>
          <w:u w:val="single"/>
        </w:rPr>
      </w:pPr>
    </w:p>
    <w:p w14:paraId="3FE77A38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a renin-angiotenzin-aldoszteron-rendszer gátlása révén csökkenti az indapamid által előidézett hypokalaemiát.</w:t>
      </w:r>
    </w:p>
    <w:p w14:paraId="2E489607" w14:textId="77777777" w:rsidR="00DE62E1" w:rsidRDefault="00DE62E1">
      <w:pPr>
        <w:tabs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31B062A9" w14:textId="77777777" w:rsidR="00DE62E1" w:rsidRDefault="00692E8D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leggyakrabban jelentett mellékhatások:</w:t>
      </w:r>
    </w:p>
    <w:p w14:paraId="56C5B83F" w14:textId="77777777" w:rsidR="00DE62E1" w:rsidRDefault="00692E8D">
      <w:pPr>
        <w:numPr>
          <w:ilvl w:val="0"/>
          <w:numId w:val="6"/>
        </w:numPr>
        <w:tabs>
          <w:tab w:val="left" w:pos="567"/>
        </w:tabs>
        <w:suppressAutoHyphens w:val="0"/>
        <w:autoSpaceDE/>
        <w:ind w:left="567" w:hanging="567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perindoprilra vonatkozóan: szédülés, fejfájás,</w:t>
      </w:r>
      <w:r>
        <w:rPr>
          <w:bCs/>
          <w:iCs/>
          <w:sz w:val="22"/>
          <w:szCs w:val="22"/>
          <w:lang w:eastAsia="en-US"/>
        </w:rPr>
        <w:t xml:space="preserve"> </w:t>
      </w:r>
      <w:r>
        <w:rPr>
          <w:bCs/>
          <w:iCs/>
          <w:sz w:val="22"/>
          <w:szCs w:val="22"/>
        </w:rPr>
        <w:t>paraesthesia, dysgeusia, látászavarok, vertigo, tinnitus, hypotonia, köhögés, dyspnoe, hasi fájdalom, székrekedés,</w:t>
      </w:r>
      <w:r>
        <w:rPr>
          <w:bCs/>
          <w:iCs/>
          <w:sz w:val="22"/>
          <w:szCs w:val="22"/>
          <w:lang w:eastAsia="en-US"/>
        </w:rPr>
        <w:t xml:space="preserve"> dyspepsia, hasmenés, hányinger</w:t>
      </w:r>
      <w:r>
        <w:rPr>
          <w:bCs/>
          <w:iCs/>
          <w:sz w:val="22"/>
          <w:szCs w:val="22"/>
        </w:rPr>
        <w:t>,</w:t>
      </w:r>
      <w:r>
        <w:rPr>
          <w:bCs/>
          <w:iCs/>
          <w:sz w:val="22"/>
          <w:szCs w:val="22"/>
          <w:lang w:eastAsia="en-US"/>
        </w:rPr>
        <w:t xml:space="preserve"> </w:t>
      </w:r>
      <w:r>
        <w:rPr>
          <w:bCs/>
          <w:iCs/>
          <w:sz w:val="22"/>
          <w:szCs w:val="22"/>
        </w:rPr>
        <w:t>hányás, pruritus, bőrkiütés,</w:t>
      </w:r>
      <w:r>
        <w:rPr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>izomgörcsök, és asthenia.</w:t>
      </w:r>
    </w:p>
    <w:p w14:paraId="7A3A3455" w14:textId="77777777" w:rsidR="00DE62E1" w:rsidRDefault="00692E8D">
      <w:pPr>
        <w:numPr>
          <w:ilvl w:val="0"/>
          <w:numId w:val="5"/>
        </w:numPr>
        <w:tabs>
          <w:tab w:val="left" w:pos="567"/>
        </w:tabs>
        <w:suppressAutoHyphens w:val="0"/>
        <w:autoSpaceDE/>
        <w:ind w:left="567" w:hanging="567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az indapamidra vonatkozóan: </w:t>
      </w:r>
      <w:r>
        <w:rPr>
          <w:sz w:val="22"/>
          <w:szCs w:val="22"/>
          <w:lang w:val="en-GB"/>
        </w:rPr>
        <w:t xml:space="preserve">hypokalaemia, </w:t>
      </w:r>
      <w:r>
        <w:rPr>
          <w:bCs/>
          <w:iCs/>
          <w:sz w:val="22"/>
          <w:szCs w:val="22"/>
        </w:rPr>
        <w:t>főleg bőrgyógyászati jellegű túlérzékenységi reakciók olyan személyeknél, akik allergiás, asztmatikus reakciókra és maculopapulosus kiütésekre hajlamosak.</w:t>
      </w:r>
    </w:p>
    <w:p w14:paraId="25F68CDA" w14:textId="77777777" w:rsidR="00DE62E1" w:rsidRDefault="00DE62E1">
      <w:pPr>
        <w:keepNext/>
        <w:suppressAutoHyphens w:val="0"/>
        <w:rPr>
          <w:sz w:val="22"/>
          <w:szCs w:val="22"/>
        </w:rPr>
      </w:pPr>
    </w:p>
    <w:p w14:paraId="7E86574A" w14:textId="77777777" w:rsidR="00DE62E1" w:rsidRDefault="00692E8D">
      <w:pPr>
        <w:keepNext/>
        <w:suppressAutoHyphens w:val="0"/>
        <w:rPr>
          <w:sz w:val="22"/>
          <w:szCs w:val="22"/>
        </w:rPr>
      </w:pPr>
      <w:r>
        <w:rPr>
          <w:sz w:val="22"/>
          <w:szCs w:val="22"/>
        </w:rPr>
        <w:t>b</w:t>
      </w:r>
      <w:r>
        <w:rPr>
          <w:sz w:val="22"/>
          <w:szCs w:val="22"/>
        </w:rPr>
        <w:tab/>
        <w:t>A mellékhatások táblázatos felsorolása</w:t>
      </w:r>
    </w:p>
    <w:p w14:paraId="02CFB8C2" w14:textId="77777777" w:rsidR="00DE62E1" w:rsidRDefault="00DE62E1">
      <w:pPr>
        <w:keepNext/>
        <w:suppressAutoHyphens w:val="0"/>
        <w:rPr>
          <w:sz w:val="22"/>
          <w:szCs w:val="22"/>
        </w:rPr>
      </w:pPr>
    </w:p>
    <w:p w14:paraId="75EF9C27" w14:textId="77777777" w:rsidR="00DE62E1" w:rsidRDefault="00692E8D">
      <w:pPr>
        <w:tabs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</w:t>
      </w:r>
      <w:r>
        <w:rPr>
          <w:sz w:val="22"/>
          <w:szCs w:val="22"/>
        </w:rPr>
        <w:t xml:space="preserve"> klinikai vizsgálatok alatt és/vagy a forgalomba hozatalt követően </w:t>
      </w:r>
      <w:r>
        <w:rPr>
          <w:snapToGrid w:val="0"/>
          <w:sz w:val="22"/>
          <w:szCs w:val="22"/>
          <w:lang w:eastAsia="hu-HU"/>
        </w:rPr>
        <w:t>megfigyelt nemkívánatos hatások felsorolása a következő gyakorisági kategóriák szerint történt:</w:t>
      </w:r>
    </w:p>
    <w:p w14:paraId="04466E6C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Nagyon gyakori (</w:t>
      </w:r>
      <w:r>
        <w:rPr>
          <w:noProof/>
          <w:sz w:val="22"/>
          <w:szCs w:val="22"/>
          <w:lang w:val="en-GB"/>
        </w:rPr>
        <w:sym w:font="Symbol" w:char="F0B3"/>
      </w:r>
      <w:r>
        <w:rPr>
          <w:noProof/>
          <w:sz w:val="22"/>
          <w:szCs w:val="22"/>
          <w:lang w:val="en-GB"/>
        </w:rPr>
        <w:t> </w:t>
      </w:r>
      <w:r>
        <w:rPr>
          <w:sz w:val="22"/>
          <w:szCs w:val="22"/>
        </w:rPr>
        <w:t>1/10);</w:t>
      </w:r>
    </w:p>
    <w:p w14:paraId="1D06DF28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Gyakori (</w:t>
      </w:r>
      <w:r>
        <w:rPr>
          <w:sz w:val="22"/>
          <w:szCs w:val="22"/>
        </w:rPr>
        <w:sym w:font="Symbol" w:char="F0B3"/>
      </w:r>
      <w:r>
        <w:rPr>
          <w:sz w:val="22"/>
          <w:szCs w:val="22"/>
        </w:rPr>
        <w:t> 1/100 – &lt; 1/10);</w:t>
      </w:r>
    </w:p>
    <w:p w14:paraId="2BABC4AB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Nem gyakori (</w:t>
      </w:r>
      <w:r>
        <w:rPr>
          <w:sz w:val="22"/>
          <w:szCs w:val="22"/>
        </w:rPr>
        <w:sym w:font="Symbol" w:char="F0B3"/>
      </w:r>
      <w:r>
        <w:rPr>
          <w:sz w:val="22"/>
          <w:szCs w:val="22"/>
        </w:rPr>
        <w:t> 1/1000 – &lt; 1/100);</w:t>
      </w:r>
    </w:p>
    <w:p w14:paraId="77A4A45E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Ritka (</w:t>
      </w:r>
      <w:r>
        <w:rPr>
          <w:sz w:val="22"/>
          <w:szCs w:val="22"/>
        </w:rPr>
        <w:sym w:font="Symbol" w:char="F0B3"/>
      </w:r>
      <w:r>
        <w:rPr>
          <w:sz w:val="22"/>
          <w:szCs w:val="22"/>
        </w:rPr>
        <w:t> 1/10 000 – &lt; 1/1000);</w:t>
      </w:r>
    </w:p>
    <w:p w14:paraId="02429899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Nagyon ritka (&lt; 1/10 000);</w:t>
      </w:r>
    </w:p>
    <w:p w14:paraId="4FE4CF2B" w14:textId="77777777" w:rsidR="00DE62E1" w:rsidRDefault="00692E8D">
      <w:pPr>
        <w:numPr>
          <w:ilvl w:val="0"/>
          <w:numId w:val="10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Nem ismert (</w:t>
      </w:r>
      <w:r>
        <w:rPr>
          <w:noProof/>
          <w:sz w:val="22"/>
          <w:szCs w:val="22"/>
        </w:rPr>
        <w:t>a rendelkezésre álló adatokból a gyakoriság nem állapítható meg</w:t>
      </w:r>
      <w:r>
        <w:rPr>
          <w:sz w:val="22"/>
          <w:szCs w:val="22"/>
        </w:rPr>
        <w:t>).</w:t>
      </w:r>
    </w:p>
    <w:p w14:paraId="17EC7732" w14:textId="77777777" w:rsidR="00DE62E1" w:rsidRDefault="00DE62E1">
      <w:pPr>
        <w:suppressAutoHyphens w:val="0"/>
        <w:rPr>
          <w:sz w:val="22"/>
          <w:szCs w:val="22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96"/>
        <w:gridCol w:w="4191"/>
        <w:gridCol w:w="1418"/>
        <w:gridCol w:w="1417"/>
      </w:tblGrid>
      <w:tr w:rsidR="00DE62E1" w14:paraId="5A9B9A7D" w14:textId="77777777">
        <w:trPr>
          <w:tblHeader/>
        </w:trPr>
        <w:tc>
          <w:tcPr>
            <w:tcW w:w="2296" w:type="dxa"/>
            <w:vMerge w:val="restart"/>
            <w:shd w:val="clear" w:color="auto" w:fill="auto"/>
            <w:vAlign w:val="center"/>
          </w:tcPr>
          <w:p w14:paraId="65A58A1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MedDRA szervrendszer</w:t>
            </w:r>
          </w:p>
        </w:tc>
        <w:tc>
          <w:tcPr>
            <w:tcW w:w="4191" w:type="dxa"/>
            <w:vMerge w:val="restart"/>
            <w:shd w:val="clear" w:color="auto" w:fill="auto"/>
            <w:vAlign w:val="center"/>
          </w:tcPr>
          <w:p w14:paraId="1AAF4E6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Mellékhatások</w:t>
            </w:r>
          </w:p>
        </w:tc>
        <w:tc>
          <w:tcPr>
            <w:tcW w:w="2835" w:type="dxa"/>
            <w:gridSpan w:val="2"/>
            <w:shd w:val="clear" w:color="auto" w:fill="auto"/>
            <w:vAlign w:val="center"/>
          </w:tcPr>
          <w:p w14:paraId="52607CA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Gyakoriság</w:t>
            </w:r>
          </w:p>
        </w:tc>
      </w:tr>
      <w:tr w:rsidR="00DE62E1" w14:paraId="765F3E1C" w14:textId="77777777">
        <w:trPr>
          <w:tblHeader/>
        </w:trPr>
        <w:tc>
          <w:tcPr>
            <w:tcW w:w="2296" w:type="dxa"/>
            <w:vMerge/>
            <w:shd w:val="clear" w:color="auto" w:fill="auto"/>
            <w:vAlign w:val="center"/>
          </w:tcPr>
          <w:p w14:paraId="1E829C9B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vMerge/>
            <w:shd w:val="clear" w:color="auto" w:fill="auto"/>
            <w:vAlign w:val="center"/>
          </w:tcPr>
          <w:p w14:paraId="13BEAF11" w14:textId="77777777" w:rsidR="00DE62E1" w:rsidRDefault="00DE62E1">
            <w:pPr>
              <w:tabs>
                <w:tab w:val="left" w:pos="1418"/>
              </w:tabs>
              <w:jc w:val="center"/>
              <w:rPr>
                <w:sz w:val="22"/>
                <w:szCs w:val="22"/>
                <w:u w:val="single"/>
              </w:rPr>
            </w:pPr>
          </w:p>
        </w:tc>
        <w:tc>
          <w:tcPr>
            <w:tcW w:w="1418" w:type="dxa"/>
            <w:shd w:val="clear" w:color="auto" w:fill="auto"/>
            <w:vAlign w:val="center"/>
          </w:tcPr>
          <w:p w14:paraId="154EE0F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perindopril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E1929A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indapamid</w:t>
            </w:r>
          </w:p>
        </w:tc>
      </w:tr>
      <w:tr w:rsidR="00DE62E1" w14:paraId="02ED125E" w14:textId="77777777">
        <w:tc>
          <w:tcPr>
            <w:tcW w:w="2296" w:type="dxa"/>
            <w:shd w:val="clear" w:color="auto" w:fill="auto"/>
            <w:vAlign w:val="center"/>
          </w:tcPr>
          <w:p w14:paraId="3EDEA797" w14:textId="77777777" w:rsidR="00DE62E1" w:rsidRDefault="00692E8D">
            <w:pPr>
              <w:tabs>
                <w:tab w:val="left" w:pos="1418"/>
              </w:tabs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Fertőző betegségek és parazitafertőzések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7ED0299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Rhinitis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2D8689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332121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F1BD39A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5BE645F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Vérképzőszervi és nyirokrendszeri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2C17CA5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Eosinophilia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7BA246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13511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4A52AAB" w14:textId="77777777">
        <w:tc>
          <w:tcPr>
            <w:tcW w:w="2296" w:type="dxa"/>
            <w:vMerge/>
            <w:shd w:val="clear" w:color="auto" w:fill="auto"/>
            <w:vAlign w:val="center"/>
          </w:tcPr>
          <w:p w14:paraId="09917D69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D84DD0B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Agranulocytosis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D20B5C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EB6C4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530D1E7E" w14:textId="77777777">
        <w:tc>
          <w:tcPr>
            <w:tcW w:w="2296" w:type="dxa"/>
            <w:vMerge/>
            <w:shd w:val="clear" w:color="auto" w:fill="auto"/>
            <w:vAlign w:val="center"/>
          </w:tcPr>
          <w:p w14:paraId="0F62C448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B10AFA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Aplasticus anaemia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30A8E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CBDDE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2F50B470" w14:textId="77777777">
        <w:tc>
          <w:tcPr>
            <w:tcW w:w="2296" w:type="dxa"/>
            <w:vMerge/>
            <w:shd w:val="clear" w:color="auto" w:fill="auto"/>
            <w:vAlign w:val="center"/>
          </w:tcPr>
          <w:p w14:paraId="3957A25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1FC9469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Pancytopenia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1D67D0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C882DC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6E97987" w14:textId="77777777">
        <w:tc>
          <w:tcPr>
            <w:tcW w:w="2296" w:type="dxa"/>
            <w:vMerge/>
            <w:shd w:val="clear" w:color="auto" w:fill="auto"/>
            <w:vAlign w:val="center"/>
          </w:tcPr>
          <w:p w14:paraId="4626FD4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0D0AA9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Leukopenia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2E775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A44B4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1C7E6E1F" w14:textId="77777777">
        <w:tc>
          <w:tcPr>
            <w:tcW w:w="2296" w:type="dxa"/>
            <w:vMerge/>
            <w:shd w:val="clear" w:color="auto" w:fill="auto"/>
            <w:vAlign w:val="center"/>
          </w:tcPr>
          <w:p w14:paraId="65E7FE7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01B086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Neutropenia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1F49E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645E31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3FDEFC5" w14:textId="77777777">
        <w:tc>
          <w:tcPr>
            <w:tcW w:w="2296" w:type="dxa"/>
            <w:vMerge/>
            <w:shd w:val="clear" w:color="auto" w:fill="auto"/>
            <w:vAlign w:val="center"/>
          </w:tcPr>
          <w:p w14:paraId="39535974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D9B87D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Haemolyticus anaemia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2B70EA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3B93A4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2F3236F2" w14:textId="77777777">
        <w:tc>
          <w:tcPr>
            <w:tcW w:w="2296" w:type="dxa"/>
            <w:vMerge/>
            <w:shd w:val="clear" w:color="auto" w:fill="auto"/>
            <w:vAlign w:val="center"/>
          </w:tcPr>
          <w:p w14:paraId="0FE4059A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9B79ECA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Thrombocytopenia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4538DE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781E61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4B810D29" w14:textId="77777777">
        <w:tc>
          <w:tcPr>
            <w:tcW w:w="2296" w:type="dxa"/>
            <w:shd w:val="clear" w:color="auto" w:fill="auto"/>
            <w:vAlign w:val="center"/>
          </w:tcPr>
          <w:p w14:paraId="3472B53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Immunrendszeri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2F9F980A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Túlérzékenységi reakciók (elsősorban dermatológiai, allergiás és asztmás reakciókra hajlamos egyéneknél)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9877E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3D6CB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DE62E1" w14:paraId="14F71C8E" w14:textId="77777777">
        <w:tc>
          <w:tcPr>
            <w:tcW w:w="2296" w:type="dxa"/>
            <w:shd w:val="clear" w:color="auto" w:fill="auto"/>
            <w:vAlign w:val="center"/>
          </w:tcPr>
          <w:p w14:paraId="30E2C5D2" w14:textId="77777777" w:rsidR="00DE62E1" w:rsidRDefault="00692E8D">
            <w:pPr>
              <w:tabs>
                <w:tab w:val="left" w:pos="1418"/>
              </w:tabs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Endokrin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06CBE0A9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megfelelő antidiuretikushormon-termelés szindróma (SIADH)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765EE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24986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0D67D4EE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670F4076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Anyagcsere- és táplálkozási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4F28D6A4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Hypoglykaemia (lásd 4.4 és 4.5 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CBF415E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3BB3A8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1D6B3FD" w14:textId="77777777">
        <w:tc>
          <w:tcPr>
            <w:tcW w:w="2296" w:type="dxa"/>
            <w:vMerge/>
            <w:shd w:val="clear" w:color="auto" w:fill="auto"/>
            <w:vAlign w:val="center"/>
          </w:tcPr>
          <w:p w14:paraId="636057F9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021BC56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Hyperkalaemia, a kezelés felfüggesztésekor reverzibilis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71CE1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FB82D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7A75CD26" w14:textId="77777777">
        <w:tc>
          <w:tcPr>
            <w:tcW w:w="2296" w:type="dxa"/>
            <w:vMerge/>
            <w:shd w:val="clear" w:color="auto" w:fill="auto"/>
            <w:vAlign w:val="center"/>
          </w:tcPr>
          <w:p w14:paraId="64C3DAE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8B2DD7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Hyponatraemia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E7D60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09DD2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DE62E1" w14:paraId="70677B98" w14:textId="77777777">
        <w:tc>
          <w:tcPr>
            <w:tcW w:w="2296" w:type="dxa"/>
            <w:vMerge/>
            <w:shd w:val="clear" w:color="auto" w:fill="auto"/>
            <w:vAlign w:val="center"/>
          </w:tcPr>
          <w:p w14:paraId="144C1C8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6EFF682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Hypercalcaemia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D0B64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EDFF4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4DD96B66" w14:textId="77777777">
        <w:tc>
          <w:tcPr>
            <w:tcW w:w="2296" w:type="dxa"/>
            <w:vMerge/>
            <w:shd w:val="clear" w:color="auto" w:fill="auto"/>
            <w:vAlign w:val="center"/>
          </w:tcPr>
          <w:p w14:paraId="4CFD5B8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EACED5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Hypokalaemia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B19C4E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A472E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</w:tr>
      <w:tr w:rsidR="00DE62E1" w14:paraId="6E9988BC" w14:textId="77777777">
        <w:tc>
          <w:tcPr>
            <w:tcW w:w="2296" w:type="dxa"/>
            <w:vMerge/>
            <w:shd w:val="clear" w:color="auto" w:fill="auto"/>
            <w:vAlign w:val="center"/>
          </w:tcPr>
          <w:p w14:paraId="28FA1394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CCDE158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Hypochloraemia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4AB8E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AA31CE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34215A18" w14:textId="77777777">
        <w:tc>
          <w:tcPr>
            <w:tcW w:w="2296" w:type="dxa"/>
            <w:vMerge/>
            <w:shd w:val="clear" w:color="auto" w:fill="auto"/>
            <w:vAlign w:val="center"/>
          </w:tcPr>
          <w:p w14:paraId="131F8FE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CE16C3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Hypomagnesaemia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F0129C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ACD98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081CBDB5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7E8A2CF2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Pszichiátriai kórképek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15EB4524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Megváltozott kedélyállapot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DC8280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B580D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38487DE" w14:textId="77777777">
        <w:tc>
          <w:tcPr>
            <w:tcW w:w="2296" w:type="dxa"/>
            <w:vMerge/>
            <w:shd w:val="clear" w:color="auto" w:fill="auto"/>
            <w:vAlign w:val="center"/>
          </w:tcPr>
          <w:p w14:paraId="51A6771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A32750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Alvászavar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C0380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5323E1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5408D979" w14:textId="77777777">
        <w:tc>
          <w:tcPr>
            <w:tcW w:w="2296" w:type="dxa"/>
            <w:vMerge/>
            <w:shd w:val="clear" w:color="auto" w:fill="auto"/>
            <w:vAlign w:val="center"/>
          </w:tcPr>
          <w:p w14:paraId="2E5D1A34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4C30C7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Depresszió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9C2075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39FC9A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D6668C0" w14:textId="77777777">
        <w:tc>
          <w:tcPr>
            <w:tcW w:w="2296" w:type="dxa"/>
            <w:vMerge/>
            <w:shd w:val="clear" w:color="auto" w:fill="auto"/>
            <w:vAlign w:val="center"/>
          </w:tcPr>
          <w:p w14:paraId="728BD8E3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A0C65D0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Zavartság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8AAC56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63454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5011A580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4CCD560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Idegrendszeri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7C6B3BC9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Szédülés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E1930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D1EA2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BD46A78" w14:textId="77777777">
        <w:tc>
          <w:tcPr>
            <w:tcW w:w="2296" w:type="dxa"/>
            <w:vMerge/>
            <w:shd w:val="clear" w:color="auto" w:fill="auto"/>
            <w:vAlign w:val="center"/>
          </w:tcPr>
          <w:p w14:paraId="5007019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7D4820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Fejfájás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E8E0D2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9B889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75CD1E56" w14:textId="77777777">
        <w:tc>
          <w:tcPr>
            <w:tcW w:w="2296" w:type="dxa"/>
            <w:vMerge/>
            <w:shd w:val="clear" w:color="auto" w:fill="auto"/>
            <w:vAlign w:val="center"/>
          </w:tcPr>
          <w:p w14:paraId="3F052DF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4C2768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Paraesthesia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49687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23A68A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04DB1E4A" w14:textId="77777777">
        <w:tc>
          <w:tcPr>
            <w:tcW w:w="2296" w:type="dxa"/>
            <w:vMerge/>
            <w:shd w:val="clear" w:color="auto" w:fill="auto"/>
            <w:vAlign w:val="center"/>
          </w:tcPr>
          <w:p w14:paraId="5911C36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98116B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Dysgeusia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511FF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44AE2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33005A4D" w14:textId="77777777">
        <w:tc>
          <w:tcPr>
            <w:tcW w:w="2296" w:type="dxa"/>
            <w:vMerge/>
            <w:shd w:val="clear" w:color="auto" w:fill="auto"/>
            <w:vAlign w:val="center"/>
          </w:tcPr>
          <w:p w14:paraId="6525AEDC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1B20DA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Aluszékonyság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C3AB4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8F496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7518E3B4" w14:textId="77777777">
        <w:tc>
          <w:tcPr>
            <w:tcW w:w="2296" w:type="dxa"/>
            <w:vMerge/>
            <w:shd w:val="clear" w:color="auto" w:fill="auto"/>
            <w:vAlign w:val="center"/>
          </w:tcPr>
          <w:p w14:paraId="2F94F9F1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01454E59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Syncope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DB5DD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AC9D3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37D2A746" w14:textId="77777777">
        <w:tc>
          <w:tcPr>
            <w:tcW w:w="2296" w:type="dxa"/>
            <w:vMerge/>
            <w:shd w:val="clear" w:color="auto" w:fill="auto"/>
            <w:vAlign w:val="center"/>
          </w:tcPr>
          <w:p w14:paraId="56E4799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619397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Stroke, fokozott kockázatú betegeknél valószínűleg másodlagosan, a kifejezett hypotonia miatt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0BDAEF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EE30C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6704DBE" w14:textId="77777777">
        <w:tc>
          <w:tcPr>
            <w:tcW w:w="2296" w:type="dxa"/>
            <w:vMerge/>
            <w:shd w:val="clear" w:color="auto" w:fill="auto"/>
            <w:vAlign w:val="center"/>
          </w:tcPr>
          <w:p w14:paraId="276805D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CB5DC8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Májelégtelenség esetén kialakuló hepaticus encephalopathia (lásd 4.3 és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7DA20C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62938A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102DBF44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5D634664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b/>
                <w:bCs/>
                <w:sz w:val="22"/>
                <w:szCs w:val="22"/>
              </w:rPr>
              <w:t>Szembetegségek és szemészeti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4490586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Látászavar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09C145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EC6801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289D8BCA" w14:textId="77777777">
        <w:tc>
          <w:tcPr>
            <w:tcW w:w="2296" w:type="dxa"/>
            <w:vMerge/>
            <w:shd w:val="clear" w:color="auto" w:fill="auto"/>
            <w:vAlign w:val="center"/>
          </w:tcPr>
          <w:p w14:paraId="460F484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3559F71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Myopia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D29A5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78428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3F326145" w14:textId="77777777">
        <w:tc>
          <w:tcPr>
            <w:tcW w:w="2296" w:type="dxa"/>
            <w:vMerge/>
            <w:shd w:val="clear" w:color="auto" w:fill="auto"/>
            <w:vAlign w:val="center"/>
          </w:tcPr>
          <w:p w14:paraId="3F088E3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6439E0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Homályos látás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B13580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24CF5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41BB80C5" w14:textId="77777777">
        <w:tc>
          <w:tcPr>
            <w:tcW w:w="2296" w:type="dxa"/>
            <w:vMerge/>
            <w:shd w:val="clear" w:color="auto" w:fill="auto"/>
            <w:vAlign w:val="center"/>
          </w:tcPr>
          <w:p w14:paraId="0ACA5DC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07D2AC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Akut zárt zugú glaucoma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CDE318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31F458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559704BE" w14:textId="77777777">
        <w:tc>
          <w:tcPr>
            <w:tcW w:w="2296" w:type="dxa"/>
            <w:vMerge/>
            <w:shd w:val="clear" w:color="auto" w:fill="auto"/>
            <w:vAlign w:val="center"/>
          </w:tcPr>
          <w:p w14:paraId="5147E3E7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  <w:u w:val="single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DFEE2B1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Choroidealis effusio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64B8EF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BB8A4C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41D816FB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1D9DD6A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 fül és az egyensúly-érzékelő szerv betegségei és tünetei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4B4162AB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Vertigo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673205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ABE0B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46A42EE6" w14:textId="77777777">
        <w:tc>
          <w:tcPr>
            <w:tcW w:w="2296" w:type="dxa"/>
            <w:vMerge/>
            <w:shd w:val="clear" w:color="auto" w:fill="auto"/>
            <w:vAlign w:val="center"/>
          </w:tcPr>
          <w:p w14:paraId="19F680D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0BA646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Tinnitus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9AB375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75B4C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7460FB75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23A7FEC7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Szívbetegségek és a szívvel kapcsolatos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7EE5EE3B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Palpitatio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F15ABF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334168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35DDED6" w14:textId="77777777">
        <w:tc>
          <w:tcPr>
            <w:tcW w:w="2296" w:type="dxa"/>
            <w:vMerge/>
            <w:shd w:val="clear" w:color="auto" w:fill="auto"/>
            <w:vAlign w:val="center"/>
          </w:tcPr>
          <w:p w14:paraId="479BBF0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CFD1FD4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Tachycardia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5BAD42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B6957E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73845B2E" w14:textId="77777777">
        <w:tc>
          <w:tcPr>
            <w:tcW w:w="2296" w:type="dxa"/>
            <w:vMerge/>
            <w:shd w:val="clear" w:color="auto" w:fill="auto"/>
            <w:vAlign w:val="center"/>
          </w:tcPr>
          <w:p w14:paraId="133A67E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2B19AB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Angina pectoris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88E0A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81F4AC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B876A82" w14:textId="77777777">
        <w:tc>
          <w:tcPr>
            <w:tcW w:w="2296" w:type="dxa"/>
            <w:vMerge/>
            <w:shd w:val="clear" w:color="auto" w:fill="auto"/>
            <w:vAlign w:val="center"/>
          </w:tcPr>
          <w:p w14:paraId="37AAD7F7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02BFA12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Arrhythmia (beleértve: bradycardia, ventricularis tachycardia és pitvarfibrillatio)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25482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4CC75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53741C12" w14:textId="77777777">
        <w:tc>
          <w:tcPr>
            <w:tcW w:w="2296" w:type="dxa"/>
            <w:vMerge/>
            <w:shd w:val="clear" w:color="auto" w:fill="auto"/>
            <w:vAlign w:val="center"/>
          </w:tcPr>
          <w:p w14:paraId="350DCF4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DD5864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Myocardialis infarctus, fokozott kockázatú betegeknél valószínűleg másodlagosan, a kifejezett hypotonia miatt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8DF19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77A21E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0AD71EB1" w14:textId="77777777">
        <w:tc>
          <w:tcPr>
            <w:tcW w:w="2296" w:type="dxa"/>
            <w:vMerge/>
            <w:shd w:val="clear" w:color="auto" w:fill="auto"/>
            <w:vAlign w:val="center"/>
          </w:tcPr>
          <w:p w14:paraId="2865C75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39E190B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>Torsades de pointes</w:t>
            </w:r>
            <w:r>
              <w:rPr>
                <w:sz w:val="22"/>
                <w:szCs w:val="22"/>
              </w:rPr>
              <w:t xml:space="preserve"> (potenciálisan fatális kimenetelű) (lásd 4.4 és 4.5 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33A82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FC7460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0D2C3418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79C1281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Érbetegségek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022BF89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Hypotonia (és hypotoniával kapcsolatos tünetek) (lásd 4.4 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BED550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E4F8D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2EC23F9D" w14:textId="77777777">
        <w:tc>
          <w:tcPr>
            <w:tcW w:w="2296" w:type="dxa"/>
            <w:vMerge/>
            <w:shd w:val="clear" w:color="auto" w:fill="auto"/>
            <w:vAlign w:val="center"/>
          </w:tcPr>
          <w:p w14:paraId="73D72F38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13B618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Vasculitis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E18EDA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6109D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3A42198" w14:textId="77777777">
        <w:tc>
          <w:tcPr>
            <w:tcW w:w="2296" w:type="dxa"/>
            <w:vMerge/>
            <w:shd w:val="clear" w:color="auto" w:fill="auto"/>
            <w:vAlign w:val="center"/>
          </w:tcPr>
          <w:p w14:paraId="6D0F35B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B8C727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Kipirulás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110A7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6CC389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7E5DF046" w14:textId="77777777">
        <w:tc>
          <w:tcPr>
            <w:tcW w:w="2296" w:type="dxa"/>
            <w:vMerge/>
            <w:shd w:val="clear" w:color="auto" w:fill="auto"/>
            <w:vAlign w:val="center"/>
          </w:tcPr>
          <w:p w14:paraId="0AA9A029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871F380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color w:val="000000"/>
              </w:rPr>
              <w:t>Raynaud-jelenség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974E9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AECF9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697D19C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74D79E4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Légzőrendszeri, mellkasi és mediastinalis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0EDFAC30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Köhögés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DD6F4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B03A9D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50C307D6" w14:textId="77777777">
        <w:tc>
          <w:tcPr>
            <w:tcW w:w="2296" w:type="dxa"/>
            <w:vMerge/>
            <w:shd w:val="clear" w:color="auto" w:fill="auto"/>
            <w:vAlign w:val="center"/>
          </w:tcPr>
          <w:p w14:paraId="2951171A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6F01A9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Dyspnoe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438B3A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E51BCC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5D0D7B86" w14:textId="77777777">
        <w:tc>
          <w:tcPr>
            <w:tcW w:w="2296" w:type="dxa"/>
            <w:vMerge/>
            <w:shd w:val="clear" w:color="auto" w:fill="auto"/>
            <w:vAlign w:val="center"/>
          </w:tcPr>
          <w:p w14:paraId="651080C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528F23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Bronchospasmus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EE0E9F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7D901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0F7C5417" w14:textId="77777777">
        <w:tc>
          <w:tcPr>
            <w:tcW w:w="2296" w:type="dxa"/>
            <w:vMerge/>
            <w:shd w:val="clear" w:color="auto" w:fill="auto"/>
            <w:vAlign w:val="center"/>
          </w:tcPr>
          <w:p w14:paraId="6948B438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536C1C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Eosinophil pneumonia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0B5C02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9A24A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ABB1A8A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2FB2A5C9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Emésztőrendszeri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738EE908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Hasi fájdalom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8ED004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CF09E3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10D06F2B" w14:textId="77777777">
        <w:tc>
          <w:tcPr>
            <w:tcW w:w="2296" w:type="dxa"/>
            <w:vMerge/>
            <w:shd w:val="clear" w:color="auto" w:fill="auto"/>
            <w:vAlign w:val="center"/>
          </w:tcPr>
          <w:p w14:paraId="66F5E823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02D775EA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Constipatio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ED3346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78E153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26625E64" w14:textId="77777777">
        <w:tc>
          <w:tcPr>
            <w:tcW w:w="2296" w:type="dxa"/>
            <w:vMerge/>
            <w:shd w:val="clear" w:color="auto" w:fill="auto"/>
            <w:vAlign w:val="center"/>
          </w:tcPr>
          <w:p w14:paraId="27458117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076193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Diarrhoea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DB2F06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4BCB46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3633A9EF" w14:textId="77777777">
        <w:tc>
          <w:tcPr>
            <w:tcW w:w="2296" w:type="dxa"/>
            <w:vMerge/>
            <w:shd w:val="clear" w:color="auto" w:fill="auto"/>
            <w:vAlign w:val="center"/>
          </w:tcPr>
          <w:p w14:paraId="26CBDCE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5E72538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Dyspepsia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F8BCD3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4D1BE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7544DD1" w14:textId="77777777">
        <w:tc>
          <w:tcPr>
            <w:tcW w:w="2296" w:type="dxa"/>
            <w:vMerge/>
            <w:shd w:val="clear" w:color="auto" w:fill="auto"/>
            <w:vAlign w:val="center"/>
          </w:tcPr>
          <w:p w14:paraId="770B00F9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C3157C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Nausea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C0148E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57B1F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428B7781" w14:textId="77777777">
        <w:tc>
          <w:tcPr>
            <w:tcW w:w="2296" w:type="dxa"/>
            <w:vMerge/>
            <w:shd w:val="clear" w:color="auto" w:fill="auto"/>
            <w:vAlign w:val="center"/>
          </w:tcPr>
          <w:p w14:paraId="083A1E0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89E9084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Hányás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61AE49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0C0E12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DE62E1" w14:paraId="56C32F7B" w14:textId="77777777">
        <w:tc>
          <w:tcPr>
            <w:tcW w:w="2296" w:type="dxa"/>
            <w:vMerge/>
            <w:shd w:val="clear" w:color="auto" w:fill="auto"/>
            <w:vAlign w:val="center"/>
          </w:tcPr>
          <w:p w14:paraId="7B7468E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BE8517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Szájszárazság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A8AE27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D1F59C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</w:tr>
      <w:tr w:rsidR="00DE62E1" w14:paraId="3B12B543" w14:textId="77777777">
        <w:tc>
          <w:tcPr>
            <w:tcW w:w="2296" w:type="dxa"/>
            <w:vMerge/>
            <w:shd w:val="clear" w:color="auto" w:fill="auto"/>
            <w:vAlign w:val="center"/>
          </w:tcPr>
          <w:p w14:paraId="190170E1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754307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Pancreatitis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3D539E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61BFF01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0714389A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57C09465" w14:textId="77777777" w:rsidR="00DE62E1" w:rsidRDefault="00692E8D">
            <w:pPr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Máj- és epebetegségek, illetve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1209C45B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Hepatitis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BE8C7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820381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ismert</w:t>
            </w:r>
          </w:p>
        </w:tc>
      </w:tr>
      <w:tr w:rsidR="00DE62E1" w14:paraId="490A3903" w14:textId="77777777">
        <w:tc>
          <w:tcPr>
            <w:tcW w:w="2296" w:type="dxa"/>
            <w:vMerge/>
            <w:shd w:val="clear" w:color="auto" w:fill="auto"/>
            <w:vAlign w:val="center"/>
          </w:tcPr>
          <w:p w14:paraId="2DCC1DA0" w14:textId="77777777" w:rsidR="00DE62E1" w:rsidRDefault="00DE62E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0A99470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Kóros májfunkció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546074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92B3D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Nagyon ritka</w:t>
            </w:r>
          </w:p>
        </w:tc>
      </w:tr>
      <w:tr w:rsidR="00DE62E1" w14:paraId="577AA100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283A163C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 bőr és a bőr alatti szövet betegségei és tünetei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5773D616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Pruritus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1E8DF1D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DC41C33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3EFE0AB9" w14:textId="77777777">
        <w:tc>
          <w:tcPr>
            <w:tcW w:w="2296" w:type="dxa"/>
            <w:vMerge/>
            <w:shd w:val="clear" w:color="auto" w:fill="auto"/>
            <w:vAlign w:val="center"/>
          </w:tcPr>
          <w:p w14:paraId="167F59FD" w14:textId="77777777" w:rsidR="00DE62E1" w:rsidRDefault="00DE62E1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EAC0259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Bőrkiütés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E2D618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43C0E50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6A0BA6DC" w14:textId="77777777">
        <w:tc>
          <w:tcPr>
            <w:tcW w:w="2296" w:type="dxa"/>
            <w:vMerge/>
            <w:shd w:val="clear" w:color="auto" w:fill="auto"/>
            <w:vAlign w:val="center"/>
          </w:tcPr>
          <w:p w14:paraId="32EE3832" w14:textId="77777777" w:rsidR="00DE62E1" w:rsidRDefault="00DE62E1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7EE9999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Maculopapulosus bőrkiütések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7876EB5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1AECD6D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Gyakori</w:t>
            </w:r>
          </w:p>
        </w:tc>
      </w:tr>
      <w:tr w:rsidR="00DE62E1" w14:paraId="1595A7A9" w14:textId="77777777">
        <w:tc>
          <w:tcPr>
            <w:tcW w:w="2296" w:type="dxa"/>
            <w:vMerge/>
            <w:shd w:val="clear" w:color="auto" w:fill="auto"/>
            <w:vAlign w:val="center"/>
          </w:tcPr>
          <w:p w14:paraId="5C0D4513" w14:textId="77777777" w:rsidR="00DE62E1" w:rsidRDefault="00DE62E1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041FCD1D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Urticaria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30C7187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F6C3764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</w:tr>
      <w:tr w:rsidR="00DE62E1" w14:paraId="479763A5" w14:textId="77777777">
        <w:tc>
          <w:tcPr>
            <w:tcW w:w="2296" w:type="dxa"/>
            <w:vMerge/>
            <w:shd w:val="clear" w:color="auto" w:fill="auto"/>
            <w:vAlign w:val="center"/>
          </w:tcPr>
          <w:p w14:paraId="294DB7F1" w14:textId="77777777" w:rsidR="00DE62E1" w:rsidRDefault="00DE62E1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5965F36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Angiooedema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4CF591C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9A4D61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</w:tr>
      <w:tr w:rsidR="00DE62E1" w14:paraId="060B4913" w14:textId="77777777">
        <w:tc>
          <w:tcPr>
            <w:tcW w:w="2296" w:type="dxa"/>
            <w:vMerge/>
            <w:shd w:val="clear" w:color="auto" w:fill="auto"/>
            <w:vAlign w:val="center"/>
          </w:tcPr>
          <w:p w14:paraId="15D68FE1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35A6388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Purpura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A94C7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2E77F4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</w:p>
        </w:tc>
      </w:tr>
      <w:tr w:rsidR="00DE62E1" w14:paraId="2C8E38F5" w14:textId="77777777">
        <w:tc>
          <w:tcPr>
            <w:tcW w:w="2296" w:type="dxa"/>
            <w:vMerge/>
            <w:shd w:val="clear" w:color="auto" w:fill="auto"/>
            <w:vAlign w:val="center"/>
          </w:tcPr>
          <w:p w14:paraId="79FF15CC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9F4374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Hyperhidrosis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8F9530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F2B17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14E3F960" w14:textId="77777777">
        <w:tc>
          <w:tcPr>
            <w:tcW w:w="2296" w:type="dxa"/>
            <w:vMerge/>
            <w:shd w:val="clear" w:color="auto" w:fill="auto"/>
            <w:vAlign w:val="center"/>
          </w:tcPr>
          <w:p w14:paraId="672BE0F9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962A5B9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Fényérzékenységi reakciók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87C67F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ACA28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6F56AB21" w14:textId="77777777">
        <w:tc>
          <w:tcPr>
            <w:tcW w:w="2296" w:type="dxa"/>
            <w:vMerge/>
            <w:shd w:val="clear" w:color="auto" w:fill="auto"/>
            <w:vAlign w:val="center"/>
          </w:tcPr>
          <w:p w14:paraId="08E293AC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747DF02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Pemphigoid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B43526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0BD0AD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0BA071B7" w14:textId="77777777">
        <w:tc>
          <w:tcPr>
            <w:tcW w:w="2296" w:type="dxa"/>
            <w:vMerge/>
            <w:shd w:val="clear" w:color="auto" w:fill="auto"/>
            <w:vAlign w:val="center"/>
          </w:tcPr>
          <w:p w14:paraId="6AF011F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6ED20C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A psoriasis súlyosbodása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20FE849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Ritka*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4EF882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6C4B9DF1" w14:textId="77777777">
        <w:tc>
          <w:tcPr>
            <w:tcW w:w="2296" w:type="dxa"/>
            <w:vMerge/>
            <w:shd w:val="clear" w:color="auto" w:fill="auto"/>
            <w:vAlign w:val="center"/>
          </w:tcPr>
          <w:p w14:paraId="25372ED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10C6171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Erythema multiforme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303118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7C3597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53CB0877" w14:textId="77777777">
        <w:tc>
          <w:tcPr>
            <w:tcW w:w="2296" w:type="dxa"/>
            <w:vMerge/>
            <w:shd w:val="clear" w:color="auto" w:fill="auto"/>
            <w:vAlign w:val="center"/>
          </w:tcPr>
          <w:p w14:paraId="2BF7087C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F0D401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Toxicus epidermalis necrolysis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A613B7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F329D5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</w:tr>
      <w:tr w:rsidR="00DE62E1" w14:paraId="695F2912" w14:textId="77777777">
        <w:tc>
          <w:tcPr>
            <w:tcW w:w="2296" w:type="dxa"/>
            <w:vMerge/>
            <w:shd w:val="clear" w:color="auto" w:fill="auto"/>
            <w:vAlign w:val="center"/>
          </w:tcPr>
          <w:p w14:paraId="2F10B2CB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EA7EF5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Stevens</w:t>
            </w:r>
            <w:r>
              <w:t>–</w:t>
            </w:r>
            <w:r>
              <w:rPr>
                <w:sz w:val="22"/>
                <w:szCs w:val="22"/>
              </w:rPr>
              <w:t>Johnson-szindróma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B967F8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7A829F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</w:tr>
      <w:tr w:rsidR="00DE62E1" w14:paraId="381D4E7A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02B77BC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 csont- és izomrendszer, valamint a kötőszövet betegségei és tünetei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5414F5E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Izomgörcsök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32BADD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DB8DDAE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06CB75C8" w14:textId="77777777">
        <w:tc>
          <w:tcPr>
            <w:tcW w:w="2296" w:type="dxa"/>
            <w:vMerge/>
            <w:shd w:val="clear" w:color="auto" w:fill="auto"/>
            <w:vAlign w:val="center"/>
          </w:tcPr>
          <w:p w14:paraId="5758784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780C4E4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Előzetesen fennálló akut disszeminált lupus erythematosus lehetséges súlyosbodása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B24FDD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2B3CE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07F8B1CE" w14:textId="77777777">
        <w:tc>
          <w:tcPr>
            <w:tcW w:w="2296" w:type="dxa"/>
            <w:vMerge/>
            <w:shd w:val="clear" w:color="auto" w:fill="auto"/>
            <w:vAlign w:val="center"/>
          </w:tcPr>
          <w:p w14:paraId="46723EAA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7DAE4C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Arthralgia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386E0F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871FCB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6FCFDF90" w14:textId="77777777">
        <w:tc>
          <w:tcPr>
            <w:tcW w:w="2296" w:type="dxa"/>
            <w:vMerge/>
            <w:shd w:val="clear" w:color="auto" w:fill="auto"/>
            <w:vAlign w:val="center"/>
          </w:tcPr>
          <w:p w14:paraId="6AC9DD9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D46B4B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Myalgia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C8F6F46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5ACC35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3D6D5305" w14:textId="77777777">
        <w:tc>
          <w:tcPr>
            <w:tcW w:w="2296" w:type="dxa"/>
            <w:vMerge/>
            <w:shd w:val="clear" w:color="auto" w:fill="auto"/>
            <w:vAlign w:val="center"/>
          </w:tcPr>
          <w:p w14:paraId="14C07F2B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7DB3ECE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Izomgyengeség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10548CA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2C6530F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2D80FFA5" w14:textId="77777777">
        <w:tc>
          <w:tcPr>
            <w:tcW w:w="2296" w:type="dxa"/>
            <w:vMerge/>
            <w:shd w:val="clear" w:color="auto" w:fill="auto"/>
            <w:vAlign w:val="center"/>
          </w:tcPr>
          <w:p w14:paraId="2616C84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30EF18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Rhabdomyolysis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5409A0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023390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51362503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48DC18B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Vese- és húgyúti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3EADBC30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Vesekárosodás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A1959C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994EC3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4F7889B1" w14:textId="77777777">
        <w:tc>
          <w:tcPr>
            <w:tcW w:w="2296" w:type="dxa"/>
            <w:vMerge/>
            <w:shd w:val="clear" w:color="auto" w:fill="auto"/>
            <w:vAlign w:val="center"/>
          </w:tcPr>
          <w:p w14:paraId="2536BEAE" w14:textId="77777777" w:rsidR="00DE62E1" w:rsidRDefault="00DE62E1">
            <w:pPr>
              <w:tabs>
                <w:tab w:val="left" w:pos="1418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03DE3D7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Anuria/oliguria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15A85A6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8C60347" w14:textId="77777777" w:rsidR="00DE62E1" w:rsidRDefault="00692E8D">
            <w:pPr>
              <w:tabs>
                <w:tab w:val="left" w:pos="1418"/>
              </w:tabs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5AF41E62" w14:textId="77777777">
        <w:tc>
          <w:tcPr>
            <w:tcW w:w="2296" w:type="dxa"/>
            <w:vMerge/>
            <w:shd w:val="clear" w:color="auto" w:fill="auto"/>
            <w:vAlign w:val="center"/>
          </w:tcPr>
          <w:p w14:paraId="5E472F67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BF27608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Akut veseelégtelenség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FA6F52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318013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</w:tr>
      <w:tr w:rsidR="00DE62E1" w14:paraId="133EC4B2" w14:textId="77777777">
        <w:tc>
          <w:tcPr>
            <w:tcW w:w="2296" w:type="dxa"/>
            <w:shd w:val="clear" w:color="auto" w:fill="auto"/>
            <w:vAlign w:val="center"/>
          </w:tcPr>
          <w:p w14:paraId="623E694B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 nemi szervekkel és az emlőkkel kapcsolatos betegségek és tünetek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0F5A5E55" w14:textId="77777777" w:rsidR="00DE62E1" w:rsidRDefault="00692E8D">
            <w:pPr>
              <w:keepNext/>
              <w:tabs>
                <w:tab w:val="left" w:pos="34"/>
                <w:tab w:val="left" w:pos="562"/>
                <w:tab w:val="left" w:pos="103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Erectilis dysfunctio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8E18E91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027002F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</w:t>
            </w:r>
          </w:p>
        </w:tc>
      </w:tr>
      <w:tr w:rsidR="00DE62E1" w14:paraId="43F957F1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6A0CAE4A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Általános tünetek, az alkalmazás helyén fellépő reakciók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03872D9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Asthenia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EDCCF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Gyakori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4DD971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15D00F15" w14:textId="77777777">
        <w:tc>
          <w:tcPr>
            <w:tcW w:w="2296" w:type="dxa"/>
            <w:vMerge/>
            <w:shd w:val="clear" w:color="auto" w:fill="auto"/>
            <w:vAlign w:val="center"/>
          </w:tcPr>
          <w:p w14:paraId="4FAFA08D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1FAF1F8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Mellkasi fájdalom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C5A7EB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6BC6DE0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2856255C" w14:textId="77777777">
        <w:tc>
          <w:tcPr>
            <w:tcW w:w="2296" w:type="dxa"/>
            <w:vMerge/>
            <w:shd w:val="clear" w:color="auto" w:fill="auto"/>
            <w:vAlign w:val="center"/>
          </w:tcPr>
          <w:p w14:paraId="69DF50E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372F7134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Rossz közérzet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216B61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C53DD1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48B2A449" w14:textId="77777777">
        <w:tc>
          <w:tcPr>
            <w:tcW w:w="2296" w:type="dxa"/>
            <w:vMerge/>
            <w:shd w:val="clear" w:color="auto" w:fill="auto"/>
            <w:vAlign w:val="center"/>
          </w:tcPr>
          <w:p w14:paraId="0BE3F804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3AE70C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Perifériás ödéma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628FBB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D4CDC7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15F4E22A" w14:textId="77777777">
        <w:tc>
          <w:tcPr>
            <w:tcW w:w="2296" w:type="dxa"/>
            <w:vMerge/>
            <w:shd w:val="clear" w:color="auto" w:fill="auto"/>
            <w:vAlign w:val="center"/>
          </w:tcPr>
          <w:p w14:paraId="0855634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4ECF788F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Pyrexia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850DBE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110A0C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6BB928DD" w14:textId="77777777">
        <w:tc>
          <w:tcPr>
            <w:tcW w:w="2296" w:type="dxa"/>
            <w:vMerge/>
            <w:shd w:val="clear" w:color="auto" w:fill="auto"/>
            <w:vAlign w:val="center"/>
          </w:tcPr>
          <w:p w14:paraId="6E952000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9F9896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Kimerültség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2519E3F4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4ADAC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Ritka</w:t>
            </w:r>
          </w:p>
        </w:tc>
      </w:tr>
      <w:tr w:rsidR="00DE62E1" w14:paraId="17F45716" w14:textId="77777777">
        <w:tc>
          <w:tcPr>
            <w:tcW w:w="2296" w:type="dxa"/>
            <w:vMerge w:val="restart"/>
            <w:shd w:val="clear" w:color="auto" w:fill="auto"/>
            <w:vAlign w:val="center"/>
          </w:tcPr>
          <w:p w14:paraId="39619541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Laboratóriumi és egyéb vizsgálatok eredményei</w:t>
            </w:r>
          </w:p>
        </w:tc>
        <w:tc>
          <w:tcPr>
            <w:tcW w:w="4191" w:type="dxa"/>
            <w:shd w:val="clear" w:color="auto" w:fill="auto"/>
          </w:tcPr>
          <w:p w14:paraId="6FA7B8E6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Karbamidszint-emelkedés a vérben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6D4B0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BE47F4C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68ABE81C" w14:textId="77777777">
        <w:tc>
          <w:tcPr>
            <w:tcW w:w="2296" w:type="dxa"/>
            <w:vMerge/>
            <w:shd w:val="clear" w:color="auto" w:fill="auto"/>
            <w:vAlign w:val="center"/>
          </w:tcPr>
          <w:p w14:paraId="13BD9D9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</w:tcPr>
          <w:p w14:paraId="6C5479D5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Kreatininszint-emelkedés a vérben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FD2CC7F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gyakori</w:t>
            </w:r>
            <w:r>
              <w:rPr>
                <w:sz w:val="22"/>
                <w:szCs w:val="22"/>
              </w:rPr>
              <w:t>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FC2889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401C904C" w14:textId="77777777">
        <w:tc>
          <w:tcPr>
            <w:tcW w:w="2296" w:type="dxa"/>
            <w:vMerge/>
            <w:shd w:val="clear" w:color="auto" w:fill="auto"/>
            <w:vAlign w:val="center"/>
          </w:tcPr>
          <w:p w14:paraId="25F459EF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</w:tcPr>
          <w:p w14:paraId="2A2ADE8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Bilirubinszint-emelkedés a vérben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9A8679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9AF7AD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E62E1" w14:paraId="22823BB4" w14:textId="77777777">
        <w:tc>
          <w:tcPr>
            <w:tcW w:w="2296" w:type="dxa"/>
            <w:vMerge/>
            <w:shd w:val="clear" w:color="auto" w:fill="auto"/>
            <w:vAlign w:val="center"/>
          </w:tcPr>
          <w:p w14:paraId="22D89565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9E7F8B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Májenzimszint-emelkedés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33E5B9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A4C0C5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6BECAC71" w14:textId="77777777">
        <w:tc>
          <w:tcPr>
            <w:tcW w:w="2296" w:type="dxa"/>
            <w:vMerge/>
            <w:shd w:val="clear" w:color="auto" w:fill="auto"/>
            <w:vAlign w:val="center"/>
          </w:tcPr>
          <w:p w14:paraId="7939278B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0AEF52C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 hemoglobin-szint és hematokritérték csökkenése (lásd 4.4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0069FB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Nagyon ritka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EEA995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-</w:t>
            </w:r>
          </w:p>
        </w:tc>
      </w:tr>
      <w:tr w:rsidR="00DE62E1" w14:paraId="7FE2923F" w14:textId="77777777">
        <w:tc>
          <w:tcPr>
            <w:tcW w:w="2296" w:type="dxa"/>
            <w:vMerge/>
            <w:shd w:val="clear" w:color="auto" w:fill="auto"/>
            <w:vAlign w:val="center"/>
          </w:tcPr>
          <w:p w14:paraId="71A059DE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2FA48C5D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Vércukorszint-emelkedés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56A9A938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5CDB69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52E78FEA" w14:textId="77777777">
        <w:tc>
          <w:tcPr>
            <w:tcW w:w="2296" w:type="dxa"/>
            <w:vMerge/>
            <w:shd w:val="clear" w:color="auto" w:fill="auto"/>
            <w:vAlign w:val="center"/>
          </w:tcPr>
          <w:p w14:paraId="32118176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64A04808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Húgysavszint-emelkedés </w:t>
            </w:r>
            <w:r>
              <w:rPr>
                <w:sz w:val="22"/>
                <w:szCs w:val="22"/>
                <w:lang w:val="en-GB"/>
              </w:rPr>
              <w:t>a vérben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73F855A3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8FA3C4A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6C5B3E38" w14:textId="77777777">
        <w:tc>
          <w:tcPr>
            <w:tcW w:w="2296" w:type="dxa"/>
            <w:vMerge/>
            <w:shd w:val="clear" w:color="auto" w:fill="auto"/>
            <w:vAlign w:val="center"/>
          </w:tcPr>
          <w:p w14:paraId="1888E438" w14:textId="77777777" w:rsidR="00DE62E1" w:rsidRDefault="00DE62E1">
            <w:pPr>
              <w:tabs>
                <w:tab w:val="left" w:pos="1418"/>
              </w:tabs>
              <w:rPr>
                <w:sz w:val="22"/>
                <w:szCs w:val="22"/>
              </w:rPr>
            </w:pPr>
          </w:p>
        </w:tc>
        <w:tc>
          <w:tcPr>
            <w:tcW w:w="4191" w:type="dxa"/>
            <w:shd w:val="clear" w:color="auto" w:fill="auto"/>
            <w:vAlign w:val="center"/>
          </w:tcPr>
          <w:p w14:paraId="56A7F483" w14:textId="77777777" w:rsidR="00DE62E1" w:rsidRDefault="00692E8D">
            <w:pPr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QT-szakasz megnyúlás az EKG-n (lásd 4.4 és 4.5 pont)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045C19F7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C5CBA12" w14:textId="77777777" w:rsidR="00DE62E1" w:rsidRDefault="00692E8D">
            <w:pPr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Nem ismert</w:t>
            </w:r>
          </w:p>
        </w:tc>
      </w:tr>
      <w:tr w:rsidR="00DE62E1" w14:paraId="1405B440" w14:textId="77777777">
        <w:tc>
          <w:tcPr>
            <w:tcW w:w="2296" w:type="dxa"/>
            <w:shd w:val="clear" w:color="auto" w:fill="auto"/>
            <w:vAlign w:val="center"/>
          </w:tcPr>
          <w:p w14:paraId="036EE9F3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Sérülés, mérgezés és a beavatkozással kapcsolatos szövődmények</w:t>
            </w:r>
          </w:p>
        </w:tc>
        <w:tc>
          <w:tcPr>
            <w:tcW w:w="4191" w:type="dxa"/>
            <w:shd w:val="clear" w:color="auto" w:fill="auto"/>
            <w:vAlign w:val="center"/>
          </w:tcPr>
          <w:p w14:paraId="5111CFA4" w14:textId="77777777" w:rsidR="00DE62E1" w:rsidRDefault="00692E8D">
            <w:pPr>
              <w:keepNext/>
              <w:tabs>
                <w:tab w:val="left" w:pos="1418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Elesés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3357A18B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Nem gyakori*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3DD189A" w14:textId="77777777" w:rsidR="00DE62E1" w:rsidRDefault="00692E8D">
            <w:pPr>
              <w:keepNext/>
              <w:tabs>
                <w:tab w:val="left" w:pos="1418"/>
              </w:tabs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</w:tbl>
    <w:p w14:paraId="39E0A8BB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* A gyakoriság klinikai vizsgálatok során észlelt mellékhatások spontán jelentéséből adódik.</w:t>
      </w:r>
    </w:p>
    <w:p w14:paraId="7AB5F196" w14:textId="77777777" w:rsidR="00DE62E1" w:rsidRDefault="00DE62E1">
      <w:pPr>
        <w:rPr>
          <w:iCs/>
          <w:sz w:val="22"/>
          <w:u w:val="single"/>
        </w:rPr>
      </w:pPr>
    </w:p>
    <w:p w14:paraId="3101F7A9" w14:textId="77777777" w:rsidR="00DE62E1" w:rsidRDefault="00692E8D">
      <w:pPr>
        <w:rPr>
          <w:iCs/>
          <w:sz w:val="22"/>
          <w:u w:val="single"/>
        </w:rPr>
      </w:pPr>
      <w:r>
        <w:rPr>
          <w:iCs/>
          <w:sz w:val="22"/>
          <w:u w:val="single"/>
        </w:rPr>
        <w:t>Egyes kiválasztott mellékhatások leírása</w:t>
      </w:r>
    </w:p>
    <w:p w14:paraId="3386E516" w14:textId="77777777" w:rsidR="00DE62E1" w:rsidRDefault="00692E8D">
      <w:pPr>
        <w:rPr>
          <w:iCs/>
          <w:sz w:val="22"/>
        </w:rPr>
      </w:pPr>
      <w:r>
        <w:rPr>
          <w:iCs/>
          <w:sz w:val="22"/>
        </w:rPr>
        <w:t xml:space="preserve">Az 1,5 mg-os és 2,5 mg-os indapamid-adagot összehasonlító II. és III. fázisú vizsgálatok során a plazma káliumszintjének elemzése az indapamid dózisfüggő hatását mutatta ki: </w:t>
      </w:r>
    </w:p>
    <w:p w14:paraId="590F5CE6" w14:textId="77777777" w:rsidR="00DE62E1" w:rsidRDefault="00692E8D">
      <w:pPr>
        <w:rPr>
          <w:iCs/>
          <w:sz w:val="22"/>
        </w:rPr>
      </w:pPr>
      <w:r>
        <w:rPr>
          <w:iCs/>
          <w:sz w:val="22"/>
        </w:rPr>
        <w:t xml:space="preserve">- 1,5 mg dózisú indapamid: A klinikai vizsgálatok alatt 4-6 hetes kezelés után hypokalaemiát (káliumszint &lt;3,4 mmol/l) a betegek 10%-ánál észleltek, illetve &lt; 3,2 mmol/l értéket a betegek 4%-ánál. 12 hetes kezelés után a kálium plazmaszintjének átlagos csökkenése 0,23 mmol/l volt. </w:t>
      </w:r>
    </w:p>
    <w:p w14:paraId="3D6BD093" w14:textId="77777777" w:rsidR="00DE62E1" w:rsidRDefault="00692E8D">
      <w:pPr>
        <w:rPr>
          <w:iCs/>
          <w:sz w:val="22"/>
        </w:rPr>
      </w:pPr>
      <w:r>
        <w:rPr>
          <w:iCs/>
          <w:sz w:val="22"/>
        </w:rPr>
        <w:t>- 2,5 mg dózisú indapamid: A klinikai vizsgálatok alatt 4-6 hetes kezelés után hypokalaemiát (káliumszint &lt; 3,4 mmol/l) a betegek 25%-ánál észleltek, illetve &lt; 3,2 mmol/l értéket a betegek 10%-ánál. 12 hetes kezelés után a kálium plazmaszintjének átlagos csökkenése 0,41 mmol/l volt.</w:t>
      </w:r>
    </w:p>
    <w:p w14:paraId="6C2D7C41" w14:textId="77777777" w:rsidR="00DE62E1" w:rsidRDefault="00DE62E1">
      <w:pPr>
        <w:keepNext/>
        <w:tabs>
          <w:tab w:val="left" w:pos="1418"/>
        </w:tabs>
        <w:rPr>
          <w:sz w:val="22"/>
          <w:szCs w:val="22"/>
          <w:u w:val="single"/>
        </w:rPr>
      </w:pPr>
    </w:p>
    <w:p w14:paraId="2804B630" w14:textId="77777777" w:rsidR="00DE62E1" w:rsidRDefault="00692E8D">
      <w:pPr>
        <w:keepNext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Feltételezett mellékhatások bejelentése</w:t>
      </w:r>
    </w:p>
    <w:p w14:paraId="57CE0A8E" w14:textId="77777777" w:rsidR="00DE62E1" w:rsidRDefault="00692E8D">
      <w:pPr>
        <w:widowControl w:val="0"/>
        <w:rPr>
          <w:sz w:val="22"/>
          <w:szCs w:val="22"/>
        </w:rPr>
      </w:pPr>
      <w:r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1677CF7E" w14:textId="7FE4E9D4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 xml:space="preserve">Az egészségügyi szakembereket kérjük, hogy jelentsék be a feltételezett mellékhatásokat a hatóság részére az </w:t>
      </w:r>
      <w:hyperlink r:id="rId11" w:history="1">
        <w:r>
          <w:rPr>
            <w:rStyle w:val="Hiperhivatkozs"/>
            <w:sz w:val="22"/>
            <w:szCs w:val="22"/>
          </w:rPr>
          <w:t>V. függelékben</w:t>
        </w:r>
      </w:hyperlink>
      <w:r>
        <w:rPr>
          <w:sz w:val="22"/>
          <w:szCs w:val="22"/>
        </w:rPr>
        <w:t xml:space="preserve"> található elérhetőségek valamelyikén keresztül</w:t>
      </w:r>
      <w:r>
        <w:rPr>
          <w:color w:val="008000"/>
          <w:sz w:val="22"/>
          <w:szCs w:val="22"/>
        </w:rPr>
        <w:t>.</w:t>
      </w:r>
    </w:p>
    <w:p w14:paraId="0D5FC974" w14:textId="77777777" w:rsidR="00DE62E1" w:rsidRDefault="00DE62E1">
      <w:pPr>
        <w:suppressAutoHyphens w:val="0"/>
        <w:rPr>
          <w:bCs/>
          <w:sz w:val="22"/>
          <w:szCs w:val="22"/>
        </w:rPr>
      </w:pPr>
    </w:p>
    <w:p w14:paraId="2EC00EDB" w14:textId="77777777" w:rsidR="00DE62E1" w:rsidRDefault="00692E8D">
      <w:pPr>
        <w:suppressAutoHyphens w:val="0"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4.9</w:t>
      </w:r>
      <w:r>
        <w:rPr>
          <w:b/>
          <w:bCs/>
          <w:sz w:val="22"/>
          <w:szCs w:val="22"/>
        </w:rPr>
        <w:tab/>
        <w:t>Túladagolás</w:t>
      </w:r>
    </w:p>
    <w:p w14:paraId="1906A561" w14:textId="77777777" w:rsidR="00DE62E1" w:rsidRDefault="00DE62E1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2F032819" w14:textId="77777777" w:rsidR="00DE62E1" w:rsidRDefault="00692E8D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u w:val="single"/>
          <w:lang w:eastAsia="hu-HU"/>
        </w:rPr>
      </w:pPr>
      <w:r>
        <w:rPr>
          <w:snapToGrid w:val="0"/>
          <w:sz w:val="22"/>
          <w:szCs w:val="22"/>
          <w:u w:val="single"/>
          <w:lang w:eastAsia="hu-HU"/>
        </w:rPr>
        <w:t>Tünetek</w:t>
      </w:r>
    </w:p>
    <w:p w14:paraId="272600DB" w14:textId="77777777" w:rsidR="00DE62E1" w:rsidRDefault="00692E8D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 xml:space="preserve">A túladagolás legvalószínűbb tünete a hypotonia, jelentkezhet ezen kívül hányinger, hányás, izomgörcsök, szédülés, álmosság,  zavartság, oliguria, ami anuriáig súlyosbodhat (hypovolaemia miatt). Só- és vízháztartás zavarok (alacsony a szérum nátrium- és káliumszintje) jelentkezhetnek. </w:t>
      </w:r>
    </w:p>
    <w:p w14:paraId="77FB86C1" w14:textId="77777777" w:rsidR="00DE62E1" w:rsidRDefault="00DE62E1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</w:p>
    <w:p w14:paraId="076D98F8" w14:textId="77777777" w:rsidR="00DE62E1" w:rsidRDefault="00692E8D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u w:val="single"/>
          <w:lang w:eastAsia="hu-HU"/>
        </w:rPr>
      </w:pPr>
      <w:r>
        <w:rPr>
          <w:snapToGrid w:val="0"/>
          <w:sz w:val="22"/>
          <w:szCs w:val="22"/>
          <w:u w:val="single"/>
          <w:lang w:eastAsia="hu-HU"/>
        </w:rPr>
        <w:t>Kezelés</w:t>
      </w:r>
    </w:p>
    <w:p w14:paraId="12922981" w14:textId="77777777" w:rsidR="00DE62E1" w:rsidRDefault="00692E8D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Első intézkedésként gyomormosással, illetve aktív szén adásával gyorsan csökkentjük a bevett gyógyszer további felszívódásának mértékét, majd a megfelelő szakintézményben helyre állítjuk a szervezet folyadék- és elektrolit-egyensúlyát, amíg az vissza nem tér a normál értékre.</w:t>
      </w:r>
    </w:p>
    <w:p w14:paraId="0C4EF150" w14:textId="77777777" w:rsidR="00DE62E1" w:rsidRDefault="00692E8D">
      <w:pPr>
        <w:tabs>
          <w:tab w:val="left" w:pos="-142"/>
          <w:tab w:val="left" w:pos="284"/>
          <w:tab w:val="left" w:pos="567"/>
        </w:tabs>
        <w:suppressAutoHyphens w:val="0"/>
        <w:autoSpaceDE/>
        <w:rPr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Ha kifejezett hypotonia lép fel, akkor a beteget le kell fektetni úgy, hogy a feje lejjebb legyen, mint a lába. Szükség esetén izotóniás sóoldat adható infúzióban vagy egyéb volumenpótlás alkalmazható.</w:t>
      </w:r>
    </w:p>
    <w:p w14:paraId="4B8C4D6C" w14:textId="77777777" w:rsidR="00DE62E1" w:rsidRDefault="00692E8D">
      <w:pPr>
        <w:tabs>
          <w:tab w:val="left" w:pos="-142"/>
        </w:tabs>
        <w:suppressAutoHyphens w:val="0"/>
        <w:autoSpaceDE/>
        <w:rPr>
          <w:noProof/>
          <w:snapToGrid w:val="0"/>
          <w:sz w:val="22"/>
          <w:szCs w:val="22"/>
          <w:lang w:eastAsia="hu-HU"/>
        </w:rPr>
      </w:pPr>
      <w:r>
        <w:rPr>
          <w:snapToGrid w:val="0"/>
          <w:sz w:val="22"/>
          <w:szCs w:val="22"/>
          <w:lang w:eastAsia="hu-HU"/>
        </w:rPr>
        <w:t>A perindoprilát, a perindopril aktív formája, dializálható (lásd 5.2</w:t>
      </w:r>
      <w:r>
        <w:rPr>
          <w:iCs/>
          <w:sz w:val="22"/>
        </w:rPr>
        <w:t> </w:t>
      </w:r>
      <w:r>
        <w:rPr>
          <w:snapToGrid w:val="0"/>
          <w:sz w:val="22"/>
          <w:szCs w:val="22"/>
          <w:lang w:eastAsia="hu-HU"/>
        </w:rPr>
        <w:t>pont).</w:t>
      </w:r>
    </w:p>
    <w:p w14:paraId="60830D63" w14:textId="77777777" w:rsidR="00DE62E1" w:rsidRDefault="00DE62E1">
      <w:pPr>
        <w:suppressAutoHyphens w:val="0"/>
        <w:rPr>
          <w:bCs/>
          <w:sz w:val="22"/>
          <w:szCs w:val="22"/>
        </w:rPr>
      </w:pPr>
    </w:p>
    <w:p w14:paraId="1EA5710C" w14:textId="77777777" w:rsidR="00DE62E1" w:rsidRDefault="00DE62E1">
      <w:pPr>
        <w:suppressAutoHyphens w:val="0"/>
        <w:rPr>
          <w:sz w:val="22"/>
          <w:szCs w:val="22"/>
        </w:rPr>
      </w:pPr>
    </w:p>
    <w:p w14:paraId="4BEEAA48" w14:textId="77777777" w:rsidR="00DE62E1" w:rsidRDefault="00692E8D">
      <w:pPr>
        <w:keepNext/>
        <w:suppressAutoHyphens w:val="0"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</w:t>
      </w:r>
      <w:r>
        <w:rPr>
          <w:b/>
          <w:bCs/>
          <w:sz w:val="22"/>
          <w:szCs w:val="22"/>
        </w:rPr>
        <w:tab/>
        <w:t>FARMAKOLÓGIAI TULAJDONSÁGOK</w:t>
      </w:r>
    </w:p>
    <w:p w14:paraId="1E076C97" w14:textId="77777777" w:rsidR="00DE62E1" w:rsidRDefault="00DE62E1">
      <w:pPr>
        <w:keepNext/>
        <w:suppressAutoHyphens w:val="0"/>
        <w:rPr>
          <w:b/>
          <w:bCs/>
          <w:sz w:val="22"/>
          <w:szCs w:val="22"/>
        </w:rPr>
      </w:pPr>
    </w:p>
    <w:p w14:paraId="1DDDADEE" w14:textId="77777777" w:rsidR="00DE62E1" w:rsidRDefault="00692E8D">
      <w:pPr>
        <w:keepNext/>
        <w:suppressAutoHyphens w:val="0"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5.1</w:t>
      </w:r>
      <w:r>
        <w:rPr>
          <w:b/>
          <w:bCs/>
          <w:sz w:val="22"/>
          <w:szCs w:val="22"/>
        </w:rPr>
        <w:tab/>
        <w:t>Farmakodinámiás tulajdonságok</w:t>
      </w:r>
    </w:p>
    <w:p w14:paraId="5C664B77" w14:textId="77777777" w:rsidR="00DE62E1" w:rsidRDefault="00DE62E1">
      <w:pPr>
        <w:keepNext/>
        <w:suppressAutoHyphens w:val="0"/>
        <w:rPr>
          <w:sz w:val="22"/>
          <w:szCs w:val="22"/>
          <w:u w:val="single"/>
        </w:rPr>
      </w:pPr>
    </w:p>
    <w:p w14:paraId="5B6A036C" w14:textId="77777777" w:rsidR="00DE62E1" w:rsidRDefault="00692E8D">
      <w:pPr>
        <w:keepNext/>
        <w:suppressAutoHyphens w:val="0"/>
        <w:rPr>
          <w:sz w:val="22"/>
          <w:szCs w:val="22"/>
        </w:rPr>
      </w:pPr>
      <w:r>
        <w:rPr>
          <w:sz w:val="22"/>
          <w:szCs w:val="22"/>
        </w:rPr>
        <w:t>Farmakoterápiás csoport: Renin-angiotenzin rendszerre ható szerek, ACE-gátlók és diuretikumok, ATC-kód: C09BA04</w:t>
      </w:r>
    </w:p>
    <w:p w14:paraId="0D12355B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0E95A5D9" w14:textId="77777777" w:rsidR="00DE62E1" w:rsidRDefault="00692E8D">
      <w:pPr>
        <w:suppressAutoHyphens w:val="0"/>
        <w:rPr>
          <w:sz w:val="22"/>
          <w:szCs w:val="22"/>
        </w:rPr>
      </w:pPr>
      <w:r>
        <w:rPr>
          <w:iCs/>
          <w:sz w:val="22"/>
          <w:szCs w:val="22"/>
        </w:rPr>
        <w:t>A Perindopril arginine/indapamide Krka tabletta</w:t>
      </w:r>
      <w:r>
        <w:rPr>
          <w:sz w:val="22"/>
          <w:szCs w:val="22"/>
        </w:rPr>
        <w:t xml:space="preserve"> kombinált készítmény: perindopril-arginin sót (angiotenzin-konvertáló enzimgátlót) és indapamidot (klórszulfamoil-típusú diuretikumot) tartalmaz. </w:t>
      </w:r>
      <w:r>
        <w:rPr>
          <w:sz w:val="22"/>
          <w:szCs w:val="22"/>
        </w:rPr>
        <w:lastRenderedPageBreak/>
        <w:t>Farmakológiai tulajdonságai hatóanyagainak egyedi sajátosságaiból, valamint a kombinálásuk következtében fellépő additív szinergista hatásból tevődik össze.</w:t>
      </w:r>
    </w:p>
    <w:p w14:paraId="1E083BBE" w14:textId="77777777" w:rsidR="00DE62E1" w:rsidRDefault="00DE62E1">
      <w:pPr>
        <w:suppressAutoHyphens w:val="0"/>
        <w:rPr>
          <w:b/>
          <w:sz w:val="22"/>
          <w:szCs w:val="22"/>
        </w:rPr>
      </w:pPr>
    </w:p>
    <w:p w14:paraId="3CE8AD8F" w14:textId="77777777" w:rsidR="00DE62E1" w:rsidRDefault="00692E8D">
      <w:pPr>
        <w:suppressAutoHyphens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Hatásmechanizmus</w:t>
      </w:r>
    </w:p>
    <w:p w14:paraId="45571001" w14:textId="77777777" w:rsidR="00DE62E1" w:rsidRDefault="00DE62E1">
      <w:pPr>
        <w:suppressAutoHyphens w:val="0"/>
        <w:rPr>
          <w:bCs/>
          <w:i/>
          <w:sz w:val="22"/>
          <w:szCs w:val="22"/>
        </w:rPr>
      </w:pPr>
    </w:p>
    <w:p w14:paraId="380DD406" w14:textId="77777777" w:rsidR="00DE62E1" w:rsidRDefault="00692E8D">
      <w:pPr>
        <w:suppressAutoHyphens w:val="0"/>
        <w:rPr>
          <w:sz w:val="22"/>
          <w:szCs w:val="22"/>
        </w:rPr>
      </w:pPr>
      <w:r>
        <w:rPr>
          <w:bCs/>
          <w:i/>
          <w:sz w:val="22"/>
          <w:szCs w:val="22"/>
          <w:u w:val="single"/>
        </w:rPr>
        <w:t>A Perindopril arginine/indapamide Krka tablettára vonatkozóan</w:t>
      </w:r>
    </w:p>
    <w:p w14:paraId="058BC5F9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arginine/indapamide Krka a két komponens vérnyomáscsökkentő hatásának additív szinergiáját mutatja.</w:t>
      </w:r>
    </w:p>
    <w:p w14:paraId="5E368220" w14:textId="77777777" w:rsidR="00DE62E1" w:rsidRDefault="00DE62E1">
      <w:pPr>
        <w:suppressAutoHyphens w:val="0"/>
        <w:rPr>
          <w:sz w:val="22"/>
          <w:szCs w:val="22"/>
        </w:rPr>
      </w:pPr>
    </w:p>
    <w:p w14:paraId="6C2AE6F4" w14:textId="77777777" w:rsidR="00DE62E1" w:rsidRDefault="00692E8D">
      <w:pPr>
        <w:keepNext/>
        <w:suppressAutoHyphens w:val="0"/>
        <w:rPr>
          <w:b/>
          <w:sz w:val="22"/>
          <w:szCs w:val="22"/>
          <w:u w:val="single"/>
        </w:rPr>
      </w:pPr>
      <w:r>
        <w:rPr>
          <w:bCs/>
          <w:i/>
          <w:sz w:val="22"/>
          <w:szCs w:val="22"/>
          <w:u w:val="single"/>
        </w:rPr>
        <w:t>A perindoprilra vonatkozóan</w:t>
      </w:r>
    </w:p>
    <w:p w14:paraId="44EB1CF8" w14:textId="77777777" w:rsidR="00DE62E1" w:rsidRDefault="00692E8D">
      <w:pPr>
        <w:tabs>
          <w:tab w:val="left" w:pos="0"/>
          <w:tab w:val="left" w:pos="284"/>
        </w:tabs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 xml:space="preserve">A perindopril az angiotenzin-konvertáló enzim gátlója (ACE-gátló). Ez az enzim az angiotenzin I-et angiotenzin II-vé alakítja át, ami egy vazokonstriktor hatású anyag; ezen kívül az enzim serkenti a mellékvesekéreg </w:t>
      </w:r>
      <w:r>
        <w:rPr>
          <w:sz w:val="22"/>
          <w:szCs w:val="22"/>
        </w:rPr>
        <w:t>aldoszteron szekrécióját, és elősegíti a vazodilatátor hatású bradikinin lebontását inaktív heptapeptidekké</w:t>
      </w:r>
      <w:r>
        <w:rPr>
          <w:sz w:val="22"/>
          <w:szCs w:val="22"/>
          <w:lang w:eastAsia="en-US"/>
        </w:rPr>
        <w:t>.</w:t>
      </w:r>
    </w:p>
    <w:p w14:paraId="0AC33987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Ezáltal:</w:t>
      </w:r>
    </w:p>
    <w:p w14:paraId="7E82A4F0" w14:textId="77777777" w:rsidR="00DE62E1" w:rsidRDefault="00692E8D">
      <w:pPr>
        <w:numPr>
          <w:ilvl w:val="0"/>
          <w:numId w:val="5"/>
        </w:numPr>
        <w:suppressAutoHyphens w:val="0"/>
        <w:ind w:left="567" w:hanging="578"/>
        <w:rPr>
          <w:sz w:val="22"/>
          <w:szCs w:val="22"/>
        </w:rPr>
      </w:pPr>
      <w:r>
        <w:rPr>
          <w:sz w:val="22"/>
          <w:szCs w:val="22"/>
        </w:rPr>
        <w:t>csökken az aldoszteronszekréció,</w:t>
      </w:r>
    </w:p>
    <w:p w14:paraId="74FE9487" w14:textId="77777777" w:rsidR="00DE62E1" w:rsidRDefault="00692E8D">
      <w:pPr>
        <w:numPr>
          <w:ilvl w:val="0"/>
          <w:numId w:val="5"/>
        </w:numPr>
        <w:suppressAutoHyphens w:val="0"/>
        <w:ind w:left="567" w:hanging="578"/>
        <w:rPr>
          <w:sz w:val="22"/>
          <w:szCs w:val="22"/>
        </w:rPr>
      </w:pPr>
      <w:r>
        <w:rPr>
          <w:sz w:val="22"/>
          <w:szCs w:val="22"/>
        </w:rPr>
        <w:t xml:space="preserve">nő a plazma reninaktivitása, mivel nem érvényesül az aldoszteron </w:t>
      </w:r>
      <w:r>
        <w:rPr>
          <w:sz w:val="22"/>
          <w:szCs w:val="22"/>
          <w:lang w:eastAsia="en-US"/>
        </w:rPr>
        <w:t>okozta</w:t>
      </w:r>
      <w:r>
        <w:rPr>
          <w:sz w:val="22"/>
          <w:szCs w:val="22"/>
        </w:rPr>
        <w:t xml:space="preserve"> negatív feedback hatás,</w:t>
      </w:r>
    </w:p>
    <w:p w14:paraId="6594FD4C" w14:textId="77777777" w:rsidR="00DE62E1" w:rsidRDefault="00692E8D">
      <w:pPr>
        <w:numPr>
          <w:ilvl w:val="0"/>
          <w:numId w:val="5"/>
        </w:numPr>
        <w:suppressAutoHyphens w:val="0"/>
        <w:ind w:left="567" w:hanging="578"/>
        <w:rPr>
          <w:sz w:val="22"/>
          <w:szCs w:val="22"/>
        </w:rPr>
      </w:pPr>
      <w:r>
        <w:rPr>
          <w:sz w:val="22"/>
          <w:szCs w:val="22"/>
        </w:rPr>
        <w:t>csökken a teljes perifériás ellenállás, elsődlegesen az izmok és a vesék ereire kifejtett hatás miatt, amit a tartós kezelés során nem kísér só- és vízretenció vagy reflex-tachycardia.</w:t>
      </w:r>
    </w:p>
    <w:p w14:paraId="1FC62900" w14:textId="77777777" w:rsidR="00DE62E1" w:rsidRDefault="00DE62E1">
      <w:pPr>
        <w:suppressAutoHyphens w:val="0"/>
        <w:rPr>
          <w:sz w:val="22"/>
          <w:szCs w:val="22"/>
        </w:rPr>
      </w:pPr>
    </w:p>
    <w:p w14:paraId="101F970E" w14:textId="77777777" w:rsidR="00DE62E1" w:rsidRDefault="00692E8D">
      <w:pPr>
        <w:numPr>
          <w:ilvl w:val="12"/>
          <w:numId w:val="0"/>
        </w:numPr>
        <w:tabs>
          <w:tab w:val="left" w:pos="0"/>
        </w:tabs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A perindopril vérnyomáscsökkentő hatása mind az alacsony, mind pedig a normális reninkoncentrációjú betegeknél jelentkezik.</w:t>
      </w:r>
    </w:p>
    <w:p w14:paraId="26F2B474" w14:textId="77777777" w:rsidR="00DE62E1" w:rsidRDefault="00DE62E1">
      <w:pPr>
        <w:suppressAutoHyphens w:val="0"/>
        <w:rPr>
          <w:sz w:val="22"/>
          <w:szCs w:val="22"/>
        </w:rPr>
      </w:pPr>
    </w:p>
    <w:p w14:paraId="48017ABD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hatását aktív metabolitján, a perindopriláton keresztül fejti ki, a többi metabolit inaktív.</w:t>
      </w:r>
    </w:p>
    <w:p w14:paraId="7BCE9221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csökkenti a szív munkáját,</w:t>
      </w:r>
    </w:p>
    <w:p w14:paraId="3EC8E44A" w14:textId="77777777" w:rsidR="00DE62E1" w:rsidRDefault="00692E8D">
      <w:pPr>
        <w:numPr>
          <w:ilvl w:val="0"/>
          <w:numId w:val="5"/>
        </w:numPr>
        <w:suppressAutoHyphens w:val="0"/>
        <w:ind w:left="567" w:hanging="578"/>
        <w:rPr>
          <w:sz w:val="22"/>
          <w:szCs w:val="22"/>
        </w:rPr>
      </w:pPr>
      <w:r>
        <w:rPr>
          <w:sz w:val="22"/>
          <w:szCs w:val="22"/>
        </w:rPr>
        <w:t>a vénákra kifejtett vazodilatátor hatás révén (valószínűleg a prosztaglandinok metabolizmusának megváltoztatásával) csökkenti az előterhelést (preload).</w:t>
      </w:r>
    </w:p>
    <w:p w14:paraId="3BEABEBA" w14:textId="77777777" w:rsidR="00DE62E1" w:rsidRDefault="00692E8D">
      <w:pPr>
        <w:numPr>
          <w:ilvl w:val="0"/>
          <w:numId w:val="5"/>
        </w:numPr>
        <w:suppressAutoHyphens w:val="0"/>
        <w:ind w:left="567" w:hanging="578"/>
        <w:rPr>
          <w:sz w:val="22"/>
          <w:szCs w:val="22"/>
        </w:rPr>
      </w:pPr>
      <w:r>
        <w:rPr>
          <w:sz w:val="22"/>
          <w:szCs w:val="22"/>
        </w:rPr>
        <w:t>csökkenti a teljes perifériás ellenállást, és így csökkenti az utóterhelést (afterload).</w:t>
      </w:r>
    </w:p>
    <w:p w14:paraId="37A3C93A" w14:textId="77777777" w:rsidR="00DE62E1" w:rsidRDefault="00DE62E1">
      <w:pPr>
        <w:suppressAutoHyphens w:val="0"/>
        <w:rPr>
          <w:sz w:val="22"/>
          <w:szCs w:val="22"/>
        </w:rPr>
      </w:pPr>
    </w:p>
    <w:p w14:paraId="216B7FE0" w14:textId="77777777" w:rsidR="00DE62E1" w:rsidRDefault="00692E8D">
      <w:pPr>
        <w:tabs>
          <w:tab w:val="left" w:pos="284"/>
          <w:tab w:val="left" w:pos="709"/>
        </w:tabs>
        <w:rPr>
          <w:sz w:val="22"/>
          <w:szCs w:val="22"/>
        </w:rPr>
      </w:pPr>
      <w:r>
        <w:rPr>
          <w:sz w:val="22"/>
          <w:szCs w:val="22"/>
        </w:rPr>
        <w:t>A szívelégtelenségben szenvedő betegeknél végzett vizsgálatokban kimutatták:</w:t>
      </w:r>
    </w:p>
    <w:p w14:paraId="34158AFE" w14:textId="77777777" w:rsidR="00DE62E1" w:rsidRDefault="00692E8D">
      <w:pPr>
        <w:pStyle w:val="EMEAEnBodyText"/>
        <w:tabs>
          <w:tab w:val="left" w:pos="567"/>
        </w:tabs>
        <w:spacing w:before="0" w:after="0"/>
        <w:jc w:val="left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a bal és a jobb kamrai töltőnyomás csökkenését,</w:t>
      </w:r>
    </w:p>
    <w:p w14:paraId="39820B37" w14:textId="77777777" w:rsidR="00DE62E1" w:rsidRDefault="00692E8D">
      <w:pPr>
        <w:pStyle w:val="EMEAEnBodyText"/>
        <w:tabs>
          <w:tab w:val="left" w:pos="567"/>
        </w:tabs>
        <w:spacing w:before="0" w:after="0"/>
        <w:jc w:val="left"/>
        <w:rPr>
          <w:lang w:val="hu-HU"/>
        </w:rPr>
      </w:pPr>
      <w:r>
        <w:rPr>
          <w:lang w:val="hu-HU"/>
        </w:rPr>
        <w:t>-</w:t>
      </w:r>
      <w:r>
        <w:rPr>
          <w:lang w:val="hu-HU"/>
        </w:rPr>
        <w:tab/>
        <w:t>a teljes perifériás rezisztencia csökkentését,</w:t>
      </w:r>
    </w:p>
    <w:p w14:paraId="4CF507C2" w14:textId="77777777" w:rsidR="00DE62E1" w:rsidRDefault="00692E8D">
      <w:pPr>
        <w:tabs>
          <w:tab w:val="left" w:pos="567"/>
          <w:tab w:val="left" w:pos="709"/>
        </w:tabs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a perctérfogat növekedését és a szívindex javulását,</w:t>
      </w:r>
    </w:p>
    <w:p w14:paraId="6F3781F4" w14:textId="77777777" w:rsidR="00DE62E1" w:rsidRDefault="00692E8D">
      <w:pPr>
        <w:tabs>
          <w:tab w:val="left" w:pos="567"/>
          <w:tab w:val="left" w:pos="709"/>
        </w:tabs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az izmok regionális véráramlásának növekedését.</w:t>
      </w:r>
    </w:p>
    <w:p w14:paraId="3F815DBC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terheléses vizsgálatok eredményei szintén javulást mutattak.</w:t>
      </w:r>
    </w:p>
    <w:p w14:paraId="60F5C4F2" w14:textId="77777777" w:rsidR="00DE62E1" w:rsidRDefault="00DE62E1">
      <w:pPr>
        <w:suppressAutoHyphens w:val="0"/>
        <w:rPr>
          <w:sz w:val="22"/>
          <w:szCs w:val="22"/>
          <w:u w:val="single"/>
        </w:rPr>
      </w:pPr>
    </w:p>
    <w:p w14:paraId="4F9154F9" w14:textId="77777777" w:rsidR="00DE62E1" w:rsidRDefault="00692E8D">
      <w:pPr>
        <w:suppressAutoHyphens w:val="0"/>
        <w:rPr>
          <w:sz w:val="22"/>
          <w:szCs w:val="22"/>
        </w:rPr>
      </w:pPr>
      <w:r>
        <w:rPr>
          <w:i/>
          <w:sz w:val="22"/>
          <w:szCs w:val="22"/>
          <w:u w:val="single"/>
        </w:rPr>
        <w:t>Az indapamidra vonatkozóan:</w:t>
      </w:r>
    </w:p>
    <w:p w14:paraId="1575C53A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Az indapamid egy indolgyűrűt tartalmazó szulfonamid-származék, a tiazid csoportba tartozó diuretikumokkal rokon vegyület. Az indapamid a vesekéreg dilúciós szegmensében gátolja a nátrium visszaszívását. Fokozza a nátrium és a klór vizelettel történő kiválasztását, kisebb mértékben a kálium és a magnézium kiválasztását, így növeli a vizelet mennyiségét, és antihipertenzív hatása van.</w:t>
      </w:r>
    </w:p>
    <w:p w14:paraId="621C03B5" w14:textId="77777777" w:rsidR="00DE62E1" w:rsidRDefault="00DE62E1">
      <w:pPr>
        <w:suppressAutoHyphens w:val="0"/>
        <w:rPr>
          <w:sz w:val="22"/>
          <w:szCs w:val="22"/>
        </w:rPr>
      </w:pPr>
    </w:p>
    <w:p w14:paraId="67C71516" w14:textId="77777777" w:rsidR="00DE62E1" w:rsidRDefault="00692E8D">
      <w:pPr>
        <w:keepNext/>
        <w:suppressAutoHyphens w:val="0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Farmakodinámiás hatások</w:t>
      </w:r>
    </w:p>
    <w:p w14:paraId="5B80E121" w14:textId="77777777" w:rsidR="00DE62E1" w:rsidRDefault="00DE62E1">
      <w:pPr>
        <w:keepNext/>
        <w:rPr>
          <w:sz w:val="22"/>
          <w:szCs w:val="22"/>
        </w:rPr>
      </w:pPr>
    </w:p>
    <w:p w14:paraId="7A499DA7" w14:textId="77777777" w:rsidR="00DE62E1" w:rsidRDefault="00692E8D">
      <w:pPr>
        <w:keepNext/>
        <w:rPr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 Perindopril arginine/indapamide Krka tablettára vonatkozóan:</w:t>
      </w:r>
    </w:p>
    <w:p w14:paraId="75321ABB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arginine/indapamide Krka dózisfüggően, az életkortól függetlenül csökkenti a hypertoniás betegek diasztolés és szisztolés artériás vérnyomását, mind fekvő, mind álló testhelyzetben.</w:t>
      </w:r>
    </w:p>
    <w:p w14:paraId="1E387CEF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vérnyomáscsökkentő hatás 24 órán át fennáll. A vérnyomáscsökkentő hatás kevesebb mint 1</w:t>
      </w:r>
      <w:r>
        <w:rPr>
          <w:iCs/>
          <w:sz w:val="22"/>
        </w:rPr>
        <w:t> </w:t>
      </w:r>
      <w:r>
        <w:rPr>
          <w:sz w:val="22"/>
          <w:szCs w:val="22"/>
        </w:rPr>
        <w:t>hónapon belül jelentkezik, és nem alakul ki tachyphylaxia. A kezelés abbahagyásakor nincs rebound jelenség. Klinikai vizsgálatokban a perindopril és az indapamid együttes alkalmazásakor a készítmények monoterápiában való alkalmazásához képest szinergista természetű vérnyomáscsökkentő hatást tapasztaltak.</w:t>
      </w:r>
    </w:p>
    <w:p w14:paraId="781DA02F" w14:textId="77777777" w:rsidR="00DE62E1" w:rsidRDefault="00DE62E1">
      <w:pPr>
        <w:suppressAutoHyphens w:val="0"/>
        <w:rPr>
          <w:sz w:val="22"/>
          <w:szCs w:val="22"/>
        </w:rPr>
      </w:pPr>
    </w:p>
    <w:p w14:paraId="2397103B" w14:textId="77777777" w:rsidR="00DE62E1" w:rsidRDefault="00692E8D">
      <w:pPr>
        <w:widowControl w:val="0"/>
        <w:rPr>
          <w:sz w:val="22"/>
          <w:szCs w:val="22"/>
        </w:rPr>
      </w:pPr>
      <w:r>
        <w:rPr>
          <w:sz w:val="22"/>
          <w:szCs w:val="22"/>
        </w:rPr>
        <w:t>A PICXEL, egy multicentrikus, randomizált, kettős vak, aktív kontrollos vizsgálat echokardiográfiával értékelte a perindopril/indapamid-kombináció enalapril-monoterápiához viszonyított, balkamra-</w:t>
      </w:r>
      <w:r>
        <w:rPr>
          <w:sz w:val="22"/>
          <w:szCs w:val="22"/>
        </w:rPr>
        <w:lastRenderedPageBreak/>
        <w:t>hypertrophiára gyakorolt hatását.</w:t>
      </w:r>
    </w:p>
    <w:p w14:paraId="7556634C" w14:textId="77777777" w:rsidR="00DE62E1" w:rsidRDefault="00692E8D">
      <w:pPr>
        <w:widowControl w:val="0"/>
        <w:rPr>
          <w:sz w:val="22"/>
          <w:szCs w:val="22"/>
        </w:rPr>
      </w:pPr>
      <w:r>
        <w:rPr>
          <w:sz w:val="22"/>
          <w:szCs w:val="22"/>
        </w:rPr>
        <w:t>A PICXEL vizsgálatban a balkamra-hypertrophiás hypertoniás betegek [meghatározása szerint a bal kamrai tömegindex (left ventricular mass index – LVMI) férfiaknál &gt; 120 g/m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 xml:space="preserve"> és nőknél &gt; 100 g/m</w:t>
      </w:r>
      <w:r>
        <w:rPr>
          <w:sz w:val="22"/>
          <w:szCs w:val="22"/>
          <w:vertAlign w:val="superscript"/>
        </w:rPr>
        <w:t>2</w:t>
      </w:r>
      <w:r>
        <w:rPr>
          <w:sz w:val="22"/>
          <w:szCs w:val="22"/>
        </w:rPr>
        <w:t>] véletlen besorolással vagy napi egyszeri 2 mg perindopril-terc-butil-amin (2,5 mg perindopril-argininnek felel meg)/0,625 mg indapamid- vagy 10 mg enalapril</w:t>
      </w:r>
      <w:r>
        <w:rPr>
          <w:sz w:val="22"/>
          <w:szCs w:val="22"/>
        </w:rPr>
        <w:noBreakHyphen/>
        <w:t>kezelést kaptak egy éven keresztül. A dózist a vérnyomásválasznak megfelelően emelték, legfeljebb napi egyszeri 8 mg-os perindopril-terc-butil-amin (10 mg perindopril-argininnek felel meg) és 2,5 mg-os indapamid vagy 40 mg-os enalapril dózisig. A betegeknek mindössze 34%-a maradt a 2 mg perindopril-terc-butil-amin (2,5 mg perindopril-argininnek felel meg)/0,625 mg indapamid-kezelésen (ezzel szemben a betegek 20%-a maradt 10 mg enalapril</w:t>
      </w:r>
      <w:r>
        <w:rPr>
          <w:sz w:val="22"/>
          <w:szCs w:val="22"/>
        </w:rPr>
        <w:noBreakHyphen/>
        <w:t>kezelésen).</w:t>
      </w:r>
    </w:p>
    <w:p w14:paraId="0E2C5FD6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kezelés végén a teljes randomizált betegpopulációban a LVMI szignifikánsan nagyobb mértékben csökkent a perindopril/indapamid- (</w:t>
      </w:r>
      <w:r>
        <w:rPr>
          <w:sz w:val="22"/>
          <w:szCs w:val="22"/>
        </w:rPr>
        <w:noBreakHyphen/>
        <w:t>10,1 g/m²), mint az enalapril-csoportban (</w:t>
      </w:r>
      <w:r>
        <w:rPr>
          <w:sz w:val="22"/>
          <w:szCs w:val="22"/>
        </w:rPr>
        <w:noBreakHyphen/>
        <w:t>1,1 g/m²). Az LVMI</w:t>
      </w:r>
      <w:r>
        <w:rPr>
          <w:sz w:val="22"/>
          <w:szCs w:val="22"/>
        </w:rPr>
        <w:noBreakHyphen/>
        <w:t xml:space="preserve">változásban mutatkozó csoportok közti különbség </w:t>
      </w:r>
      <w:r>
        <w:rPr>
          <w:sz w:val="22"/>
          <w:szCs w:val="22"/>
        </w:rPr>
        <w:noBreakHyphen/>
        <w:t>8,3 volt [95%-os CI: (</w:t>
      </w:r>
      <w:r>
        <w:rPr>
          <w:sz w:val="22"/>
          <w:szCs w:val="22"/>
        </w:rPr>
        <w:noBreakHyphen/>
        <w:t xml:space="preserve">11,5, </w:t>
      </w:r>
      <w:r>
        <w:rPr>
          <w:sz w:val="22"/>
          <w:szCs w:val="22"/>
        </w:rPr>
        <w:noBreakHyphen/>
        <w:t>5,0); p &lt; 0,0001].</w:t>
      </w:r>
    </w:p>
    <w:p w14:paraId="576546B8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Az LVMI-re gyakorolt jobb hatást nagyobb perindopril/indapamid-dózisokkal érték el, mint ami a Perindopril arginine/indapamide Krka 10 mg/2,5 mg tabletta esetén engedélyezett.</w:t>
      </w:r>
    </w:p>
    <w:p w14:paraId="6356E09A" w14:textId="77777777" w:rsidR="00DE62E1" w:rsidRDefault="00692E8D">
      <w:pPr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A vérnyomás tekintetében a randomizált populációban a csoportok közötti számított átlagos különbség </w:t>
      </w:r>
      <w:r>
        <w:rPr>
          <w:bCs/>
          <w:iCs/>
          <w:sz w:val="22"/>
          <w:szCs w:val="22"/>
        </w:rPr>
        <w:noBreakHyphen/>
        <w:t>5,8 Hgmm volt [95%-os CI (</w:t>
      </w:r>
      <w:r>
        <w:rPr>
          <w:bCs/>
          <w:iCs/>
          <w:sz w:val="22"/>
          <w:szCs w:val="22"/>
        </w:rPr>
        <w:noBreakHyphen/>
        <w:t xml:space="preserve">7,9, </w:t>
      </w:r>
      <w:r>
        <w:rPr>
          <w:bCs/>
          <w:iCs/>
          <w:sz w:val="22"/>
          <w:szCs w:val="22"/>
        </w:rPr>
        <w:noBreakHyphen/>
        <w:t xml:space="preserve">3,7); p &lt; 0,0001] a szisztolés vérnyomás és </w:t>
      </w:r>
      <w:r>
        <w:rPr>
          <w:bCs/>
          <w:iCs/>
          <w:sz w:val="22"/>
          <w:szCs w:val="22"/>
        </w:rPr>
        <w:noBreakHyphen/>
        <w:t>2,3 Hgmm [95%-os CI (</w:t>
      </w:r>
      <w:r>
        <w:rPr>
          <w:bCs/>
          <w:iCs/>
          <w:sz w:val="22"/>
          <w:szCs w:val="22"/>
        </w:rPr>
        <w:noBreakHyphen/>
        <w:t xml:space="preserve">3,6, </w:t>
      </w:r>
      <w:r>
        <w:rPr>
          <w:bCs/>
          <w:iCs/>
          <w:sz w:val="22"/>
          <w:szCs w:val="22"/>
        </w:rPr>
        <w:noBreakHyphen/>
        <w:t>0,9); p = 0,0004] a diasztolés vérnyomás esetén, ami a perindopril/indapamid</w:t>
      </w:r>
      <w:r>
        <w:rPr>
          <w:bCs/>
          <w:iCs/>
          <w:sz w:val="22"/>
          <w:szCs w:val="22"/>
        </w:rPr>
        <w:noBreakHyphen/>
        <w:t>csoportnak kedvezett.</w:t>
      </w:r>
    </w:p>
    <w:p w14:paraId="16F35308" w14:textId="77777777" w:rsidR="00DE62E1" w:rsidRDefault="00DE62E1">
      <w:pPr>
        <w:suppressAutoHyphens w:val="0"/>
        <w:rPr>
          <w:sz w:val="22"/>
          <w:szCs w:val="22"/>
        </w:rPr>
      </w:pPr>
    </w:p>
    <w:p w14:paraId="0FC520A4" w14:textId="77777777" w:rsidR="00DE62E1" w:rsidRDefault="00692E8D">
      <w:pPr>
        <w:suppressAutoHyphens w:val="0"/>
        <w:rPr>
          <w:sz w:val="22"/>
          <w:szCs w:val="22"/>
        </w:rPr>
      </w:pPr>
      <w:r>
        <w:rPr>
          <w:i/>
          <w:sz w:val="22"/>
          <w:szCs w:val="22"/>
          <w:u w:val="single"/>
        </w:rPr>
        <w:t>A perindoprilra vonatkozóan:</w:t>
      </w:r>
    </w:p>
    <w:p w14:paraId="1881F90A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perindopril a hypertonia minden stádiumában hatásos (enyhe, középsúlyos és súlyos). A szisztolés és a diasztolés vérnyomás csökkenését mind álló, mind fekvő testhelyzetben megfigyelték. Egyszeri dózis után a vérnyomáscsökkenés 4</w:t>
      </w:r>
      <w:r>
        <w:rPr>
          <w:sz w:val="22"/>
          <w:szCs w:val="22"/>
        </w:rPr>
        <w:noBreakHyphen/>
        <w:t>6 óra múlva maximális, és 24 órán keresztül fennáll. Az ACE</w:t>
      </w:r>
      <w:r>
        <w:rPr>
          <w:sz w:val="22"/>
          <w:szCs w:val="22"/>
        </w:rPr>
        <w:noBreakHyphen/>
        <w:t>gátlás reziduális mértéke is nagy, 24 óra múlva is körülbelül 80%-os. A kezelésre reagáló betegeknél a vérnyomás egy hónap múlva normalizálódik, és tachyphylaxia kialakulása nélkül fennmarad.</w:t>
      </w:r>
    </w:p>
    <w:p w14:paraId="4D3BB6B8" w14:textId="77777777" w:rsidR="00DE62E1" w:rsidRDefault="00DE62E1">
      <w:pPr>
        <w:rPr>
          <w:sz w:val="22"/>
          <w:szCs w:val="22"/>
        </w:rPr>
      </w:pPr>
    </w:p>
    <w:p w14:paraId="06DD92A1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kezelés abbahagyása nem jár rebound effektussal a vérnyomásban.</w:t>
      </w:r>
    </w:p>
    <w:p w14:paraId="7D4EDF89" w14:textId="77777777" w:rsidR="00DE62E1" w:rsidRDefault="00DE62E1">
      <w:pPr>
        <w:rPr>
          <w:sz w:val="22"/>
          <w:szCs w:val="22"/>
        </w:rPr>
      </w:pPr>
    </w:p>
    <w:p w14:paraId="55E27BAF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 xml:space="preserve">A perindopril vazodilatátor hatású, helyreállítja a nagy artériás törzsek elaszticitását, javítja a rezisztencia artériák hisztomorfometriai elváltozásait, csökkenti a balkamra-hypertrophiát. Ha szükséges, a tiazid diuretikum hozzáadása additív szinergizmushoz vezet. </w:t>
      </w:r>
    </w:p>
    <w:p w14:paraId="6CAFDE95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Az ACE-inhibitor és a tiazid-típusú diuretikum kombinációja csökkenti az önmagában adott diuretikum okozta hypokalaemia kockázatát.</w:t>
      </w:r>
    </w:p>
    <w:p w14:paraId="31FAFD8E" w14:textId="77777777" w:rsidR="00DE62E1" w:rsidRDefault="00DE62E1">
      <w:pPr>
        <w:rPr>
          <w:sz w:val="22"/>
          <w:szCs w:val="22"/>
        </w:rPr>
      </w:pPr>
    </w:p>
    <w:p w14:paraId="04DDFB25" w14:textId="77777777" w:rsidR="00DE62E1" w:rsidRDefault="00692E8D">
      <w:pPr>
        <w:rPr>
          <w:i/>
          <w:sz w:val="22"/>
          <w:szCs w:val="22"/>
          <w:lang w:eastAsia="sl-SI"/>
        </w:rPr>
      </w:pPr>
      <w:r>
        <w:rPr>
          <w:i/>
          <w:sz w:val="22"/>
          <w:szCs w:val="22"/>
          <w:lang w:eastAsia="sl-SI"/>
        </w:rPr>
        <w:t>A renin-angiotenzin-aldoszteron rendszer (RAAS) kettős blokádja, klinikai vizsgálati adatok</w:t>
      </w:r>
    </w:p>
    <w:p w14:paraId="52F863A7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Két nagy, randomizált, kontrollos vizsgálatban [ONTARGET (ONgoing Telmisartan Alone and in combination with Ramipril Global Endpoint Trial) és VA NEPHRON-D (The Veterans Affairs Nephropathy in Diabetes)] vizsgálták az ACE-gátló és angiotenzin II-receptor-blokkoló kombinált alkalmazását.</w:t>
      </w:r>
    </w:p>
    <w:p w14:paraId="1E13D3C3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Az ONTARGET vizsgálatot olyan betegeknél végezték, akiknek a kórtörténetében cardiovascularis vagy cerebrovascularis betegség, vagy szervkárosodással járó 2-es típusú diabetes mellitus szerepelt. A VA NEPHRON</w:t>
      </w:r>
      <w:r>
        <w:rPr>
          <w:sz w:val="22"/>
          <w:szCs w:val="22"/>
        </w:rPr>
        <w:noBreakHyphen/>
        <w:t>D vizsgálatot 2-es típusú diabetesben és diabeteses nephropathiában szenvedő betegeknél végezték.</w:t>
      </w:r>
    </w:p>
    <w:p w14:paraId="79AFAE5D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Ezek a vizsgálatok nem mutattak ki szignifikánsan előnyös hatásokat a renalis és/vagy cardiovascularis kimenetel és a mortalitás vonatkozásában, miközben a monoterápia esetén megfigyelthez képest nőtt a hyperkalaemia, az akut veseelégtelenség és/vagy a hypotonia kockázata. A hasonló farmakodinámiás tulajdonságok alapján ezek az eredmények más ACE-gátlók és angiotenzin II-receptor-blokkolók esetében is relevánsak.</w:t>
      </w:r>
    </w:p>
    <w:p w14:paraId="63C10D69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Ezért az ACE-gátlók és angiotenzin II-receptor-blokkolók nem adhatók együtt diabeteses nephropathiában szenvedő betegeknek.</w:t>
      </w:r>
    </w:p>
    <w:p w14:paraId="002C5714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 xml:space="preserve">Az ALTITUDE (Aliskiren Trial in Type 2 Diabetes Using Cardiovascular and Renal Disease Endpoints) vizsgálat célja az volt, hogy megállapítsák, előnyös-e a standard ACE-gátló- vagy angiotenzin II-receptor-blokkoló-kezelés kiegészítése aliszkirénnel 2-es típusú diabetesben és krónikus vesebetegségben, illetve cardiovascularis betegségben vagy mindkettőben szenvedő betegeknél. A </w:t>
      </w:r>
      <w:r>
        <w:rPr>
          <w:sz w:val="22"/>
          <w:szCs w:val="22"/>
        </w:rPr>
        <w:lastRenderedPageBreak/>
        <w:t>vizsgálatot idő előtt leállították, mert nőtt a mellékhatások kockázata. A cardiovascularis eredetű halál és a stroke szám szerint gyakoribb volt az aliszkirén csoportban, mint a placebocsoportban, és a jelentős mellékhatások, illetve súlyos mellékhatások (hyperkalaemia, hypotonia és veseműködési zavar) is gyakoribbak voltak az aliszkirén-csoportban, mint a placebocsoportban.</w:t>
      </w:r>
    </w:p>
    <w:p w14:paraId="40155D40" w14:textId="77777777" w:rsidR="00DE62E1" w:rsidRDefault="00DE62E1">
      <w:pPr>
        <w:suppressAutoHyphens w:val="0"/>
        <w:rPr>
          <w:sz w:val="22"/>
          <w:szCs w:val="22"/>
          <w:u w:val="single"/>
        </w:rPr>
      </w:pPr>
    </w:p>
    <w:p w14:paraId="0EA748EE" w14:textId="77777777" w:rsidR="00DE62E1" w:rsidRDefault="00692E8D">
      <w:pPr>
        <w:suppressAutoHyphens w:val="0"/>
        <w:rPr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Az indapamidra vonatkozóan:</w:t>
      </w:r>
    </w:p>
    <w:p w14:paraId="42A58ACF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Az indapamid antihipertenzív hatása monoterápiában 24 óráig fennáll. Ez a hatás már gyenge diuretikus hatású dózisok esetén is kimutatható.</w:t>
      </w:r>
    </w:p>
    <w:p w14:paraId="63CAF174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Antihipertenzív hatása az arteriás compliance javulásával és a teljes és az arterioláris perifériás rezisztencia csökkenésével arányos. Az indapamid csökkenti a balkamra-hypertrophiát.</w:t>
      </w:r>
    </w:p>
    <w:p w14:paraId="7B9DC933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tiazid és rokon diuretikumok egy adott dózisának túllépésekor a vérnyomáscsökkentő hatás egy platót ér el, miközben a mellékhatások folyamatosan tovább fokozódnak. Ha a kezelés hatástalan, a dózist nem szabad növelni.</w:t>
      </w:r>
    </w:p>
    <w:p w14:paraId="6F3CB677" w14:textId="77777777" w:rsidR="00DE62E1" w:rsidRDefault="00DE62E1">
      <w:pPr>
        <w:rPr>
          <w:sz w:val="22"/>
          <w:szCs w:val="22"/>
        </w:rPr>
      </w:pPr>
    </w:p>
    <w:p w14:paraId="0730E6B3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Kimutatták továbbá, hogy a hypertoniás betegeknél az indapamid rövid, közép és hosszú távon:</w:t>
      </w:r>
    </w:p>
    <w:p w14:paraId="7A0F110E" w14:textId="77777777" w:rsidR="00DE62E1" w:rsidRDefault="00692E8D">
      <w:pPr>
        <w:numPr>
          <w:ilvl w:val="0"/>
          <w:numId w:val="11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nem befolyásolja a lipid-anyagcserét, a trigliceridek, az LDL-koleszterin és a HDL-koleszterin esetében;</w:t>
      </w:r>
    </w:p>
    <w:p w14:paraId="2F0E307C" w14:textId="77777777" w:rsidR="00DE62E1" w:rsidRDefault="00692E8D">
      <w:pPr>
        <w:numPr>
          <w:ilvl w:val="0"/>
          <w:numId w:val="11"/>
        </w:numPr>
        <w:ind w:hanging="600"/>
        <w:rPr>
          <w:sz w:val="22"/>
          <w:szCs w:val="22"/>
        </w:rPr>
      </w:pPr>
      <w:r>
        <w:rPr>
          <w:sz w:val="22"/>
          <w:szCs w:val="22"/>
        </w:rPr>
        <w:t>nincs hatással a szénhidrát-anyagcserére, még a diabéteszes hypertoniás betegek esetében sem.</w:t>
      </w:r>
    </w:p>
    <w:p w14:paraId="4E66DC30" w14:textId="77777777" w:rsidR="00DE62E1" w:rsidRDefault="00DE62E1">
      <w:pPr>
        <w:suppressAutoHyphens w:val="0"/>
        <w:rPr>
          <w:b/>
          <w:bCs/>
          <w:sz w:val="22"/>
          <w:szCs w:val="22"/>
        </w:rPr>
      </w:pPr>
    </w:p>
    <w:p w14:paraId="5B1A00CB" w14:textId="77777777" w:rsidR="00DE62E1" w:rsidRDefault="00692E8D">
      <w:pPr>
        <w:rPr>
          <w:noProof/>
          <w:sz w:val="22"/>
          <w:szCs w:val="22"/>
          <w:u w:val="single"/>
        </w:rPr>
      </w:pPr>
      <w:r>
        <w:rPr>
          <w:noProof/>
          <w:sz w:val="22"/>
          <w:szCs w:val="22"/>
          <w:u w:val="single"/>
        </w:rPr>
        <w:t>Gyermekek és serdülők</w:t>
      </w:r>
    </w:p>
    <w:p w14:paraId="0F9D400B" w14:textId="77777777" w:rsidR="00DE62E1" w:rsidRDefault="00692E8D">
      <w:pPr>
        <w:rPr>
          <w:noProof/>
          <w:sz w:val="22"/>
          <w:szCs w:val="22"/>
        </w:rPr>
      </w:pPr>
      <w:r>
        <w:rPr>
          <w:noProof/>
          <w:sz w:val="22"/>
          <w:szCs w:val="22"/>
        </w:rPr>
        <w:t>A Perindopril arginine/indapamide Krka 10 mg/2,5 mg tabletta gyermekeknél történő alkalmazásával kapcsolatban nem áll rendelkezésre adat.</w:t>
      </w:r>
    </w:p>
    <w:p w14:paraId="1EAEA6BD" w14:textId="77777777" w:rsidR="00DE62E1" w:rsidRDefault="00DE62E1">
      <w:pPr>
        <w:suppressAutoHyphens w:val="0"/>
        <w:rPr>
          <w:b/>
          <w:bCs/>
          <w:sz w:val="22"/>
          <w:szCs w:val="22"/>
        </w:rPr>
      </w:pPr>
    </w:p>
    <w:p w14:paraId="2D3F51BD" w14:textId="77777777" w:rsidR="00DE62E1" w:rsidRDefault="00692E8D">
      <w:pPr>
        <w:suppressAutoHyphens w:val="0"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</w:t>
      </w:r>
      <w:r>
        <w:rPr>
          <w:b/>
          <w:bCs/>
          <w:sz w:val="22"/>
          <w:szCs w:val="22"/>
        </w:rPr>
        <w:tab/>
        <w:t>Farmakokinetikai tulajdonságok</w:t>
      </w:r>
    </w:p>
    <w:p w14:paraId="712F9886" w14:textId="77777777" w:rsidR="00DE62E1" w:rsidRDefault="00DE62E1">
      <w:pPr>
        <w:suppressAutoHyphens w:val="0"/>
        <w:rPr>
          <w:b/>
          <w:i/>
          <w:iCs/>
          <w:sz w:val="22"/>
          <w:szCs w:val="22"/>
        </w:rPr>
      </w:pPr>
    </w:p>
    <w:p w14:paraId="49FB36DA" w14:textId="77777777" w:rsidR="00DE62E1" w:rsidRDefault="00692E8D">
      <w:pPr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 Perindopril arginine/indapamide Krka 10</w:t>
      </w:r>
      <w:r>
        <w:rPr>
          <w:i/>
          <w:noProof/>
          <w:sz w:val="22"/>
          <w:szCs w:val="22"/>
          <w:u w:val="single"/>
        </w:rPr>
        <w:t> </w:t>
      </w:r>
      <w:r>
        <w:rPr>
          <w:i/>
          <w:iCs/>
          <w:sz w:val="22"/>
          <w:szCs w:val="22"/>
          <w:u w:val="single"/>
        </w:rPr>
        <w:t>mg/2,5</w:t>
      </w:r>
      <w:r>
        <w:rPr>
          <w:i/>
          <w:noProof/>
          <w:sz w:val="22"/>
          <w:szCs w:val="22"/>
          <w:u w:val="single"/>
        </w:rPr>
        <w:t> </w:t>
      </w:r>
      <w:r>
        <w:rPr>
          <w:i/>
          <w:iCs/>
          <w:sz w:val="22"/>
          <w:szCs w:val="22"/>
          <w:u w:val="single"/>
        </w:rPr>
        <w:t>mg tablettára vonatkozóan</w:t>
      </w:r>
    </w:p>
    <w:p w14:paraId="457431DF" w14:textId="77777777" w:rsidR="00DE62E1" w:rsidRDefault="00DE62E1">
      <w:pPr>
        <w:suppressAutoHyphens w:val="0"/>
        <w:rPr>
          <w:sz w:val="22"/>
          <w:szCs w:val="22"/>
        </w:rPr>
      </w:pPr>
    </w:p>
    <w:p w14:paraId="15AA0856" w14:textId="77777777" w:rsidR="00DE62E1" w:rsidRDefault="00692E8D">
      <w:pPr>
        <w:rPr>
          <w:sz w:val="22"/>
          <w:szCs w:val="22"/>
        </w:rPr>
      </w:pPr>
      <w:r>
        <w:rPr>
          <w:iCs/>
          <w:sz w:val="22"/>
          <w:szCs w:val="22"/>
        </w:rPr>
        <w:t>A perindopril és az indapamid együttes</w:t>
      </w:r>
      <w:r>
        <w:rPr>
          <w:sz w:val="22"/>
          <w:szCs w:val="22"/>
        </w:rPr>
        <w:t xml:space="preserve"> alkalmazása nem változtatja meg külön-külön adott összetevők farmakokinetikai jellemzőit.</w:t>
      </w:r>
    </w:p>
    <w:p w14:paraId="370E9A4B" w14:textId="77777777" w:rsidR="00DE62E1" w:rsidRDefault="00DE62E1">
      <w:pPr>
        <w:suppressAutoHyphens w:val="0"/>
        <w:rPr>
          <w:b/>
          <w:i/>
          <w:iCs/>
          <w:sz w:val="22"/>
          <w:szCs w:val="22"/>
        </w:rPr>
      </w:pPr>
    </w:p>
    <w:p w14:paraId="4641FAEC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 perindoprilra vonatkozóan</w:t>
      </w:r>
    </w:p>
    <w:p w14:paraId="6C441B1B" w14:textId="77777777" w:rsidR="00DE62E1" w:rsidRDefault="00DE62E1">
      <w:pPr>
        <w:rPr>
          <w:iCs/>
          <w:sz w:val="22"/>
          <w:szCs w:val="22"/>
          <w:u w:val="single"/>
        </w:rPr>
      </w:pPr>
    </w:p>
    <w:p w14:paraId="0BD0BFD1" w14:textId="77777777" w:rsidR="00DE62E1" w:rsidRDefault="00692E8D">
      <w:pPr>
        <w:rPr>
          <w:iCs/>
          <w:sz w:val="22"/>
          <w:szCs w:val="22"/>
          <w:u w:val="single"/>
        </w:rPr>
      </w:pPr>
      <w:r>
        <w:rPr>
          <w:iCs/>
          <w:sz w:val="22"/>
          <w:szCs w:val="22"/>
          <w:u w:val="single"/>
        </w:rPr>
        <w:t>Felszívódás és biohasznosulás</w:t>
      </w:r>
    </w:p>
    <w:p w14:paraId="625B62B5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 xml:space="preserve">A perindopril </w:t>
      </w:r>
      <w:r>
        <w:rPr>
          <w:bCs/>
          <w:i/>
          <w:iCs/>
          <w:sz w:val="22"/>
          <w:szCs w:val="22"/>
        </w:rPr>
        <w:t>per os</w:t>
      </w:r>
      <w:r>
        <w:rPr>
          <w:bCs/>
          <w:iCs/>
          <w:sz w:val="22"/>
          <w:szCs w:val="22"/>
        </w:rPr>
        <w:t xml:space="preserve"> adagolását követően gyorsan felszívódik, a plazma csúcskoncentráció 1</w:t>
      </w:r>
      <w:r>
        <w:rPr>
          <w:sz w:val="22"/>
          <w:szCs w:val="22"/>
        </w:rPr>
        <w:t> </w:t>
      </w:r>
      <w:r>
        <w:rPr>
          <w:bCs/>
          <w:iCs/>
          <w:sz w:val="22"/>
          <w:szCs w:val="22"/>
        </w:rPr>
        <w:t>órán belül alakul ki. A perindopril plazmafelezési ideje körülbelül 1</w:t>
      </w:r>
      <w:r>
        <w:rPr>
          <w:sz w:val="22"/>
          <w:szCs w:val="22"/>
        </w:rPr>
        <w:t> </w:t>
      </w:r>
      <w:r>
        <w:rPr>
          <w:bCs/>
          <w:iCs/>
          <w:sz w:val="22"/>
          <w:szCs w:val="22"/>
        </w:rPr>
        <w:t>óra.</w:t>
      </w:r>
    </w:p>
    <w:p w14:paraId="66E692EB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Mivel a táplálékbevitel csökkenti a perindopriláttá való átalakulást, és így a biohasznosulást, a perindopril-arginint naponta egy alkalommal, reggel, étkezés előtt kell bevenni.</w:t>
      </w:r>
    </w:p>
    <w:p w14:paraId="369F210E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11C3EE34" w14:textId="77777777" w:rsidR="00DE62E1" w:rsidRDefault="00692E8D">
      <w:pPr>
        <w:tabs>
          <w:tab w:val="left" w:pos="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Eloszlás</w:t>
      </w:r>
    </w:p>
    <w:p w14:paraId="24960BBF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sz w:val="22"/>
          <w:szCs w:val="22"/>
          <w:lang w:eastAsia="en-US"/>
        </w:rPr>
        <w:t>A megoszlási térfogat a nem kötött perindoprilát esetében hozzávetőleg 0,2</w:t>
      </w:r>
      <w:r>
        <w:rPr>
          <w:iCs/>
        </w:rPr>
        <w:t> </w:t>
      </w:r>
      <w:r>
        <w:rPr>
          <w:sz w:val="22"/>
          <w:szCs w:val="22"/>
          <w:lang w:eastAsia="en-US"/>
        </w:rPr>
        <w:t>l/ttkg. A perindoprilát 20%-a kötődik plazmaproteinekhez, főleg az angiotenzin-konvertáló enzimhez, de ez koncentrációfüggő</w:t>
      </w:r>
      <w:r>
        <w:rPr>
          <w:bCs/>
          <w:iCs/>
          <w:sz w:val="22"/>
          <w:szCs w:val="22"/>
        </w:rPr>
        <w:t>.</w:t>
      </w:r>
    </w:p>
    <w:p w14:paraId="2B4D6379" w14:textId="77777777" w:rsidR="00DE62E1" w:rsidRDefault="00DE62E1">
      <w:pPr>
        <w:suppressAutoHyphens w:val="0"/>
        <w:rPr>
          <w:bCs/>
          <w:iCs/>
          <w:sz w:val="22"/>
          <w:szCs w:val="22"/>
        </w:rPr>
      </w:pPr>
    </w:p>
    <w:p w14:paraId="52EDDE91" w14:textId="77777777" w:rsidR="00DE62E1" w:rsidRDefault="00692E8D">
      <w:pPr>
        <w:keepNext/>
        <w:tabs>
          <w:tab w:val="left" w:pos="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Biotranszformáció</w:t>
      </w:r>
    </w:p>
    <w:p w14:paraId="0A8030B4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perindopril egy prodrug. Az alkalmazott perindopril dózis 27%-a jut be a vérkeringésbe aktív metabolit, perindoprilát formájában. Az aktív perindopriláton kívül a perindoprilból még 5 metabolit képződik, ezek mind inaktívak. A perindoprilát plazma csúcskoncentrációja 3</w:t>
      </w:r>
      <w:r>
        <w:rPr>
          <w:sz w:val="22"/>
          <w:szCs w:val="22"/>
        </w:rPr>
        <w:noBreakHyphen/>
        <w:t>4 órán belül alakul ki.</w:t>
      </w:r>
    </w:p>
    <w:p w14:paraId="72D91C90" w14:textId="77777777" w:rsidR="00DE62E1" w:rsidRDefault="00DE62E1">
      <w:pPr>
        <w:rPr>
          <w:sz w:val="22"/>
          <w:szCs w:val="22"/>
        </w:rPr>
      </w:pPr>
    </w:p>
    <w:p w14:paraId="0E29C2D7" w14:textId="77777777" w:rsidR="00DE62E1" w:rsidRDefault="00692E8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Elimináció</w:t>
      </w:r>
    </w:p>
    <w:p w14:paraId="732475C3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perindoprilát a vizelettel ürül ki, a nem kötött frakció eliminációs felezési ideje körülbelül 17</w:t>
      </w:r>
      <w:r>
        <w:rPr>
          <w:sz w:val="22"/>
          <w:szCs w:val="22"/>
        </w:rPr>
        <w:t> </w:t>
      </w:r>
      <w:r>
        <w:rPr>
          <w:bCs/>
          <w:iCs/>
          <w:sz w:val="22"/>
          <w:szCs w:val="22"/>
        </w:rPr>
        <w:t xml:space="preserve">óra. A </w:t>
      </w:r>
      <w:r>
        <w:rPr>
          <w:bCs/>
          <w:i/>
          <w:iCs/>
          <w:sz w:val="22"/>
          <w:szCs w:val="22"/>
        </w:rPr>
        <w:t>steady state</w:t>
      </w:r>
      <w:r>
        <w:rPr>
          <w:bCs/>
          <w:iCs/>
          <w:sz w:val="22"/>
          <w:szCs w:val="22"/>
        </w:rPr>
        <w:t xml:space="preserve"> (dinamikus egyensúlyi) plazmakoncentráció körülbelül 4</w:t>
      </w:r>
      <w:r>
        <w:rPr>
          <w:sz w:val="22"/>
          <w:szCs w:val="22"/>
        </w:rPr>
        <w:t> </w:t>
      </w:r>
      <w:r>
        <w:rPr>
          <w:bCs/>
          <w:iCs/>
          <w:sz w:val="22"/>
          <w:szCs w:val="22"/>
        </w:rPr>
        <w:t>napon belül alakul ki.</w:t>
      </w:r>
    </w:p>
    <w:p w14:paraId="58C6BADD" w14:textId="77777777" w:rsidR="00DE62E1" w:rsidRDefault="00DE62E1">
      <w:pPr>
        <w:suppressAutoHyphens w:val="0"/>
        <w:rPr>
          <w:bCs/>
          <w:iCs/>
          <w:sz w:val="22"/>
          <w:szCs w:val="22"/>
        </w:rPr>
      </w:pPr>
    </w:p>
    <w:p w14:paraId="5AFBA865" w14:textId="77777777" w:rsidR="00DE62E1" w:rsidRDefault="00692E8D">
      <w:pPr>
        <w:tabs>
          <w:tab w:val="left" w:pos="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Linearitás/nem-linearitás</w:t>
      </w:r>
    </w:p>
    <w:p w14:paraId="03780B0E" w14:textId="77777777" w:rsidR="00DE62E1" w:rsidRDefault="00692E8D">
      <w:pPr>
        <w:tabs>
          <w:tab w:val="left" w:pos="0"/>
        </w:tabs>
        <w:rPr>
          <w:sz w:val="22"/>
          <w:szCs w:val="22"/>
        </w:rPr>
      </w:pPr>
      <w:r>
        <w:rPr>
          <w:sz w:val="22"/>
          <w:szCs w:val="22"/>
        </w:rPr>
        <w:t>Bizonyított, hogy a perindopril dózisa és a plazmaexpozíció között lineáris összefüggés van.</w:t>
      </w:r>
    </w:p>
    <w:p w14:paraId="2F4CBBD4" w14:textId="77777777" w:rsidR="00DE62E1" w:rsidRDefault="00DE62E1">
      <w:pPr>
        <w:tabs>
          <w:tab w:val="left" w:pos="0"/>
        </w:tabs>
        <w:rPr>
          <w:sz w:val="22"/>
          <w:szCs w:val="22"/>
          <w:u w:val="single"/>
        </w:rPr>
      </w:pPr>
    </w:p>
    <w:p w14:paraId="2DCE8025" w14:textId="77777777" w:rsidR="00DE62E1" w:rsidRDefault="00692E8D">
      <w:pPr>
        <w:keepNext/>
        <w:tabs>
          <w:tab w:val="left" w:pos="0"/>
        </w:tabs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 betegcsoportok</w:t>
      </w:r>
    </w:p>
    <w:p w14:paraId="6616D3E5" w14:textId="77777777" w:rsidR="00DE62E1" w:rsidRDefault="00DE62E1">
      <w:pPr>
        <w:tabs>
          <w:tab w:val="left" w:pos="0"/>
        </w:tabs>
        <w:rPr>
          <w:i/>
          <w:sz w:val="22"/>
          <w:szCs w:val="22"/>
        </w:rPr>
      </w:pPr>
    </w:p>
    <w:p w14:paraId="14CBEAD6" w14:textId="77777777" w:rsidR="00DE62E1" w:rsidRDefault="00692E8D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lastRenderedPageBreak/>
        <w:t>Idősek</w:t>
      </w:r>
    </w:p>
    <w:p w14:paraId="6DFCC3C5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A perindoprilát eliminációja időseknél, szívelégtelenségben és veseelégtelenségben szenvedő betegeknél csökken.</w:t>
      </w:r>
    </w:p>
    <w:p w14:paraId="14EF46F8" w14:textId="77777777" w:rsidR="00DE62E1" w:rsidRDefault="00DE62E1">
      <w:pPr>
        <w:suppressAutoHyphens w:val="0"/>
        <w:rPr>
          <w:bCs/>
          <w:iCs/>
          <w:sz w:val="22"/>
          <w:szCs w:val="22"/>
        </w:rPr>
      </w:pPr>
    </w:p>
    <w:p w14:paraId="3A8248DF" w14:textId="77777777" w:rsidR="00DE62E1" w:rsidRDefault="00692E8D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Vesekárosodás</w:t>
      </w:r>
    </w:p>
    <w:p w14:paraId="3332765E" w14:textId="77777777" w:rsidR="00DE62E1" w:rsidRDefault="00692E8D">
      <w:pPr>
        <w:suppressAutoHyphens w:val="0"/>
        <w:rPr>
          <w:bCs/>
          <w:iCs/>
          <w:sz w:val="22"/>
          <w:szCs w:val="22"/>
        </w:rPr>
      </w:pPr>
      <w:r>
        <w:rPr>
          <w:bCs/>
          <w:iCs/>
          <w:sz w:val="22"/>
          <w:szCs w:val="22"/>
        </w:rPr>
        <w:t>Vesekárosodásban a károsodás fokától (kreatinin-clearance) függően kívánatos a dózis módosítása.</w:t>
      </w:r>
    </w:p>
    <w:p w14:paraId="31F3C872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705D7E26" w14:textId="77777777" w:rsidR="00DE62E1" w:rsidRDefault="00692E8D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Dializis esetén:</w:t>
      </w:r>
    </w:p>
    <w:p w14:paraId="4DBD759C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A perindoprilát dialízis-clearance-e 70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>ml/perc.</w:t>
      </w:r>
    </w:p>
    <w:p w14:paraId="7855BA9C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0BE4E3D1" w14:textId="77777777" w:rsidR="00DE62E1" w:rsidRDefault="00692E8D">
      <w:pPr>
        <w:tabs>
          <w:tab w:val="left" w:pos="0"/>
        </w:tabs>
        <w:rPr>
          <w:i/>
          <w:sz w:val="22"/>
          <w:szCs w:val="22"/>
        </w:rPr>
      </w:pPr>
      <w:r>
        <w:rPr>
          <w:i/>
          <w:sz w:val="22"/>
          <w:szCs w:val="22"/>
        </w:rPr>
        <w:t>Májcirrózis:</w:t>
      </w:r>
    </w:p>
    <w:p w14:paraId="67048730" w14:textId="77777777" w:rsidR="00DE62E1" w:rsidRDefault="00692E8D">
      <w:pPr>
        <w:suppressAutoHyphens w:val="0"/>
        <w:rPr>
          <w:iCs/>
          <w:sz w:val="22"/>
          <w:szCs w:val="22"/>
        </w:rPr>
      </w:pPr>
      <w:r>
        <w:rPr>
          <w:iCs/>
          <w:sz w:val="22"/>
          <w:szCs w:val="22"/>
        </w:rPr>
        <w:t>Májcirrózis esetén a perindopril kinetikája megváltozik, az anyavegyület hepaticus-clearance a felére csökken. A képződő perindoprilát mennyisége azonban nem csökken, és ezért dózismódosítás nem szükséges (lásd 4.2 és 4.4</w:t>
      </w:r>
      <w:r>
        <w:rPr>
          <w:sz w:val="22"/>
          <w:szCs w:val="22"/>
        </w:rPr>
        <w:t> </w:t>
      </w:r>
      <w:r>
        <w:rPr>
          <w:iCs/>
          <w:sz w:val="22"/>
          <w:szCs w:val="22"/>
        </w:rPr>
        <w:t>pont).</w:t>
      </w:r>
    </w:p>
    <w:p w14:paraId="33C33A78" w14:textId="77777777" w:rsidR="00DE62E1" w:rsidRDefault="00DE62E1">
      <w:pPr>
        <w:suppressAutoHyphens w:val="0"/>
        <w:rPr>
          <w:iCs/>
          <w:sz w:val="22"/>
          <w:szCs w:val="22"/>
        </w:rPr>
      </w:pPr>
    </w:p>
    <w:p w14:paraId="63A6D500" w14:textId="77777777" w:rsidR="00DE62E1" w:rsidRDefault="00692E8D">
      <w:pPr>
        <w:keepNext/>
        <w:suppressAutoHyphens w:val="0"/>
        <w:rPr>
          <w:i/>
          <w:iCs/>
          <w:sz w:val="22"/>
          <w:szCs w:val="22"/>
          <w:u w:val="single"/>
        </w:rPr>
      </w:pPr>
      <w:r>
        <w:rPr>
          <w:i/>
          <w:iCs/>
          <w:sz w:val="22"/>
          <w:szCs w:val="22"/>
          <w:u w:val="single"/>
        </w:rPr>
        <w:t>Az indapamidra vonatkozóan:</w:t>
      </w:r>
    </w:p>
    <w:p w14:paraId="12463ED0" w14:textId="77777777" w:rsidR="00DE62E1" w:rsidRDefault="00DE62E1">
      <w:pPr>
        <w:keepNext/>
        <w:rPr>
          <w:sz w:val="22"/>
          <w:szCs w:val="22"/>
          <w:u w:val="single"/>
        </w:rPr>
      </w:pPr>
    </w:p>
    <w:p w14:paraId="2BE474ED" w14:textId="77777777" w:rsidR="00DE62E1" w:rsidRDefault="00692E8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Felszívódás</w:t>
      </w:r>
    </w:p>
    <w:p w14:paraId="766666E2" w14:textId="77777777" w:rsidR="00DE62E1" w:rsidRDefault="00692E8D">
      <w:pPr>
        <w:pStyle w:val="Szvegtrzsbehzssal"/>
        <w:ind w:right="0"/>
      </w:pPr>
      <w:r>
        <w:t>Az indapamid gyorsan és teljes mértékben felszívódik a tápcsatornából.</w:t>
      </w:r>
    </w:p>
    <w:p w14:paraId="5185F48C" w14:textId="77777777" w:rsidR="00DE62E1" w:rsidRDefault="00692E8D">
      <w:pPr>
        <w:pStyle w:val="Szvegtrzsbehzssal"/>
        <w:ind w:right="0"/>
      </w:pPr>
      <w:r>
        <w:t xml:space="preserve">Embernél </w:t>
      </w:r>
      <w:r>
        <w:rPr>
          <w:i/>
        </w:rPr>
        <w:t>per os</w:t>
      </w:r>
      <w:r>
        <w:t xml:space="preserve"> alkalmazás után körülbelül 1 órával alakul ki a legmagasabb plazmaszintje.</w:t>
      </w:r>
    </w:p>
    <w:p w14:paraId="1B036FDC" w14:textId="77777777" w:rsidR="00DE62E1" w:rsidRDefault="00DE62E1">
      <w:pPr>
        <w:suppressAutoHyphens w:val="0"/>
        <w:rPr>
          <w:sz w:val="22"/>
          <w:szCs w:val="22"/>
        </w:rPr>
      </w:pPr>
    </w:p>
    <w:p w14:paraId="6DE70BF5" w14:textId="77777777" w:rsidR="00DE62E1" w:rsidRDefault="00692E8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Eloszlás</w:t>
      </w:r>
    </w:p>
    <w:p w14:paraId="53C2A951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plazmafehérjékhez való kötődése 79%-os.</w:t>
      </w:r>
    </w:p>
    <w:p w14:paraId="6DE6773E" w14:textId="77777777" w:rsidR="00DE62E1" w:rsidRDefault="00DE62E1">
      <w:pPr>
        <w:suppressAutoHyphens w:val="0"/>
        <w:rPr>
          <w:sz w:val="22"/>
          <w:szCs w:val="22"/>
        </w:rPr>
      </w:pPr>
    </w:p>
    <w:p w14:paraId="3D79782A" w14:textId="77777777" w:rsidR="00DE62E1" w:rsidRDefault="00692E8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Biotranszformáció és elimináció</w:t>
      </w:r>
    </w:p>
    <w:p w14:paraId="7803B9CC" w14:textId="77777777" w:rsidR="00DE62E1" w:rsidRDefault="00692E8D">
      <w:pPr>
        <w:pStyle w:val="Szvegtrzsbehzssal"/>
        <w:ind w:right="0"/>
      </w:pPr>
      <w:r>
        <w:t>Az eliminációs felezési idő 14 és 24 óra között van (átlagosan 18 óra). Az ismételt alkalmazás nem okoz akkumulációt. Kiválasztása inaktív metabolitok formájában főleg a vizelettel (a dózis 70%-a) és a széklettel (22%) történik.</w:t>
      </w:r>
    </w:p>
    <w:p w14:paraId="41FBBF72" w14:textId="77777777" w:rsidR="00DE62E1" w:rsidRDefault="00DE62E1">
      <w:pPr>
        <w:suppressAutoHyphens w:val="0"/>
        <w:rPr>
          <w:sz w:val="22"/>
          <w:szCs w:val="22"/>
        </w:rPr>
      </w:pPr>
    </w:p>
    <w:p w14:paraId="71EC4776" w14:textId="77777777" w:rsidR="00DE62E1" w:rsidRDefault="00692E8D">
      <w:pPr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Különleges betegcsoportok</w:t>
      </w:r>
    </w:p>
    <w:p w14:paraId="107E6BE9" w14:textId="77777777" w:rsidR="00DE62E1" w:rsidRDefault="00DE62E1">
      <w:pPr>
        <w:rPr>
          <w:i/>
          <w:sz w:val="22"/>
          <w:szCs w:val="22"/>
        </w:rPr>
      </w:pPr>
    </w:p>
    <w:p w14:paraId="5CFE8ECD" w14:textId="77777777" w:rsidR="00DE62E1" w:rsidRDefault="00692E8D">
      <w:pPr>
        <w:rPr>
          <w:i/>
          <w:sz w:val="22"/>
          <w:szCs w:val="22"/>
        </w:rPr>
      </w:pPr>
      <w:r>
        <w:rPr>
          <w:i/>
          <w:sz w:val="22"/>
          <w:szCs w:val="22"/>
        </w:rPr>
        <w:t>Vesekárosodás:</w:t>
      </w:r>
    </w:p>
    <w:p w14:paraId="2CB9416A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Vesekárosodásban szenvedő betegeknél a farmakokinetika változatlan.</w:t>
      </w:r>
    </w:p>
    <w:p w14:paraId="5A0F4B69" w14:textId="77777777" w:rsidR="00DE62E1" w:rsidRDefault="00DE62E1">
      <w:pPr>
        <w:suppressAutoHyphens w:val="0"/>
        <w:rPr>
          <w:b/>
          <w:bCs/>
          <w:sz w:val="22"/>
          <w:szCs w:val="22"/>
        </w:rPr>
      </w:pPr>
    </w:p>
    <w:p w14:paraId="17CCD510" w14:textId="77777777" w:rsidR="00DE62E1" w:rsidRDefault="00692E8D">
      <w:pPr>
        <w:suppressAutoHyphens w:val="0"/>
        <w:ind w:left="567" w:hanging="567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5.3</w:t>
      </w:r>
      <w:r>
        <w:rPr>
          <w:b/>
          <w:bCs/>
          <w:sz w:val="22"/>
          <w:szCs w:val="22"/>
        </w:rPr>
        <w:tab/>
        <w:t>A preklinikai biztonságossági vizsgálatok eredményei</w:t>
      </w:r>
    </w:p>
    <w:p w14:paraId="28167917" w14:textId="77777777" w:rsidR="00DE62E1" w:rsidRDefault="00DE62E1">
      <w:pPr>
        <w:suppressAutoHyphens w:val="0"/>
        <w:rPr>
          <w:sz w:val="22"/>
          <w:szCs w:val="22"/>
        </w:rPr>
      </w:pPr>
    </w:p>
    <w:p w14:paraId="01303CA1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A Perindopril arginine/indapamide Krka tabletta toxicitása kismértékben haladja meg az egyes összetevők toxicitását. Úgy tűnik, hogy patkányoknál nem vált ki vesét érintő tüneteket. Azonban kutyáknál a kombináció gastrointestinalis toxicitást okoz, és az anyára gyakorolt toxikus hatás úgy tűnik, patkányoknál növekszik (a perindoprilhez képest).</w:t>
      </w:r>
    </w:p>
    <w:p w14:paraId="329294BA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Mindazonáltal ezek a mellékhatások olyan dózisszinten mutatkoznak, ami az alkalmazott terápiás dózishoz képest igen jelentős biztonsági zónát jelent.</w:t>
      </w:r>
    </w:p>
    <w:p w14:paraId="3C606BCE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A perindoprillel és az indapamiddal külön-külön elvégzett preklinikai vizságlatok során nem észleltek genotoxikus vagy rákkeltő hatást. A reprodukciós toxicitási vizsgálatok nem mutattak sem embriotoxikus, sem teratogén hatást, és a termékenységet nem károsította.</w:t>
      </w:r>
    </w:p>
    <w:p w14:paraId="5A1480B5" w14:textId="77777777" w:rsidR="00DE62E1" w:rsidRDefault="00DE62E1">
      <w:pPr>
        <w:suppressAutoHyphens w:val="0"/>
        <w:rPr>
          <w:sz w:val="22"/>
          <w:szCs w:val="22"/>
        </w:rPr>
      </w:pPr>
    </w:p>
    <w:p w14:paraId="5F9A9132" w14:textId="77777777" w:rsidR="00DE62E1" w:rsidRDefault="00DE62E1">
      <w:pPr>
        <w:suppressAutoHyphens w:val="0"/>
        <w:rPr>
          <w:sz w:val="22"/>
          <w:szCs w:val="22"/>
        </w:rPr>
      </w:pPr>
    </w:p>
    <w:p w14:paraId="47C10527" w14:textId="77777777" w:rsidR="00DE62E1" w:rsidRDefault="00692E8D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6.</w:t>
      </w:r>
      <w:r>
        <w:rPr>
          <w:b/>
          <w:sz w:val="22"/>
          <w:szCs w:val="22"/>
        </w:rPr>
        <w:tab/>
        <w:t>GYÓGYSZERÉSZETI JELLEMZŐK</w:t>
      </w:r>
    </w:p>
    <w:p w14:paraId="52EF88C7" w14:textId="77777777" w:rsidR="00DE62E1" w:rsidRDefault="00DE62E1">
      <w:pPr>
        <w:rPr>
          <w:b/>
          <w:sz w:val="22"/>
          <w:szCs w:val="22"/>
        </w:rPr>
      </w:pPr>
    </w:p>
    <w:p w14:paraId="4A5F0B71" w14:textId="77777777" w:rsidR="00DE62E1" w:rsidRDefault="00692E8D">
      <w:pPr>
        <w:ind w:left="567" w:hanging="567"/>
        <w:rPr>
          <w:b/>
          <w:sz w:val="22"/>
          <w:szCs w:val="22"/>
        </w:rPr>
      </w:pPr>
      <w:r>
        <w:rPr>
          <w:b/>
          <w:sz w:val="22"/>
          <w:szCs w:val="22"/>
        </w:rPr>
        <w:t>6.1</w:t>
      </w:r>
      <w:r>
        <w:rPr>
          <w:b/>
          <w:sz w:val="22"/>
          <w:szCs w:val="22"/>
        </w:rPr>
        <w:tab/>
        <w:t>Segédanyagok felsorolása</w:t>
      </w:r>
    </w:p>
    <w:p w14:paraId="3B46BD07" w14:textId="77777777" w:rsidR="00DE62E1" w:rsidRDefault="00DE62E1">
      <w:pPr>
        <w:ind w:left="567" w:hanging="567"/>
        <w:rPr>
          <w:b/>
          <w:sz w:val="22"/>
          <w:szCs w:val="22"/>
        </w:rPr>
      </w:pPr>
    </w:p>
    <w:p w14:paraId="23CE7A41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>Kalcium-klorid-hexahidrát;</w:t>
      </w:r>
    </w:p>
    <w:p w14:paraId="4334D8BE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>mikrokristályos cellulóz (E460);</w:t>
      </w:r>
    </w:p>
    <w:p w14:paraId="5D6BD5A7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 xml:space="preserve">szilikátos </w:t>
      </w:r>
      <w:bookmarkStart w:id="0" w:name="_GoBack"/>
      <w:bookmarkEnd w:id="0"/>
      <w:r>
        <w:rPr>
          <w:sz w:val="22"/>
          <w:szCs w:val="22"/>
        </w:rPr>
        <w:t>mikrokristályos cellulóz (mikrokristályos cellulóz (E460) és vízmentes, kolloid szilícium-dioxid);</w:t>
      </w:r>
    </w:p>
    <w:p w14:paraId="0CF03F56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>hidegen duzzadó kukoricakeményítő;</w:t>
      </w:r>
    </w:p>
    <w:p w14:paraId="77BA8DA5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t>nátrium-hidrogén-karbonát;</w:t>
      </w:r>
    </w:p>
    <w:p w14:paraId="4AD8F71D" w14:textId="77777777" w:rsidR="00DE62E1" w:rsidRDefault="00692E8D">
      <w:pPr>
        <w:suppressAutoHyphens w:val="0"/>
        <w:autoSpaceDE/>
        <w:rPr>
          <w:sz w:val="22"/>
          <w:szCs w:val="22"/>
        </w:rPr>
      </w:pPr>
      <w:r>
        <w:rPr>
          <w:sz w:val="22"/>
          <w:szCs w:val="22"/>
        </w:rPr>
        <w:lastRenderedPageBreak/>
        <w:t>víztartalmú, kolloid szilícium-dioxid;</w:t>
      </w:r>
    </w:p>
    <w:p w14:paraId="008CFD43" w14:textId="77777777" w:rsidR="00DE62E1" w:rsidRDefault="00692E8D">
      <w:pPr>
        <w:pStyle w:val="Szvegtrzsbehzssal"/>
        <w:suppressAutoHyphens w:val="0"/>
        <w:ind w:right="0"/>
      </w:pPr>
      <w:r>
        <w:t>magnézium-sztearát (E470b).</w:t>
      </w:r>
    </w:p>
    <w:p w14:paraId="3BDCB221" w14:textId="77777777" w:rsidR="00DE62E1" w:rsidRDefault="00DE62E1">
      <w:pPr>
        <w:pStyle w:val="Szvegtrzsbehzssal"/>
        <w:suppressAutoHyphens w:val="0"/>
        <w:ind w:right="0"/>
      </w:pPr>
    </w:p>
    <w:p w14:paraId="1CAA7E13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6.2</w:t>
      </w:r>
      <w:r>
        <w:rPr>
          <w:b/>
          <w:bCs/>
        </w:rPr>
        <w:tab/>
        <w:t>Inkompatibilitások</w:t>
      </w:r>
    </w:p>
    <w:p w14:paraId="53B354ED" w14:textId="77777777" w:rsidR="00DE62E1" w:rsidRDefault="00DE62E1">
      <w:pPr>
        <w:suppressAutoHyphens w:val="0"/>
        <w:rPr>
          <w:sz w:val="22"/>
          <w:szCs w:val="22"/>
        </w:rPr>
      </w:pPr>
    </w:p>
    <w:p w14:paraId="21CDE084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Nem értelmezhető.</w:t>
      </w:r>
    </w:p>
    <w:p w14:paraId="722AE850" w14:textId="77777777" w:rsidR="00DE62E1" w:rsidRDefault="00DE62E1">
      <w:pPr>
        <w:pStyle w:val="Norml11"/>
        <w:suppressAutoHyphens w:val="0"/>
        <w:ind w:left="426" w:hanging="426"/>
        <w:rPr>
          <w:b/>
          <w:bCs/>
        </w:rPr>
      </w:pPr>
    </w:p>
    <w:p w14:paraId="731F4663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6.3</w:t>
      </w:r>
      <w:r>
        <w:rPr>
          <w:b/>
          <w:bCs/>
        </w:rPr>
        <w:tab/>
        <w:t>Felhasználhatósági időtartam</w:t>
      </w:r>
    </w:p>
    <w:p w14:paraId="11DC3197" w14:textId="77777777" w:rsidR="00DE62E1" w:rsidRDefault="00DE62E1">
      <w:pPr>
        <w:suppressAutoHyphens w:val="0"/>
        <w:rPr>
          <w:sz w:val="22"/>
          <w:szCs w:val="22"/>
        </w:rPr>
      </w:pPr>
    </w:p>
    <w:p w14:paraId="47671771" w14:textId="7005A38B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3 év</w:t>
      </w:r>
    </w:p>
    <w:p w14:paraId="58FB1C9F" w14:textId="77777777" w:rsidR="00DE62E1" w:rsidRDefault="00DE62E1">
      <w:pPr>
        <w:pStyle w:val="Norml11"/>
        <w:suppressAutoHyphens w:val="0"/>
        <w:ind w:left="426" w:hanging="426"/>
        <w:rPr>
          <w:b/>
          <w:bCs/>
        </w:rPr>
      </w:pPr>
    </w:p>
    <w:p w14:paraId="3485E00C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6.4</w:t>
      </w:r>
      <w:r>
        <w:rPr>
          <w:b/>
          <w:bCs/>
        </w:rPr>
        <w:tab/>
        <w:t>Különleges tárolási előírások</w:t>
      </w:r>
    </w:p>
    <w:p w14:paraId="0EF0EF80" w14:textId="77777777" w:rsidR="00DE62E1" w:rsidRDefault="00DE62E1">
      <w:pPr>
        <w:pStyle w:val="Norml11"/>
        <w:suppressAutoHyphens w:val="0"/>
        <w:ind w:left="426" w:hanging="426"/>
      </w:pPr>
    </w:p>
    <w:p w14:paraId="4C20AB62" w14:textId="77777777" w:rsidR="00DE62E1" w:rsidRDefault="00692E8D">
      <w:pPr>
        <w:pStyle w:val="Norml11"/>
        <w:suppressAutoHyphens w:val="0"/>
        <w:ind w:left="426" w:hanging="426"/>
      </w:pPr>
      <w:r>
        <w:rPr>
          <w:lang w:eastAsia="hu-HU"/>
        </w:rPr>
        <w:t>A fénytől való védelem érdekében az eredeti csomagolásban tárolandó.</w:t>
      </w:r>
    </w:p>
    <w:p w14:paraId="1C5BBD0C" w14:textId="77777777" w:rsidR="00DE62E1" w:rsidRDefault="00692E8D">
      <w:pPr>
        <w:pStyle w:val="Norml11"/>
        <w:suppressAutoHyphens w:val="0"/>
        <w:ind w:left="426" w:hanging="426"/>
      </w:pPr>
      <w:r>
        <w:t>Ez a gyógyszer különleges tárolási hőmérsékletet nem igényel.</w:t>
      </w:r>
    </w:p>
    <w:p w14:paraId="06704529" w14:textId="77777777" w:rsidR="00DE62E1" w:rsidRDefault="00DE62E1">
      <w:pPr>
        <w:pStyle w:val="Norml11"/>
        <w:suppressAutoHyphens w:val="0"/>
        <w:rPr>
          <w:b/>
          <w:bCs/>
        </w:rPr>
      </w:pPr>
    </w:p>
    <w:p w14:paraId="1C19FA88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6.5</w:t>
      </w:r>
      <w:r>
        <w:rPr>
          <w:b/>
          <w:bCs/>
        </w:rPr>
        <w:tab/>
        <w:t>Csomagolás típusa és kiszerelése</w:t>
      </w:r>
    </w:p>
    <w:p w14:paraId="2BACF592" w14:textId="77777777" w:rsidR="00DE62E1" w:rsidRDefault="00DE62E1">
      <w:pPr>
        <w:suppressAutoHyphens w:val="0"/>
        <w:rPr>
          <w:sz w:val="22"/>
          <w:szCs w:val="22"/>
        </w:rPr>
      </w:pPr>
    </w:p>
    <w:p w14:paraId="2555A46D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10, 30, 60, 90 vagy 100 tabletta OPA/Al/PVC//Al buborékcsomagolásban és dobozban.</w:t>
      </w:r>
    </w:p>
    <w:p w14:paraId="6191C0E3" w14:textId="77777777" w:rsidR="00DE62E1" w:rsidRDefault="00DE62E1">
      <w:pPr>
        <w:suppressAutoHyphens w:val="0"/>
        <w:rPr>
          <w:sz w:val="22"/>
          <w:szCs w:val="22"/>
        </w:rPr>
      </w:pPr>
    </w:p>
    <w:p w14:paraId="2FA1B5C2" w14:textId="77777777" w:rsidR="00DE62E1" w:rsidRDefault="00692E8D">
      <w:pPr>
        <w:suppressAutoHyphens w:val="0"/>
        <w:ind w:left="720" w:hanging="720"/>
        <w:rPr>
          <w:sz w:val="22"/>
          <w:szCs w:val="22"/>
        </w:rPr>
      </w:pPr>
      <w:r>
        <w:rPr>
          <w:sz w:val="22"/>
          <w:szCs w:val="22"/>
        </w:rPr>
        <w:t xml:space="preserve">Nem feltétlenül mindegyik kiszerelés kerül kereskedelmi forgalomba. </w:t>
      </w:r>
    </w:p>
    <w:p w14:paraId="69C69F87" w14:textId="77777777" w:rsidR="00DE62E1" w:rsidRDefault="00DE62E1">
      <w:pPr>
        <w:suppressAutoHyphens w:val="0"/>
        <w:rPr>
          <w:sz w:val="22"/>
          <w:szCs w:val="22"/>
        </w:rPr>
      </w:pPr>
    </w:p>
    <w:p w14:paraId="03E2E5E6" w14:textId="77777777" w:rsidR="00DE62E1" w:rsidRDefault="00692E8D">
      <w:pPr>
        <w:pStyle w:val="Norml11"/>
        <w:numPr>
          <w:ilvl w:val="1"/>
          <w:numId w:val="2"/>
        </w:numPr>
        <w:tabs>
          <w:tab w:val="clear" w:pos="360"/>
          <w:tab w:val="num" w:pos="567"/>
        </w:tabs>
        <w:suppressAutoHyphens w:val="0"/>
        <w:ind w:left="567" w:hanging="567"/>
        <w:rPr>
          <w:b/>
          <w:bCs/>
        </w:rPr>
      </w:pPr>
      <w:r>
        <w:rPr>
          <w:b/>
          <w:bCs/>
        </w:rPr>
        <w:t>A megsemmisítésre vonatkozó különleges óvintézkedések és egyéb, a készítmény kezelésével kapcsolatos információk</w:t>
      </w:r>
    </w:p>
    <w:p w14:paraId="329A5297" w14:textId="77777777" w:rsidR="00DE62E1" w:rsidRDefault="00DE62E1">
      <w:pPr>
        <w:suppressAutoHyphens w:val="0"/>
        <w:rPr>
          <w:sz w:val="22"/>
          <w:szCs w:val="22"/>
        </w:rPr>
      </w:pPr>
    </w:p>
    <w:p w14:paraId="655F40DF" w14:textId="77777777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Bármilyen fel nem használt gyógyszer, illetve hulladékanyag megsemmisítését a gyógyszerekre vonatkozó előírások szerint kell végrehajtani.</w:t>
      </w:r>
    </w:p>
    <w:p w14:paraId="124898EF" w14:textId="77777777" w:rsidR="00DE62E1" w:rsidRDefault="00DE62E1">
      <w:pPr>
        <w:jc w:val="both"/>
        <w:rPr>
          <w:b/>
          <w:sz w:val="22"/>
          <w:szCs w:val="22"/>
        </w:rPr>
      </w:pPr>
    </w:p>
    <w:p w14:paraId="061FCE36" w14:textId="77777777" w:rsidR="00DE62E1" w:rsidRDefault="00692E8D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Megjegyzés: </w:t>
      </w:r>
      <w:r>
        <w:rPr>
          <w:sz w:val="22"/>
          <w:szCs w:val="22"/>
        </w:rPr>
        <w:sym w:font="Wingdings" w:char="F058"/>
      </w:r>
      <w:r>
        <w:rPr>
          <w:b/>
          <w:sz w:val="22"/>
          <w:szCs w:val="22"/>
        </w:rPr>
        <w:t xml:space="preserve"> (egy kereszt)</w:t>
      </w:r>
    </w:p>
    <w:p w14:paraId="0D36A8BD" w14:textId="77777777" w:rsidR="00DE62E1" w:rsidRDefault="00692E8D">
      <w:pPr>
        <w:ind w:left="648" w:hanging="64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Osztályozás: </w:t>
      </w:r>
      <w:r>
        <w:rPr>
          <w:b/>
          <w:bCs/>
          <w:sz w:val="22"/>
          <w:szCs w:val="22"/>
        </w:rPr>
        <w:t>II. csoport</w:t>
      </w:r>
    </w:p>
    <w:p w14:paraId="04F41A34" w14:textId="77777777" w:rsidR="00DE62E1" w:rsidRDefault="00692E8D">
      <w:pPr>
        <w:ind w:left="648" w:hanging="648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Kizárólag orvosi rendelvényhez kötött gyógyszer (V).</w:t>
      </w:r>
    </w:p>
    <w:p w14:paraId="239DF191" w14:textId="77777777" w:rsidR="00DE62E1" w:rsidRDefault="00DE62E1">
      <w:pPr>
        <w:suppressAutoHyphens w:val="0"/>
        <w:rPr>
          <w:sz w:val="22"/>
          <w:szCs w:val="22"/>
        </w:rPr>
      </w:pPr>
    </w:p>
    <w:p w14:paraId="7D4915BF" w14:textId="77777777" w:rsidR="00DE62E1" w:rsidRDefault="00DE62E1">
      <w:pPr>
        <w:suppressAutoHyphens w:val="0"/>
        <w:rPr>
          <w:sz w:val="22"/>
          <w:szCs w:val="22"/>
        </w:rPr>
      </w:pPr>
    </w:p>
    <w:p w14:paraId="77D44AED" w14:textId="77777777" w:rsidR="00DE62E1" w:rsidRDefault="00692E8D">
      <w:pPr>
        <w:pStyle w:val="Norml11"/>
        <w:suppressAutoHyphens w:val="0"/>
        <w:ind w:left="567" w:hanging="567"/>
        <w:rPr>
          <w:b/>
          <w:bCs/>
        </w:rPr>
      </w:pPr>
      <w:r>
        <w:rPr>
          <w:b/>
          <w:bCs/>
        </w:rPr>
        <w:t>7.</w:t>
      </w:r>
      <w:r>
        <w:rPr>
          <w:b/>
          <w:bCs/>
        </w:rPr>
        <w:tab/>
        <w:t>A FORGALOMBA HOZATALI ENGEDÉLY JOGOSULTJA</w:t>
      </w:r>
    </w:p>
    <w:p w14:paraId="264B60C2" w14:textId="77777777" w:rsidR="00DE62E1" w:rsidRDefault="00DE62E1">
      <w:pPr>
        <w:jc w:val="both"/>
        <w:rPr>
          <w:bCs/>
          <w:sz w:val="22"/>
          <w:szCs w:val="22"/>
        </w:rPr>
      </w:pPr>
    </w:p>
    <w:p w14:paraId="34CBB34A" w14:textId="77777777" w:rsidR="00DE62E1" w:rsidRDefault="00692E8D">
      <w:pPr>
        <w:suppressAutoHyphens w:val="0"/>
        <w:ind w:right="-362"/>
        <w:rPr>
          <w:sz w:val="22"/>
          <w:szCs w:val="22"/>
        </w:rPr>
      </w:pPr>
      <w:r>
        <w:rPr>
          <w:bCs/>
          <w:sz w:val="22"/>
          <w:szCs w:val="22"/>
        </w:rPr>
        <w:t>KRKA, d.d., Novo mesto, Šmarješka cesta 6, 8501 Novo mesto, Szlovénia</w:t>
      </w:r>
    </w:p>
    <w:p w14:paraId="05A9FC4C" w14:textId="77777777" w:rsidR="00DE62E1" w:rsidRDefault="00DE62E1">
      <w:pPr>
        <w:suppressAutoHyphens w:val="0"/>
        <w:ind w:right="-362"/>
        <w:rPr>
          <w:sz w:val="22"/>
          <w:szCs w:val="22"/>
        </w:rPr>
      </w:pPr>
    </w:p>
    <w:p w14:paraId="65409DFD" w14:textId="77777777" w:rsidR="00DE62E1" w:rsidRDefault="00DE62E1">
      <w:pPr>
        <w:suppressAutoHyphens w:val="0"/>
        <w:ind w:right="-362"/>
        <w:rPr>
          <w:sz w:val="22"/>
          <w:szCs w:val="22"/>
        </w:rPr>
      </w:pPr>
    </w:p>
    <w:p w14:paraId="7AF9DD74" w14:textId="77777777" w:rsidR="00DE62E1" w:rsidRDefault="00692E8D">
      <w:pPr>
        <w:pStyle w:val="Norml11"/>
        <w:keepNext/>
        <w:suppressAutoHyphens w:val="0"/>
        <w:ind w:left="567" w:hanging="567"/>
        <w:rPr>
          <w:b/>
          <w:bCs/>
        </w:rPr>
      </w:pPr>
      <w:r>
        <w:rPr>
          <w:b/>
          <w:bCs/>
        </w:rPr>
        <w:t>8.</w:t>
      </w:r>
      <w:r>
        <w:rPr>
          <w:b/>
          <w:bCs/>
        </w:rPr>
        <w:tab/>
        <w:t>A FORGALOMBA HOZATALI ENGEDÉLY SZÁMA</w:t>
      </w:r>
    </w:p>
    <w:p w14:paraId="5EB1B695" w14:textId="77777777" w:rsidR="00DE62E1" w:rsidRDefault="00DE62E1">
      <w:pPr>
        <w:pStyle w:val="Norml11"/>
        <w:keepNext/>
        <w:suppressAutoHyphens w:val="0"/>
      </w:pPr>
    </w:p>
    <w:p w14:paraId="62B64D51" w14:textId="77777777" w:rsidR="00DE62E1" w:rsidRDefault="00692E8D">
      <w:pPr>
        <w:rPr>
          <w:sz w:val="22"/>
          <w:szCs w:val="22"/>
          <w:lang w:eastAsia="en-US"/>
        </w:rPr>
      </w:pPr>
      <w:r>
        <w:rPr>
          <w:sz w:val="22"/>
          <w:szCs w:val="22"/>
        </w:rPr>
        <w:t>OGYI-T-23986/06</w:t>
      </w:r>
      <w:r>
        <w:rPr>
          <w:sz w:val="22"/>
          <w:szCs w:val="22"/>
        </w:rPr>
        <w:tab/>
        <w:t>10×</w:t>
      </w:r>
    </w:p>
    <w:p w14:paraId="06C0F871" w14:textId="77777777" w:rsidR="00DE62E1" w:rsidRDefault="00692E8D">
      <w:pPr>
        <w:rPr>
          <w:sz w:val="22"/>
          <w:szCs w:val="22"/>
          <w:lang w:val="en-GB"/>
        </w:rPr>
      </w:pPr>
      <w:r>
        <w:rPr>
          <w:sz w:val="22"/>
          <w:szCs w:val="22"/>
        </w:rPr>
        <w:t>OGYI-T-23986/07</w:t>
      </w:r>
      <w:r>
        <w:rPr>
          <w:sz w:val="22"/>
          <w:szCs w:val="22"/>
        </w:rPr>
        <w:tab/>
        <w:t>30×</w:t>
      </w:r>
    </w:p>
    <w:p w14:paraId="3407BCA0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OGYI-T-23986/08</w:t>
      </w:r>
      <w:r>
        <w:rPr>
          <w:sz w:val="22"/>
          <w:szCs w:val="22"/>
        </w:rPr>
        <w:tab/>
        <w:t>60×</w:t>
      </w:r>
    </w:p>
    <w:p w14:paraId="27DC1B18" w14:textId="77777777" w:rsidR="00DE62E1" w:rsidRDefault="00692E8D">
      <w:pPr>
        <w:rPr>
          <w:sz w:val="22"/>
          <w:szCs w:val="22"/>
        </w:rPr>
      </w:pPr>
      <w:r>
        <w:rPr>
          <w:sz w:val="22"/>
          <w:szCs w:val="22"/>
        </w:rPr>
        <w:t>OGYI-T-23986/09</w:t>
      </w:r>
      <w:r>
        <w:rPr>
          <w:sz w:val="22"/>
          <w:szCs w:val="22"/>
        </w:rPr>
        <w:tab/>
        <w:t>90×</w:t>
      </w:r>
    </w:p>
    <w:p w14:paraId="420840CF" w14:textId="77777777" w:rsidR="00DE62E1" w:rsidRDefault="00692E8D">
      <w:pPr>
        <w:keepNext/>
        <w:suppressAutoHyphens w:val="0"/>
        <w:autoSpaceDN w:val="0"/>
        <w:adjustRightInd w:val="0"/>
        <w:rPr>
          <w:sz w:val="22"/>
          <w:szCs w:val="22"/>
        </w:rPr>
      </w:pPr>
      <w:r>
        <w:rPr>
          <w:sz w:val="22"/>
          <w:szCs w:val="22"/>
        </w:rPr>
        <w:t>OGYI-T-23986/10</w:t>
      </w:r>
      <w:r>
        <w:rPr>
          <w:sz w:val="22"/>
          <w:szCs w:val="22"/>
        </w:rPr>
        <w:tab/>
        <w:t>100×</w:t>
      </w:r>
    </w:p>
    <w:p w14:paraId="51AB1DEA" w14:textId="77777777" w:rsidR="00DE62E1" w:rsidRDefault="00DE62E1">
      <w:pPr>
        <w:pStyle w:val="Norml11"/>
        <w:suppressAutoHyphens w:val="0"/>
      </w:pPr>
    </w:p>
    <w:p w14:paraId="2CA7763F" w14:textId="77777777" w:rsidR="00DE62E1" w:rsidRDefault="00DE62E1">
      <w:pPr>
        <w:pStyle w:val="Norml11"/>
        <w:suppressAutoHyphens w:val="0"/>
      </w:pPr>
    </w:p>
    <w:p w14:paraId="2F70195E" w14:textId="77777777" w:rsidR="00DE62E1" w:rsidRDefault="00692E8D">
      <w:pPr>
        <w:pStyle w:val="Norml11"/>
        <w:keepNext/>
        <w:suppressAutoHyphens w:val="0"/>
        <w:ind w:left="567" w:hanging="567"/>
        <w:rPr>
          <w:b/>
          <w:bCs/>
        </w:rPr>
      </w:pPr>
      <w:r>
        <w:rPr>
          <w:b/>
          <w:bCs/>
        </w:rPr>
        <w:t>9.</w:t>
      </w:r>
      <w:r>
        <w:rPr>
          <w:b/>
          <w:bCs/>
        </w:rPr>
        <w:tab/>
        <w:t>A FORGALOMBA HOZATALI ENGEDÉLY ELSŐ KIADÁSÁNAK / MEGÚJÍTÁSÁNAK DÁTUMA</w:t>
      </w:r>
    </w:p>
    <w:p w14:paraId="7A89F3C0" w14:textId="77777777" w:rsidR="00DE62E1" w:rsidRDefault="00DE62E1">
      <w:pPr>
        <w:keepNext/>
        <w:suppressAutoHyphens w:val="0"/>
        <w:rPr>
          <w:bCs/>
          <w:sz w:val="22"/>
          <w:szCs w:val="22"/>
        </w:rPr>
      </w:pPr>
    </w:p>
    <w:p w14:paraId="19590D54" w14:textId="77777777" w:rsidR="00DE62E1" w:rsidRDefault="00692E8D">
      <w:pPr>
        <w:suppressAutoHyphens w:val="0"/>
        <w:rPr>
          <w:bCs/>
          <w:sz w:val="22"/>
          <w:szCs w:val="22"/>
        </w:rPr>
      </w:pPr>
      <w:r>
        <w:rPr>
          <w:bCs/>
          <w:sz w:val="22"/>
          <w:szCs w:val="22"/>
        </w:rPr>
        <w:t>A forgalomba hozatali engedély első kiadásának dátuma: 2021. december 16.</w:t>
      </w:r>
    </w:p>
    <w:p w14:paraId="08611DAB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10BBEDE9" w14:textId="77777777" w:rsidR="00DE62E1" w:rsidRDefault="00DE62E1">
      <w:pPr>
        <w:pStyle w:val="Norml11"/>
        <w:suppressAutoHyphens w:val="0"/>
        <w:ind w:left="425" w:hanging="425"/>
        <w:rPr>
          <w:b/>
          <w:bCs/>
        </w:rPr>
      </w:pPr>
    </w:p>
    <w:p w14:paraId="14A2AD62" w14:textId="77777777" w:rsidR="00DE62E1" w:rsidRDefault="00692E8D">
      <w:pPr>
        <w:pStyle w:val="Norml11"/>
        <w:suppressAutoHyphens w:val="0"/>
        <w:rPr>
          <w:b/>
          <w:bCs/>
        </w:rPr>
      </w:pPr>
      <w:r>
        <w:rPr>
          <w:b/>
          <w:bCs/>
        </w:rPr>
        <w:t>10.</w:t>
      </w:r>
      <w:r>
        <w:rPr>
          <w:b/>
          <w:bCs/>
        </w:rPr>
        <w:tab/>
        <w:t>A SZÖVEG ELLENŐRZÉSÉNEK DÁTUMA</w:t>
      </w:r>
    </w:p>
    <w:p w14:paraId="3FE242BF" w14:textId="77777777" w:rsidR="00DE62E1" w:rsidRDefault="00DE62E1">
      <w:pPr>
        <w:suppressAutoHyphens w:val="0"/>
        <w:rPr>
          <w:sz w:val="22"/>
          <w:szCs w:val="22"/>
        </w:rPr>
      </w:pPr>
    </w:p>
    <w:p w14:paraId="6627716D" w14:textId="23600615" w:rsidR="00DE62E1" w:rsidRDefault="00692E8D">
      <w:pPr>
        <w:suppressAutoHyphens w:val="0"/>
        <w:rPr>
          <w:sz w:val="22"/>
          <w:szCs w:val="22"/>
        </w:rPr>
      </w:pPr>
      <w:r>
        <w:rPr>
          <w:sz w:val="22"/>
          <w:szCs w:val="22"/>
        </w:rPr>
        <w:t>2025. augusztus 21.</w:t>
      </w:r>
    </w:p>
    <w:sectPr w:rsidR="00DE62E1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D1437A" w14:textId="77777777" w:rsidR="00DE62E1" w:rsidRDefault="00692E8D">
      <w:r>
        <w:separator/>
      </w:r>
    </w:p>
  </w:endnote>
  <w:endnote w:type="continuationSeparator" w:id="0">
    <w:p w14:paraId="5E973005" w14:textId="77777777" w:rsidR="00DE62E1" w:rsidRDefault="00692E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Arial Unicode MS"/>
    <w:charset w:val="02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17E709" w14:textId="6FCCDD9D" w:rsidR="00DE62E1" w:rsidRDefault="00692E8D">
    <w:pPr>
      <w:pStyle w:val="llb"/>
      <w:rPr>
        <w:rFonts w:ascii="Times New Roman" w:hAnsi="Times New Roman" w:cs="Times New Roman"/>
        <w:sz w:val="18"/>
        <w:szCs w:val="18"/>
      </w:rPr>
    </w:pPr>
    <w:r w:rsidRPr="00692E8D">
      <w:rPr>
        <w:rFonts w:ascii="Times New Roman" w:hAnsi="Times New Roman" w:cs="Times New Roman"/>
        <w:sz w:val="18"/>
        <w:szCs w:val="18"/>
      </w:rPr>
      <w:t>NNGYK/ETGY/19440/2025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7C6534" w14:textId="77777777" w:rsidR="00DE62E1" w:rsidRDefault="00692E8D">
      <w:r>
        <w:separator/>
      </w:r>
    </w:p>
  </w:footnote>
  <w:footnote w:type="continuationSeparator" w:id="0">
    <w:p w14:paraId="4287A0C1" w14:textId="77777777" w:rsidR="00DE62E1" w:rsidRDefault="00692E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8F5C98" w14:textId="741BD944" w:rsidR="00DE62E1" w:rsidRDefault="00692E8D">
    <w:pPr>
      <w:pStyle w:val="lfej"/>
      <w:jc w:val="center"/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fldChar w:fldCharType="begin"/>
    </w:r>
    <w:r>
      <w:rPr>
        <w:rFonts w:ascii="Times New Roman" w:hAnsi="Times New Roman" w:cs="Times New Roman"/>
        <w:sz w:val="18"/>
        <w:szCs w:val="18"/>
      </w:rPr>
      <w:instrText>PAGE   \* MERGEFORMAT</w:instrText>
    </w:r>
    <w:r>
      <w:rPr>
        <w:rFonts w:ascii="Times New Roman" w:hAnsi="Times New Roman" w:cs="Times New Roman"/>
        <w:sz w:val="18"/>
        <w:szCs w:val="18"/>
      </w:rPr>
      <w:fldChar w:fldCharType="separate"/>
    </w:r>
    <w:r w:rsidR="002D477E" w:rsidRPr="002D477E">
      <w:rPr>
        <w:rFonts w:ascii="Times New Roman" w:hAnsi="Times New Roman" w:cs="Times New Roman"/>
        <w:noProof/>
        <w:sz w:val="18"/>
        <w:szCs w:val="18"/>
        <w:lang w:val="hu-HU"/>
      </w:rPr>
      <w:t>8</w:t>
    </w:r>
    <w:r>
      <w:rPr>
        <w:rFonts w:ascii="Times New Roman" w:hAnsi="Times New Roman" w:cs="Times New Roman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5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  <w:color w:val="auto"/>
      </w:rPr>
    </w:lvl>
  </w:abstractNum>
  <w:abstractNum w:abstractNumId="1" w15:restartNumberingAfterBreak="0">
    <w:nsid w:val="00000002"/>
    <w:multiLevelType w:val="singleLevel"/>
    <w:tmpl w:val="00000002"/>
    <w:name w:val="WW8Num6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7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3" w15:restartNumberingAfterBreak="0">
    <w:nsid w:val="00000004"/>
    <w:multiLevelType w:val="singleLevel"/>
    <w:tmpl w:val="00000004"/>
    <w:name w:val="WW8Num8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4" w15:restartNumberingAfterBreak="0">
    <w:nsid w:val="00000005"/>
    <w:multiLevelType w:val="singleLevel"/>
    <w:tmpl w:val="00000005"/>
    <w:name w:val="WW8Num9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5" w15:restartNumberingAfterBreak="0">
    <w:nsid w:val="00000006"/>
    <w:multiLevelType w:val="singleLevel"/>
    <w:tmpl w:val="00000006"/>
    <w:name w:val="WW8Num10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6" w15:restartNumberingAfterBreak="0">
    <w:nsid w:val="00000007"/>
    <w:multiLevelType w:val="singleLevel"/>
    <w:tmpl w:val="00000007"/>
    <w:name w:val="WW8Num11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7" w15:restartNumberingAfterBreak="0">
    <w:nsid w:val="00000008"/>
    <w:multiLevelType w:val="singleLevel"/>
    <w:tmpl w:val="00000008"/>
    <w:name w:val="WW8Num12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8" w15:restartNumberingAfterBreak="0">
    <w:nsid w:val="00000009"/>
    <w:multiLevelType w:val="singleLevel"/>
    <w:tmpl w:val="00000009"/>
    <w:name w:val="WW8Num13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9" w15:restartNumberingAfterBreak="0">
    <w:nsid w:val="0000000A"/>
    <w:multiLevelType w:val="singleLevel"/>
    <w:tmpl w:val="0000000A"/>
    <w:name w:val="WW8Num14"/>
    <w:lvl w:ilvl="0">
      <w:start w:val="1"/>
      <w:numFmt w:val="bullet"/>
      <w:lvlText w:val="·"/>
      <w:lvlJc w:val="left"/>
      <w:pPr>
        <w:tabs>
          <w:tab w:val="num" w:pos="397"/>
        </w:tabs>
      </w:pPr>
      <w:rPr>
        <w:rFonts w:ascii="Symbol" w:hAnsi="Symbol"/>
      </w:rPr>
    </w:lvl>
  </w:abstractNum>
  <w:abstractNum w:abstractNumId="10" w15:restartNumberingAfterBreak="0">
    <w:nsid w:val="0000000B"/>
    <w:multiLevelType w:val="multilevel"/>
    <w:tmpl w:val="0000000B"/>
    <w:name w:val="WW8Num16"/>
    <w:lvl w:ilvl="0">
      <w:start w:val="1"/>
      <w:numFmt w:val="bullet"/>
      <w:lvlText w:val="·"/>
      <w:lvlJc w:val="left"/>
      <w:pPr>
        <w:tabs>
          <w:tab w:val="num" w:pos="360"/>
        </w:tabs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440"/>
        </w:tabs>
      </w:pPr>
      <w:rPr>
        <w:rFonts w:ascii="Courier New" w:hAnsi="Courier New" w:cs="Courier New"/>
      </w:rPr>
    </w:lvl>
    <w:lvl w:ilvl="2">
      <w:start w:val="1"/>
      <w:numFmt w:val="bullet"/>
      <w:lvlText w:val="§"/>
      <w:lvlJc w:val="left"/>
      <w:pPr>
        <w:tabs>
          <w:tab w:val="num" w:pos="2160"/>
        </w:tabs>
      </w:pPr>
      <w:rPr>
        <w:rFonts w:ascii="Wingdings" w:hAnsi="Wingdings" w:cs="Wingdings"/>
      </w:rPr>
    </w:lvl>
    <w:lvl w:ilvl="3">
      <w:start w:val="1"/>
      <w:numFmt w:val="bullet"/>
      <w:lvlText w:val="·"/>
      <w:lvlJc w:val="left"/>
      <w:pPr>
        <w:tabs>
          <w:tab w:val="num" w:pos="2880"/>
        </w:tabs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4320"/>
        </w:tabs>
      </w:pPr>
      <w:rPr>
        <w:rFonts w:ascii="Wingdings" w:hAnsi="Wingdings" w:cs="Wingdings"/>
      </w:rPr>
    </w:lvl>
    <w:lvl w:ilvl="6">
      <w:start w:val="1"/>
      <w:numFmt w:val="bullet"/>
      <w:lvlText w:val="·"/>
      <w:lvlJc w:val="left"/>
      <w:pPr>
        <w:tabs>
          <w:tab w:val="num" w:pos="5040"/>
        </w:tabs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480"/>
        </w:tabs>
      </w:pPr>
      <w:rPr>
        <w:rFonts w:ascii="Wingdings" w:hAnsi="Wingdings" w:cs="Wingdings"/>
      </w:rPr>
    </w:lvl>
  </w:abstractNum>
  <w:abstractNum w:abstractNumId="11" w15:restartNumberingAfterBreak="0">
    <w:nsid w:val="0000000C"/>
    <w:multiLevelType w:val="multilevel"/>
    <w:tmpl w:val="0000000C"/>
    <w:name w:val="WW8Num17"/>
    <w:lvl w:ilvl="0">
      <w:start w:val="6"/>
      <w:numFmt w:val="decimal"/>
      <w:lvlText w:val="%1"/>
      <w:lvlJc w:val="left"/>
      <w:pPr>
        <w:tabs>
          <w:tab w:val="num" w:pos="705"/>
        </w:tabs>
      </w:pPr>
    </w:lvl>
    <w:lvl w:ilvl="1">
      <w:start w:val="5"/>
      <w:numFmt w:val="decimal"/>
      <w:lvlText w:val="%1.%2"/>
      <w:lvlJc w:val="left"/>
      <w:pPr>
        <w:tabs>
          <w:tab w:val="num" w:pos="705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2" w15:restartNumberingAfterBreak="0">
    <w:nsid w:val="0000000D"/>
    <w:multiLevelType w:val="multilevel"/>
    <w:tmpl w:val="0000000D"/>
    <w:name w:val="WW8Num18"/>
    <w:lvl w:ilvl="0">
      <w:start w:val="4"/>
      <w:numFmt w:val="decimal"/>
      <w:lvlText w:val="%1"/>
      <w:lvlJc w:val="left"/>
      <w:pPr>
        <w:tabs>
          <w:tab w:val="num" w:pos="360"/>
        </w:tabs>
      </w:pPr>
    </w:lvl>
    <w:lvl w:ilvl="1">
      <w:start w:val="4"/>
      <w:numFmt w:val="decimal"/>
      <w:lvlText w:val="%1.%2"/>
      <w:lvlJc w:val="left"/>
      <w:pPr>
        <w:tabs>
          <w:tab w:val="num" w:pos="360"/>
        </w:tabs>
      </w:pPr>
    </w:lvl>
    <w:lvl w:ilvl="2">
      <w:start w:val="1"/>
      <w:numFmt w:val="decimal"/>
      <w:lvlText w:val="%1.%2.%3"/>
      <w:lvlJc w:val="left"/>
      <w:pPr>
        <w:tabs>
          <w:tab w:val="num" w:pos="720"/>
        </w:tabs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</w:pPr>
    </w:lvl>
  </w:abstractNum>
  <w:abstractNum w:abstractNumId="13" w15:restartNumberingAfterBreak="0">
    <w:nsid w:val="0000000E"/>
    <w:multiLevelType w:val="multilevel"/>
    <w:tmpl w:val="0000000E"/>
    <w:name w:val="WW8Num23"/>
    <w:lvl w:ilvl="0">
      <w:start w:val="1"/>
      <w:numFmt w:val="bullet"/>
      <w:lvlText w:val="·"/>
      <w:lvlJc w:val="left"/>
      <w:pPr>
        <w:tabs>
          <w:tab w:val="num" w:pos="502"/>
        </w:tabs>
      </w:pPr>
      <w:rPr>
        <w:rFonts w:ascii="Symbol" w:hAnsi="Symbol" w:cs="Symbol"/>
        <w:sz w:val="16"/>
        <w:szCs w:val="16"/>
      </w:rPr>
    </w:lvl>
    <w:lvl w:ilvl="1">
      <w:start w:val="1"/>
      <w:numFmt w:val="bullet"/>
      <w:lvlText w:val="o"/>
      <w:lvlJc w:val="left"/>
      <w:pPr>
        <w:tabs>
          <w:tab w:val="num" w:pos="1582"/>
        </w:tabs>
      </w:pPr>
      <w:rPr>
        <w:rFonts w:ascii="Courier New" w:hAnsi="Courier New" w:cs="Courier New"/>
      </w:rPr>
    </w:lvl>
    <w:lvl w:ilvl="2">
      <w:start w:val="1"/>
      <w:numFmt w:val="bullet"/>
      <w:lvlText w:val="§"/>
      <w:lvlJc w:val="left"/>
      <w:pPr>
        <w:tabs>
          <w:tab w:val="num" w:pos="2302"/>
        </w:tabs>
      </w:pPr>
      <w:rPr>
        <w:rFonts w:ascii="Wingdings" w:hAnsi="Wingdings" w:cs="Wingdings"/>
      </w:rPr>
    </w:lvl>
    <w:lvl w:ilvl="3">
      <w:start w:val="1"/>
      <w:numFmt w:val="bullet"/>
      <w:lvlText w:val="·"/>
      <w:lvlJc w:val="left"/>
      <w:pPr>
        <w:tabs>
          <w:tab w:val="num" w:pos="3022"/>
        </w:tabs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742"/>
        </w:tabs>
      </w:pPr>
      <w:rPr>
        <w:rFonts w:ascii="Courier New" w:hAnsi="Courier New" w:cs="Courier New"/>
      </w:rPr>
    </w:lvl>
    <w:lvl w:ilvl="5">
      <w:start w:val="1"/>
      <w:numFmt w:val="bullet"/>
      <w:lvlText w:val="§"/>
      <w:lvlJc w:val="left"/>
      <w:pPr>
        <w:tabs>
          <w:tab w:val="num" w:pos="4462"/>
        </w:tabs>
      </w:pPr>
      <w:rPr>
        <w:rFonts w:ascii="Wingdings" w:hAnsi="Wingdings" w:cs="Wingdings"/>
      </w:rPr>
    </w:lvl>
    <w:lvl w:ilvl="6">
      <w:start w:val="1"/>
      <w:numFmt w:val="bullet"/>
      <w:lvlText w:val="·"/>
      <w:lvlJc w:val="left"/>
      <w:pPr>
        <w:tabs>
          <w:tab w:val="num" w:pos="5182"/>
        </w:tabs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902"/>
        </w:tabs>
      </w:pPr>
      <w:rPr>
        <w:rFonts w:ascii="Courier New" w:hAnsi="Courier New" w:cs="Courier New"/>
      </w:rPr>
    </w:lvl>
    <w:lvl w:ilvl="8">
      <w:start w:val="1"/>
      <w:numFmt w:val="bullet"/>
      <w:lvlText w:val="§"/>
      <w:lvlJc w:val="left"/>
      <w:pPr>
        <w:tabs>
          <w:tab w:val="num" w:pos="6622"/>
        </w:tabs>
      </w:pPr>
      <w:rPr>
        <w:rFonts w:ascii="Wingdings" w:hAnsi="Wingdings" w:cs="Wingdings"/>
      </w:rPr>
    </w:lvl>
  </w:abstractNum>
  <w:abstractNum w:abstractNumId="14" w15:restartNumberingAfterBreak="0">
    <w:nsid w:val="0000000F"/>
    <w:multiLevelType w:val="multilevel"/>
    <w:tmpl w:val="0000000F"/>
    <w:lvl w:ilvl="0">
      <w:start w:val="1"/>
      <w:numFmt w:val="none"/>
      <w:pStyle w:val="Cmsor1"/>
      <w:lvlText w:val=""/>
      <w:lvlJc w:val="left"/>
      <w:pPr>
        <w:tabs>
          <w:tab w:val="num" w:pos="0"/>
        </w:tabs>
      </w:pPr>
    </w:lvl>
    <w:lvl w:ilvl="1">
      <w:start w:val="1"/>
      <w:numFmt w:val="none"/>
      <w:pStyle w:val="Cmsor2"/>
      <w:lvlText w:val=""/>
      <w:lvlJc w:val="left"/>
      <w:pPr>
        <w:tabs>
          <w:tab w:val="num" w:pos="0"/>
        </w:tabs>
      </w:pPr>
    </w:lvl>
    <w:lvl w:ilvl="2">
      <w:start w:val="1"/>
      <w:numFmt w:val="none"/>
      <w:pStyle w:val="Cmsor3"/>
      <w:lvlText w:val=""/>
      <w:lvlJc w:val="left"/>
      <w:pPr>
        <w:tabs>
          <w:tab w:val="num" w:pos="0"/>
        </w:tabs>
      </w:pPr>
    </w:lvl>
    <w:lvl w:ilvl="3">
      <w:start w:val="1"/>
      <w:numFmt w:val="none"/>
      <w:pStyle w:val="Cmsor4"/>
      <w:lvlText w:val=""/>
      <w:lvlJc w:val="left"/>
      <w:pPr>
        <w:tabs>
          <w:tab w:val="num" w:pos="0"/>
        </w:tabs>
      </w:pPr>
    </w:lvl>
    <w:lvl w:ilvl="4">
      <w:start w:val="1"/>
      <w:numFmt w:val="none"/>
      <w:pStyle w:val="Cmsor5"/>
      <w:lvlText w:val=""/>
      <w:lvlJc w:val="left"/>
      <w:pPr>
        <w:tabs>
          <w:tab w:val="num" w:pos="0"/>
        </w:tabs>
      </w:pPr>
    </w:lvl>
    <w:lvl w:ilvl="5">
      <w:start w:val="1"/>
      <w:numFmt w:val="none"/>
      <w:pStyle w:val="Cmsor6"/>
      <w:lvlText w:val=""/>
      <w:lvlJc w:val="left"/>
      <w:pPr>
        <w:tabs>
          <w:tab w:val="num" w:pos="0"/>
        </w:tabs>
      </w:pPr>
    </w:lvl>
    <w:lvl w:ilvl="6">
      <w:start w:val="1"/>
      <w:numFmt w:val="none"/>
      <w:pStyle w:val="Cmsor7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5" w15:restartNumberingAfterBreak="0">
    <w:nsid w:val="178F7F69"/>
    <w:multiLevelType w:val="hybridMultilevel"/>
    <w:tmpl w:val="8632BA62"/>
    <w:lvl w:ilvl="0" w:tplc="BF90B16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6C7046"/>
    <w:multiLevelType w:val="hybridMultilevel"/>
    <w:tmpl w:val="24005F2A"/>
    <w:lvl w:ilvl="0" w:tplc="5B449E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9D56D6"/>
    <w:multiLevelType w:val="hybridMultilevel"/>
    <w:tmpl w:val="5D0638FA"/>
    <w:lvl w:ilvl="0" w:tplc="EA4CEE08">
      <w:start w:val="1"/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8" w15:restartNumberingAfterBreak="0">
    <w:nsid w:val="3B1A19E6"/>
    <w:multiLevelType w:val="hybridMultilevel"/>
    <w:tmpl w:val="74CC1954"/>
    <w:lvl w:ilvl="0" w:tplc="B20C0038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0D050D"/>
    <w:multiLevelType w:val="multilevel"/>
    <w:tmpl w:val="CD9ED4AC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20" w15:restartNumberingAfterBreak="0">
    <w:nsid w:val="40EA0780"/>
    <w:multiLevelType w:val="hybridMultilevel"/>
    <w:tmpl w:val="F0825580"/>
    <w:lvl w:ilvl="0" w:tplc="0D3C09EA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0424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910013"/>
    <w:multiLevelType w:val="hybridMultilevel"/>
    <w:tmpl w:val="2BAEF9EC"/>
    <w:lvl w:ilvl="0" w:tplc="B20C0038">
      <w:start w:val="2"/>
      <w:numFmt w:val="bullet"/>
      <w:lvlText w:val="-"/>
      <w:lvlJc w:val="left"/>
      <w:pPr>
        <w:tabs>
          <w:tab w:val="num" w:pos="600"/>
        </w:tabs>
        <w:ind w:left="60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A74970"/>
    <w:multiLevelType w:val="hybridMultilevel"/>
    <w:tmpl w:val="C1766D0C"/>
    <w:lvl w:ilvl="0" w:tplc="CD245ECA">
      <w:numFmt w:val="bullet"/>
      <w:lvlText w:val="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0B0BD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Times New Roman" w:hAnsi="Times New Roman" w:cs="Times New Roman" w:hint="default"/>
      </w:rPr>
    </w:lvl>
    <w:lvl w:ilvl="2" w:tplc="0424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9759AB"/>
    <w:multiLevelType w:val="hybridMultilevel"/>
    <w:tmpl w:val="7158D4E2"/>
    <w:lvl w:ilvl="0" w:tplc="45D45E98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4" w15:restartNumberingAfterBreak="0">
    <w:nsid w:val="4F2034A0"/>
    <w:multiLevelType w:val="hybridMultilevel"/>
    <w:tmpl w:val="D73494AC"/>
    <w:lvl w:ilvl="0" w:tplc="6D78F40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31CE4"/>
    <w:multiLevelType w:val="hybridMultilevel"/>
    <w:tmpl w:val="FFAE3C46"/>
    <w:lvl w:ilvl="0" w:tplc="A45E2800">
      <w:start w:val="1"/>
      <w:numFmt w:val="bullet"/>
      <w:lvlText w:val="­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F99724C"/>
    <w:multiLevelType w:val="hybridMultilevel"/>
    <w:tmpl w:val="25FCB3C6"/>
    <w:lvl w:ilvl="0" w:tplc="A45E2800">
      <w:start w:val="1"/>
      <w:numFmt w:val="bullet"/>
      <w:lvlText w:val="­"/>
      <w:lvlJc w:val="left"/>
      <w:pPr>
        <w:tabs>
          <w:tab w:val="num" w:pos="567"/>
        </w:tabs>
        <w:ind w:left="567" w:hanging="567"/>
      </w:pPr>
      <w:rPr>
        <w:rFonts w:ascii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9"/>
  </w:num>
  <w:num w:numId="3">
    <w:abstractNumId w:val="26"/>
  </w:num>
  <w:num w:numId="4">
    <w:abstractNumId w:val="15"/>
  </w:num>
  <w:num w:numId="5">
    <w:abstractNumId w:val="16"/>
  </w:num>
  <w:num w:numId="6">
    <w:abstractNumId w:val="17"/>
  </w:num>
  <w:num w:numId="7">
    <w:abstractNumId w:val="23"/>
  </w:num>
  <w:num w:numId="8">
    <w:abstractNumId w:val="24"/>
  </w:num>
  <w:num w:numId="9">
    <w:abstractNumId w:val="25"/>
  </w:num>
  <w:num w:numId="10">
    <w:abstractNumId w:val="21"/>
  </w:num>
  <w:num w:numId="11">
    <w:abstractNumId w:val="18"/>
  </w:num>
  <w:num w:numId="12">
    <w:abstractNumId w:val="20"/>
  </w:num>
  <w:num w:numId="13">
    <w:abstractNumId w:val="2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Formatting/>
  <w:defaultTabStop w:val="709"/>
  <w:hyphenationZone w:val="357"/>
  <w:drawingGridHorizontalSpacing w:val="120"/>
  <w:drawingGridVerticalSpacing w:val="0"/>
  <w:displayHorizontalDrawingGridEvery w:val="0"/>
  <w:displayVerticalDrawingGridEvery w:val="0"/>
  <w:characterSpacingControl w:val="doNotCompress"/>
  <w:hdrShapeDefaults>
    <o:shapedefaults v:ext="edit" spidmax="13313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2E1"/>
    <w:rsid w:val="002D477E"/>
    <w:rsid w:val="00692E8D"/>
    <w:rsid w:val="00891C17"/>
    <w:rsid w:val="00DE62E1"/>
    <w:rsid w:val="00F87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3"/>
    <o:shapelayout v:ext="edit">
      <o:idmap v:ext="edit" data="1"/>
    </o:shapelayout>
  </w:shapeDefaults>
  <w:decimalSymbol w:val=","/>
  <w:listSeparator w:val=";"/>
  <w14:docId w14:val="5E6BF6F5"/>
  <w15:chartTrackingRefBased/>
  <w15:docId w15:val="{31666B49-E2C7-4DD3-AA6F-697F3996B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suppressAutoHyphens/>
      <w:autoSpaceDE w:val="0"/>
    </w:pPr>
    <w:rPr>
      <w:sz w:val="24"/>
      <w:szCs w:val="24"/>
      <w:lang w:eastAsia="ar-SA"/>
    </w:rPr>
  </w:style>
  <w:style w:type="paragraph" w:styleId="Cmsor1">
    <w:name w:val="heading 1"/>
    <w:basedOn w:val="Norml"/>
    <w:next w:val="Norml"/>
    <w:qFormat/>
    <w:pPr>
      <w:keepNext/>
      <w:numPr>
        <w:numId w:val="1"/>
      </w:numPr>
      <w:spacing w:before="240" w:after="60"/>
      <w:ind w:left="-454"/>
      <w:outlineLvl w:val="0"/>
    </w:pPr>
    <w:rPr>
      <w:b/>
      <w:bCs/>
      <w:caps/>
      <w:kern w:val="1"/>
      <w:lang w:val="en-GB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1"/>
      </w:numPr>
      <w:spacing w:after="60"/>
      <w:jc w:val="both"/>
      <w:outlineLvl w:val="1"/>
    </w:pPr>
    <w:rPr>
      <w:b/>
      <w:bCs/>
      <w:lang w:val="en-GB"/>
    </w:rPr>
  </w:style>
  <w:style w:type="paragraph" w:styleId="Cmsor3">
    <w:name w:val="heading 3"/>
    <w:basedOn w:val="Norml"/>
    <w:next w:val="Norml"/>
    <w:qFormat/>
    <w:pPr>
      <w:keepNext/>
      <w:numPr>
        <w:ilvl w:val="2"/>
        <w:numId w:val="1"/>
      </w:numPr>
      <w:spacing w:after="60"/>
      <w:jc w:val="both"/>
      <w:outlineLvl w:val="2"/>
    </w:pPr>
    <w:rPr>
      <w:u w:val="single"/>
      <w:lang w:val="en-GB"/>
    </w:rPr>
  </w:style>
  <w:style w:type="paragraph" w:styleId="Cmsor4">
    <w:name w:val="heading 4"/>
    <w:basedOn w:val="Norml"/>
    <w:next w:val="Norml"/>
    <w:qFormat/>
    <w:pPr>
      <w:keepNext/>
      <w:numPr>
        <w:ilvl w:val="3"/>
        <w:numId w:val="1"/>
      </w:numPr>
      <w:outlineLvl w:val="3"/>
    </w:pPr>
    <w:rPr>
      <w:b/>
      <w:bCs/>
      <w:sz w:val="22"/>
      <w:szCs w:val="22"/>
    </w:rPr>
  </w:style>
  <w:style w:type="paragraph" w:styleId="Cmsor5">
    <w:name w:val="heading 5"/>
    <w:basedOn w:val="Norml"/>
    <w:next w:val="Norml"/>
    <w:qFormat/>
    <w:pPr>
      <w:keepNext/>
      <w:numPr>
        <w:ilvl w:val="4"/>
        <w:numId w:val="1"/>
      </w:numPr>
      <w:jc w:val="both"/>
      <w:outlineLvl w:val="4"/>
    </w:pPr>
    <w:rPr>
      <w:b/>
      <w:bCs/>
      <w:sz w:val="22"/>
      <w:szCs w:val="22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1"/>
      </w:numPr>
      <w:outlineLvl w:val="5"/>
    </w:pPr>
    <w:rPr>
      <w:i/>
      <w:iCs/>
      <w:sz w:val="22"/>
      <w:szCs w:val="22"/>
    </w:rPr>
  </w:style>
  <w:style w:type="paragraph" w:styleId="Cmsor7">
    <w:name w:val="heading 7"/>
    <w:basedOn w:val="Norml"/>
    <w:next w:val="Norml"/>
    <w:qFormat/>
    <w:pPr>
      <w:keepNext/>
      <w:numPr>
        <w:ilvl w:val="6"/>
        <w:numId w:val="1"/>
      </w:numPr>
      <w:jc w:val="both"/>
      <w:outlineLvl w:val="6"/>
    </w:pPr>
    <w:rPr>
      <w:i/>
      <w:iCs/>
      <w:sz w:val="22"/>
      <w:szCs w:val="2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  <w:color w:val="auto"/>
    </w:rPr>
  </w:style>
  <w:style w:type="character" w:customStyle="1" w:styleId="WW8Num2z0">
    <w:name w:val="WW8Num2z0"/>
    <w:rPr>
      <w:rFonts w:ascii="Symbol" w:hAnsi="Symbol"/>
      <w:color w:val="auto"/>
    </w:rPr>
  </w:style>
  <w:style w:type="character" w:customStyle="1" w:styleId="WW8Num3z0">
    <w:name w:val="WW8Num3z0"/>
    <w:rPr>
      <w:rFonts w:ascii="Symbol" w:hAnsi="Symbol"/>
      <w:color w:val="auto"/>
    </w:rPr>
  </w:style>
  <w:style w:type="character" w:customStyle="1" w:styleId="WW8Num4z0">
    <w:name w:val="WW8Num4z0"/>
    <w:rPr>
      <w:rFonts w:ascii="Symbol" w:hAnsi="Symbol" w:cs="StarSymbol"/>
      <w:sz w:val="18"/>
      <w:szCs w:val="18"/>
    </w:rPr>
  </w:style>
  <w:style w:type="character" w:customStyle="1" w:styleId="WW8Num5z0">
    <w:name w:val="WW8Num5z0"/>
    <w:rPr>
      <w:rFonts w:ascii="Symbol" w:hAnsi="Symbol"/>
      <w:color w:val="auto"/>
    </w:rPr>
  </w:style>
  <w:style w:type="character" w:customStyle="1" w:styleId="WW8Num6z0">
    <w:name w:val="WW8Num6z0"/>
    <w:rPr>
      <w:rFonts w:ascii="Symbol" w:hAnsi="Symbol"/>
    </w:rPr>
  </w:style>
  <w:style w:type="character" w:customStyle="1" w:styleId="WW8Num7z0">
    <w:name w:val="WW8Num7z0"/>
    <w:rPr>
      <w:rFonts w:ascii="Symbol" w:hAnsi="Symbol"/>
    </w:rPr>
  </w:style>
  <w:style w:type="character" w:customStyle="1" w:styleId="WW8Num8z0">
    <w:name w:val="WW8Num8z0"/>
    <w:rPr>
      <w:rFonts w:ascii="Symbol" w:hAnsi="Symbol"/>
    </w:rPr>
  </w:style>
  <w:style w:type="character" w:customStyle="1" w:styleId="WW8Num9z0">
    <w:name w:val="WW8Num9z0"/>
    <w:rPr>
      <w:rFonts w:ascii="Symbol" w:hAnsi="Symbol"/>
    </w:rPr>
  </w:style>
  <w:style w:type="character" w:customStyle="1" w:styleId="WW8Num10z0">
    <w:name w:val="WW8Num10z0"/>
    <w:rPr>
      <w:rFonts w:ascii="Symbol" w:hAnsi="Symbol"/>
    </w:rPr>
  </w:style>
  <w:style w:type="character" w:customStyle="1" w:styleId="WW8Num11z0">
    <w:name w:val="WW8Num11z0"/>
    <w:rPr>
      <w:rFonts w:ascii="Symbol" w:hAnsi="Symbol"/>
    </w:rPr>
  </w:style>
  <w:style w:type="character" w:customStyle="1" w:styleId="WW8Num12z0">
    <w:name w:val="WW8Num12z0"/>
    <w:rPr>
      <w:rFonts w:ascii="Symbol" w:hAnsi="Symbol"/>
    </w:rPr>
  </w:style>
  <w:style w:type="character" w:customStyle="1" w:styleId="WW8Num13z0">
    <w:name w:val="WW8Num13z0"/>
    <w:rPr>
      <w:rFonts w:ascii="Symbol" w:hAnsi="Symbol"/>
    </w:rPr>
  </w:style>
  <w:style w:type="character" w:customStyle="1" w:styleId="WW8Num14z0">
    <w:name w:val="WW8Num14z0"/>
    <w:rPr>
      <w:rFonts w:ascii="Symbol" w:hAnsi="Symbol"/>
    </w:rPr>
  </w:style>
  <w:style w:type="character" w:customStyle="1" w:styleId="WW8Num15z0">
    <w:name w:val="WW8Num15z0"/>
    <w:rPr>
      <w:rFonts w:ascii="Symbol" w:hAnsi="Symbol"/>
    </w:rPr>
  </w:style>
  <w:style w:type="character" w:customStyle="1" w:styleId="WW8Num15z1">
    <w:name w:val="WW8Num15z1"/>
    <w:rPr>
      <w:rFonts w:ascii="Courier New" w:hAnsi="Courier New" w:cs="Courier New"/>
    </w:rPr>
  </w:style>
  <w:style w:type="character" w:customStyle="1" w:styleId="WW8Num15z2">
    <w:name w:val="WW8Num15z2"/>
    <w:rPr>
      <w:rFonts w:ascii="Wingdings" w:hAnsi="Wingdings"/>
    </w:rPr>
  </w:style>
  <w:style w:type="character" w:customStyle="1" w:styleId="WW8Num16z0">
    <w:name w:val="WW8Num16z0"/>
    <w:rPr>
      <w:rFonts w:ascii="Symbol" w:hAnsi="Symbol" w:cs="Symbol"/>
      <w:sz w:val="16"/>
      <w:szCs w:val="16"/>
    </w:rPr>
  </w:style>
  <w:style w:type="character" w:customStyle="1" w:styleId="WW8Num16z1">
    <w:name w:val="WW8Num16z1"/>
    <w:rPr>
      <w:rFonts w:ascii="Courier New" w:hAnsi="Courier New" w:cs="Courier New"/>
    </w:rPr>
  </w:style>
  <w:style w:type="character" w:customStyle="1" w:styleId="WW8Num16z2">
    <w:name w:val="WW8Num16z2"/>
    <w:rPr>
      <w:rFonts w:ascii="Wingdings" w:hAnsi="Wingdings" w:cs="Wingdings"/>
    </w:rPr>
  </w:style>
  <w:style w:type="character" w:customStyle="1" w:styleId="WW8Num16z3">
    <w:name w:val="WW8Num16z3"/>
    <w:rPr>
      <w:rFonts w:ascii="Symbol" w:hAnsi="Symbol" w:cs="Symbol"/>
    </w:rPr>
  </w:style>
  <w:style w:type="character" w:customStyle="1" w:styleId="WW8Num19z0">
    <w:name w:val="WW8Num19z0"/>
    <w:rPr>
      <w:rFonts w:ascii="Symbol" w:hAnsi="Symbol"/>
    </w:rPr>
  </w:style>
  <w:style w:type="character" w:customStyle="1" w:styleId="WW8Num19z1">
    <w:name w:val="WW8Num19z1"/>
    <w:rPr>
      <w:rFonts w:ascii="Courier New" w:hAnsi="Courier New" w:cs="Courier New"/>
    </w:rPr>
  </w:style>
  <w:style w:type="character" w:customStyle="1" w:styleId="WW8Num19z2">
    <w:name w:val="WW8Num19z2"/>
    <w:rPr>
      <w:rFonts w:ascii="Wingdings" w:hAnsi="Wingdings"/>
    </w:rPr>
  </w:style>
  <w:style w:type="character" w:customStyle="1" w:styleId="WW8Num20z0">
    <w:name w:val="WW8Num20z0"/>
    <w:rPr>
      <w:rFonts w:ascii="Symbol" w:hAnsi="Symbol" w:cs="Symbol"/>
    </w:rPr>
  </w:style>
  <w:style w:type="character" w:customStyle="1" w:styleId="WW8Num20z1">
    <w:name w:val="WW8Num20z1"/>
    <w:rPr>
      <w:rFonts w:ascii="Courier New" w:hAnsi="Courier New" w:cs="Courier New"/>
    </w:rPr>
  </w:style>
  <w:style w:type="character" w:customStyle="1" w:styleId="WW8Num20z2">
    <w:name w:val="WW8Num20z2"/>
    <w:rPr>
      <w:rFonts w:ascii="Wingdings" w:hAnsi="Wingdings" w:cs="Wingdings"/>
    </w:rPr>
  </w:style>
  <w:style w:type="character" w:customStyle="1" w:styleId="WW8Num22z0">
    <w:name w:val="WW8Num22z0"/>
    <w:rPr>
      <w:rFonts w:ascii="Symbol" w:hAnsi="Symbol" w:cs="Symbol"/>
      <w:sz w:val="22"/>
      <w:szCs w:val="22"/>
    </w:rPr>
  </w:style>
  <w:style w:type="character" w:customStyle="1" w:styleId="WW8Num22z1">
    <w:name w:val="WW8Num22z1"/>
    <w:rPr>
      <w:rFonts w:ascii="Courier New" w:hAnsi="Courier New" w:cs="Courier New"/>
    </w:rPr>
  </w:style>
  <w:style w:type="character" w:customStyle="1" w:styleId="WW8Num22z2">
    <w:name w:val="WW8Num22z2"/>
    <w:rPr>
      <w:rFonts w:ascii="Wingdings" w:hAnsi="Wingdings" w:cs="Wingdings"/>
    </w:rPr>
  </w:style>
  <w:style w:type="character" w:customStyle="1" w:styleId="WW8Num22z3">
    <w:name w:val="WW8Num22z3"/>
    <w:rPr>
      <w:rFonts w:ascii="Symbol" w:hAnsi="Symbol" w:cs="Symbol"/>
    </w:rPr>
  </w:style>
  <w:style w:type="character" w:customStyle="1" w:styleId="WW8Num23z0">
    <w:name w:val="WW8Num23z0"/>
    <w:rPr>
      <w:rFonts w:ascii="Symbol" w:hAnsi="Symbol" w:cs="Symbol"/>
      <w:sz w:val="16"/>
      <w:szCs w:val="16"/>
    </w:rPr>
  </w:style>
  <w:style w:type="character" w:customStyle="1" w:styleId="WW8Num23z1">
    <w:name w:val="WW8Num23z1"/>
    <w:rPr>
      <w:rFonts w:ascii="Courier New" w:hAnsi="Courier New" w:cs="Courier New"/>
    </w:rPr>
  </w:style>
  <w:style w:type="character" w:customStyle="1" w:styleId="WW8Num23z2">
    <w:name w:val="WW8Num23z2"/>
    <w:rPr>
      <w:rFonts w:ascii="Wingdings" w:hAnsi="Wingdings" w:cs="Wingdings"/>
    </w:rPr>
  </w:style>
  <w:style w:type="character" w:customStyle="1" w:styleId="WW8Num23z3">
    <w:name w:val="WW8Num23z3"/>
    <w:rPr>
      <w:rFonts w:ascii="Symbol" w:hAnsi="Symbol" w:cs="Symbol"/>
    </w:rPr>
  </w:style>
  <w:style w:type="character" w:customStyle="1" w:styleId="WW8Num24z0">
    <w:name w:val="WW8Num24z0"/>
    <w:rPr>
      <w:rFonts w:ascii="Symbol" w:hAnsi="Symbol" w:cs="Symbol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 w:cs="Wingdings"/>
    </w:rPr>
  </w:style>
  <w:style w:type="character" w:customStyle="1" w:styleId="WW8Num26z0">
    <w:name w:val="WW8Num26z0"/>
    <w:rPr>
      <w:rFonts w:ascii="Symbol" w:hAnsi="Symbol" w:cs="Symbol"/>
      <w:sz w:val="22"/>
      <w:szCs w:val="22"/>
    </w:rPr>
  </w:style>
  <w:style w:type="character" w:customStyle="1" w:styleId="WW8Num26z1">
    <w:name w:val="WW8Num26z1"/>
    <w:rPr>
      <w:rFonts w:ascii="Courier New" w:hAnsi="Courier New" w:cs="Courier New"/>
    </w:rPr>
  </w:style>
  <w:style w:type="character" w:customStyle="1" w:styleId="WW8Num26z2">
    <w:name w:val="WW8Num26z2"/>
    <w:rPr>
      <w:rFonts w:ascii="Wingdings" w:hAnsi="Wingdings" w:cs="Wingdings"/>
    </w:rPr>
  </w:style>
  <w:style w:type="character" w:customStyle="1" w:styleId="WW8Num26z3">
    <w:name w:val="WW8Num26z3"/>
    <w:rPr>
      <w:rFonts w:ascii="Symbol" w:hAnsi="Symbol" w:cs="Symbol"/>
    </w:rPr>
  </w:style>
  <w:style w:type="character" w:customStyle="1" w:styleId="WW8Num27z0">
    <w:name w:val="WW8Num27z0"/>
    <w:rPr>
      <w:rFonts w:ascii="Symbol" w:hAnsi="Symbol"/>
    </w:rPr>
  </w:style>
  <w:style w:type="character" w:customStyle="1" w:styleId="WW8Num27z1">
    <w:name w:val="WW8Num27z1"/>
    <w:rPr>
      <w:rFonts w:ascii="Courier New" w:hAnsi="Courier New" w:cs="Courier New"/>
    </w:rPr>
  </w:style>
  <w:style w:type="character" w:customStyle="1" w:styleId="WW8Num27z2">
    <w:name w:val="WW8Num27z2"/>
    <w:rPr>
      <w:rFonts w:ascii="Wingdings" w:hAnsi="Wingdings"/>
    </w:rPr>
  </w:style>
  <w:style w:type="character" w:customStyle="1" w:styleId="WW8Num28z0">
    <w:name w:val="WW8Num28z0"/>
    <w:rPr>
      <w:rFonts w:ascii="Symbol" w:hAnsi="Symbol"/>
    </w:rPr>
  </w:style>
  <w:style w:type="character" w:customStyle="1" w:styleId="WW8Num28z1">
    <w:name w:val="WW8Num28z1"/>
    <w:rPr>
      <w:rFonts w:ascii="Courier New" w:hAnsi="Courier New" w:cs="Courier New"/>
    </w:rPr>
  </w:style>
  <w:style w:type="character" w:customStyle="1" w:styleId="WW8Num28z2">
    <w:name w:val="WW8Num28z2"/>
    <w:rPr>
      <w:rFonts w:ascii="Wingdings" w:hAnsi="Wingdings"/>
    </w:rPr>
  </w:style>
  <w:style w:type="character" w:customStyle="1" w:styleId="WW-Bekezdsalap-bettpusa">
    <w:name w:val="WW-Bekezdés alap-betűtípusa"/>
  </w:style>
  <w:style w:type="character" w:styleId="Oldalszm">
    <w:name w:val="page number"/>
    <w:rPr>
      <w:rFonts w:ascii="Times New Roman" w:hAnsi="Times New Roman" w:cs="Times New Roman"/>
      <w:sz w:val="20"/>
      <w:szCs w:val="20"/>
    </w:rPr>
  </w:style>
  <w:style w:type="paragraph" w:styleId="Szvegtrzs">
    <w:name w:val="Body Text"/>
    <w:basedOn w:val="Norml"/>
    <w:pPr>
      <w:spacing w:before="60" w:after="60"/>
      <w:jc w:val="both"/>
    </w:pPr>
    <w:rPr>
      <w:lang w:val="en-GB"/>
    </w:rPr>
  </w:style>
  <w:style w:type="paragraph" w:styleId="Lista">
    <w:name w:val="List"/>
    <w:basedOn w:val="Szvegtrzs"/>
    <w:rPr>
      <w:rFonts w:cs="Tahoma"/>
    </w:rPr>
  </w:style>
  <w:style w:type="paragraph" w:customStyle="1" w:styleId="Felirat">
    <w:name w:val="Felirat"/>
    <w:basedOn w:val="Norml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Trgymutat">
    <w:name w:val="Tárgymutató"/>
    <w:basedOn w:val="Norml"/>
    <w:pPr>
      <w:suppressLineNumbers/>
    </w:pPr>
    <w:rPr>
      <w:rFonts w:cs="Tahoma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WW-Szvegtrzs3">
    <w:name w:val="WW-Szövegtörzs 3"/>
    <w:basedOn w:val="Norml"/>
    <w:pPr>
      <w:spacing w:before="60" w:after="60"/>
    </w:pPr>
    <w:rPr>
      <w:rFonts w:ascii="Helvetica" w:hAnsi="Helvetica" w:cs="Helvetica"/>
      <w:sz w:val="20"/>
      <w:szCs w:val="20"/>
      <w:lang w:val="en-GB"/>
    </w:rPr>
  </w:style>
  <w:style w:type="paragraph" w:customStyle="1" w:styleId="Naslov12">
    <w:name w:val="Naslov 1.2."/>
    <w:basedOn w:val="Norml"/>
    <w:pPr>
      <w:keepNext/>
      <w:tabs>
        <w:tab w:val="left" w:pos="0"/>
      </w:tabs>
      <w:spacing w:before="120" w:after="60"/>
      <w:ind w:left="-454"/>
    </w:pPr>
    <w:rPr>
      <w:b/>
      <w:bCs/>
      <w:kern w:val="1"/>
      <w:lang w:val="en-GB"/>
    </w:rPr>
  </w:style>
  <w:style w:type="paragraph" w:styleId="lfej">
    <w:name w:val="header"/>
    <w:basedOn w:val="Norml"/>
    <w:link w:val="lfejChar"/>
    <w:uiPriority w:val="99"/>
    <w:pPr>
      <w:tabs>
        <w:tab w:val="center" w:pos="4320"/>
        <w:tab w:val="right" w:pos="8640"/>
      </w:tabs>
      <w:spacing w:after="60"/>
    </w:pPr>
    <w:rPr>
      <w:rFonts w:ascii="Times" w:hAnsi="Times" w:cs="Times"/>
      <w:lang w:val="en-GB"/>
    </w:rPr>
  </w:style>
  <w:style w:type="paragraph" w:styleId="llb">
    <w:name w:val="footer"/>
    <w:basedOn w:val="Norml"/>
    <w:link w:val="llbChar"/>
    <w:uiPriority w:val="99"/>
    <w:pPr>
      <w:tabs>
        <w:tab w:val="center" w:pos="4320"/>
        <w:tab w:val="right" w:pos="8640"/>
      </w:tabs>
      <w:spacing w:after="60"/>
    </w:pPr>
    <w:rPr>
      <w:rFonts w:ascii="Times" w:hAnsi="Times" w:cs="Times"/>
      <w:lang w:val="en-GB"/>
    </w:rPr>
  </w:style>
  <w:style w:type="paragraph" w:styleId="Szvegtrzsbehzssal">
    <w:name w:val="Body Text Indent"/>
    <w:basedOn w:val="Norml"/>
    <w:pPr>
      <w:ind w:right="-1"/>
    </w:pPr>
    <w:rPr>
      <w:sz w:val="22"/>
      <w:szCs w:val="22"/>
    </w:rPr>
  </w:style>
  <w:style w:type="paragraph" w:customStyle="1" w:styleId="WW-Trgymutat">
    <w:name w:val="WW-Tárgymutató"/>
    <w:basedOn w:val="Norml"/>
    <w:pPr>
      <w:widowControl w:val="0"/>
      <w:suppressLineNumbers/>
    </w:pPr>
  </w:style>
  <w:style w:type="paragraph" w:customStyle="1" w:styleId="Norml11">
    <w:name w:val="Normál 11"/>
    <w:pPr>
      <w:suppressAutoHyphens/>
      <w:autoSpaceDE w:val="0"/>
    </w:pPr>
    <w:rPr>
      <w:sz w:val="22"/>
      <w:szCs w:val="22"/>
      <w:lang w:eastAsia="ar-SA"/>
    </w:rPr>
  </w:style>
  <w:style w:type="paragraph" w:customStyle="1" w:styleId="WW-Szvegtrzsbehzssal2">
    <w:name w:val="WW-Szövegtörzs behúzással 2"/>
    <w:basedOn w:val="Norml"/>
    <w:pPr>
      <w:spacing w:line="260" w:lineRule="atLeast"/>
      <w:ind w:left="567" w:hanging="567"/>
    </w:pPr>
    <w:rPr>
      <w:b/>
      <w:bCs/>
      <w:sz w:val="22"/>
      <w:szCs w:val="22"/>
    </w:rPr>
  </w:style>
  <w:style w:type="paragraph" w:customStyle="1" w:styleId="Szvegtrzs21">
    <w:name w:val="Szövegtörzs 21"/>
    <w:basedOn w:val="Norml"/>
    <w:pPr>
      <w:widowControl w:val="0"/>
      <w:overflowPunct w:val="0"/>
      <w:textAlignment w:val="baseline"/>
    </w:pPr>
    <w:rPr>
      <w:rFonts w:cs="MS Sans Serif"/>
      <w:sz w:val="22"/>
      <w:szCs w:val="22"/>
    </w:rPr>
  </w:style>
  <w:style w:type="paragraph" w:customStyle="1" w:styleId="Szvegtrzs31">
    <w:name w:val="Szövegtörzs 31"/>
    <w:basedOn w:val="Norml"/>
    <w:pPr>
      <w:widowControl w:val="0"/>
      <w:overflowPunct w:val="0"/>
      <w:spacing w:line="260" w:lineRule="atLeast"/>
      <w:textAlignment w:val="baseline"/>
    </w:pPr>
    <w:rPr>
      <w:rFonts w:cs="MS Sans Serif"/>
      <w:color w:val="0000FF"/>
      <w:sz w:val="22"/>
      <w:szCs w:val="22"/>
    </w:rPr>
  </w:style>
  <w:style w:type="paragraph" w:customStyle="1" w:styleId="WW-Szvegtrzsbehzssal21">
    <w:name w:val="WW-Szövegtörzs behúzással 21"/>
    <w:basedOn w:val="Norml"/>
    <w:pPr>
      <w:widowControl w:val="0"/>
      <w:overflowPunct w:val="0"/>
      <w:ind w:left="284"/>
      <w:jc w:val="both"/>
      <w:textAlignment w:val="baseline"/>
    </w:pPr>
    <w:rPr>
      <w:rFonts w:cs="MS Sans Serif"/>
      <w:szCs w:val="20"/>
    </w:rPr>
  </w:style>
  <w:style w:type="paragraph" w:customStyle="1" w:styleId="WW-Szvegtrzs212">
    <w:name w:val="WW-Szövegtörzs 212"/>
    <w:basedOn w:val="Norml"/>
    <w:pPr>
      <w:widowControl w:val="0"/>
      <w:overflowPunct w:val="0"/>
      <w:spacing w:line="260" w:lineRule="atLeast"/>
      <w:ind w:left="567" w:hanging="567"/>
      <w:textAlignment w:val="baseline"/>
    </w:pPr>
    <w:rPr>
      <w:rFonts w:ascii="MS Sans Serif" w:hAnsi="MS Sans Serif" w:cs="MS Sans Serif"/>
      <w:b/>
      <w:sz w:val="20"/>
      <w:szCs w:val="20"/>
      <w:lang w:val="en-US"/>
    </w:rPr>
  </w:style>
  <w:style w:type="paragraph" w:customStyle="1" w:styleId="WW-Szvegtrzs31">
    <w:name w:val="WW-Szövegtörzs 31"/>
    <w:basedOn w:val="Norml"/>
    <w:pPr>
      <w:widowControl w:val="0"/>
      <w:overflowPunct w:val="0"/>
      <w:jc w:val="both"/>
      <w:textAlignment w:val="baseline"/>
    </w:pPr>
    <w:rPr>
      <w:rFonts w:cs="MS Sans Serif"/>
      <w:strike/>
      <w:color w:val="0000FF"/>
      <w:szCs w:val="20"/>
    </w:rPr>
  </w:style>
  <w:style w:type="paragraph" w:customStyle="1" w:styleId="WW-Buborkszveg">
    <w:name w:val="WW-Buborékszöveg"/>
    <w:basedOn w:val="Norml"/>
    <w:rPr>
      <w:rFonts w:ascii="Tahoma" w:hAnsi="Tahoma" w:cs="Tahoma"/>
      <w:sz w:val="16"/>
      <w:szCs w:val="16"/>
    </w:rPr>
  </w:style>
  <w:style w:type="paragraph" w:customStyle="1" w:styleId="Kerettartalom">
    <w:name w:val="Kerettartalom"/>
    <w:basedOn w:val="Szvegtrzs"/>
  </w:style>
  <w:style w:type="paragraph" w:styleId="Vgjegyzetszvege">
    <w:name w:val="endnote text"/>
    <w:basedOn w:val="Norml"/>
    <w:next w:val="Norml"/>
    <w:semiHidden/>
    <w:pPr>
      <w:autoSpaceDE/>
      <w:spacing w:line="260" w:lineRule="atLeast"/>
    </w:pPr>
    <w:rPr>
      <w:sz w:val="22"/>
      <w:szCs w:val="20"/>
    </w:rPr>
  </w:style>
  <w:style w:type="paragraph" w:styleId="Csakszveg">
    <w:name w:val="Plain Text"/>
    <w:basedOn w:val="Norml"/>
    <w:pPr>
      <w:suppressAutoHyphens w:val="0"/>
      <w:autoSpaceDE/>
      <w:spacing w:after="120"/>
    </w:pPr>
    <w:rPr>
      <w:rFonts w:ascii="Courier New" w:hAnsi="Courier New" w:cs="Courier New"/>
      <w:sz w:val="20"/>
      <w:szCs w:val="20"/>
      <w:lang w:val="en-US" w:eastAsia="en-US"/>
    </w:rPr>
  </w:style>
  <w:style w:type="paragraph" w:customStyle="1" w:styleId="a">
    <w:name w:val="("/>
    <w:pPr>
      <w:widowControl w:val="0"/>
      <w:tabs>
        <w:tab w:val="center" w:pos="4819"/>
        <w:tab w:val="right" w:pos="9071"/>
      </w:tabs>
      <w:suppressAutoHyphens/>
      <w:overflowPunct w:val="0"/>
      <w:autoSpaceDE w:val="0"/>
      <w:autoSpaceDN w:val="0"/>
      <w:adjustRightInd w:val="0"/>
      <w:textAlignment w:val="baseline"/>
    </w:pPr>
    <w:rPr>
      <w:lang w:val="fr-FR"/>
    </w:rPr>
  </w:style>
  <w:style w:type="paragraph" w:styleId="Buborkszveg">
    <w:name w:val="Balloon Text"/>
    <w:basedOn w:val="Norml"/>
    <w:semiHidden/>
    <w:rPr>
      <w:rFonts w:ascii="Tahoma" w:hAnsi="Tahoma" w:cs="Tahoma"/>
      <w:sz w:val="16"/>
      <w:szCs w:val="16"/>
    </w:rPr>
  </w:style>
  <w:style w:type="character" w:styleId="Jegyzethivatkozs">
    <w:name w:val="annotation reference"/>
    <w:rPr>
      <w:sz w:val="16"/>
      <w:szCs w:val="16"/>
    </w:rPr>
  </w:style>
  <w:style w:type="paragraph" w:styleId="Jegyzetszveg">
    <w:name w:val="annotation text"/>
    <w:basedOn w:val="Norml"/>
    <w:link w:val="JegyzetszvegChar"/>
    <w:rPr>
      <w:sz w:val="20"/>
      <w:szCs w:val="20"/>
    </w:rPr>
  </w:style>
  <w:style w:type="paragraph" w:styleId="Megjegyzstrgya">
    <w:name w:val="annotation subject"/>
    <w:basedOn w:val="Jegyzetszveg"/>
    <w:next w:val="Jegyzetszveg"/>
    <w:semiHidden/>
    <w:rPr>
      <w:b/>
      <w:bCs/>
    </w:rPr>
  </w:style>
  <w:style w:type="paragraph" w:customStyle="1" w:styleId="EMEAEnBodyText">
    <w:name w:val="EMEA En Body Text"/>
    <w:basedOn w:val="Norml"/>
    <w:pPr>
      <w:suppressAutoHyphens w:val="0"/>
      <w:autoSpaceDE/>
      <w:spacing w:before="120" w:after="120"/>
      <w:jc w:val="both"/>
    </w:pPr>
    <w:rPr>
      <w:snapToGrid w:val="0"/>
      <w:sz w:val="22"/>
      <w:szCs w:val="22"/>
      <w:lang w:val="en-US" w:eastAsia="hu-HU"/>
    </w:rPr>
  </w:style>
  <w:style w:type="character" w:styleId="Hiperhivatkozs">
    <w:name w:val="Hyperlink"/>
    <w:rPr>
      <w:color w:val="0000FF"/>
      <w:u w:val="single"/>
    </w:rPr>
  </w:style>
  <w:style w:type="character" w:customStyle="1" w:styleId="llbChar">
    <w:name w:val="Élőláb Char"/>
    <w:link w:val="llb"/>
    <w:uiPriority w:val="99"/>
    <w:rPr>
      <w:rFonts w:ascii="Times" w:hAnsi="Times" w:cs="Times"/>
      <w:sz w:val="24"/>
      <w:szCs w:val="24"/>
      <w:lang w:val="en-GB" w:eastAsia="ar-SA"/>
    </w:rPr>
  </w:style>
  <w:style w:type="paragraph" w:styleId="Vltozat">
    <w:name w:val="Revision"/>
    <w:hidden/>
    <w:uiPriority w:val="99"/>
    <w:semiHidden/>
    <w:rPr>
      <w:sz w:val="24"/>
      <w:szCs w:val="24"/>
      <w:lang w:eastAsia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</w:rPr>
  </w:style>
  <w:style w:type="character" w:customStyle="1" w:styleId="lfejChar">
    <w:name w:val="Élőfej Char"/>
    <w:link w:val="lfej"/>
    <w:uiPriority w:val="99"/>
    <w:rPr>
      <w:rFonts w:ascii="Times" w:hAnsi="Times" w:cs="Times"/>
      <w:sz w:val="24"/>
      <w:szCs w:val="24"/>
      <w:lang w:val="en-GB" w:eastAsia="ar-SA"/>
    </w:rPr>
  </w:style>
  <w:style w:type="character" w:customStyle="1" w:styleId="stepbody">
    <w:name w:val="step_body"/>
  </w:style>
  <w:style w:type="character" w:customStyle="1" w:styleId="stepitem">
    <w:name w:val="step_item"/>
  </w:style>
  <w:style w:type="character" w:customStyle="1" w:styleId="itemortho">
    <w:name w:val="item_ortho"/>
  </w:style>
  <w:style w:type="character" w:customStyle="1" w:styleId="itempos">
    <w:name w:val="item_pos"/>
  </w:style>
  <w:style w:type="character" w:customStyle="1" w:styleId="stephowto">
    <w:name w:val="step_howto"/>
  </w:style>
  <w:style w:type="character" w:customStyle="1" w:styleId="stepcomment">
    <w:name w:val="step_comment"/>
  </w:style>
  <w:style w:type="character" w:customStyle="1" w:styleId="JegyzetszvegChar">
    <w:name w:val="Jegyzetszöveg Char"/>
    <w:link w:val="Jegyzetszveg"/>
    <w:rPr>
      <w:lang w:eastAsia="ar-SA"/>
    </w:rPr>
  </w:style>
  <w:style w:type="paragraph" w:customStyle="1" w:styleId="SlogObojestranskoPo0pt">
    <w:name w:val="Slog Obojestransko Po:  0 pt"/>
    <w:basedOn w:val="Norml"/>
    <w:pPr>
      <w:suppressAutoHyphens w:val="0"/>
      <w:autoSpaceDE/>
      <w:jc w:val="both"/>
    </w:pPr>
    <w:rPr>
      <w:sz w:val="22"/>
      <w:szCs w:val="20"/>
      <w:lang w:val="en-US" w:eastAsia="en-US"/>
    </w:rPr>
  </w:style>
  <w:style w:type="paragraph" w:styleId="Nincstrkz">
    <w:name w:val="No Spacing"/>
    <w:uiPriority w:val="1"/>
    <w:qFormat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83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7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2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95B87D4B5D39E49A2D3210C570AC8E0" ma:contentTypeVersion="2" ma:contentTypeDescription="Create a new document." ma:contentTypeScope="" ma:versionID="da63dbe0a5af098ea96638ed0cbbfe54">
  <xsd:schema xmlns:xsd="http://www.w3.org/2001/XMLSchema" xmlns:p="http://schemas.microsoft.com/office/2006/metadata/properties" xmlns:ns1="baaa482c-c3c1-4b1c-a895-2de17a8ea74e" targetNamespace="http://schemas.microsoft.com/office/2006/metadata/properties" ma:root="true" ma:fieldsID="4190a6c60eba7b4e67ee1cd2e4f0755a" ns1:_="">
    <xsd:import namespace="baaa482c-c3c1-4b1c-a895-2de17a8ea74e"/>
    <xsd:element name="properties">
      <xsd:complexType>
        <xsd:sequence>
          <xsd:element name="documentManagement">
            <xsd:complexType>
              <xsd:all>
                <xsd:element ref="ns1:Country"/>
                <xsd:element ref="ns1:Comment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baaa482c-c3c1-4b1c-a895-2de17a8ea74e" elementFormDefault="qualified">
    <xsd:import namespace="http://schemas.microsoft.com/office/2006/documentManagement/types"/>
    <xsd:element name="Country" ma:index="0" ma:displayName="Country" ma:default="Reference" ma:format="Dropdown" ma:internalName="Country">
      <xsd:simpleType>
        <xsd:restriction base="dms:Choice">
          <xsd:enumeration value="Reference"/>
          <xsd:enumeration value="Algeria"/>
          <xsd:enumeration value="Argentina"/>
          <xsd:enumeration value="Armenia"/>
          <xsd:enumeration value="Aruba"/>
          <xsd:enumeration value="Australia"/>
          <xsd:enumeration value="Austria"/>
          <xsd:enumeration value="Azerbaijan"/>
          <xsd:enumeration value="Bahrain"/>
          <xsd:enumeration value="Bangladesh"/>
          <xsd:enumeration value="Belarus"/>
          <xsd:enumeration value="Belgium"/>
          <xsd:enumeration value="Benin"/>
          <xsd:enumeration value="Bolivia"/>
          <xsd:enumeration value="Bosnia"/>
          <xsd:enumeration value="Brazil"/>
          <xsd:enumeration value="Brunei"/>
          <xsd:enumeration value="Bulgaria"/>
          <xsd:enumeration value="Burkina Faso"/>
          <xsd:enumeration value="Burundi"/>
          <xsd:enumeration value="Cambodia"/>
          <xsd:enumeration value="Cameroon"/>
          <xsd:enumeration value="Canada"/>
          <xsd:enumeration value="Central African Republic"/>
          <xsd:enumeration value="Chad"/>
          <xsd:enumeration value="Chile"/>
          <xsd:enumeration value="China"/>
          <xsd:enumeration value="Colombia"/>
          <xsd:enumeration value="Congo"/>
          <xsd:enumeration value="Congo Democratic Republic"/>
          <xsd:enumeration value="Costa Rica"/>
          <xsd:enumeration value="Cote d'Ivoire"/>
          <xsd:enumeration value="Croatia"/>
          <xsd:enumeration value="Cuba"/>
          <xsd:enumeration value="Curacao"/>
          <xsd:enumeration value="Cyprus"/>
          <xsd:enumeration value="Czech Republic"/>
          <xsd:enumeration value="Denmark"/>
          <xsd:enumeration value="Dominican Republic"/>
          <xsd:enumeration value="Ecuador"/>
          <xsd:enumeration value="Egypt"/>
          <xsd:enumeration value="El Salvador"/>
          <xsd:enumeration value="Estonia"/>
          <xsd:enumeration value="Ethiopia"/>
          <xsd:enumeration value="Finland"/>
          <xsd:enumeration value="France"/>
          <xsd:enumeration value="Gabon"/>
          <xsd:enumeration value="GCC"/>
          <xsd:enumeration value="Georgia"/>
          <xsd:enumeration value="Germany"/>
          <xsd:enumeration value="Ghana"/>
          <xsd:enumeration value="Greece"/>
          <xsd:enumeration value="Guatemala"/>
          <xsd:enumeration value="Guinea"/>
          <xsd:enumeration value="Guyana"/>
          <xsd:enumeration value="Haiti"/>
          <xsd:enumeration value="Honduras"/>
          <xsd:enumeration value="Hong Kong"/>
          <xsd:enumeration value="Hungary"/>
          <xsd:enumeration value="Iceland"/>
          <xsd:enumeration value="India"/>
          <xsd:enumeration value="Indonesia"/>
          <xsd:enumeration value="Iran"/>
          <xsd:enumeration value="Irak"/>
          <xsd:enumeration value="Ireland"/>
          <xsd:enumeration value="Israel"/>
          <xsd:enumeration value="Italy"/>
          <xsd:enumeration value="Jamaica"/>
          <xsd:enumeration value="Japan"/>
          <xsd:enumeration value="Jordan"/>
          <xsd:enumeration value="Kazakstan"/>
          <xsd:enumeration value="Kenya"/>
          <xsd:enumeration value="Kuweit"/>
          <xsd:enumeration value="Kyrgyzstan"/>
          <xsd:enumeration value="Latvia"/>
          <xsd:enumeration value="Lebanon"/>
          <xsd:enumeration value="Lithuania"/>
          <xsd:enumeration value="Luxembourg"/>
          <xsd:enumeration value="Madagascar"/>
          <xsd:enumeration value="Malaysia"/>
          <xsd:enumeration value="Maldives"/>
          <xsd:enumeration value="Mali"/>
          <xsd:enumeration value="Malta"/>
          <xsd:enumeration value="Mauritania"/>
          <xsd:enumeration value="Mauritius"/>
          <xsd:enumeration value="Mexico"/>
          <xsd:enumeration value="Moldova (Republic of)"/>
          <xsd:enumeration value="Morocco"/>
          <xsd:enumeration value="Myanmar"/>
          <xsd:enumeration value="Namibia"/>
          <xsd:enumeration value="Netherlands"/>
          <xsd:enumeration value="New Zealand"/>
          <xsd:enumeration value="Nicaragua"/>
          <xsd:enumeration value="Niger"/>
          <xsd:enumeration value="Nigeria"/>
          <xsd:enumeration value="Norway"/>
          <xsd:enumeration value="Oman"/>
          <xsd:enumeration value="Pakistan"/>
          <xsd:enumeration value="Panama"/>
          <xsd:enumeration value="Paraguay"/>
          <xsd:enumeration value="Peru"/>
          <xsd:enumeration value="Philippines"/>
          <xsd:enumeration value="Poland"/>
          <xsd:enumeration value="Portugal"/>
          <xsd:enumeration value="Qatar"/>
          <xsd:enumeration value="Romania"/>
          <xsd:enumeration value="Russian Federation"/>
          <xsd:enumeration value="Saudi Arabia"/>
          <xsd:enumeration value="Senegal"/>
          <xsd:enumeration value="Serbia"/>
          <xsd:enumeration value="Singapore"/>
          <xsd:enumeration value="Slovak Republic"/>
          <xsd:enumeration value="Slovenia"/>
          <xsd:enumeration value="South Africa"/>
          <xsd:enumeration value="South Korea"/>
          <xsd:enumeration value="Spain"/>
          <xsd:enumeration value="Sri Lanka"/>
          <xsd:enumeration value="Sudan"/>
          <xsd:enumeration value="Sweden"/>
          <xsd:enumeration value="Switzerland"/>
          <xsd:enumeration value="Syrian Arab Republic"/>
          <xsd:enumeration value="Taiwan"/>
          <xsd:enumeration value="Tanzania"/>
          <xsd:enumeration value="Thailand"/>
          <xsd:enumeration value="Togo"/>
          <xsd:enumeration value="Trinidad and Tobago"/>
          <xsd:enumeration value="Tunisia"/>
          <xsd:enumeration value="Turkey"/>
          <xsd:enumeration value="Turkmenistan"/>
          <xsd:enumeration value="Uganda"/>
          <xsd:enumeration value="Ukraine"/>
          <xsd:enumeration value="United Arab Emirates"/>
          <xsd:enumeration value="United Kingdom"/>
          <xsd:enumeration value="United States"/>
          <xsd:enumeration value="Uruguay"/>
          <xsd:enumeration value="Uzbekistan"/>
          <xsd:enumeration value="Venezuela"/>
          <xsd:enumeration value="Vietnam"/>
          <xsd:enumeration value="Yemen"/>
          <xsd:enumeration value="Zambia"/>
          <xsd:enumeration value="Zimbabwe"/>
        </xsd:restriction>
      </xsd:simpleType>
    </xsd:element>
    <xsd:element name="Comment1" ma:index="1" nillable="true" ma:displayName="Comment" ma:internalName="Comment1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ountry xmlns="baaa482c-c3c1-4b1c-a895-2de17a8ea74e">HU-Hungary</Country>
    <Comment1 xmlns="baaa482c-c3c1-4b1c-a895-2de17a8ea74e" xsi:nil="true"/>
  </documentManagement>
</p:properties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73375A2-EA76-41CD-92C4-9547CF669F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aa482c-c3c1-4b1c-a895-2de17a8ea74e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27C5C801-A75A-4F31-985B-0B8D371845DC}">
  <ds:schemaRefs>
    <ds:schemaRef ds:uri="http://schemas.microsoft.com/office/2006/metadata/properties"/>
    <ds:schemaRef ds:uri="http://schemas.microsoft.com/office/infopath/2007/PartnerControls"/>
    <ds:schemaRef ds:uri="baaa482c-c3c1-4b1c-a895-2de17a8ea74e"/>
  </ds:schemaRefs>
</ds:datastoreItem>
</file>

<file path=customXml/itemProps3.xml><?xml version="1.0" encoding="utf-8"?>
<ds:datastoreItem xmlns:ds="http://schemas.openxmlformats.org/officeDocument/2006/customXml" ds:itemID="{69512EFF-A96B-4871-90E2-1AC6B8623E5E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558C1BA8-9C82-413B-B137-50709164F57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21</Pages>
  <Words>8260</Words>
  <Characters>56996</Characters>
  <Application>Microsoft Office Word</Application>
  <DocSecurity>0</DocSecurity>
  <Lines>474</Lines>
  <Paragraphs>130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ALKALMAZÁSI ELŐÍRÁS</vt:lpstr>
      <vt:lpstr>ALKALMAZÁSI ELŐÍRÁS</vt:lpstr>
    </vt:vector>
  </TitlesOfParts>
  <Company>EGIS Gyógyszergyár NyRt.</Company>
  <LinksUpToDate>false</LinksUpToDate>
  <CharactersWithSpaces>65126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ALKALMAZÁSI ELŐÍRÁS</dc:title>
  <dc:subject/>
  <dc:creator>GKH_HU1</dc:creator>
  <cp:keywords/>
  <dc:description/>
  <cp:lastModifiedBy>HU OGYI 49.1</cp:lastModifiedBy>
  <cp:revision>9</cp:revision>
  <cp:lastPrinted>2012-08-22T14:38:00Z</cp:lastPrinted>
  <dcterms:created xsi:type="dcterms:W3CDTF">2025-04-07T08:46:00Z</dcterms:created>
  <dcterms:modified xsi:type="dcterms:W3CDTF">2025-09-08T09:27:00Z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/>
  </property>
  <property fmtid="{D5CDD505-2E9C-101B-9397-08002B2CF9AE}" pid="3" name="Status">
    <vt:lpwstr/>
  </property>
  <property fmtid="{D5CDD505-2E9C-101B-9397-08002B2CF9AE}" pid="4" name="Comment">
    <vt:lpwstr/>
  </property>
  <property fmtid="{D5CDD505-2E9C-101B-9397-08002B2CF9AE}" pid="5" name="_Status">
    <vt:lpwstr/>
  </property>
</Properties>
</file>