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D64E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1.</w:t>
      </w:r>
      <w:r w:rsidRPr="008852EB">
        <w:rPr>
          <w:rFonts w:ascii="Times New Roman" w:hAnsi="Times New Roman" w:cs="Times New Roman"/>
          <w:b/>
          <w:bCs/>
        </w:rPr>
        <w:tab/>
        <w:t>A GYÓGYSZER NEVE</w:t>
      </w:r>
    </w:p>
    <w:p w14:paraId="1D25AAA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CB5B570" w14:textId="54F4FFDE" w:rsidR="009C6D08" w:rsidRPr="008852EB" w:rsidRDefault="00F67181" w:rsidP="008852EB">
      <w:pPr>
        <w:pStyle w:val="Szvegtrzs1"/>
        <w:spacing w:after="0"/>
      </w:pPr>
      <w:r w:rsidRPr="008852EB">
        <w:t>XeterDuo</w:t>
      </w:r>
      <w:r w:rsidR="009C6D08" w:rsidRPr="008852EB">
        <w:t xml:space="preserve"> 10 mg/100 mg kemény</w:t>
      </w:r>
      <w:r w:rsidR="007D320C" w:rsidRPr="008852EB">
        <w:t xml:space="preserve"> </w:t>
      </w:r>
      <w:r w:rsidR="009C6D08" w:rsidRPr="008852EB">
        <w:t>kapszula</w:t>
      </w:r>
    </w:p>
    <w:p w14:paraId="21FE4C6A" w14:textId="5608BFB0" w:rsidR="009C6D08" w:rsidRPr="008852EB" w:rsidRDefault="00F67181" w:rsidP="008852EB">
      <w:pPr>
        <w:pStyle w:val="Szvegtrzs1"/>
        <w:spacing w:after="0"/>
      </w:pPr>
      <w:r w:rsidRPr="008852EB">
        <w:t>XeterDuo</w:t>
      </w:r>
      <w:r w:rsidR="009C6D08" w:rsidRPr="008852EB">
        <w:t xml:space="preserve"> 20 mg/100 mg kemény</w:t>
      </w:r>
      <w:r w:rsidR="007D320C" w:rsidRPr="008852EB">
        <w:t xml:space="preserve"> </w:t>
      </w:r>
      <w:r w:rsidR="009C6D08" w:rsidRPr="008852EB">
        <w:t>kapszula</w:t>
      </w:r>
    </w:p>
    <w:p w14:paraId="363312A9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05FA56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059293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2.</w:t>
      </w:r>
      <w:r w:rsidRPr="008852EB">
        <w:rPr>
          <w:rFonts w:ascii="Times New Roman" w:hAnsi="Times New Roman" w:cs="Times New Roman"/>
          <w:b/>
          <w:bCs/>
        </w:rPr>
        <w:tab/>
        <w:t>MINŐSÉGI ÉS MENNYISÉGI ÖSSZETÉTEL</w:t>
      </w:r>
    </w:p>
    <w:p w14:paraId="07904502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B3107F5" w14:textId="6A5F5FE4" w:rsidR="004817C0" w:rsidRPr="008852EB" w:rsidRDefault="00F67181" w:rsidP="008852EB">
      <w:pPr>
        <w:pStyle w:val="Szvegtrzs1"/>
        <w:spacing w:after="0"/>
        <w:rPr>
          <w:color w:val="000000"/>
        </w:rPr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10 mg/100 mg kemény kapszula</w:t>
      </w:r>
    </w:p>
    <w:p w14:paraId="4D29D0DC" w14:textId="67EE9BF8" w:rsidR="00755989" w:rsidRPr="008852EB" w:rsidRDefault="00E24927" w:rsidP="008852EB">
      <w:pPr>
        <w:pStyle w:val="Szvegtrzs1"/>
        <w:spacing w:after="0"/>
      </w:pPr>
      <w:r w:rsidRPr="008852EB">
        <w:t>10 mg ro</w:t>
      </w:r>
      <w:r w:rsidR="001225C6" w:rsidRPr="008852EB">
        <w:t>z</w:t>
      </w:r>
      <w:r w:rsidRPr="008852EB">
        <w:t>uvas</w:t>
      </w:r>
      <w:r w:rsidR="00AA6DED" w:rsidRPr="008852EB">
        <w:t>z</w:t>
      </w:r>
      <w:r w:rsidRPr="008852EB">
        <w:t>tatint (</w:t>
      </w:r>
      <w:r w:rsidR="00AA6DED" w:rsidRPr="008852EB">
        <w:t>rozuvasztatin</w:t>
      </w:r>
      <w:r w:rsidR="00AA6DED" w:rsidRPr="008852EB">
        <w:noBreakHyphen/>
        <w:t>kalcium formájában</w:t>
      </w:r>
      <w:r w:rsidRPr="008852EB">
        <w:t xml:space="preserve">) és 100 mg acetilszalicilsavat </w:t>
      </w:r>
      <w:r w:rsidR="00755989" w:rsidRPr="008852EB">
        <w:rPr>
          <w:color w:val="000000"/>
        </w:rPr>
        <w:t xml:space="preserve">tartalmaz </w:t>
      </w:r>
      <w:r w:rsidRPr="008852EB">
        <w:t>kemény</w:t>
      </w:r>
      <w:r w:rsidR="007D320C" w:rsidRPr="008852EB">
        <w:t xml:space="preserve"> </w:t>
      </w:r>
      <w:r w:rsidRPr="008852EB">
        <w:t>kapszulánként.</w:t>
      </w:r>
    </w:p>
    <w:p w14:paraId="77BB904F" w14:textId="56656981" w:rsidR="004817C0" w:rsidRPr="008852EB" w:rsidRDefault="00F67181" w:rsidP="008852EB">
      <w:pPr>
        <w:pStyle w:val="Szvegtrzs1"/>
        <w:spacing w:after="0"/>
        <w:rPr>
          <w:color w:val="000000"/>
        </w:rPr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20 mg/100 mg kemény kapszula</w:t>
      </w:r>
    </w:p>
    <w:p w14:paraId="516B8CC7" w14:textId="0B8D60E5" w:rsidR="008A6691" w:rsidRPr="008852EB" w:rsidRDefault="008A6691" w:rsidP="008852EB">
      <w:pPr>
        <w:pStyle w:val="Szvegtrzs1"/>
        <w:spacing w:after="0"/>
      </w:pPr>
      <w:r w:rsidRPr="008852EB">
        <w:t>20 mg r</w:t>
      </w:r>
      <w:r w:rsidR="001225C6" w:rsidRPr="008852EB">
        <w:t>oz</w:t>
      </w:r>
      <w:r w:rsidRPr="008852EB">
        <w:t>uvasztatint (rozuvasztatin</w:t>
      </w:r>
      <w:r w:rsidRPr="008852EB">
        <w:noBreakHyphen/>
        <w:t xml:space="preserve">kalcium formájában) és 100 mg acetilszalicilsavat </w:t>
      </w:r>
      <w:r w:rsidRPr="008852EB">
        <w:rPr>
          <w:color w:val="000000"/>
        </w:rPr>
        <w:t xml:space="preserve">tartalmaz </w:t>
      </w:r>
      <w:r w:rsidRPr="008852EB">
        <w:t>kemény</w:t>
      </w:r>
      <w:r w:rsidR="007D320C" w:rsidRPr="008852EB">
        <w:t xml:space="preserve"> </w:t>
      </w:r>
      <w:r w:rsidRPr="008852EB">
        <w:t>kapszulánként.</w:t>
      </w:r>
    </w:p>
    <w:p w14:paraId="1E6630D1" w14:textId="77777777" w:rsidR="008A6691" w:rsidRPr="008852EB" w:rsidRDefault="008A6691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14:paraId="583E73D1" w14:textId="12BDF97D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Ismert hatású segédanyag</w:t>
      </w:r>
      <w:r w:rsidR="00CA4BC8">
        <w:rPr>
          <w:rFonts w:ascii="Times New Roman" w:hAnsi="Times New Roman" w:cs="Times New Roman"/>
          <w:color w:val="000000"/>
          <w:u w:val="single"/>
        </w:rPr>
        <w:t>ok</w:t>
      </w:r>
      <w:r w:rsidRPr="008852EB">
        <w:rPr>
          <w:rFonts w:ascii="Times New Roman" w:hAnsi="Times New Roman" w:cs="Times New Roman"/>
          <w:color w:val="000000"/>
          <w:u w:val="single"/>
        </w:rPr>
        <w:t>:</w:t>
      </w:r>
    </w:p>
    <w:p w14:paraId="445437E7" w14:textId="0B95F03C" w:rsidR="001B3E0C" w:rsidRPr="008852EB" w:rsidRDefault="00F67181" w:rsidP="008852EB">
      <w:pPr>
        <w:pStyle w:val="Normal1"/>
        <w:suppressAutoHyphens w:val="0"/>
        <w:rPr>
          <w:rFonts w:eastAsia="Times New Roman"/>
          <w:sz w:val="22"/>
          <w:szCs w:val="22"/>
          <w:lang w:val="hu-HU"/>
        </w:rPr>
      </w:pPr>
      <w:bookmarkStart w:id="1" w:name="OLE_LINK2"/>
      <w:bookmarkStart w:id="2" w:name="OLE_LINK3"/>
      <w:r w:rsidRPr="008852EB">
        <w:rPr>
          <w:sz w:val="22"/>
          <w:szCs w:val="22"/>
          <w:u w:val="single"/>
          <w:lang w:val="hu-HU"/>
        </w:rPr>
        <w:t>XeterDuo</w:t>
      </w:r>
      <w:r w:rsidR="004817C0" w:rsidRPr="00D96B72">
        <w:rPr>
          <w:sz w:val="22"/>
          <w:szCs w:val="22"/>
          <w:u w:val="single"/>
          <w:lang w:val="hu-HU"/>
        </w:rPr>
        <w:t xml:space="preserve"> 10 mg/100 mg kemény kapszula:</w:t>
      </w:r>
      <w:r w:rsidR="004817C0" w:rsidRPr="008852EB" w:rsidDel="004817C0">
        <w:rPr>
          <w:rFonts w:eastAsia="Times New Roman"/>
          <w:sz w:val="22"/>
          <w:szCs w:val="22"/>
          <w:lang w:val="hu-HU"/>
        </w:rPr>
        <w:t xml:space="preserve"> </w:t>
      </w:r>
      <w:r w:rsidR="00D24B7D">
        <w:rPr>
          <w:rFonts w:eastAsia="Times New Roman"/>
          <w:sz w:val="22"/>
          <w:szCs w:val="22"/>
          <w:lang w:val="hu-HU"/>
        </w:rPr>
        <w:t xml:space="preserve">szójalecitint és </w:t>
      </w:r>
      <w:r w:rsidR="004F015F" w:rsidRPr="008852EB">
        <w:rPr>
          <w:rFonts w:eastAsia="Times New Roman"/>
          <w:sz w:val="22"/>
          <w:szCs w:val="22"/>
          <w:lang w:val="hu-HU"/>
        </w:rPr>
        <w:t>51,84 </w:t>
      </w:r>
      <w:r w:rsidR="001B3E0C" w:rsidRPr="008852EB">
        <w:rPr>
          <w:rFonts w:eastAsia="Times New Roman"/>
          <w:sz w:val="22"/>
          <w:szCs w:val="22"/>
          <w:lang w:val="hu-HU"/>
        </w:rPr>
        <w:t>mg laktóz</w:t>
      </w:r>
      <w:r w:rsidR="001B3E0C" w:rsidRPr="008852EB">
        <w:rPr>
          <w:rFonts w:eastAsia="Times New Roman"/>
          <w:sz w:val="22"/>
          <w:szCs w:val="22"/>
          <w:lang w:val="hu-HU"/>
        </w:rPr>
        <w:noBreakHyphen/>
        <w:t>monohidrátot tartalmaz</w:t>
      </w:r>
      <w:r w:rsidR="004817C0" w:rsidRPr="008852EB">
        <w:rPr>
          <w:rFonts w:eastAsia="Times New Roman"/>
          <w:sz w:val="22"/>
          <w:szCs w:val="22"/>
          <w:lang w:val="hu-HU"/>
        </w:rPr>
        <w:t xml:space="preserve"> </w:t>
      </w:r>
      <w:r w:rsidR="004817C0" w:rsidRPr="00D96B72">
        <w:rPr>
          <w:sz w:val="22"/>
          <w:szCs w:val="22"/>
          <w:lang w:val="hu-HU"/>
        </w:rPr>
        <w:t>kemény kapszulánként</w:t>
      </w:r>
      <w:r w:rsidR="001B3E0C" w:rsidRPr="008852EB">
        <w:rPr>
          <w:rFonts w:eastAsia="Times New Roman"/>
          <w:sz w:val="22"/>
          <w:szCs w:val="22"/>
          <w:lang w:val="hu-HU"/>
        </w:rPr>
        <w:t>.</w:t>
      </w:r>
    </w:p>
    <w:bookmarkEnd w:id="1"/>
    <w:bookmarkEnd w:id="2"/>
    <w:p w14:paraId="0E8C83E7" w14:textId="08675FD9" w:rsidR="004F015F" w:rsidRPr="008852EB" w:rsidRDefault="00F67181" w:rsidP="008852EB">
      <w:pPr>
        <w:pStyle w:val="Normal1"/>
        <w:suppressAutoHyphens w:val="0"/>
        <w:rPr>
          <w:rFonts w:eastAsia="Times New Roman"/>
          <w:sz w:val="22"/>
          <w:szCs w:val="22"/>
          <w:lang w:val="hu-HU"/>
        </w:rPr>
      </w:pPr>
      <w:r w:rsidRPr="008852EB">
        <w:rPr>
          <w:sz w:val="22"/>
          <w:szCs w:val="22"/>
          <w:u w:val="single"/>
          <w:lang w:val="hu-HU"/>
        </w:rPr>
        <w:t>XeterDuo</w:t>
      </w:r>
      <w:r w:rsidR="004817C0" w:rsidRPr="00D96B72">
        <w:rPr>
          <w:sz w:val="22"/>
          <w:szCs w:val="22"/>
          <w:u w:val="single"/>
          <w:lang w:val="hu-HU"/>
        </w:rPr>
        <w:t xml:space="preserve"> 20 mg/100 mg kemény kapszula:</w:t>
      </w:r>
      <w:r w:rsidR="004817C0" w:rsidRPr="008852EB" w:rsidDel="004817C0">
        <w:rPr>
          <w:rFonts w:eastAsia="Times New Roman"/>
          <w:sz w:val="22"/>
          <w:szCs w:val="22"/>
          <w:lang w:val="hu-HU"/>
        </w:rPr>
        <w:t xml:space="preserve"> </w:t>
      </w:r>
      <w:r w:rsidR="00D24B7D">
        <w:rPr>
          <w:rFonts w:eastAsia="Times New Roman"/>
          <w:sz w:val="22"/>
          <w:szCs w:val="22"/>
          <w:lang w:val="hu-HU"/>
        </w:rPr>
        <w:t xml:space="preserve">szójalecitint és </w:t>
      </w:r>
      <w:r w:rsidR="004F015F" w:rsidRPr="008852EB">
        <w:rPr>
          <w:rFonts w:eastAsia="Times New Roman"/>
          <w:sz w:val="22"/>
          <w:szCs w:val="22"/>
          <w:lang w:val="hu-HU"/>
        </w:rPr>
        <w:t>103,68 mg laktóz</w:t>
      </w:r>
      <w:r w:rsidR="004F015F" w:rsidRPr="008852EB">
        <w:rPr>
          <w:rFonts w:eastAsia="Times New Roman"/>
          <w:sz w:val="22"/>
          <w:szCs w:val="22"/>
          <w:lang w:val="hu-HU"/>
        </w:rPr>
        <w:noBreakHyphen/>
        <w:t>monohidrátot tartalmaz</w:t>
      </w:r>
      <w:r w:rsidR="004817C0" w:rsidRPr="008852EB">
        <w:rPr>
          <w:rFonts w:eastAsia="Times New Roman"/>
          <w:sz w:val="22"/>
          <w:szCs w:val="22"/>
          <w:lang w:val="hu-HU"/>
        </w:rPr>
        <w:t xml:space="preserve"> </w:t>
      </w:r>
      <w:r w:rsidR="004817C0" w:rsidRPr="00D96B72">
        <w:rPr>
          <w:sz w:val="22"/>
          <w:szCs w:val="22"/>
          <w:lang w:val="hu-HU"/>
        </w:rPr>
        <w:t>kemény kapszulánként</w:t>
      </w:r>
      <w:r w:rsidR="004F015F" w:rsidRPr="008852EB">
        <w:rPr>
          <w:rFonts w:eastAsia="Times New Roman"/>
          <w:sz w:val="22"/>
          <w:szCs w:val="22"/>
          <w:lang w:val="hu-HU"/>
        </w:rPr>
        <w:t>.</w:t>
      </w:r>
    </w:p>
    <w:p w14:paraId="3CC2F5A1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E55FD6D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8852EB">
        <w:rPr>
          <w:rFonts w:ascii="Times New Roman" w:eastAsia="Times New Roman" w:hAnsi="Times New Roman" w:cs="Times New Roman"/>
          <w:color w:val="000000"/>
        </w:rPr>
        <w:t>A segédanyagok teljes listáját lásd a 6.1 pontban.</w:t>
      </w:r>
    </w:p>
    <w:p w14:paraId="1D491503" w14:textId="77777777" w:rsidR="00527733" w:rsidRPr="008852EB" w:rsidRDefault="0052773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9437AC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CC989E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3.</w:t>
      </w:r>
      <w:r w:rsidRPr="008852EB">
        <w:rPr>
          <w:rFonts w:ascii="Times New Roman" w:hAnsi="Times New Roman" w:cs="Times New Roman"/>
          <w:b/>
          <w:bCs/>
        </w:rPr>
        <w:tab/>
        <w:t>GYÓGYSZERFORMA</w:t>
      </w:r>
    </w:p>
    <w:p w14:paraId="2ABCD89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CEA327" w14:textId="0118604F" w:rsidR="00755989" w:rsidRPr="008852EB" w:rsidRDefault="003B575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Kemény</w:t>
      </w:r>
      <w:r w:rsidR="007D320C" w:rsidRPr="008852EB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>kapszula</w:t>
      </w:r>
      <w:r w:rsidR="00755989" w:rsidRPr="008852EB">
        <w:rPr>
          <w:rFonts w:ascii="Times New Roman" w:hAnsi="Times New Roman" w:cs="Times New Roman"/>
          <w:color w:val="000000"/>
        </w:rPr>
        <w:t>.</w:t>
      </w:r>
    </w:p>
    <w:p w14:paraId="7755D7C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E94851" w14:textId="440410F8" w:rsidR="004817C0" w:rsidRPr="008852EB" w:rsidRDefault="00F67181" w:rsidP="008852EB">
      <w:pPr>
        <w:pStyle w:val="Szvegtrzs1"/>
        <w:spacing w:after="0"/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10 mg/100 mg kemény kapszula</w:t>
      </w:r>
    </w:p>
    <w:p w14:paraId="200D901D" w14:textId="7F668764" w:rsidR="008E3812" w:rsidRPr="008852EB" w:rsidRDefault="00533B8A" w:rsidP="008852EB">
      <w:pPr>
        <w:pStyle w:val="Szvegtrzs1"/>
        <w:spacing w:after="0"/>
      </w:pPr>
      <w:r w:rsidRPr="008852EB">
        <w:t xml:space="preserve">1-es méretű </w:t>
      </w:r>
      <w:r w:rsidR="008E3812" w:rsidRPr="008852EB">
        <w:t>kemény zselatin kapszulák</w:t>
      </w:r>
      <w:r w:rsidR="007C2D46" w:rsidRPr="008852EB">
        <w:t>;</w:t>
      </w:r>
      <w:r w:rsidR="00B47E44" w:rsidRPr="008852EB">
        <w:t xml:space="preserve"> fehér, </w:t>
      </w:r>
      <w:r w:rsidR="003D1C82" w:rsidRPr="008852EB">
        <w:t>átlátszatlan</w:t>
      </w:r>
      <w:r w:rsidR="00B47E44" w:rsidRPr="008852EB">
        <w:t xml:space="preserve"> </w:t>
      </w:r>
      <w:r w:rsidR="00DB62BE">
        <w:t>alsó rész</w:t>
      </w:r>
      <w:r w:rsidR="000E5706" w:rsidRPr="008852EB">
        <w:t xml:space="preserve"> fekete „ASA 100” felirattal</w:t>
      </w:r>
      <w:r w:rsidR="007C2D46" w:rsidRPr="008852EB">
        <w:t xml:space="preserve"> és világoszöld</w:t>
      </w:r>
      <w:r w:rsidR="000507E9" w:rsidRPr="008852EB">
        <w:t>,</w:t>
      </w:r>
      <w:r w:rsidR="00B8300C" w:rsidRPr="008852EB">
        <w:t xml:space="preserve"> </w:t>
      </w:r>
      <w:r w:rsidR="003D1C82" w:rsidRPr="008852EB">
        <w:t>átlátszatlan</w:t>
      </w:r>
      <w:r w:rsidR="00B8300C" w:rsidRPr="008852EB">
        <w:t xml:space="preserve"> </w:t>
      </w:r>
      <w:r w:rsidR="00DB62BE">
        <w:t>felső rész</w:t>
      </w:r>
      <w:r w:rsidR="00B8300C" w:rsidRPr="008852EB">
        <w:t xml:space="preserve"> fekete „RSV 10” felirattal</w:t>
      </w:r>
      <w:r w:rsidR="003D79CE" w:rsidRPr="008852EB">
        <w:t>. Minden egyes kapszula</w:t>
      </w:r>
      <w:r w:rsidR="00920E85" w:rsidRPr="008852EB">
        <w:t xml:space="preserve"> egy fehér </w:t>
      </w:r>
      <w:r w:rsidR="003A42FB" w:rsidRPr="008852EB">
        <w:t>vagy</w:t>
      </w:r>
      <w:r w:rsidR="00920E85" w:rsidRPr="008852EB">
        <w:t xml:space="preserve"> majdnem fehér, </w:t>
      </w:r>
      <w:r w:rsidR="003D1C82" w:rsidRPr="008852EB">
        <w:t>mindkét oldalán domború</w:t>
      </w:r>
      <w:r w:rsidR="00920E85" w:rsidRPr="008852EB">
        <w:t xml:space="preserve">, </w:t>
      </w:r>
      <w:r w:rsidR="00FB6EB8" w:rsidRPr="008852EB">
        <w:t xml:space="preserve">ovális, </w:t>
      </w:r>
      <w:r w:rsidR="003A42FB" w:rsidRPr="008852EB">
        <w:t>bevonat nélküli</w:t>
      </w:r>
      <w:r w:rsidR="00920E85" w:rsidRPr="008852EB">
        <w:t xml:space="preserve"> acetilszalicilsav</w:t>
      </w:r>
      <w:r w:rsidR="0086171B">
        <w:t>-</w:t>
      </w:r>
      <w:r w:rsidR="00920E85" w:rsidRPr="008852EB">
        <w:t>tartalmú tablettát</w:t>
      </w:r>
      <w:r w:rsidR="00FB6EB8" w:rsidRPr="008852EB">
        <w:t xml:space="preserve"> és egy </w:t>
      </w:r>
      <w:r w:rsidR="001225C6" w:rsidRPr="008852EB">
        <w:t xml:space="preserve">barna, </w:t>
      </w:r>
      <w:r w:rsidR="003D1C82" w:rsidRPr="008852EB">
        <w:t>mindkét oldalán domború</w:t>
      </w:r>
      <w:r w:rsidR="001225C6" w:rsidRPr="008852EB">
        <w:t xml:space="preserve">, kerek, </w:t>
      </w:r>
      <w:r w:rsidR="00BF3141" w:rsidRPr="008852EB">
        <w:t>10</w:t>
      </w:r>
      <w:r w:rsidR="00DB62BE">
        <w:t> </w:t>
      </w:r>
      <w:r w:rsidR="00BF3141" w:rsidRPr="008852EB">
        <w:t xml:space="preserve">mg </w:t>
      </w:r>
      <w:r w:rsidR="001225C6" w:rsidRPr="008852EB">
        <w:t>rozu</w:t>
      </w:r>
      <w:r w:rsidR="000F771B" w:rsidRPr="008852EB">
        <w:t>vasztatin</w:t>
      </w:r>
      <w:r w:rsidR="0086171B">
        <w:t>-</w:t>
      </w:r>
      <w:r w:rsidR="000F771B" w:rsidRPr="008852EB">
        <w:t xml:space="preserve">tartalmú </w:t>
      </w:r>
      <w:r w:rsidR="00FB6EB8" w:rsidRPr="008852EB">
        <w:t>filmtablettát tartalmaz</w:t>
      </w:r>
      <w:r w:rsidR="001225C6" w:rsidRPr="008852EB">
        <w:t>.</w:t>
      </w:r>
    </w:p>
    <w:p w14:paraId="65D24319" w14:textId="7EBF278F" w:rsidR="000909A4" w:rsidRPr="008852EB" w:rsidRDefault="000909A4" w:rsidP="008852EB">
      <w:pPr>
        <w:pStyle w:val="Szvegtrzs1"/>
        <w:spacing w:after="0"/>
      </w:pPr>
    </w:p>
    <w:p w14:paraId="7729C250" w14:textId="7DD8433E" w:rsidR="004817C0" w:rsidRPr="008852EB" w:rsidRDefault="00F67181" w:rsidP="008852EB">
      <w:pPr>
        <w:pStyle w:val="Szvegtrzs1"/>
        <w:spacing w:after="0"/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20 mg/100 mg kemény kapszula</w:t>
      </w:r>
    </w:p>
    <w:p w14:paraId="51644C7F" w14:textId="0ABCC22A" w:rsidR="009E27DE" w:rsidRPr="008852EB" w:rsidRDefault="008B60D6" w:rsidP="008852EB">
      <w:pPr>
        <w:pStyle w:val="Szvegtrzs1"/>
        <w:spacing w:after="0"/>
      </w:pPr>
      <w:r w:rsidRPr="008852EB">
        <w:t>0</w:t>
      </w:r>
      <w:r w:rsidR="009E27DE" w:rsidRPr="008852EB">
        <w:t>-</w:t>
      </w:r>
      <w:r w:rsidRPr="008852EB">
        <w:t>ás</w:t>
      </w:r>
      <w:r w:rsidR="009E27DE" w:rsidRPr="008852EB">
        <w:t xml:space="preserve"> méretű kemény zselatin kapszulák; fehér, </w:t>
      </w:r>
      <w:r w:rsidR="003D1C82" w:rsidRPr="008852EB">
        <w:t>átlátszatlan</w:t>
      </w:r>
      <w:r w:rsidR="009E27DE" w:rsidRPr="008852EB">
        <w:t xml:space="preserve"> </w:t>
      </w:r>
      <w:r w:rsidR="00DB62BE">
        <w:t>alsó rész</w:t>
      </w:r>
      <w:r w:rsidR="009E27DE" w:rsidRPr="008852EB">
        <w:t xml:space="preserve"> fekete „ASA 100” felirattal és zöld</w:t>
      </w:r>
      <w:r w:rsidR="00980F7F" w:rsidRPr="008852EB">
        <w:t>,</w:t>
      </w:r>
      <w:r w:rsidR="009E27DE" w:rsidRPr="008852EB">
        <w:t xml:space="preserve"> </w:t>
      </w:r>
      <w:r w:rsidR="003D1C82" w:rsidRPr="008852EB">
        <w:t>átlátszatlan</w:t>
      </w:r>
      <w:r w:rsidR="009E27DE" w:rsidRPr="008852EB">
        <w:t xml:space="preserve"> </w:t>
      </w:r>
      <w:r w:rsidR="00DB62BE">
        <w:t>felső rész</w:t>
      </w:r>
      <w:r w:rsidR="009E27DE" w:rsidRPr="008852EB">
        <w:t xml:space="preserve"> fekete „RSV </w:t>
      </w:r>
      <w:r w:rsidR="00BD763C" w:rsidRPr="008852EB">
        <w:t>2</w:t>
      </w:r>
      <w:r w:rsidR="009E27DE" w:rsidRPr="008852EB">
        <w:t xml:space="preserve">0” felirattal. Minden egyes kapszula egy fehér vagy majdnem fehér, </w:t>
      </w:r>
      <w:r w:rsidR="003D1C82" w:rsidRPr="008852EB">
        <w:t>mindkét oldalán domború</w:t>
      </w:r>
      <w:r w:rsidR="009E27DE" w:rsidRPr="008852EB">
        <w:t>, ovális, bevonat nélküli acetilszalicilsav</w:t>
      </w:r>
      <w:r w:rsidR="0086171B">
        <w:t>-</w:t>
      </w:r>
      <w:r w:rsidR="009E27DE" w:rsidRPr="008852EB">
        <w:t xml:space="preserve">tartalmú tablettát és </w:t>
      </w:r>
      <w:r w:rsidR="00C662DA" w:rsidRPr="008852EB">
        <w:t>két</w:t>
      </w:r>
      <w:r w:rsidR="009E27DE" w:rsidRPr="008852EB">
        <w:t xml:space="preserve"> barna, </w:t>
      </w:r>
      <w:r w:rsidR="003D1C82" w:rsidRPr="008852EB">
        <w:t>mindkét oldalán domború</w:t>
      </w:r>
      <w:r w:rsidR="009E27DE" w:rsidRPr="008852EB">
        <w:t>, kerek,</w:t>
      </w:r>
      <w:r w:rsidR="00BF3141" w:rsidRPr="008852EB">
        <w:t xml:space="preserve"> 10</w:t>
      </w:r>
      <w:r w:rsidR="00DB62BE">
        <w:t> </w:t>
      </w:r>
      <w:r w:rsidR="00BF3141" w:rsidRPr="008852EB">
        <w:t>mg</w:t>
      </w:r>
      <w:r w:rsidR="009E27DE" w:rsidRPr="008852EB">
        <w:t xml:space="preserve"> rozuvasztatin</w:t>
      </w:r>
      <w:r w:rsidR="0086171B">
        <w:t>-</w:t>
      </w:r>
      <w:r w:rsidR="009E27DE" w:rsidRPr="008852EB">
        <w:t>tartalmú filmtablettát tartalmaz.</w:t>
      </w:r>
    </w:p>
    <w:p w14:paraId="4489D69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FA4A0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AF5D87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4.</w:t>
      </w:r>
      <w:r w:rsidRPr="008852EB">
        <w:rPr>
          <w:rFonts w:ascii="Times New Roman" w:hAnsi="Times New Roman" w:cs="Times New Roman"/>
          <w:b/>
          <w:bCs/>
        </w:rPr>
        <w:tab/>
        <w:t>KLINIKAI JELLEMZŐK</w:t>
      </w:r>
    </w:p>
    <w:p w14:paraId="447E077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1F0A5DD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4.1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Terápiás javallatok</w:t>
      </w:r>
    </w:p>
    <w:p w14:paraId="7817D60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90D7C1" w14:textId="5F8C74C7" w:rsidR="0065053E" w:rsidRPr="008852EB" w:rsidRDefault="009840D9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3D04F4">
        <w:rPr>
          <w:rFonts w:ascii="Times New Roman" w:hAnsi="Times New Roman" w:cs="Times New Roman"/>
        </w:rPr>
        <w:t xml:space="preserve">A XeterDuo szubsztitúciós terápiaként javasolt azon felnőtt betegeknél, akiknél a </w:t>
      </w:r>
      <w:r w:rsidR="003D04F4">
        <w:rPr>
          <w:rFonts w:ascii="Times New Roman" w:hAnsi="Times New Roman" w:cs="Times New Roman"/>
        </w:rPr>
        <w:t xml:space="preserve">kis </w:t>
      </w:r>
      <w:r w:rsidRPr="003D04F4">
        <w:rPr>
          <w:rFonts w:ascii="Times New Roman" w:hAnsi="Times New Roman" w:cs="Times New Roman"/>
        </w:rPr>
        <w:t>dózisú acetilszalicilsav és rozuvasztatin egyidejű, a kombinációban szereplőkkel megegyező dózisú, ám külön-külön készítményekben történő adagolása megfelelőnek bizonyult. A készítmény kardiovaszkuláris rizikófaktorok csökkentésére javallt 45 és 79</w:t>
      </w:r>
      <w:r w:rsidR="005B1663" w:rsidRPr="00D96B72">
        <w:rPr>
          <w:rFonts w:ascii="Times New Roman" w:hAnsi="Times New Roman" w:cs="Times New Roman"/>
        </w:rPr>
        <w:t> </w:t>
      </w:r>
      <w:r w:rsidRPr="003D04F4">
        <w:rPr>
          <w:rFonts w:ascii="Times New Roman" w:hAnsi="Times New Roman" w:cs="Times New Roman"/>
        </w:rPr>
        <w:t>év közötti férfi</w:t>
      </w:r>
      <w:r w:rsidR="003D04F4">
        <w:rPr>
          <w:rFonts w:ascii="Times New Roman" w:hAnsi="Times New Roman" w:cs="Times New Roman"/>
        </w:rPr>
        <w:t>ak</w:t>
      </w:r>
      <w:r w:rsidRPr="003D04F4">
        <w:rPr>
          <w:rFonts w:ascii="Times New Roman" w:hAnsi="Times New Roman" w:cs="Times New Roman"/>
        </w:rPr>
        <w:t xml:space="preserve"> és 55 és 79</w:t>
      </w:r>
      <w:r w:rsidR="005B1663" w:rsidRPr="00D96B72">
        <w:rPr>
          <w:rFonts w:ascii="Times New Roman" w:hAnsi="Times New Roman" w:cs="Times New Roman"/>
        </w:rPr>
        <w:t> </w:t>
      </w:r>
      <w:r w:rsidRPr="003D04F4">
        <w:rPr>
          <w:rFonts w:ascii="Times New Roman" w:hAnsi="Times New Roman" w:cs="Times New Roman"/>
        </w:rPr>
        <w:t>év közötti nő</w:t>
      </w:r>
      <w:r w:rsidR="003D04F4">
        <w:rPr>
          <w:rFonts w:ascii="Times New Roman" w:hAnsi="Times New Roman" w:cs="Times New Roman"/>
        </w:rPr>
        <w:t xml:space="preserve">k </w:t>
      </w:r>
      <w:r w:rsidRPr="003D04F4">
        <w:rPr>
          <w:rFonts w:ascii="Times New Roman" w:hAnsi="Times New Roman" w:cs="Times New Roman"/>
        </w:rPr>
        <w:t>esetében, amikor a terápiás előny felülmúlja a gastrointestin</w:t>
      </w:r>
      <w:r w:rsidR="009A56AA">
        <w:rPr>
          <w:rFonts w:ascii="Times New Roman" w:hAnsi="Times New Roman" w:cs="Times New Roman"/>
        </w:rPr>
        <w:t>a</w:t>
      </w:r>
      <w:r w:rsidRPr="003D04F4">
        <w:rPr>
          <w:rFonts w:ascii="Times New Roman" w:hAnsi="Times New Roman" w:cs="Times New Roman"/>
        </w:rPr>
        <w:t>lis haemorrhagia fokozott kockázatából eredő veszélyt.</w:t>
      </w:r>
    </w:p>
    <w:p w14:paraId="66CCCF12" w14:textId="77777777" w:rsidR="00642D8C" w:rsidRPr="008852EB" w:rsidRDefault="00642D8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E73BCF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4.2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Adagolás és alkalmazás</w:t>
      </w:r>
    </w:p>
    <w:p w14:paraId="2C92AD7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39B6F7D" w14:textId="330D16A6" w:rsidR="00425D0F" w:rsidRPr="00D96B72" w:rsidRDefault="00425D0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06E75">
        <w:rPr>
          <w:rFonts w:ascii="Times New Roman" w:eastAsia="HG Mincho Light J" w:hAnsi="Times New Roman" w:cs="Times New Roman"/>
          <w:bCs/>
        </w:rPr>
        <w:t>A terápia megkezdése előtt</w:t>
      </w:r>
      <w:r w:rsidR="00BB3833" w:rsidRPr="001D581E">
        <w:rPr>
          <w:rFonts w:ascii="Times New Roman" w:eastAsia="HG Mincho Light J" w:hAnsi="Times New Roman" w:cs="Times New Roman"/>
          <w:bCs/>
        </w:rPr>
        <w:t xml:space="preserve"> beállított, </w:t>
      </w:r>
      <w:r w:rsidRPr="009840D9">
        <w:rPr>
          <w:rFonts w:ascii="Times New Roman" w:eastAsia="HG Mincho Light J" w:hAnsi="Times New Roman" w:cs="Times New Roman"/>
          <w:bCs/>
        </w:rPr>
        <w:t>hagyományos koleszterincsökkentő diétá</w:t>
      </w:r>
      <w:r w:rsidR="00BB3833" w:rsidRPr="009840D9">
        <w:rPr>
          <w:rFonts w:ascii="Times New Roman" w:eastAsia="HG Mincho Light J" w:hAnsi="Times New Roman" w:cs="Times New Roman"/>
          <w:bCs/>
        </w:rPr>
        <w:t>t</w:t>
      </w:r>
      <w:r w:rsidRPr="009840D9">
        <w:rPr>
          <w:rFonts w:ascii="Times New Roman" w:eastAsia="HG Mincho Light J" w:hAnsi="Times New Roman" w:cs="Times New Roman"/>
          <w:bCs/>
        </w:rPr>
        <w:t xml:space="preserve"> a gyógyszeres kezelés ideje alatt is folytatni kell</w:t>
      </w:r>
      <w:r w:rsidRPr="00906E75">
        <w:rPr>
          <w:rFonts w:ascii="Times New Roman" w:eastAsia="HG Mincho Light J" w:hAnsi="Times New Roman" w:cs="Times New Roman"/>
          <w:bCs/>
        </w:rPr>
        <w:t>.</w:t>
      </w:r>
      <w:r w:rsidRPr="008852EB">
        <w:rPr>
          <w:rFonts w:ascii="Times New Roman" w:eastAsia="HG Mincho Light J" w:hAnsi="Times New Roman" w:cs="Times New Roman"/>
        </w:rPr>
        <w:t xml:space="preserve"> A d</w:t>
      </w:r>
      <w:r w:rsidR="004817C0" w:rsidRPr="008852EB">
        <w:rPr>
          <w:rFonts w:ascii="Times New Roman" w:eastAsia="HG Mincho Light J" w:hAnsi="Times New Roman" w:cs="Times New Roman"/>
        </w:rPr>
        <w:t>ózis</w:t>
      </w:r>
      <w:r w:rsidRPr="008852EB">
        <w:rPr>
          <w:rFonts w:ascii="Times New Roman" w:eastAsia="HG Mincho Light J" w:hAnsi="Times New Roman" w:cs="Times New Roman"/>
        </w:rPr>
        <w:t>t a legkorszerűbb terápiás irányelvek alapján, egyénre szabottan kell megállapítani, a terápia célja és a beteg válaszreakcióinak függvényében</w:t>
      </w:r>
      <w:r w:rsidR="00EE1161">
        <w:rPr>
          <w:rFonts w:ascii="Times New Roman" w:eastAsia="HG Mincho Light J" w:hAnsi="Times New Roman" w:cs="Times New Roman"/>
        </w:rPr>
        <w:t>.</w:t>
      </w:r>
    </w:p>
    <w:p w14:paraId="649D5836" w14:textId="23BB9B60" w:rsidR="00425D0F" w:rsidRPr="00D96B72" w:rsidRDefault="00425D0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03B25F" w14:textId="04774E05" w:rsidR="0006489F" w:rsidRPr="008852EB" w:rsidRDefault="0006489F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9A56AA">
        <w:rPr>
          <w:color w:val="auto"/>
          <w:sz w:val="22"/>
          <w:szCs w:val="22"/>
          <w:lang w:val="hu-HU"/>
        </w:rPr>
        <w:t>k</w:t>
      </w:r>
      <w:r w:rsidRPr="008852EB">
        <w:rPr>
          <w:color w:val="auto"/>
          <w:sz w:val="22"/>
          <w:szCs w:val="22"/>
          <w:lang w:val="hu-HU"/>
        </w:rPr>
        <w:t>ardiovas</w:t>
      </w:r>
      <w:r w:rsidR="009A56AA">
        <w:rPr>
          <w:color w:val="auto"/>
          <w:sz w:val="22"/>
          <w:szCs w:val="22"/>
          <w:lang w:val="hu-HU"/>
        </w:rPr>
        <w:t>zk</w:t>
      </w:r>
      <w:r w:rsidRPr="008852EB">
        <w:rPr>
          <w:color w:val="auto"/>
          <w:sz w:val="22"/>
          <w:szCs w:val="22"/>
          <w:lang w:val="hu-HU"/>
        </w:rPr>
        <w:t>ul</w:t>
      </w:r>
      <w:r w:rsidR="009A56AA">
        <w:rPr>
          <w:color w:val="auto"/>
          <w:sz w:val="22"/>
          <w:szCs w:val="22"/>
          <w:lang w:val="hu-HU"/>
        </w:rPr>
        <w:t>á</w:t>
      </w:r>
      <w:r w:rsidRPr="008852EB">
        <w:rPr>
          <w:color w:val="auto"/>
          <w:sz w:val="22"/>
          <w:szCs w:val="22"/>
          <w:lang w:val="hu-HU"/>
        </w:rPr>
        <w:t xml:space="preserve">ris események kockázatának csökkentésére irányuló vizsgálatban </w:t>
      </w:r>
      <w:r w:rsidR="003D04F4" w:rsidRPr="008852EB">
        <w:rPr>
          <w:color w:val="auto"/>
          <w:sz w:val="22"/>
          <w:szCs w:val="22"/>
          <w:lang w:val="hu-HU"/>
        </w:rPr>
        <w:t>alkalmazott</w:t>
      </w:r>
      <w:r w:rsidR="00746194" w:rsidRPr="008852EB">
        <w:rPr>
          <w:color w:val="auto"/>
          <w:sz w:val="22"/>
          <w:szCs w:val="22"/>
          <w:lang w:val="hu-HU"/>
        </w:rPr>
        <w:t xml:space="preserve"> </w:t>
      </w:r>
      <w:r w:rsidR="003D04F4" w:rsidRPr="008852EB">
        <w:rPr>
          <w:color w:val="auto"/>
          <w:sz w:val="22"/>
          <w:szCs w:val="22"/>
          <w:lang w:val="hu-HU"/>
        </w:rPr>
        <w:t xml:space="preserve">napi </w:t>
      </w:r>
      <w:r w:rsidR="00746194" w:rsidRPr="008852EB">
        <w:rPr>
          <w:color w:val="auto"/>
          <w:sz w:val="22"/>
          <w:szCs w:val="22"/>
          <w:lang w:val="hu-HU"/>
        </w:rPr>
        <w:t xml:space="preserve">rozuvasztatin </w:t>
      </w:r>
      <w:r w:rsidR="0067498A" w:rsidRPr="008852EB">
        <w:rPr>
          <w:color w:val="auto"/>
          <w:sz w:val="22"/>
          <w:szCs w:val="22"/>
          <w:lang w:val="hu-HU"/>
        </w:rPr>
        <w:t>dózis</w:t>
      </w:r>
      <w:r w:rsidR="00746194" w:rsidRPr="008852EB">
        <w:rPr>
          <w:color w:val="auto"/>
          <w:sz w:val="22"/>
          <w:szCs w:val="22"/>
          <w:lang w:val="hu-HU"/>
        </w:rPr>
        <w:t xml:space="preserve"> 20 mg volt.</w:t>
      </w:r>
    </w:p>
    <w:p w14:paraId="35736F94" w14:textId="6D1F4A7D" w:rsidR="0006489F" w:rsidRPr="00D96B72" w:rsidRDefault="0006489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1BCEA7C" w14:textId="60CAF171" w:rsidR="0095120E" w:rsidRPr="00D96B72" w:rsidRDefault="0095120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D96B72">
        <w:rPr>
          <w:rFonts w:ascii="Times New Roman" w:hAnsi="Times New Roman" w:cs="Times New Roman"/>
          <w:color w:val="000000"/>
          <w:u w:val="single"/>
        </w:rPr>
        <w:t>Adagolás</w:t>
      </w:r>
    </w:p>
    <w:p w14:paraId="55CFDB68" w14:textId="77777777" w:rsidR="00B159A3" w:rsidRPr="008852EB" w:rsidRDefault="00B159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</w:p>
    <w:p w14:paraId="18B7D33A" w14:textId="1492298A" w:rsidR="00A16396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 </w:t>
      </w:r>
      <w:r w:rsidR="00F67181" w:rsidRPr="008852EB">
        <w:rPr>
          <w:rFonts w:ascii="Times New Roman" w:hAnsi="Times New Roman" w:cs="Times New Roman"/>
          <w:color w:val="000000"/>
        </w:rPr>
        <w:t>XeterDuo</w:t>
      </w:r>
      <w:r w:rsidRPr="008852EB">
        <w:rPr>
          <w:rFonts w:ascii="Times New Roman" w:hAnsi="Times New Roman" w:cs="Times New Roman"/>
          <w:color w:val="000000"/>
        </w:rPr>
        <w:t xml:space="preserve"> ajánlott d</w:t>
      </w:r>
      <w:r w:rsidR="004817C0" w:rsidRPr="008852EB">
        <w:rPr>
          <w:rFonts w:ascii="Times New Roman" w:hAnsi="Times New Roman" w:cs="Times New Roman"/>
          <w:color w:val="000000"/>
        </w:rPr>
        <w:t>ózis</w:t>
      </w:r>
      <w:r w:rsidRPr="008852EB">
        <w:rPr>
          <w:rFonts w:ascii="Times New Roman" w:hAnsi="Times New Roman" w:cs="Times New Roman"/>
          <w:color w:val="000000"/>
        </w:rPr>
        <w:t>a naponta 1 kapszula.</w:t>
      </w:r>
    </w:p>
    <w:p w14:paraId="129B48F8" w14:textId="77777777" w:rsidR="003D04F4" w:rsidRPr="008852EB" w:rsidRDefault="003D04F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F2F0A58" w14:textId="380E4D06" w:rsidR="00A16396" w:rsidRPr="008852EB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A fix dóziskombináció nem alkalmas a terápia</w:t>
      </w:r>
      <w:r w:rsidR="00032615" w:rsidRPr="008852EB">
        <w:rPr>
          <w:rFonts w:ascii="Times New Roman" w:hAnsi="Times New Roman" w:cs="Times New Roman"/>
          <w:color w:val="000000"/>
        </w:rPr>
        <w:t xml:space="preserve"> bevezetésére</w:t>
      </w:r>
      <w:r w:rsidRPr="008852EB">
        <w:rPr>
          <w:rFonts w:ascii="Times New Roman" w:hAnsi="Times New Roman" w:cs="Times New Roman"/>
          <w:color w:val="000000"/>
        </w:rPr>
        <w:t>.</w:t>
      </w:r>
    </w:p>
    <w:p w14:paraId="2AACCD9A" w14:textId="10FCB99E" w:rsidR="00A16396" w:rsidRPr="008852EB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 </w:t>
      </w:r>
      <w:r w:rsidR="00F67181" w:rsidRPr="008852EB">
        <w:rPr>
          <w:rFonts w:ascii="Times New Roman" w:hAnsi="Times New Roman" w:cs="Times New Roman"/>
          <w:color w:val="000000"/>
        </w:rPr>
        <w:t>XeterDuo</w:t>
      </w:r>
      <w:r w:rsidR="004817C0" w:rsidRPr="008852EB">
        <w:rPr>
          <w:rFonts w:ascii="Times New Roman" w:hAnsi="Times New Roman" w:cs="Times New Roman"/>
          <w:color w:val="000000"/>
        </w:rPr>
        <w:t>-</w:t>
      </w:r>
      <w:r w:rsidRPr="008852EB">
        <w:rPr>
          <w:rFonts w:ascii="Times New Roman" w:hAnsi="Times New Roman" w:cs="Times New Roman"/>
          <w:color w:val="000000"/>
        </w:rPr>
        <w:t>r</w:t>
      </w:r>
      <w:r w:rsidR="00EE1161">
        <w:rPr>
          <w:rFonts w:ascii="Times New Roman" w:hAnsi="Times New Roman" w:cs="Times New Roman"/>
          <w:color w:val="000000"/>
        </w:rPr>
        <w:t>a</w:t>
      </w:r>
      <w:r w:rsidRPr="008852EB">
        <w:rPr>
          <w:rFonts w:ascii="Times New Roman" w:hAnsi="Times New Roman" w:cs="Times New Roman"/>
          <w:color w:val="000000"/>
        </w:rPr>
        <w:t xml:space="preserve"> </w:t>
      </w:r>
      <w:r w:rsidR="00032615" w:rsidRPr="008852EB">
        <w:rPr>
          <w:rFonts w:ascii="Times New Roman" w:hAnsi="Times New Roman" w:cs="Times New Roman"/>
          <w:color w:val="000000"/>
        </w:rPr>
        <w:t xml:space="preserve">akkor lehet áttérni, ha a </w:t>
      </w:r>
      <w:r w:rsidRPr="008852EB">
        <w:rPr>
          <w:rFonts w:ascii="Times New Roman" w:hAnsi="Times New Roman" w:cs="Times New Roman"/>
          <w:color w:val="000000"/>
        </w:rPr>
        <w:t xml:space="preserve">beteg megfelelően reagál az egyidejűleg szedett összetevők stabil dózisaira. A </w:t>
      </w:r>
      <w:r w:rsidR="00F67181" w:rsidRPr="008852EB">
        <w:rPr>
          <w:rFonts w:ascii="Times New Roman" w:hAnsi="Times New Roman" w:cs="Times New Roman"/>
          <w:color w:val="000000"/>
        </w:rPr>
        <w:t>XeterDuo</w:t>
      </w:r>
      <w:r w:rsidRPr="008852EB">
        <w:rPr>
          <w:rFonts w:ascii="Times New Roman" w:hAnsi="Times New Roman" w:cs="Times New Roman"/>
          <w:color w:val="000000"/>
        </w:rPr>
        <w:t xml:space="preserve"> </w:t>
      </w:r>
      <w:r w:rsidR="00032615" w:rsidRPr="008852EB">
        <w:rPr>
          <w:rFonts w:ascii="Times New Roman" w:hAnsi="Times New Roman" w:cs="Times New Roman"/>
          <w:color w:val="000000"/>
        </w:rPr>
        <w:t xml:space="preserve">dózisát </w:t>
      </w:r>
      <w:r w:rsidRPr="008852EB">
        <w:rPr>
          <w:rFonts w:ascii="Times New Roman" w:hAnsi="Times New Roman" w:cs="Times New Roman"/>
          <w:color w:val="000000"/>
        </w:rPr>
        <w:t>az összetevők áttérés idején való dózisai alapján állapítják meg.</w:t>
      </w:r>
    </w:p>
    <w:p w14:paraId="42585B8C" w14:textId="1294734F" w:rsidR="00A16396" w:rsidRPr="008852EB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Amennyiben bármely komponens </w:t>
      </w:r>
      <w:r w:rsidR="003D04F4">
        <w:rPr>
          <w:rFonts w:ascii="Times New Roman" w:hAnsi="Times New Roman" w:cs="Times New Roman"/>
          <w:color w:val="000000"/>
        </w:rPr>
        <w:t>dózis</w:t>
      </w:r>
      <w:r w:rsidR="003D04F4" w:rsidRPr="008852EB">
        <w:rPr>
          <w:rFonts w:ascii="Times New Roman" w:hAnsi="Times New Roman" w:cs="Times New Roman"/>
          <w:color w:val="000000"/>
        </w:rPr>
        <w:t xml:space="preserve">ának </w:t>
      </w:r>
      <w:r w:rsidRPr="008852EB">
        <w:rPr>
          <w:rFonts w:ascii="Times New Roman" w:hAnsi="Times New Roman" w:cs="Times New Roman"/>
          <w:color w:val="000000"/>
        </w:rPr>
        <w:t xml:space="preserve">megváltoztatása bármi okból szükségessé válik (pl. újonnan diagnosztizált betegség, a beteg állapotában bekövetkező változás vagy gyógyszerkölcsönhatás miatt), </w:t>
      </w:r>
      <w:r w:rsidR="00032615" w:rsidRPr="008852EB">
        <w:rPr>
          <w:rFonts w:ascii="Times New Roman" w:hAnsi="Times New Roman" w:cs="Times New Roman"/>
          <w:color w:val="000000"/>
        </w:rPr>
        <w:t xml:space="preserve">a megfelelő </w:t>
      </w:r>
      <w:r w:rsidR="003D04F4">
        <w:rPr>
          <w:rFonts w:ascii="Times New Roman" w:hAnsi="Times New Roman" w:cs="Times New Roman"/>
          <w:color w:val="000000"/>
        </w:rPr>
        <w:t>dózis</w:t>
      </w:r>
      <w:r w:rsidR="003D04F4" w:rsidRPr="008852EB">
        <w:rPr>
          <w:rFonts w:ascii="Times New Roman" w:hAnsi="Times New Roman" w:cs="Times New Roman"/>
          <w:color w:val="000000"/>
        </w:rPr>
        <w:t xml:space="preserve">ok </w:t>
      </w:r>
      <w:r w:rsidRPr="008852EB">
        <w:rPr>
          <w:rFonts w:ascii="Times New Roman" w:hAnsi="Times New Roman" w:cs="Times New Roman"/>
          <w:color w:val="000000"/>
        </w:rPr>
        <w:t xml:space="preserve">újbóli megállapítása </w:t>
      </w:r>
      <w:r w:rsidR="00032615" w:rsidRPr="008852EB">
        <w:rPr>
          <w:rFonts w:ascii="Times New Roman" w:hAnsi="Times New Roman" w:cs="Times New Roman"/>
          <w:color w:val="000000"/>
        </w:rPr>
        <w:t xml:space="preserve">céljából </w:t>
      </w:r>
      <w:r w:rsidRPr="008852EB">
        <w:rPr>
          <w:rFonts w:ascii="Times New Roman" w:hAnsi="Times New Roman" w:cs="Times New Roman"/>
          <w:color w:val="000000"/>
        </w:rPr>
        <w:t>a</w:t>
      </w:r>
      <w:r w:rsidR="003D04F4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 xml:space="preserve">komponensek </w:t>
      </w:r>
      <w:r w:rsidR="003D04F4">
        <w:rPr>
          <w:rFonts w:ascii="Times New Roman" w:hAnsi="Times New Roman" w:cs="Times New Roman"/>
          <w:color w:val="000000"/>
        </w:rPr>
        <w:t xml:space="preserve">külön-külön készítményben történő </w:t>
      </w:r>
      <w:r w:rsidR="004817C0" w:rsidRPr="008852EB">
        <w:rPr>
          <w:rFonts w:ascii="Times New Roman" w:hAnsi="Times New Roman" w:cs="Times New Roman"/>
          <w:color w:val="000000"/>
        </w:rPr>
        <w:t xml:space="preserve">alkalmazására </w:t>
      </w:r>
      <w:r w:rsidRPr="008852EB">
        <w:rPr>
          <w:rFonts w:ascii="Times New Roman" w:hAnsi="Times New Roman" w:cs="Times New Roman"/>
          <w:color w:val="000000"/>
        </w:rPr>
        <w:t xml:space="preserve">kell </w:t>
      </w:r>
      <w:r w:rsidR="00032615" w:rsidRPr="008852EB">
        <w:rPr>
          <w:rFonts w:ascii="Times New Roman" w:hAnsi="Times New Roman" w:cs="Times New Roman"/>
          <w:color w:val="000000"/>
        </w:rPr>
        <w:t>vissza</w:t>
      </w:r>
      <w:r w:rsidRPr="008852EB">
        <w:rPr>
          <w:rFonts w:ascii="Times New Roman" w:hAnsi="Times New Roman" w:cs="Times New Roman"/>
          <w:color w:val="000000"/>
        </w:rPr>
        <w:t>térni.</w:t>
      </w:r>
    </w:p>
    <w:p w14:paraId="6802629C" w14:textId="17029996" w:rsidR="00971DDE" w:rsidRPr="008852EB" w:rsidRDefault="00971DD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3E8DE9CA" w14:textId="77777777" w:rsidR="00971DDE" w:rsidRPr="00D96B72" w:rsidRDefault="00971DDE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  <w:i/>
          <w:iCs/>
        </w:rPr>
        <w:t>Idősek</w:t>
      </w:r>
    </w:p>
    <w:p w14:paraId="2316CF92" w14:textId="59CAD83F" w:rsidR="00E21811" w:rsidRPr="008852EB" w:rsidRDefault="00971DDE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  <w:bCs/>
        </w:rPr>
        <w:t>Az acetilszalicilsavat általában megfelelő körültekintés mellett kell alkalmazni idős betegeknél, akik hajlamosabbak a mellékhatásokra.</w:t>
      </w:r>
    </w:p>
    <w:p w14:paraId="29BBE674" w14:textId="77777777" w:rsidR="00E21811" w:rsidRPr="008852EB" w:rsidRDefault="00E2181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45E88D18" w14:textId="7A85C407" w:rsidR="00971DDE" w:rsidRPr="008852EB" w:rsidRDefault="00E2181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  <w:bCs/>
        </w:rPr>
        <w:t>Feltételezik, hogy az acetilszalicilsav 300 mg</w:t>
      </w:r>
      <w:r w:rsidRPr="008852EB">
        <w:rPr>
          <w:rFonts w:ascii="Times New Roman" w:hAnsi="Times New Roman" w:cs="Times New Roman"/>
          <w:bCs/>
        </w:rPr>
        <w:noBreakHyphen/>
        <w:t>nál kisebb dózisainál nem jelentkeznek jelentős, az életkorral össze</w:t>
      </w:r>
      <w:r w:rsidR="00FB5158" w:rsidRPr="008852EB">
        <w:rPr>
          <w:rFonts w:ascii="Times New Roman" w:hAnsi="Times New Roman" w:cs="Times New Roman"/>
          <w:bCs/>
        </w:rPr>
        <w:t>függő változások. Ez arra utalhat</w:t>
      </w:r>
      <w:r w:rsidRPr="008852EB">
        <w:rPr>
          <w:rFonts w:ascii="Times New Roman" w:hAnsi="Times New Roman" w:cs="Times New Roman"/>
          <w:bCs/>
        </w:rPr>
        <w:t>, hogy amennyiben nincs jelen súlyos vese</w:t>
      </w:r>
      <w:r w:rsidRPr="008852EB">
        <w:rPr>
          <w:rFonts w:ascii="Times New Roman" w:hAnsi="Times New Roman" w:cs="Times New Roman"/>
          <w:bCs/>
        </w:rPr>
        <w:noBreakHyphen/>
        <w:t xml:space="preserve"> vagy májkárosodás, a szokásos felnőtt d</w:t>
      </w:r>
      <w:r w:rsidR="004817C0" w:rsidRPr="008852EB">
        <w:rPr>
          <w:rFonts w:ascii="Times New Roman" w:hAnsi="Times New Roman" w:cs="Times New Roman"/>
          <w:bCs/>
        </w:rPr>
        <w:t>ózis</w:t>
      </w:r>
      <w:r w:rsidRPr="008852EB">
        <w:rPr>
          <w:rFonts w:ascii="Times New Roman" w:hAnsi="Times New Roman" w:cs="Times New Roman"/>
          <w:bCs/>
        </w:rPr>
        <w:t xml:space="preserve"> javasolt</w:t>
      </w:r>
      <w:r w:rsidR="00A742C7" w:rsidRPr="008852EB">
        <w:rPr>
          <w:rFonts w:ascii="Times New Roman" w:hAnsi="Times New Roman" w:cs="Times New Roman"/>
          <w:bCs/>
        </w:rPr>
        <w:t>,</w:t>
      </w:r>
      <w:r w:rsidRPr="008852EB">
        <w:rPr>
          <w:rFonts w:ascii="Times New Roman" w:hAnsi="Times New Roman" w:cs="Times New Roman"/>
          <w:bCs/>
        </w:rPr>
        <w:t xml:space="preserve"> nincs szükség dózismódosí</w:t>
      </w:r>
      <w:r w:rsidR="00A742C7" w:rsidRPr="008852EB">
        <w:rPr>
          <w:rFonts w:ascii="Times New Roman" w:hAnsi="Times New Roman" w:cs="Times New Roman"/>
          <w:bCs/>
        </w:rPr>
        <w:t xml:space="preserve">tásra idősek esetében. </w:t>
      </w:r>
      <w:r w:rsidR="00971DDE" w:rsidRPr="008852EB">
        <w:rPr>
          <w:rFonts w:ascii="Times New Roman" w:hAnsi="Times New Roman" w:cs="Times New Roman"/>
          <w:bCs/>
        </w:rPr>
        <w:t>A kezelést rendszeres időközönként felül kell vizsgálni</w:t>
      </w:r>
      <w:r w:rsidR="004817C0" w:rsidRPr="008852EB">
        <w:rPr>
          <w:rFonts w:ascii="Times New Roman" w:hAnsi="Times New Roman" w:cs="Times New Roman"/>
          <w:bCs/>
        </w:rPr>
        <w:t>.</w:t>
      </w:r>
    </w:p>
    <w:p w14:paraId="20C6572F" w14:textId="77777777" w:rsidR="00971DDE" w:rsidRPr="008852EB" w:rsidRDefault="00971DDE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685D10" w14:textId="3342CE1B" w:rsidR="00D15BE1" w:rsidRPr="008852EB" w:rsidRDefault="00D15BE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rozuvasztatin kezdő dózisa 70</w:t>
      </w:r>
      <w:r w:rsidR="00EE1161">
        <w:rPr>
          <w:rFonts w:ascii="Times New Roman" w:hAnsi="Times New Roman" w:cs="Times New Roman"/>
        </w:rPr>
        <w:t> </w:t>
      </w:r>
      <w:r w:rsidRPr="008852EB">
        <w:rPr>
          <w:rFonts w:ascii="Times New Roman" w:hAnsi="Times New Roman" w:cs="Times New Roman"/>
        </w:rPr>
        <w:t>évesnél idősebb betegek esetében 5</w:t>
      </w:r>
      <w:r w:rsidR="00EE1161">
        <w:rPr>
          <w:rFonts w:ascii="Times New Roman" w:hAnsi="Times New Roman" w:cs="Times New Roman"/>
        </w:rPr>
        <w:t> </w:t>
      </w:r>
      <w:r w:rsidRPr="008852EB">
        <w:rPr>
          <w:rFonts w:ascii="Times New Roman" w:hAnsi="Times New Roman" w:cs="Times New Roman"/>
        </w:rPr>
        <w:t>mg. A fix dóziskombináció nem alkalmas a terápia bevezetésére.</w:t>
      </w:r>
    </w:p>
    <w:p w14:paraId="0F3CE673" w14:textId="77777777" w:rsidR="00A16396" w:rsidRPr="008852EB" w:rsidRDefault="00A16396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61851F" w14:textId="3737E972" w:rsidR="00A16396" w:rsidRPr="00D96B72" w:rsidRDefault="00A16396" w:rsidP="00D96B72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Vese</w:t>
      </w:r>
      <w:r w:rsidR="009757D9" w:rsidRPr="00D96B72">
        <w:rPr>
          <w:b/>
          <w:bCs/>
          <w:i/>
          <w:iCs/>
          <w:color w:val="auto"/>
          <w:sz w:val="22"/>
          <w:szCs w:val="22"/>
          <w:lang w:val="hu-HU"/>
        </w:rPr>
        <w:t>károsodás</w:t>
      </w:r>
    </w:p>
    <w:p w14:paraId="6FFD26D7" w14:textId="43EA4B12" w:rsidR="00922020" w:rsidRPr="00D96B72" w:rsidRDefault="00922020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D96B72">
        <w:rPr>
          <w:color w:val="auto"/>
          <w:sz w:val="22"/>
          <w:szCs w:val="22"/>
          <w:lang w:val="hu-HU"/>
        </w:rPr>
        <w:t>Enyhe és közepesen súlyos vesekárosodásban szenvedő betegeknél d</w:t>
      </w:r>
      <w:r w:rsidR="004817C0" w:rsidRPr="00D96B72">
        <w:rPr>
          <w:color w:val="auto"/>
          <w:sz w:val="22"/>
          <w:szCs w:val="22"/>
          <w:lang w:val="hu-HU"/>
        </w:rPr>
        <w:t>ózis</w:t>
      </w:r>
      <w:r w:rsidRPr="00D96B72">
        <w:rPr>
          <w:color w:val="auto"/>
          <w:sz w:val="22"/>
          <w:szCs w:val="22"/>
          <w:lang w:val="hu-HU"/>
        </w:rPr>
        <w:t>módosítás nem szükséges.</w:t>
      </w:r>
    </w:p>
    <w:p w14:paraId="7D3E8F60" w14:textId="26C6EED5" w:rsidR="00922020" w:rsidRPr="008852EB" w:rsidRDefault="00922020" w:rsidP="00D96B72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</w:p>
    <w:p w14:paraId="1DDC64FD" w14:textId="57C8E371" w:rsidR="007A7A26" w:rsidRPr="008852EB" w:rsidRDefault="007A7A26" w:rsidP="00D96B7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2EB">
        <w:rPr>
          <w:rFonts w:ascii="Times New Roman" w:eastAsia="Times New Roman" w:hAnsi="Times New Roman" w:cs="Times New Roman"/>
          <w:lang w:eastAsia="hu-HU"/>
        </w:rPr>
        <w:t>Vesekárosodásban szenvedő bet</w:t>
      </w:r>
      <w:r w:rsidR="00E63D6F" w:rsidRPr="008852EB">
        <w:rPr>
          <w:rFonts w:ascii="Times New Roman" w:eastAsia="Times New Roman" w:hAnsi="Times New Roman" w:cs="Times New Roman"/>
          <w:lang w:eastAsia="hu-HU"/>
        </w:rPr>
        <w:t>egek esetében az acetilszalicilsav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 különös óvatossággal alkalmazandó, mivel az acetilszalicilsav tovább növelheti a vesekárosodás és az akut veseelégtelenség kockázatát (lásd 4.4 pont).</w:t>
      </w:r>
    </w:p>
    <w:p w14:paraId="419A635D" w14:textId="7F1C8292" w:rsidR="00C720A2" w:rsidRPr="008852EB" w:rsidRDefault="00C720A2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E3FA3AD" w14:textId="03CA225D" w:rsidR="003D6D11" w:rsidRPr="008852EB" w:rsidRDefault="002A14B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Közepesen súlyos vesekárosodásban (kreatinin</w:t>
      </w:r>
      <w:r w:rsidRPr="008852EB">
        <w:rPr>
          <w:rFonts w:ascii="Times New Roman" w:hAnsi="Times New Roman" w:cs="Times New Roman"/>
        </w:rPr>
        <w:noBreakHyphen/>
        <w:t>clearance &lt; 60 </w:t>
      </w:r>
      <w:r w:rsidR="00C720A2" w:rsidRPr="008852EB">
        <w:rPr>
          <w:rFonts w:ascii="Times New Roman" w:hAnsi="Times New Roman" w:cs="Times New Roman"/>
        </w:rPr>
        <w:t>ml/perc) szenvedő betegeknél a ro</w:t>
      </w:r>
      <w:r w:rsidR="004817C0" w:rsidRPr="008852EB">
        <w:rPr>
          <w:rFonts w:ascii="Times New Roman" w:hAnsi="Times New Roman" w:cs="Times New Roman"/>
        </w:rPr>
        <w:t>z</w:t>
      </w:r>
      <w:r w:rsidR="00C720A2" w:rsidRPr="008852EB">
        <w:rPr>
          <w:rFonts w:ascii="Times New Roman" w:hAnsi="Times New Roman" w:cs="Times New Roman"/>
        </w:rPr>
        <w:t>uvas</w:t>
      </w:r>
      <w:r w:rsidR="004817C0" w:rsidRPr="008852EB">
        <w:rPr>
          <w:rFonts w:ascii="Times New Roman" w:hAnsi="Times New Roman" w:cs="Times New Roman"/>
        </w:rPr>
        <w:t>z</w:t>
      </w:r>
      <w:r w:rsidR="00C720A2" w:rsidRPr="008852EB">
        <w:rPr>
          <w:rFonts w:ascii="Times New Roman" w:hAnsi="Times New Roman" w:cs="Times New Roman"/>
        </w:rPr>
        <w:t xml:space="preserve">tatin </w:t>
      </w:r>
      <w:r w:rsidRPr="008852EB">
        <w:rPr>
          <w:rFonts w:ascii="Times New Roman" w:hAnsi="Times New Roman" w:cs="Times New Roman"/>
        </w:rPr>
        <w:t>ajánlott kezdő dózis</w:t>
      </w:r>
      <w:r w:rsidR="00C720A2" w:rsidRPr="008852EB">
        <w:rPr>
          <w:rFonts w:ascii="Times New Roman" w:hAnsi="Times New Roman" w:cs="Times New Roman"/>
        </w:rPr>
        <w:t>a</w:t>
      </w:r>
      <w:r w:rsidRPr="008852EB">
        <w:rPr>
          <w:rFonts w:ascii="Times New Roman" w:hAnsi="Times New Roman" w:cs="Times New Roman"/>
        </w:rPr>
        <w:t xml:space="preserve"> 5 mg.</w:t>
      </w:r>
      <w:r w:rsidR="00C720A2" w:rsidRPr="008852EB">
        <w:rPr>
          <w:rFonts w:ascii="Times New Roman" w:hAnsi="Times New Roman" w:cs="Times New Roman"/>
        </w:rPr>
        <w:t xml:space="preserve"> A fix dóziskombináció nem alkalmas a terápia bevezetésére.</w:t>
      </w:r>
    </w:p>
    <w:p w14:paraId="30ABEE98" w14:textId="77777777" w:rsidR="003D6D11" w:rsidRPr="008852EB" w:rsidRDefault="003D6D1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6BD35D3" w14:textId="770378FA" w:rsidR="003D6D11" w:rsidRDefault="003D6D11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Súlyos vesekárosodásban</w:t>
      </w:r>
      <w:r w:rsidR="007852BB">
        <w:rPr>
          <w:color w:val="auto"/>
          <w:sz w:val="22"/>
          <w:szCs w:val="22"/>
          <w:lang w:val="hu-HU"/>
        </w:rPr>
        <w:t xml:space="preserve"> </w:t>
      </w:r>
      <w:r w:rsidR="007852BB" w:rsidRPr="008852EB">
        <w:rPr>
          <w:color w:val="auto"/>
          <w:sz w:val="22"/>
          <w:szCs w:val="22"/>
          <w:lang w:val="hu-HU"/>
        </w:rPr>
        <w:t>(kreatinin</w:t>
      </w:r>
      <w:r w:rsidR="007852BB" w:rsidRPr="008852EB">
        <w:rPr>
          <w:color w:val="auto"/>
          <w:sz w:val="22"/>
          <w:szCs w:val="22"/>
          <w:lang w:val="hu-HU"/>
        </w:rPr>
        <w:noBreakHyphen/>
        <w:t xml:space="preserve">clearance &lt; 30 ml/perc) </w:t>
      </w:r>
      <w:r w:rsidRPr="008852EB">
        <w:rPr>
          <w:color w:val="auto"/>
          <w:sz w:val="22"/>
          <w:szCs w:val="22"/>
          <w:lang w:val="hu-HU"/>
        </w:rPr>
        <w:t xml:space="preserve">szenvedő betegeknél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mind</w:t>
      </w:r>
      <w:r w:rsidR="00F913DA">
        <w:rPr>
          <w:color w:val="auto"/>
          <w:sz w:val="22"/>
          <w:szCs w:val="22"/>
          <w:lang w:val="hu-HU"/>
        </w:rPr>
        <w:t>két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F913DA">
        <w:rPr>
          <w:color w:val="auto"/>
          <w:sz w:val="22"/>
          <w:szCs w:val="22"/>
          <w:lang w:val="hu-HU"/>
        </w:rPr>
        <w:t>hatáserőssége</w:t>
      </w:r>
      <w:r w:rsidRPr="008852EB">
        <w:rPr>
          <w:color w:val="auto"/>
          <w:sz w:val="22"/>
          <w:szCs w:val="22"/>
          <w:lang w:val="hu-HU"/>
        </w:rPr>
        <w:t xml:space="preserve"> ellenjavallt (lásd 4.3 és 5.2 pont).</w:t>
      </w:r>
    </w:p>
    <w:p w14:paraId="2D39506E" w14:textId="77777777" w:rsidR="00A16396" w:rsidRPr="008852EB" w:rsidRDefault="00A16396" w:rsidP="008852EB">
      <w:pPr>
        <w:pStyle w:val="Normal1"/>
        <w:rPr>
          <w:sz w:val="22"/>
          <w:szCs w:val="22"/>
          <w:lang w:val="hu-HU"/>
        </w:rPr>
      </w:pPr>
    </w:p>
    <w:p w14:paraId="0ACF5B50" w14:textId="5B45025C" w:rsidR="00A16396" w:rsidRPr="00D96B72" w:rsidRDefault="00A16396" w:rsidP="00D96B72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Májkárosodás</w:t>
      </w:r>
    </w:p>
    <w:p w14:paraId="6FACD06E" w14:textId="005369E1" w:rsidR="00DF585E" w:rsidRPr="008852EB" w:rsidRDefault="00A16396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Enyhe és közepesen súlyos májkárosodásban szenvedő betegeknél d</w:t>
      </w:r>
      <w:r w:rsidR="004817C0" w:rsidRPr="008852EB">
        <w:rPr>
          <w:color w:val="auto"/>
          <w:sz w:val="22"/>
          <w:szCs w:val="22"/>
          <w:lang w:val="hu-HU"/>
        </w:rPr>
        <w:t>ózis</w:t>
      </w:r>
      <w:r w:rsidRPr="008852EB">
        <w:rPr>
          <w:color w:val="auto"/>
          <w:sz w:val="22"/>
          <w:szCs w:val="22"/>
          <w:lang w:val="hu-HU"/>
        </w:rPr>
        <w:t>módosítás nem szükséges.</w:t>
      </w:r>
    </w:p>
    <w:p w14:paraId="7055B25C" w14:textId="1B119490" w:rsidR="00DF585E" w:rsidRPr="00D96B72" w:rsidRDefault="00DF585E" w:rsidP="008852EB">
      <w:pPr>
        <w:pStyle w:val="Normal1"/>
        <w:rPr>
          <w:color w:val="auto"/>
          <w:sz w:val="22"/>
          <w:szCs w:val="22"/>
          <w:lang w:val="hu-HU"/>
        </w:rPr>
      </w:pPr>
      <w:r w:rsidRPr="00D96B72">
        <w:rPr>
          <w:color w:val="auto"/>
          <w:sz w:val="22"/>
          <w:szCs w:val="22"/>
          <w:lang w:val="hu-HU"/>
        </w:rPr>
        <w:t xml:space="preserve">Májkárosodás esetén az acetilszalicilsav, így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D96B72">
        <w:rPr>
          <w:color w:val="auto"/>
          <w:sz w:val="22"/>
          <w:szCs w:val="22"/>
          <w:lang w:val="hu-HU"/>
        </w:rPr>
        <w:t xml:space="preserve"> is, csak fokozott óvatossággal adható (lásd 4.4 pont).</w:t>
      </w:r>
    </w:p>
    <w:p w14:paraId="17F9662F" w14:textId="77777777" w:rsidR="00331B6A" w:rsidRPr="008C502C" w:rsidRDefault="00331B6A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43E038F" w14:textId="597D6C57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C502C">
        <w:rPr>
          <w:color w:val="auto"/>
          <w:sz w:val="22"/>
          <w:szCs w:val="22"/>
          <w:lang w:val="hu-HU"/>
        </w:rPr>
        <w:t xml:space="preserve">Súlyos </w:t>
      </w:r>
      <w:r w:rsidR="00032615" w:rsidRPr="008C502C">
        <w:rPr>
          <w:color w:val="auto"/>
          <w:sz w:val="22"/>
          <w:szCs w:val="22"/>
          <w:lang w:val="hu-HU"/>
        </w:rPr>
        <w:t>máj</w:t>
      </w:r>
      <w:r w:rsidRPr="008C502C">
        <w:rPr>
          <w:color w:val="auto"/>
          <w:sz w:val="22"/>
          <w:szCs w:val="22"/>
          <w:lang w:val="hu-HU"/>
        </w:rPr>
        <w:t xml:space="preserve">károsodásban szenvedő betegeknél a </w:t>
      </w:r>
      <w:r w:rsidR="00F67181" w:rsidRPr="008C502C">
        <w:rPr>
          <w:color w:val="auto"/>
          <w:sz w:val="22"/>
          <w:szCs w:val="22"/>
          <w:lang w:val="hu-HU"/>
        </w:rPr>
        <w:t>XeterDuo</w:t>
      </w:r>
      <w:r w:rsidRPr="008C502C">
        <w:rPr>
          <w:color w:val="auto"/>
          <w:sz w:val="22"/>
          <w:szCs w:val="22"/>
          <w:lang w:val="hu-HU"/>
        </w:rPr>
        <w:t xml:space="preserve"> mind</w:t>
      </w:r>
      <w:r w:rsidR="00F913DA">
        <w:rPr>
          <w:color w:val="auto"/>
          <w:sz w:val="22"/>
          <w:szCs w:val="22"/>
          <w:lang w:val="hu-HU"/>
        </w:rPr>
        <w:t>két</w:t>
      </w:r>
      <w:r w:rsidRPr="008C502C">
        <w:rPr>
          <w:color w:val="auto"/>
          <w:sz w:val="22"/>
          <w:szCs w:val="22"/>
          <w:lang w:val="hu-HU"/>
        </w:rPr>
        <w:t xml:space="preserve"> </w:t>
      </w:r>
      <w:r w:rsidR="00F913DA">
        <w:rPr>
          <w:color w:val="auto"/>
          <w:sz w:val="22"/>
          <w:szCs w:val="22"/>
          <w:lang w:val="hu-HU"/>
        </w:rPr>
        <w:t>hatáserőssége</w:t>
      </w:r>
      <w:r w:rsidRPr="008C502C">
        <w:rPr>
          <w:color w:val="auto"/>
          <w:sz w:val="22"/>
          <w:szCs w:val="22"/>
          <w:lang w:val="hu-HU"/>
        </w:rPr>
        <w:t xml:space="preserve"> ellenjavallt.</w:t>
      </w:r>
    </w:p>
    <w:p w14:paraId="1CEB80FC" w14:textId="77777777" w:rsidR="00DF585E" w:rsidRPr="008852EB" w:rsidRDefault="00DF585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9431B7A" w14:textId="017860DD" w:rsidR="00E37070" w:rsidRPr="008852EB" w:rsidRDefault="00A16396" w:rsidP="008852EB">
      <w:pPr>
        <w:pStyle w:val="Normal1"/>
        <w:suppressAutoHyphens w:val="0"/>
        <w:rPr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szisztémás expozíciós szintje</w:t>
      </w:r>
      <w:r w:rsidR="0086171B">
        <w:rPr>
          <w:color w:val="auto"/>
          <w:sz w:val="22"/>
          <w:szCs w:val="22"/>
          <w:lang w:val="hu-HU"/>
        </w:rPr>
        <w:t>,</w:t>
      </w:r>
      <w:r w:rsidRPr="008852EB">
        <w:rPr>
          <w:color w:val="auto"/>
          <w:sz w:val="22"/>
          <w:szCs w:val="22"/>
          <w:lang w:val="hu-HU"/>
        </w:rPr>
        <w:t xml:space="preserve"> 7 és annál kisebb Child</w:t>
      </w:r>
      <w:r w:rsidRPr="008852EB">
        <w:rPr>
          <w:color w:val="auto"/>
          <w:sz w:val="22"/>
          <w:szCs w:val="22"/>
          <w:lang w:val="hu-HU"/>
        </w:rPr>
        <w:noBreakHyphen/>
        <w:t xml:space="preserve">Pugh érték esetén nem növekedett. </w:t>
      </w:r>
      <w:r w:rsidR="0086171B">
        <w:rPr>
          <w:color w:val="auto"/>
          <w:sz w:val="22"/>
          <w:szCs w:val="22"/>
          <w:lang w:val="hu-HU"/>
        </w:rPr>
        <w:t>Ugyanakkor</w:t>
      </w:r>
      <w:r w:rsidRPr="008852EB">
        <w:rPr>
          <w:color w:val="auto"/>
          <w:sz w:val="22"/>
          <w:szCs w:val="22"/>
          <w:lang w:val="hu-HU"/>
        </w:rPr>
        <w:t xml:space="preserve"> a szisztémás expozíció emelkedését figyelték meg 8 és 9 Child</w:t>
      </w:r>
      <w:r w:rsidRPr="008852EB">
        <w:rPr>
          <w:color w:val="auto"/>
          <w:sz w:val="22"/>
          <w:szCs w:val="22"/>
          <w:lang w:val="hu-HU"/>
        </w:rPr>
        <w:noBreakHyphen/>
        <w:t>Pugh érték mellett (lásd 5.2 pont). Ezeknél a betegeknél a májfunkció ellenőrzése ajánlott (lásd 4.4 pont). Nincs tapasztalat 9</w:t>
      </w:r>
      <w:r w:rsidRPr="008852EB">
        <w:rPr>
          <w:color w:val="auto"/>
          <w:sz w:val="22"/>
          <w:szCs w:val="22"/>
          <w:lang w:val="hu-HU"/>
        </w:rPr>
        <w:noBreakHyphen/>
        <w:t>nél nagyobb Child</w:t>
      </w:r>
      <w:r w:rsidRPr="008852EB">
        <w:rPr>
          <w:color w:val="auto"/>
          <w:sz w:val="22"/>
          <w:szCs w:val="22"/>
          <w:lang w:val="hu-HU"/>
        </w:rPr>
        <w:noBreakHyphen/>
        <w:t>Pugh értékeknél.</w:t>
      </w:r>
    </w:p>
    <w:p w14:paraId="6417915C" w14:textId="34765013" w:rsidR="00085EB8" w:rsidRPr="008852EB" w:rsidRDefault="004817C0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Akut </w:t>
      </w:r>
      <w:r w:rsidR="00A16396" w:rsidRPr="008852EB">
        <w:rPr>
          <w:color w:val="auto"/>
          <w:sz w:val="22"/>
          <w:szCs w:val="22"/>
          <w:lang w:val="hu-HU"/>
        </w:rPr>
        <w:t xml:space="preserve">májbetegségben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="00A16396" w:rsidRPr="008852EB">
        <w:rPr>
          <w:color w:val="auto"/>
          <w:sz w:val="22"/>
          <w:szCs w:val="22"/>
          <w:lang w:val="hu-HU"/>
        </w:rPr>
        <w:t xml:space="preserve"> adása ellenjavallt (lásd 4.3 pont).</w:t>
      </w:r>
    </w:p>
    <w:p w14:paraId="1744EB24" w14:textId="77777777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9FD8437" w14:textId="77777777" w:rsidR="00A16396" w:rsidRPr="00D96B72" w:rsidRDefault="00A16396" w:rsidP="008852EB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Népcsoportok</w:t>
      </w:r>
    </w:p>
    <w:p w14:paraId="1DC61E67" w14:textId="758B81C9" w:rsidR="00A16396" w:rsidRPr="008852EB" w:rsidRDefault="00290C01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f</w:t>
      </w:r>
      <w:r w:rsidR="00A16396" w:rsidRPr="008852EB">
        <w:rPr>
          <w:color w:val="auto"/>
          <w:sz w:val="22"/>
          <w:szCs w:val="22"/>
          <w:lang w:val="hu-HU"/>
        </w:rPr>
        <w:t>okozott szisztémás expozíció</w:t>
      </w:r>
      <w:r w:rsidRPr="008852EB">
        <w:rPr>
          <w:color w:val="auto"/>
          <w:sz w:val="22"/>
          <w:szCs w:val="22"/>
          <w:lang w:val="hu-HU"/>
        </w:rPr>
        <w:t>já</w:t>
      </w:r>
      <w:r w:rsidR="00A16396" w:rsidRPr="008852EB">
        <w:rPr>
          <w:color w:val="auto"/>
          <w:sz w:val="22"/>
          <w:szCs w:val="22"/>
          <w:lang w:val="hu-HU"/>
        </w:rPr>
        <w:t>t tapasztalt</w:t>
      </w:r>
      <w:r w:rsidRPr="008852EB">
        <w:rPr>
          <w:color w:val="auto"/>
          <w:sz w:val="22"/>
          <w:szCs w:val="22"/>
          <w:lang w:val="hu-HU"/>
        </w:rPr>
        <w:t>á</w:t>
      </w:r>
      <w:r w:rsidR="00A16396" w:rsidRPr="008852EB">
        <w:rPr>
          <w:color w:val="auto"/>
          <w:sz w:val="22"/>
          <w:szCs w:val="22"/>
          <w:lang w:val="hu-HU"/>
        </w:rPr>
        <w:t>k ázsiai személyeknél (lásd 5.2 pont).</w:t>
      </w:r>
    </w:p>
    <w:p w14:paraId="03FF0212" w14:textId="3ED940BC" w:rsidR="00F8137C" w:rsidRPr="008852EB" w:rsidRDefault="00F8137C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Ázsiai személyeknél a rozuvasztatin javasolt kezdő dózisa 5</w:t>
      </w:r>
      <w:r w:rsidR="00BB33F8">
        <w:rPr>
          <w:color w:val="auto"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mg. A fix dóziskombináció nem alkalmas </w:t>
      </w:r>
      <w:r w:rsidRPr="008852EB">
        <w:rPr>
          <w:color w:val="auto"/>
          <w:sz w:val="22"/>
          <w:szCs w:val="22"/>
          <w:lang w:val="hu-HU"/>
        </w:rPr>
        <w:lastRenderedPageBreak/>
        <w:t>a terápia bevezetésére. A terápia megkezdését és a d</w:t>
      </w:r>
      <w:r w:rsidR="004817C0" w:rsidRPr="008852EB">
        <w:rPr>
          <w:color w:val="auto"/>
          <w:sz w:val="22"/>
          <w:szCs w:val="22"/>
          <w:lang w:val="hu-HU"/>
        </w:rPr>
        <w:t>ózis</w:t>
      </w:r>
      <w:r w:rsidRPr="008852EB">
        <w:rPr>
          <w:color w:val="auto"/>
          <w:sz w:val="22"/>
          <w:szCs w:val="22"/>
          <w:lang w:val="hu-HU"/>
        </w:rPr>
        <w:t xml:space="preserve">ok módosítását a komponensek </w:t>
      </w:r>
      <w:r w:rsidR="00220AA2">
        <w:rPr>
          <w:color w:val="auto"/>
          <w:sz w:val="22"/>
          <w:szCs w:val="22"/>
          <w:lang w:val="hu-HU"/>
        </w:rPr>
        <w:t xml:space="preserve">külön-külön készítményben történő </w:t>
      </w:r>
      <w:r w:rsidRPr="008852EB">
        <w:rPr>
          <w:color w:val="auto"/>
          <w:sz w:val="22"/>
          <w:szCs w:val="22"/>
          <w:lang w:val="hu-HU"/>
        </w:rPr>
        <w:t>alkalmazásával kell végezni.</w:t>
      </w:r>
    </w:p>
    <w:p w14:paraId="2E6ACDFA" w14:textId="526CC264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16A569D" w14:textId="4E2679C9" w:rsidR="00A16396" w:rsidRPr="00D96B72" w:rsidRDefault="00A16396" w:rsidP="008852EB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Genetikai polimorfizmus</w:t>
      </w:r>
    </w:p>
    <w:p w14:paraId="166B9374" w14:textId="66F544EE" w:rsidR="003A2866" w:rsidRPr="008852EB" w:rsidRDefault="00C25501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B4A0D">
        <w:rPr>
          <w:bCs/>
          <w:sz w:val="22"/>
          <w:lang w:val="hu-HU"/>
        </w:rPr>
        <w:t>Az SLCO1B1 (OATP1B1) c.521CC és az ABCG2 (BCRP) c.421AA genotípusai összefüggést mutattak a rozuvasztatin-expozíció (AUC) növekedésével. Azon betegek esetében, akiknél ismert a c.521CC vagy c.421AA genotípus, az általában ajánlott adag fele, és legfeljebb napi egyszeri 20 mg rozuvasztatin adag ajánlott (lásd a 4.4, 4.5 és 5.2 pont)</w:t>
      </w:r>
      <w:r w:rsidR="003A2866" w:rsidRPr="008852EB">
        <w:rPr>
          <w:color w:val="auto"/>
          <w:sz w:val="22"/>
          <w:szCs w:val="22"/>
          <w:lang w:val="hu-HU"/>
        </w:rPr>
        <w:t>.</w:t>
      </w:r>
    </w:p>
    <w:p w14:paraId="5D0979A3" w14:textId="028D9BC4" w:rsidR="00E363D1" w:rsidRPr="008852EB" w:rsidRDefault="00E363D1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5CC491A" w14:textId="6B61183B" w:rsidR="00D139DC" w:rsidRPr="00D96B72" w:rsidRDefault="001C2CC5" w:rsidP="008852EB">
      <w:pPr>
        <w:pStyle w:val="Normal1"/>
        <w:rPr>
          <w:b/>
          <w:bCs/>
          <w:i/>
          <w:iCs/>
          <w:color w:val="auto"/>
          <w:sz w:val="22"/>
          <w:szCs w:val="22"/>
          <w:lang w:val="hu-HU"/>
        </w:rPr>
      </w:pPr>
      <w:r>
        <w:rPr>
          <w:b/>
          <w:bCs/>
          <w:i/>
          <w:iCs/>
          <w:color w:val="auto"/>
          <w:sz w:val="22"/>
          <w:szCs w:val="22"/>
          <w:lang w:val="hu-HU"/>
        </w:rPr>
        <w:t>M</w:t>
      </w:r>
      <w:r w:rsidR="00D139DC" w:rsidRPr="00D96B72">
        <w:rPr>
          <w:b/>
          <w:bCs/>
          <w:i/>
          <w:iCs/>
          <w:color w:val="auto"/>
          <w:sz w:val="22"/>
          <w:szCs w:val="22"/>
          <w:lang w:val="hu-HU"/>
        </w:rPr>
        <w:t>yopathia kialakulására hajlamosító tényezők esetén</w:t>
      </w:r>
    </w:p>
    <w:p w14:paraId="7532EDB8" w14:textId="29891773" w:rsidR="008A6C75" w:rsidRPr="008852EB" w:rsidRDefault="00D139DC" w:rsidP="00D96B72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Azoknál a betegeknél, akiknél myopathia kialakulására hajlamosító tényezők állnak fenn, </w:t>
      </w:r>
      <w:r w:rsidR="008A6C75" w:rsidRPr="008852EB">
        <w:rPr>
          <w:color w:val="auto"/>
          <w:sz w:val="22"/>
          <w:szCs w:val="22"/>
          <w:lang w:val="hu-HU"/>
        </w:rPr>
        <w:t xml:space="preserve">a rozuvasztatinból </w:t>
      </w:r>
      <w:r w:rsidRPr="008852EB">
        <w:rPr>
          <w:color w:val="auto"/>
          <w:sz w:val="22"/>
          <w:szCs w:val="22"/>
          <w:lang w:val="hu-HU"/>
        </w:rPr>
        <w:t>5 mg az ajánlott kezdő</w:t>
      </w:r>
      <w:r w:rsidR="008A6C75" w:rsidRPr="008852EB">
        <w:rPr>
          <w:color w:val="auto"/>
          <w:sz w:val="22"/>
          <w:szCs w:val="22"/>
          <w:lang w:val="hu-HU"/>
        </w:rPr>
        <w:t xml:space="preserve"> dózis. A fix dóziskombináció nem alkalmas a terápia bevezetésére. A terápia megkezdését és a d</w:t>
      </w:r>
      <w:r w:rsidR="00316D98" w:rsidRPr="008852EB">
        <w:rPr>
          <w:color w:val="auto"/>
          <w:sz w:val="22"/>
          <w:szCs w:val="22"/>
          <w:lang w:val="hu-HU"/>
        </w:rPr>
        <w:t>ózis</w:t>
      </w:r>
      <w:r w:rsidR="008A6C75" w:rsidRPr="008852EB">
        <w:rPr>
          <w:color w:val="auto"/>
          <w:sz w:val="22"/>
          <w:szCs w:val="22"/>
          <w:lang w:val="hu-HU"/>
        </w:rPr>
        <w:t>ok módosítását a</w:t>
      </w:r>
      <w:r w:rsidR="00220AA2">
        <w:rPr>
          <w:color w:val="auto"/>
          <w:sz w:val="22"/>
          <w:szCs w:val="22"/>
          <w:lang w:val="hu-HU"/>
        </w:rPr>
        <w:t xml:space="preserve"> </w:t>
      </w:r>
      <w:r w:rsidR="008A6C75" w:rsidRPr="008852EB">
        <w:rPr>
          <w:color w:val="auto"/>
          <w:sz w:val="22"/>
          <w:szCs w:val="22"/>
          <w:lang w:val="hu-HU"/>
        </w:rPr>
        <w:t xml:space="preserve">komponensek </w:t>
      </w:r>
      <w:r w:rsidR="00220AA2">
        <w:rPr>
          <w:color w:val="auto"/>
          <w:sz w:val="22"/>
          <w:szCs w:val="22"/>
          <w:lang w:val="hu-HU"/>
        </w:rPr>
        <w:t>külön-külön készítményben történő</w:t>
      </w:r>
      <w:r w:rsidR="00220AA2" w:rsidRPr="008852EB">
        <w:rPr>
          <w:color w:val="auto"/>
          <w:sz w:val="22"/>
          <w:szCs w:val="22"/>
          <w:lang w:val="hu-HU"/>
        </w:rPr>
        <w:t xml:space="preserve"> </w:t>
      </w:r>
      <w:r w:rsidR="008A6C75" w:rsidRPr="008852EB">
        <w:rPr>
          <w:color w:val="auto"/>
          <w:sz w:val="22"/>
          <w:szCs w:val="22"/>
          <w:lang w:val="hu-HU"/>
        </w:rPr>
        <w:t>alkalmazásával kell végezni.</w:t>
      </w:r>
    </w:p>
    <w:p w14:paraId="351AEB50" w14:textId="7E1BB54F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F8324A7" w14:textId="44880F08" w:rsidR="004E69AF" w:rsidRPr="00B36C6C" w:rsidRDefault="004E69AF" w:rsidP="008852EB">
      <w:pPr>
        <w:pStyle w:val="Normal1"/>
        <w:suppressAutoHyphens w:val="0"/>
        <w:rPr>
          <w:b/>
          <w:i/>
          <w:iCs/>
          <w:color w:val="auto"/>
          <w:sz w:val="22"/>
          <w:szCs w:val="22"/>
          <w:lang w:val="hu-HU"/>
        </w:rPr>
      </w:pPr>
      <w:r w:rsidRPr="00B36C6C">
        <w:rPr>
          <w:b/>
          <w:i/>
          <w:iCs/>
          <w:color w:val="auto"/>
          <w:sz w:val="22"/>
          <w:szCs w:val="22"/>
          <w:lang w:val="hu-HU"/>
        </w:rPr>
        <w:t>Gyermekek és serdülők</w:t>
      </w:r>
    </w:p>
    <w:p w14:paraId="7521EB5D" w14:textId="622E5A8D" w:rsidR="004E69AF" w:rsidRPr="008852EB" w:rsidRDefault="004E69A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rozuvasztatin/acetilszalicilsav biztonságosságát és hatásosságát </w:t>
      </w:r>
      <w:r w:rsidR="00316D98" w:rsidRPr="008852EB">
        <w:rPr>
          <w:color w:val="auto"/>
          <w:sz w:val="22"/>
          <w:szCs w:val="22"/>
          <w:lang w:val="hu-HU"/>
        </w:rPr>
        <w:t xml:space="preserve">18 évesnél fiatalabb </w:t>
      </w:r>
      <w:r w:rsidRPr="008852EB">
        <w:rPr>
          <w:color w:val="auto"/>
          <w:sz w:val="22"/>
          <w:szCs w:val="22"/>
          <w:lang w:val="hu-HU"/>
        </w:rPr>
        <w:t xml:space="preserve">gyermekek és serdülők esetében nem igazolták. Ezért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18 évesnél fiatalabb betegek kezelésére nem javasolt.</w:t>
      </w:r>
    </w:p>
    <w:p w14:paraId="08079402" w14:textId="54DF8858" w:rsidR="003A34CA" w:rsidRPr="008852EB" w:rsidRDefault="003A34CA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E127D91" w14:textId="77777777" w:rsidR="0095120E" w:rsidRPr="00D96B72" w:rsidRDefault="0095120E" w:rsidP="008852EB">
      <w:pPr>
        <w:widowControl w:val="0"/>
        <w:spacing w:after="0" w:line="240" w:lineRule="auto"/>
        <w:rPr>
          <w:rFonts w:ascii="Times New Roman" w:hAnsi="Times New Roman" w:cs="Times New Roman"/>
          <w:u w:val="single"/>
        </w:rPr>
      </w:pPr>
      <w:r w:rsidRPr="00D96B72">
        <w:rPr>
          <w:rFonts w:ascii="Times New Roman" w:hAnsi="Times New Roman" w:cs="Times New Roman"/>
          <w:u w:val="single"/>
        </w:rPr>
        <w:t>Az alkalmazás módja</w:t>
      </w:r>
    </w:p>
    <w:p w14:paraId="1C352892" w14:textId="77777777" w:rsidR="00B159A3" w:rsidRDefault="00B159A3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E7E86A4" w14:textId="78ECF48C" w:rsidR="0095120E" w:rsidRPr="008852EB" w:rsidRDefault="0095120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a nap </w:t>
      </w:r>
      <w:r w:rsidR="00C6510B" w:rsidRPr="008852EB">
        <w:rPr>
          <w:color w:val="auto"/>
          <w:sz w:val="22"/>
          <w:szCs w:val="22"/>
          <w:lang w:val="hu-HU"/>
        </w:rPr>
        <w:t>bármely szakában bevehető</w:t>
      </w:r>
      <w:r w:rsidRPr="008852EB">
        <w:rPr>
          <w:color w:val="auto"/>
          <w:sz w:val="22"/>
          <w:szCs w:val="22"/>
          <w:lang w:val="hu-HU"/>
        </w:rPr>
        <w:t xml:space="preserve">, </w:t>
      </w:r>
      <w:r w:rsidR="00EE6E92" w:rsidRPr="008852EB">
        <w:rPr>
          <w:color w:val="auto"/>
          <w:sz w:val="22"/>
          <w:szCs w:val="22"/>
          <w:lang w:val="hu-HU"/>
        </w:rPr>
        <w:t xml:space="preserve">közvetlen </w:t>
      </w:r>
      <w:r w:rsidRPr="008852EB">
        <w:rPr>
          <w:color w:val="auto"/>
          <w:sz w:val="22"/>
          <w:szCs w:val="22"/>
          <w:lang w:val="hu-HU"/>
        </w:rPr>
        <w:t>étkezés</w:t>
      </w:r>
      <w:r w:rsidR="00EE6E92" w:rsidRPr="008852EB">
        <w:rPr>
          <w:color w:val="auto"/>
          <w:sz w:val="22"/>
          <w:szCs w:val="22"/>
          <w:lang w:val="hu-HU"/>
        </w:rPr>
        <w:t>t követően</w:t>
      </w:r>
      <w:r w:rsidR="00C965AC" w:rsidRPr="008852EB">
        <w:rPr>
          <w:color w:val="auto"/>
          <w:sz w:val="22"/>
          <w:szCs w:val="22"/>
          <w:lang w:val="hu-HU"/>
        </w:rPr>
        <w:t xml:space="preserve">. A kapszulákat sok folyadékkal kell bevenni, és </w:t>
      </w:r>
      <w:r w:rsidR="00316D98" w:rsidRPr="008852EB">
        <w:rPr>
          <w:color w:val="auto"/>
          <w:sz w:val="22"/>
          <w:szCs w:val="22"/>
          <w:lang w:val="hu-HU"/>
        </w:rPr>
        <w:t>szét</w:t>
      </w:r>
      <w:r w:rsidR="00C965AC" w:rsidRPr="008852EB">
        <w:rPr>
          <w:color w:val="auto"/>
          <w:sz w:val="22"/>
          <w:szCs w:val="22"/>
          <w:lang w:val="hu-HU"/>
        </w:rPr>
        <w:t xml:space="preserve">rágás nélkül </w:t>
      </w:r>
      <w:r w:rsidR="00220AA2">
        <w:rPr>
          <w:color w:val="auto"/>
          <w:sz w:val="22"/>
          <w:szCs w:val="22"/>
          <w:lang w:val="hu-HU"/>
        </w:rPr>
        <w:t xml:space="preserve">kell </w:t>
      </w:r>
      <w:r w:rsidR="00C965AC" w:rsidRPr="008852EB">
        <w:rPr>
          <w:color w:val="auto"/>
          <w:sz w:val="22"/>
          <w:szCs w:val="22"/>
          <w:lang w:val="hu-HU"/>
        </w:rPr>
        <w:t>lenyelni.</w:t>
      </w:r>
    </w:p>
    <w:p w14:paraId="12154C4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61C1369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4.3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Ellenjavallatok</w:t>
      </w:r>
    </w:p>
    <w:p w14:paraId="0E21984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B3E4404" w14:textId="2B22AC51" w:rsidR="00C965AC" w:rsidRPr="008852EB" w:rsidRDefault="00C965AC" w:rsidP="008852EB">
      <w:pPr>
        <w:pStyle w:val="Szvegtrzs1"/>
        <w:spacing w:after="0"/>
      </w:pPr>
      <w:r w:rsidRPr="008852EB">
        <w:rPr>
          <w:u w:val="single"/>
        </w:rPr>
        <w:t>A rozuvasztatin összetevőhöz köthető ellenjavallatok:</w:t>
      </w:r>
    </w:p>
    <w:p w14:paraId="5EC43108" w14:textId="356E96D2" w:rsidR="00C965AC" w:rsidRPr="008852EB" w:rsidRDefault="00C965AC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3" w:name="bookmark29"/>
      <w:bookmarkEnd w:id="3"/>
      <w:r w:rsidRPr="008852EB">
        <w:t>ro</w:t>
      </w:r>
      <w:r w:rsidR="00C6510B" w:rsidRPr="008852EB">
        <w:t>z</w:t>
      </w:r>
      <w:r w:rsidRPr="008852EB">
        <w:t>uvas</w:t>
      </w:r>
      <w:r w:rsidR="00C6510B" w:rsidRPr="008852EB">
        <w:t>z</w:t>
      </w:r>
      <w:r w:rsidRPr="008852EB">
        <w:t>tatin</w:t>
      </w:r>
      <w:r w:rsidR="00C6510B" w:rsidRPr="008852EB">
        <w:t>nal szembeni túlérzékenység</w:t>
      </w:r>
      <w:r w:rsidR="00316D98" w:rsidRPr="008852EB">
        <w:t>;</w:t>
      </w:r>
    </w:p>
    <w:p w14:paraId="2799E91B" w14:textId="06EB7B25" w:rsidR="00C965AC" w:rsidRPr="008852EB" w:rsidRDefault="00316D98" w:rsidP="00D24B7D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 xml:space="preserve">akut </w:t>
      </w:r>
      <w:r w:rsidR="00C6510B" w:rsidRPr="008852EB">
        <w:t>májbetegség, beleértve az ismeretlen eredetű, tartós szérum transzaminázszint</w:t>
      </w:r>
      <w:r w:rsidR="00C6510B" w:rsidRPr="008852EB">
        <w:noBreakHyphen/>
        <w:t>emelkedést, valamint bármilyen szérum transzaminázszint</w:t>
      </w:r>
      <w:r w:rsidR="00C6510B" w:rsidRPr="008852EB">
        <w:noBreakHyphen/>
        <w:t>emelkedést, amennyiben az a normálérték felső határának (ULN, Upper Level of Normal) háromszorosát meghaladja</w:t>
      </w:r>
      <w:r w:rsidRPr="008852EB">
        <w:t>;</w:t>
      </w:r>
    </w:p>
    <w:p w14:paraId="56908B8C" w14:textId="2B46CA80" w:rsidR="00C965AC" w:rsidRPr="008852EB" w:rsidRDefault="00943AF7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4" w:name="bookmark30"/>
      <w:bookmarkEnd w:id="4"/>
      <w:r w:rsidRPr="008852EB">
        <w:t>súlyos vesekárosodás (kreatinin</w:t>
      </w:r>
      <w:r w:rsidRPr="008852EB">
        <w:noBreakHyphen/>
        <w:t>clearance &lt; 30 ml/perc)</w:t>
      </w:r>
      <w:r w:rsidR="00316D98" w:rsidRPr="008852EB">
        <w:t>;</w:t>
      </w:r>
    </w:p>
    <w:p w14:paraId="320D99D9" w14:textId="55D3605F" w:rsidR="0003298C" w:rsidRPr="008852EB" w:rsidRDefault="00316D98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5" w:name="bookmark31"/>
      <w:bookmarkEnd w:id="5"/>
      <w:r w:rsidRPr="008852EB">
        <w:t>m</w:t>
      </w:r>
      <w:r w:rsidR="00C965AC" w:rsidRPr="008852EB">
        <w:t>yopath</w:t>
      </w:r>
      <w:r w:rsidR="00C6510B" w:rsidRPr="008852EB">
        <w:t>i</w:t>
      </w:r>
      <w:r w:rsidR="00697392" w:rsidRPr="008852EB">
        <w:t>a</w:t>
      </w:r>
      <w:r w:rsidRPr="008852EB">
        <w:t>;</w:t>
      </w:r>
    </w:p>
    <w:p w14:paraId="4A08AEA0" w14:textId="6E873CA5" w:rsidR="0003298C" w:rsidRPr="008852EB" w:rsidRDefault="0003298C" w:rsidP="00D24B7D">
      <w:pPr>
        <w:pStyle w:val="Normal1"/>
        <w:numPr>
          <w:ilvl w:val="0"/>
          <w:numId w:val="1"/>
        </w:numPr>
        <w:ind w:left="567" w:hanging="567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egyidejű szofoszbuvir/velpataszvir/voxilaprevir kombinációjával</w:t>
      </w:r>
      <w:r w:rsidR="00316D98" w:rsidRPr="008852EB">
        <w:rPr>
          <w:color w:val="auto"/>
          <w:sz w:val="22"/>
          <w:szCs w:val="22"/>
          <w:lang w:val="hu-HU"/>
        </w:rPr>
        <w:t xml:space="preserve"> végzett</w:t>
      </w:r>
      <w:r w:rsidRPr="008852EB">
        <w:rPr>
          <w:color w:val="auto"/>
          <w:sz w:val="22"/>
          <w:szCs w:val="22"/>
          <w:lang w:val="hu-HU"/>
        </w:rPr>
        <w:t xml:space="preserve"> kezel</w:t>
      </w:r>
      <w:r w:rsidR="00316D98" w:rsidRPr="008852EB">
        <w:rPr>
          <w:color w:val="auto"/>
          <w:sz w:val="22"/>
          <w:szCs w:val="22"/>
          <w:lang w:val="hu-HU"/>
        </w:rPr>
        <w:t>és</w:t>
      </w:r>
      <w:r w:rsidRPr="008852EB">
        <w:rPr>
          <w:color w:val="auto"/>
          <w:sz w:val="22"/>
          <w:szCs w:val="22"/>
          <w:lang w:val="hu-HU"/>
        </w:rPr>
        <w:t xml:space="preserve"> (lásd 4.5. pont)</w:t>
      </w:r>
      <w:r w:rsidR="00316D98" w:rsidRPr="008852EB">
        <w:rPr>
          <w:color w:val="auto"/>
          <w:sz w:val="22"/>
          <w:szCs w:val="22"/>
          <w:lang w:val="hu-HU"/>
        </w:rPr>
        <w:t>;</w:t>
      </w:r>
    </w:p>
    <w:p w14:paraId="5ED4EDE5" w14:textId="754A4645" w:rsidR="00C965AC" w:rsidRPr="008852EB" w:rsidRDefault="00C965AC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6" w:name="bookmark32"/>
      <w:bookmarkEnd w:id="6"/>
      <w:r w:rsidRPr="008852EB">
        <w:t>ci</w:t>
      </w:r>
      <w:r w:rsidR="00316D98" w:rsidRPr="008852EB">
        <w:t>k</w:t>
      </w:r>
      <w:r w:rsidRPr="008852EB">
        <w:t xml:space="preserve">losporin </w:t>
      </w:r>
      <w:r w:rsidR="00C6510B" w:rsidRPr="008852EB">
        <w:t>egyidejű alkalmazása</w:t>
      </w:r>
      <w:r w:rsidR="00316D98" w:rsidRPr="008852EB">
        <w:t>;</w:t>
      </w:r>
    </w:p>
    <w:p w14:paraId="29B76348" w14:textId="43E473D8" w:rsidR="00C965AC" w:rsidRPr="008852EB" w:rsidRDefault="00C6510B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7" w:name="bookmark33"/>
      <w:bookmarkEnd w:id="7"/>
      <w:r w:rsidRPr="008852EB">
        <w:t>terhesség és szoptatás ideje alatt, illetve, ha a fertilis nő nem védekezik megfelelő fogamzásgátló módszerrel</w:t>
      </w:r>
      <w:r w:rsidR="00C965AC" w:rsidRPr="008852EB">
        <w:t>.</w:t>
      </w:r>
    </w:p>
    <w:p w14:paraId="7B6879A6" w14:textId="77777777" w:rsidR="00C965AC" w:rsidRPr="008852EB" w:rsidRDefault="00C965AC" w:rsidP="008852EB">
      <w:pPr>
        <w:pStyle w:val="Szvegtrzs1"/>
        <w:tabs>
          <w:tab w:val="left" w:pos="422"/>
        </w:tabs>
        <w:spacing w:after="0"/>
      </w:pPr>
      <w:bookmarkStart w:id="8" w:name="bookmark34"/>
      <w:bookmarkEnd w:id="8"/>
    </w:p>
    <w:p w14:paraId="720FD3DB" w14:textId="449E2B3C" w:rsidR="00C965AC" w:rsidRPr="008852EB" w:rsidRDefault="00C965AC" w:rsidP="008852EB">
      <w:pPr>
        <w:pStyle w:val="Szvegtrzs1"/>
        <w:spacing w:after="0"/>
      </w:pPr>
      <w:r w:rsidRPr="008852EB">
        <w:rPr>
          <w:u w:val="single"/>
        </w:rPr>
        <w:t>Az acetilszalicilsav összetevőhöz köthető ellenjavallatok:</w:t>
      </w:r>
    </w:p>
    <w:p w14:paraId="643F70D1" w14:textId="10FC13EC" w:rsidR="00C965AC" w:rsidRPr="008852EB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9" w:name="bookmark35"/>
      <w:bookmarkEnd w:id="9"/>
      <w:r w:rsidRPr="008852EB">
        <w:t>acetilszalicilsavval</w:t>
      </w:r>
      <w:r w:rsidR="00C965AC" w:rsidRPr="008852EB">
        <w:t xml:space="preserve">, </w:t>
      </w:r>
      <w:r w:rsidRPr="008852EB">
        <w:t>szalicilátokkal</w:t>
      </w:r>
      <w:r w:rsidR="005E4BD1" w:rsidRPr="008852EB">
        <w:t xml:space="preserve">, </w:t>
      </w:r>
      <w:r w:rsidR="004F4335" w:rsidRPr="008852EB">
        <w:t xml:space="preserve">egyéb </w:t>
      </w:r>
      <w:r w:rsidR="005E4BD1" w:rsidRPr="008852EB">
        <w:t>NSAID készítményekkel</w:t>
      </w:r>
      <w:r w:rsidRPr="008852EB">
        <w:t xml:space="preserve"> szembeni túlérzékenység</w:t>
      </w:r>
      <w:r w:rsidR="00316D98" w:rsidRPr="008852EB">
        <w:t>;</w:t>
      </w:r>
    </w:p>
    <w:p w14:paraId="70D7F04B" w14:textId="12DFEE5F" w:rsidR="00C965AC" w:rsidRPr="00906E75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  <w:rPr>
          <w:bCs/>
        </w:rPr>
      </w:pPr>
      <w:bookmarkStart w:id="10" w:name="bookmark36"/>
      <w:bookmarkEnd w:id="10"/>
      <w:r w:rsidRPr="00906E75">
        <w:rPr>
          <w:bCs/>
        </w:rPr>
        <w:t xml:space="preserve">a kórtörténetben szereplő, </w:t>
      </w:r>
      <w:r w:rsidR="006C2A3B" w:rsidRPr="00906E75">
        <w:rPr>
          <w:bCs/>
        </w:rPr>
        <w:t xml:space="preserve">acetilszalicilsav, </w:t>
      </w:r>
      <w:r w:rsidRPr="001D581E">
        <w:rPr>
          <w:bCs/>
        </w:rPr>
        <w:t xml:space="preserve">szalicilátok vagy egyéb, hasonló hatású </w:t>
      </w:r>
      <w:r w:rsidR="006C2A3B" w:rsidRPr="009840D9">
        <w:rPr>
          <w:bCs/>
        </w:rPr>
        <w:t>gyulladásgátló</w:t>
      </w:r>
      <w:r w:rsidR="003E1369" w:rsidRPr="009840D9">
        <w:rPr>
          <w:bCs/>
        </w:rPr>
        <w:t>,</w:t>
      </w:r>
      <w:r w:rsidR="006C2A3B" w:rsidRPr="009840D9">
        <w:rPr>
          <w:bCs/>
        </w:rPr>
        <w:t xml:space="preserve"> fájdalomcsillapító </w:t>
      </w:r>
      <w:r w:rsidR="00316D98" w:rsidRPr="009840D9">
        <w:rPr>
          <w:bCs/>
        </w:rPr>
        <w:t>ható</w:t>
      </w:r>
      <w:r w:rsidRPr="002E21A8">
        <w:rPr>
          <w:bCs/>
        </w:rPr>
        <w:t>anyagok, különösen NSAID készítmények által kiváltott</w:t>
      </w:r>
      <w:r w:rsidR="00697392" w:rsidRPr="008B7C1B">
        <w:rPr>
          <w:bCs/>
        </w:rPr>
        <w:t xml:space="preserve"> asztmás roham</w:t>
      </w:r>
      <w:r w:rsidR="006C2A3B" w:rsidRPr="0084050A">
        <w:rPr>
          <w:bCs/>
        </w:rPr>
        <w:t xml:space="preserve">, </w:t>
      </w:r>
      <w:r w:rsidR="005D0383" w:rsidRPr="0084050A">
        <w:rPr>
          <w:bCs/>
        </w:rPr>
        <w:t xml:space="preserve">rhinitis és </w:t>
      </w:r>
      <w:r w:rsidR="009A56AA">
        <w:rPr>
          <w:bCs/>
        </w:rPr>
        <w:t>orr</w:t>
      </w:r>
      <w:r w:rsidR="005D0383" w:rsidRPr="0084050A">
        <w:rPr>
          <w:bCs/>
        </w:rPr>
        <w:t xml:space="preserve">polipok </w:t>
      </w:r>
      <w:r w:rsidR="00E42F2D" w:rsidRPr="0084050A">
        <w:rPr>
          <w:bCs/>
        </w:rPr>
        <w:t xml:space="preserve">vagy </w:t>
      </w:r>
      <w:r w:rsidR="00E42F2D" w:rsidRPr="00D85FE0">
        <w:rPr>
          <w:bCs/>
        </w:rPr>
        <w:t>angioneurotikus ödéma</w:t>
      </w:r>
      <w:r w:rsidR="00316D98" w:rsidRPr="00906E75">
        <w:rPr>
          <w:bCs/>
        </w:rPr>
        <w:t>;</w:t>
      </w:r>
    </w:p>
    <w:p w14:paraId="2B706C67" w14:textId="050FFAA3" w:rsidR="00F63535" w:rsidRPr="00C97108" w:rsidRDefault="004726F9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kórelőzmény</w:t>
      </w:r>
      <w:r w:rsidR="00F63535" w:rsidRPr="008852EB">
        <w:t xml:space="preserve">ben </w:t>
      </w:r>
      <w:r w:rsidRPr="008852EB">
        <w:t>szereplő mastocytosis, amely esetben</w:t>
      </w:r>
      <w:r w:rsidR="00F63535" w:rsidRPr="008852EB">
        <w:t xml:space="preserve"> az acetilszalicilsav alkalmazása </w:t>
      </w:r>
      <w:r w:rsidRPr="008852EB">
        <w:t>súlyos túlérzékenységi re</w:t>
      </w:r>
      <w:r w:rsidR="000513F0" w:rsidRPr="008852EB">
        <w:t>a</w:t>
      </w:r>
      <w:r w:rsidRPr="008852EB">
        <w:t>k</w:t>
      </w:r>
      <w:r w:rsidR="000513F0" w:rsidRPr="008852EB">
        <w:t>ciót indukálhat</w:t>
      </w:r>
      <w:r w:rsidR="00176A53" w:rsidRPr="008852EB">
        <w:t xml:space="preserve"> (</w:t>
      </w:r>
      <w:r w:rsidR="00176A53" w:rsidRPr="00C97108">
        <w:t xml:space="preserve">beleértve </w:t>
      </w:r>
      <w:r w:rsidR="00BB33F8" w:rsidRPr="00C97108">
        <w:t xml:space="preserve">a </w:t>
      </w:r>
      <w:r w:rsidR="00176A53" w:rsidRPr="00C97108">
        <w:t>keringési so</w:t>
      </w:r>
      <w:r w:rsidR="00316D98" w:rsidRPr="00C97108">
        <w:t>k</w:t>
      </w:r>
      <w:r w:rsidR="00176A53" w:rsidRPr="00C97108">
        <w:t>k</w:t>
      </w:r>
      <w:r w:rsidR="00BB33F8" w:rsidRPr="00C97108">
        <w:t>ot</w:t>
      </w:r>
      <w:r w:rsidR="00176A53" w:rsidRPr="00C97108">
        <w:t>, vérnyomásesés</w:t>
      </w:r>
      <w:r w:rsidR="00BB33F8" w:rsidRPr="00C97108">
        <w:t>t</w:t>
      </w:r>
      <w:r w:rsidR="00176A53" w:rsidRPr="00C97108">
        <w:t>, tachycardi</w:t>
      </w:r>
      <w:r w:rsidR="00BB33F8" w:rsidRPr="00C97108">
        <w:t>át</w:t>
      </w:r>
      <w:r w:rsidR="00176A53" w:rsidRPr="00C97108">
        <w:t xml:space="preserve"> és hányás</w:t>
      </w:r>
      <w:r w:rsidR="00BB33F8" w:rsidRPr="00C97108">
        <w:t>t</w:t>
      </w:r>
      <w:r w:rsidR="00176A53" w:rsidRPr="00C97108">
        <w:t>)</w:t>
      </w:r>
      <w:r w:rsidR="00316D98" w:rsidRPr="00C97108">
        <w:t>;</w:t>
      </w:r>
    </w:p>
    <w:p w14:paraId="272A5C71" w14:textId="33C86145" w:rsidR="00C965AC" w:rsidRPr="008852EB" w:rsidRDefault="00943AF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1" w:name="bookmark37"/>
      <w:bookmarkEnd w:id="11"/>
      <w:r w:rsidRPr="008852EB">
        <w:t>akut</w:t>
      </w:r>
      <w:r w:rsidR="00DC411B" w:rsidRPr="008852EB">
        <w:t xml:space="preserve"> </w:t>
      </w:r>
      <w:r w:rsidR="00BE562B" w:rsidRPr="008852EB">
        <w:rPr>
          <w:bCs/>
        </w:rPr>
        <w:t>vagy az anamnézisben szereplő</w:t>
      </w:r>
      <w:r w:rsidR="00220AA2">
        <w:rPr>
          <w:bCs/>
        </w:rPr>
        <w:t>,</w:t>
      </w:r>
      <w:r w:rsidR="00BE562B" w:rsidRPr="008852EB">
        <w:rPr>
          <w:bCs/>
        </w:rPr>
        <w:t xml:space="preserve"> visszatérő peptikus fekély</w:t>
      </w:r>
      <w:r w:rsidR="00DC411B" w:rsidRPr="008852EB">
        <w:rPr>
          <w:bCs/>
        </w:rPr>
        <w:t xml:space="preserve"> és/vagy </w:t>
      </w:r>
      <w:r w:rsidR="009A56AA">
        <w:rPr>
          <w:bCs/>
        </w:rPr>
        <w:t>gastrointestinalis</w:t>
      </w:r>
      <w:r w:rsidR="00DC411B" w:rsidRPr="008852EB">
        <w:rPr>
          <w:bCs/>
        </w:rPr>
        <w:t xml:space="preserve"> haemorrhagia</w:t>
      </w:r>
      <w:r w:rsidR="00EC0121" w:rsidRPr="008852EB">
        <w:rPr>
          <w:bCs/>
        </w:rPr>
        <w:t xml:space="preserve"> vagy </w:t>
      </w:r>
      <w:r w:rsidR="009A56AA">
        <w:rPr>
          <w:bCs/>
        </w:rPr>
        <w:t xml:space="preserve">a </w:t>
      </w:r>
      <w:r w:rsidR="00EC0121" w:rsidRPr="008852EB">
        <w:rPr>
          <w:bCs/>
        </w:rPr>
        <w:t>vérzés egyéb fajtája, mint például cerebrovascularis haemorrhagiák</w:t>
      </w:r>
      <w:r w:rsidR="00316D98" w:rsidRPr="008852EB">
        <w:rPr>
          <w:bCs/>
        </w:rPr>
        <w:t>;</w:t>
      </w:r>
    </w:p>
    <w:p w14:paraId="795D6A59" w14:textId="4E9790C3" w:rsidR="00BE562B" w:rsidRPr="008852EB" w:rsidRDefault="00316D9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rPr>
          <w:bCs/>
        </w:rPr>
        <w:t>h</w:t>
      </w:r>
      <w:r w:rsidR="00BE562B" w:rsidRPr="008852EB">
        <w:rPr>
          <w:bCs/>
        </w:rPr>
        <w:t>aemorrhagiás diathesis; véralvadási zavarok, pl. haemophilia és thrombocytopenia</w:t>
      </w:r>
      <w:r w:rsidRPr="008852EB">
        <w:rPr>
          <w:bCs/>
        </w:rPr>
        <w:t>;</w:t>
      </w:r>
    </w:p>
    <w:p w14:paraId="3A26168B" w14:textId="2799586A" w:rsidR="00943AF7" w:rsidRPr="000D38FC" w:rsidRDefault="00943AF7" w:rsidP="008852EB">
      <w:pPr>
        <w:pStyle w:val="Szvegtrzs1"/>
        <w:numPr>
          <w:ilvl w:val="0"/>
          <w:numId w:val="1"/>
        </w:numPr>
        <w:spacing w:after="0"/>
        <w:ind w:left="567" w:hanging="567"/>
        <w:rPr>
          <w:bCs/>
        </w:rPr>
      </w:pPr>
      <w:bookmarkStart w:id="12" w:name="bookmark38"/>
      <w:bookmarkStart w:id="13" w:name="bookmark39"/>
      <w:bookmarkEnd w:id="12"/>
      <w:bookmarkEnd w:id="13"/>
      <w:r w:rsidRPr="00906E75">
        <w:rPr>
          <w:bCs/>
        </w:rPr>
        <w:t>fokozott vérzékenység</w:t>
      </w:r>
      <w:r w:rsidR="00316D98" w:rsidRPr="00906E75">
        <w:rPr>
          <w:bCs/>
        </w:rPr>
        <w:t>;</w:t>
      </w:r>
    </w:p>
    <w:p w14:paraId="084F7DFD" w14:textId="40E1B09A" w:rsidR="00C965AC" w:rsidRPr="008852EB" w:rsidRDefault="00943AF7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súlyos máj- vagy vesekárosodás</w:t>
      </w:r>
      <w:r w:rsidR="00316D98" w:rsidRPr="008852EB">
        <w:t>;</w:t>
      </w:r>
    </w:p>
    <w:p w14:paraId="6CA118D1" w14:textId="2D40D279" w:rsidR="00C965AC" w:rsidRPr="008852EB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4" w:name="bookmark40"/>
      <w:bookmarkEnd w:id="14"/>
      <w:r w:rsidRPr="008852EB">
        <w:t xml:space="preserve">súlyos </w:t>
      </w:r>
      <w:r w:rsidR="00697392" w:rsidRPr="008852EB">
        <w:t xml:space="preserve">dekompenzált </w:t>
      </w:r>
      <w:r w:rsidRPr="008852EB">
        <w:t>szívelégtelenség</w:t>
      </w:r>
      <w:r w:rsidR="00316D98" w:rsidRPr="008852EB">
        <w:t>;</w:t>
      </w:r>
    </w:p>
    <w:p w14:paraId="7B41F5D2" w14:textId="2AD72D39" w:rsidR="00C965AC" w:rsidRPr="008852EB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5" w:name="bookmark41"/>
      <w:bookmarkEnd w:id="15"/>
      <w:r w:rsidRPr="008852EB">
        <w:t>15 mg/hét vagy nagyobb dózisban alkalmazott metotrexát-kezelés (lásd 4.5 pont)</w:t>
      </w:r>
      <w:r w:rsidR="00316D98" w:rsidRPr="008852EB">
        <w:t>;</w:t>
      </w:r>
    </w:p>
    <w:p w14:paraId="4FD654AA" w14:textId="2C5E49E9" w:rsidR="006C40DA" w:rsidRPr="008852EB" w:rsidRDefault="00063B29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6" w:name="bookmark42"/>
      <w:bookmarkEnd w:id="16"/>
      <w:r w:rsidRPr="008852EB">
        <w:t xml:space="preserve">a terhesség utolsó trimeszterében </w:t>
      </w:r>
      <w:r w:rsidR="00C965AC" w:rsidRPr="008852EB">
        <w:t>1</w:t>
      </w:r>
      <w:r w:rsidR="00CD7D05" w:rsidRPr="008852EB">
        <w:t>0</w:t>
      </w:r>
      <w:r w:rsidR="00C965AC" w:rsidRPr="008852EB">
        <w:t>0 mg</w:t>
      </w:r>
      <w:r w:rsidR="00296547" w:rsidRPr="008852EB">
        <w:t>/nap vagy nagyobb dózisban alkalmazott</w:t>
      </w:r>
      <w:r w:rsidR="00C965AC" w:rsidRPr="008852EB">
        <w:t xml:space="preserve"> </w:t>
      </w:r>
      <w:r w:rsidR="00C965AC" w:rsidRPr="008852EB">
        <w:lastRenderedPageBreak/>
        <w:t>acet</w:t>
      </w:r>
      <w:r w:rsidRPr="008852EB">
        <w:t>il</w:t>
      </w:r>
      <w:r w:rsidR="00C965AC" w:rsidRPr="008852EB">
        <w:t>s</w:t>
      </w:r>
      <w:r w:rsidR="00316D98" w:rsidRPr="008852EB">
        <w:t>z</w:t>
      </w:r>
      <w:r w:rsidR="00C965AC" w:rsidRPr="008852EB">
        <w:t>alic</w:t>
      </w:r>
      <w:r w:rsidRPr="008852EB">
        <w:t>i</w:t>
      </w:r>
      <w:r w:rsidR="00C965AC" w:rsidRPr="008852EB">
        <w:t>l</w:t>
      </w:r>
      <w:r w:rsidRPr="008852EB">
        <w:t>sav</w:t>
      </w:r>
      <w:r w:rsidR="00316D98" w:rsidRPr="008852EB">
        <w:t>-</w:t>
      </w:r>
      <w:r w:rsidRPr="008852EB">
        <w:t>kezelés</w:t>
      </w:r>
      <w:r w:rsidR="006C40DA" w:rsidRPr="008852EB">
        <w:t>.</w:t>
      </w:r>
    </w:p>
    <w:p w14:paraId="553DC57D" w14:textId="77777777" w:rsidR="00C965AC" w:rsidRPr="008852EB" w:rsidRDefault="00C965AC" w:rsidP="008852EB">
      <w:pPr>
        <w:pStyle w:val="Szvegtrzs1"/>
        <w:tabs>
          <w:tab w:val="left" w:pos="422"/>
        </w:tabs>
        <w:spacing w:after="0"/>
      </w:pPr>
    </w:p>
    <w:p w14:paraId="3DCE2F2B" w14:textId="78956D36" w:rsidR="00C965AC" w:rsidRPr="008852EB" w:rsidRDefault="00C965AC" w:rsidP="008852EB">
      <w:pPr>
        <w:pStyle w:val="Szvegtrzs1"/>
        <w:spacing w:after="0"/>
      </w:pPr>
      <w:r w:rsidRPr="008852EB">
        <w:rPr>
          <w:u w:val="single"/>
        </w:rPr>
        <w:t xml:space="preserve">A </w:t>
      </w:r>
      <w:r w:rsidR="00F67181" w:rsidRPr="008852EB">
        <w:rPr>
          <w:u w:val="single"/>
        </w:rPr>
        <w:t>XeterDuo</w:t>
      </w:r>
      <w:r w:rsidR="009D0DD9">
        <w:rPr>
          <w:u w:val="single"/>
        </w:rPr>
        <w:t>-</w:t>
      </w:r>
      <w:r w:rsidRPr="008852EB">
        <w:rPr>
          <w:u w:val="single"/>
        </w:rPr>
        <w:t>h</w:t>
      </w:r>
      <w:r w:rsidR="009D0DD9">
        <w:rPr>
          <w:u w:val="single"/>
        </w:rPr>
        <w:t>o</w:t>
      </w:r>
      <w:r w:rsidRPr="008852EB">
        <w:rPr>
          <w:u w:val="single"/>
        </w:rPr>
        <w:t>z köthető ellenjavallatok:</w:t>
      </w:r>
    </w:p>
    <w:p w14:paraId="39DAF225" w14:textId="2A92F375" w:rsidR="00755989" w:rsidRDefault="00316D98" w:rsidP="008852EB">
      <w:pPr>
        <w:pStyle w:val="Szvegtrzs1"/>
        <w:numPr>
          <w:ilvl w:val="0"/>
          <w:numId w:val="1"/>
        </w:numPr>
        <w:tabs>
          <w:tab w:val="left" w:pos="741"/>
        </w:tabs>
        <w:spacing w:after="0"/>
      </w:pPr>
      <w:bookmarkStart w:id="17" w:name="bookmark43"/>
      <w:bookmarkEnd w:id="17"/>
      <w:r w:rsidRPr="008852EB">
        <w:t xml:space="preserve">a készítmény </w:t>
      </w:r>
      <w:r w:rsidR="00C965AC" w:rsidRPr="008852EB">
        <w:t>6.1</w:t>
      </w:r>
      <w:r w:rsidR="00C6510B" w:rsidRPr="008852EB">
        <w:t> pontban felsorolt</w:t>
      </w:r>
      <w:r w:rsidRPr="008852EB">
        <w:t>,</w:t>
      </w:r>
      <w:r w:rsidR="00C6510B" w:rsidRPr="008852EB">
        <w:t xml:space="preserve"> bármely segédanyag</w:t>
      </w:r>
      <w:r w:rsidRPr="008852EB">
        <w:t>áv</w:t>
      </w:r>
      <w:r w:rsidR="00C6510B" w:rsidRPr="008852EB">
        <w:t>al szembeni túlérzékenység</w:t>
      </w:r>
      <w:r w:rsidR="00C43AA4" w:rsidRPr="008852EB">
        <w:t>.</w:t>
      </w:r>
    </w:p>
    <w:p w14:paraId="62929C14" w14:textId="01FB017F" w:rsidR="00D24B7D" w:rsidRPr="008852EB" w:rsidRDefault="00D24B7D" w:rsidP="00D24B7D">
      <w:pPr>
        <w:pStyle w:val="Szvegtrzs1"/>
        <w:numPr>
          <w:ilvl w:val="0"/>
          <w:numId w:val="1"/>
        </w:numPr>
        <w:tabs>
          <w:tab w:val="left" w:pos="741"/>
        </w:tabs>
        <w:spacing w:after="0"/>
      </w:pPr>
      <w:r>
        <w:t>f</w:t>
      </w:r>
      <w:r w:rsidRPr="00D24B7D">
        <w:t>öldimogyoróval vagy szójával szembeni túlérzékenység esetén.</w:t>
      </w:r>
    </w:p>
    <w:p w14:paraId="34A8652D" w14:textId="77777777" w:rsidR="00C965AC" w:rsidRPr="008852EB" w:rsidRDefault="00C965A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F884AF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4.4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Különleges figyelmeztetések és az alkalmazással kapcsolatos óvintézkedések</w:t>
      </w:r>
    </w:p>
    <w:p w14:paraId="4AAF965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26F6BF" w14:textId="45780219" w:rsidR="00755989" w:rsidRPr="008852EB" w:rsidRDefault="00914C0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u w:val="single"/>
        </w:rPr>
      </w:pPr>
      <w:r w:rsidRPr="008852EB">
        <w:rPr>
          <w:rFonts w:ascii="Times New Roman" w:hAnsi="Times New Roman" w:cs="Times New Roman"/>
          <w:b/>
          <w:bCs/>
          <w:color w:val="000000"/>
          <w:u w:val="single"/>
        </w:rPr>
        <w:t>Rozuvasztatin</w:t>
      </w:r>
    </w:p>
    <w:p w14:paraId="763CB99B" w14:textId="66F890C3" w:rsidR="00375288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24E86D5" w14:textId="77777777" w:rsidR="009212C9" w:rsidRPr="00B36C6C" w:rsidRDefault="009212C9" w:rsidP="009212C9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B36C6C">
        <w:rPr>
          <w:color w:val="auto"/>
          <w:sz w:val="22"/>
          <w:szCs w:val="22"/>
          <w:u w:val="single"/>
          <w:lang w:val="hu-HU"/>
        </w:rPr>
        <w:t>Súlyos, bőrt érintő mellékhatások</w:t>
      </w:r>
    </w:p>
    <w:p w14:paraId="3AE8A8CB" w14:textId="3A1D777B" w:rsidR="009212C9" w:rsidRPr="009212C9" w:rsidRDefault="009212C9" w:rsidP="009212C9">
      <w:pPr>
        <w:pStyle w:val="Normal1"/>
        <w:rPr>
          <w:color w:val="auto"/>
          <w:sz w:val="22"/>
          <w:szCs w:val="22"/>
          <w:lang w:val="hu-HU"/>
        </w:rPr>
      </w:pPr>
      <w:r w:rsidRPr="009212C9">
        <w:rPr>
          <w:color w:val="auto"/>
          <w:sz w:val="22"/>
          <w:szCs w:val="22"/>
          <w:lang w:val="hu-HU"/>
        </w:rPr>
        <w:t>A rozuvasztatin kezeléssel kapcsolatban súlyos, bőrt érintő mellékhatásokat jelentettek, beleértve a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Stevens–Johnson-szindrómát (SJS) és az eosinoph</w:t>
      </w:r>
      <w:r w:rsidR="009A56AA">
        <w:rPr>
          <w:color w:val="auto"/>
          <w:sz w:val="22"/>
          <w:szCs w:val="22"/>
          <w:lang w:val="hu-HU"/>
        </w:rPr>
        <w:t>i</w:t>
      </w:r>
      <w:r w:rsidRPr="009212C9">
        <w:rPr>
          <w:color w:val="auto"/>
          <w:sz w:val="22"/>
          <w:szCs w:val="22"/>
          <w:lang w:val="hu-HU"/>
        </w:rPr>
        <w:t>liával és szisztémás tünetekkel járó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gyógyszerreakciót (drug reaction with eosinophilia and systemic symptoms DRESS) is,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amely életveszélyes vagy halálos kimenetű is lehet. A beteget a gyógyszer rendelésekor tájékoztatni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kell a súlyos bőrreakciók jeleiről és tüneteiről, továbbá szoros felügyelet szükséges. Amennyiben</w:t>
      </w:r>
      <w:r w:rsidR="00770AB7">
        <w:rPr>
          <w:color w:val="auto"/>
          <w:sz w:val="22"/>
          <w:szCs w:val="22"/>
          <w:lang w:val="hu-HU"/>
        </w:rPr>
        <w:t xml:space="preserve"> </w:t>
      </w:r>
      <w:proofErr w:type="gramStart"/>
      <w:r w:rsidRPr="009212C9">
        <w:rPr>
          <w:color w:val="auto"/>
          <w:sz w:val="22"/>
          <w:szCs w:val="22"/>
          <w:lang w:val="hu-HU"/>
        </w:rPr>
        <w:t>ezen</w:t>
      </w:r>
      <w:proofErr w:type="gramEnd"/>
      <w:r w:rsidRPr="009212C9">
        <w:rPr>
          <w:color w:val="auto"/>
          <w:sz w:val="22"/>
          <w:szCs w:val="22"/>
          <w:lang w:val="hu-HU"/>
        </w:rPr>
        <w:t xml:space="preserve"> reakciókra utaló jelek és tünetek jelentkeznek a </w:t>
      </w:r>
      <w:r>
        <w:rPr>
          <w:color w:val="auto"/>
          <w:sz w:val="22"/>
          <w:szCs w:val="22"/>
          <w:lang w:val="hu-HU"/>
        </w:rPr>
        <w:t>XeterDuo</w:t>
      </w:r>
      <w:r w:rsidRPr="009212C9">
        <w:rPr>
          <w:color w:val="auto"/>
          <w:sz w:val="22"/>
          <w:szCs w:val="22"/>
          <w:lang w:val="hu-HU"/>
        </w:rPr>
        <w:t xml:space="preserve"> alkalmazását azonnal fel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kell függeszteni, és más kezelés lehetőségét kell megfontolni.</w:t>
      </w:r>
    </w:p>
    <w:p w14:paraId="68D67183" w14:textId="5C835D00" w:rsidR="009212C9" w:rsidRDefault="009212C9" w:rsidP="00770AB7">
      <w:pPr>
        <w:pStyle w:val="Normal1"/>
        <w:rPr>
          <w:color w:val="auto"/>
          <w:sz w:val="22"/>
          <w:szCs w:val="22"/>
          <w:lang w:val="hu-HU"/>
        </w:rPr>
      </w:pPr>
      <w:r w:rsidRPr="009212C9">
        <w:rPr>
          <w:color w:val="auto"/>
          <w:sz w:val="22"/>
          <w:szCs w:val="22"/>
          <w:lang w:val="hu-HU"/>
        </w:rPr>
        <w:t>Ha a betegnél súlyos mellékhatás – például SJS vagy DRESS – jelentkezik a</w:t>
      </w:r>
      <w:r>
        <w:rPr>
          <w:color w:val="auto"/>
          <w:sz w:val="22"/>
          <w:szCs w:val="22"/>
          <w:lang w:val="hu-HU"/>
        </w:rPr>
        <w:t xml:space="preserve"> XeterDuo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 xml:space="preserve">alkalmazása során, akkor ezeknél a betegnél a </w:t>
      </w:r>
      <w:r>
        <w:rPr>
          <w:color w:val="auto"/>
          <w:sz w:val="22"/>
          <w:szCs w:val="22"/>
          <w:lang w:val="hu-HU"/>
        </w:rPr>
        <w:t>XeterDuo</w:t>
      </w:r>
      <w:r w:rsidR="009A56AA">
        <w:rPr>
          <w:color w:val="auto"/>
          <w:sz w:val="22"/>
          <w:szCs w:val="22"/>
          <w:lang w:val="hu-HU"/>
        </w:rPr>
        <w:t>-</w:t>
      </w:r>
      <w:r w:rsidRPr="009212C9">
        <w:rPr>
          <w:color w:val="auto"/>
          <w:sz w:val="22"/>
          <w:szCs w:val="22"/>
          <w:lang w:val="hu-HU"/>
        </w:rPr>
        <w:t>kezelés újrakezdése a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későbbiekben is tilos.</w:t>
      </w:r>
    </w:p>
    <w:p w14:paraId="59D61F0B" w14:textId="77777777" w:rsidR="009212C9" w:rsidRPr="008852EB" w:rsidRDefault="009212C9" w:rsidP="009212C9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2A95570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Vesére gyakorolt hatások</w:t>
      </w:r>
    </w:p>
    <w:p w14:paraId="053F7359" w14:textId="1FC42FD1" w:rsidR="00375288" w:rsidRPr="008852EB" w:rsidRDefault="00316D9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Nagyo</w:t>
      </w:r>
      <w:r w:rsidR="00375288" w:rsidRPr="008852EB">
        <w:rPr>
          <w:color w:val="auto"/>
          <w:sz w:val="22"/>
          <w:szCs w:val="22"/>
          <w:lang w:val="hu-HU"/>
        </w:rPr>
        <w:t>bb r</w:t>
      </w:r>
      <w:r w:rsidR="00B30DF3" w:rsidRPr="008852EB">
        <w:rPr>
          <w:color w:val="auto"/>
          <w:sz w:val="22"/>
          <w:szCs w:val="22"/>
          <w:lang w:val="hu-HU"/>
        </w:rPr>
        <w:t>ozuvasztatin</w:t>
      </w:r>
      <w:r w:rsidR="00375288" w:rsidRPr="008852EB">
        <w:rPr>
          <w:color w:val="auto"/>
          <w:sz w:val="22"/>
          <w:szCs w:val="22"/>
          <w:lang w:val="hu-HU"/>
        </w:rPr>
        <w:t xml:space="preserve"> dózissal, különösen a 40 mg</w:t>
      </w:r>
      <w:r w:rsidR="00375288" w:rsidRPr="008852EB">
        <w:rPr>
          <w:color w:val="auto"/>
          <w:sz w:val="22"/>
          <w:szCs w:val="22"/>
          <w:lang w:val="hu-HU"/>
        </w:rPr>
        <w:noBreakHyphen/>
        <w:t xml:space="preserve">os </w:t>
      </w:r>
      <w:r w:rsidRPr="008852EB">
        <w:rPr>
          <w:color w:val="auto"/>
          <w:sz w:val="22"/>
          <w:szCs w:val="22"/>
          <w:lang w:val="hu-HU"/>
        </w:rPr>
        <w:t xml:space="preserve">dózissal </w:t>
      </w:r>
      <w:r w:rsidR="00375288" w:rsidRPr="008852EB">
        <w:rPr>
          <w:color w:val="auto"/>
          <w:sz w:val="22"/>
          <w:szCs w:val="22"/>
          <w:lang w:val="hu-HU"/>
        </w:rPr>
        <w:t>kezelt betegeknél tesztcsík vizsgálattal kimutatott, főleg tubuláris eredetű proteinuriát figyeltek meg, ami a legtöbb esetben átmeneti volt</w:t>
      </w:r>
      <w:r w:rsidR="00AD72D8" w:rsidRPr="008852EB">
        <w:rPr>
          <w:color w:val="auto"/>
          <w:sz w:val="22"/>
          <w:szCs w:val="22"/>
          <w:lang w:val="hu-HU"/>
        </w:rPr>
        <w:t>,</w:t>
      </w:r>
      <w:r w:rsidR="00375288" w:rsidRPr="008852EB">
        <w:rPr>
          <w:color w:val="auto"/>
          <w:sz w:val="22"/>
          <w:szCs w:val="22"/>
          <w:lang w:val="hu-HU"/>
        </w:rPr>
        <w:t xml:space="preserve"> vagy csak időszakosan jelentkezett. A proteinuria nem feltétlenül jelzi akut vagy súlyosbodó vesebetegség kialakulását (lásd. 4.8 pont). Posztmarketing alkalmazás során a vesét érintő súlyos események jelentési gyakorisága magasabb a 40 mg dózis alkalmazása mellett.</w:t>
      </w:r>
    </w:p>
    <w:p w14:paraId="121D247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30D9985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A vázizomzatra kifejtett hatások</w:t>
      </w:r>
    </w:p>
    <w:p w14:paraId="3BC72915" w14:textId="71AC11B6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vázizmok érintettségéről, mint pl. myalgia, myopathia és ritkán rhabdomyolysis</w:t>
      </w:r>
      <w:r w:rsidR="009A56AA">
        <w:rPr>
          <w:color w:val="auto"/>
          <w:sz w:val="22"/>
          <w:szCs w:val="22"/>
          <w:lang w:val="hu-HU"/>
        </w:rPr>
        <w:t>,</w:t>
      </w:r>
      <w:r w:rsidRPr="008852EB">
        <w:rPr>
          <w:color w:val="auto"/>
          <w:sz w:val="22"/>
          <w:szCs w:val="22"/>
          <w:lang w:val="hu-HU"/>
        </w:rPr>
        <w:t xml:space="preserve"> számoltak be a </w:t>
      </w:r>
      <w:r w:rsidR="006A0175" w:rsidRPr="008852EB">
        <w:rPr>
          <w:color w:val="auto"/>
          <w:sz w:val="22"/>
          <w:szCs w:val="22"/>
          <w:lang w:val="hu-HU"/>
        </w:rPr>
        <w:t>rozuvasztatinn</w:t>
      </w:r>
      <w:r w:rsidRPr="008852EB">
        <w:rPr>
          <w:color w:val="auto"/>
          <w:sz w:val="22"/>
          <w:szCs w:val="22"/>
          <w:lang w:val="hu-HU"/>
        </w:rPr>
        <w:t>al kezelt betegek esetében, az összes dózis, de különösen a 20 mg</w:t>
      </w:r>
      <w:r w:rsidRPr="008852EB">
        <w:rPr>
          <w:color w:val="auto"/>
          <w:sz w:val="22"/>
          <w:szCs w:val="22"/>
          <w:lang w:val="hu-HU"/>
        </w:rPr>
        <w:noBreakHyphen/>
        <w:t xml:space="preserve">nál nagyobb </w:t>
      </w:r>
      <w:r w:rsidR="00316D98" w:rsidRPr="008852EB">
        <w:rPr>
          <w:color w:val="auto"/>
          <w:sz w:val="22"/>
          <w:szCs w:val="22"/>
          <w:lang w:val="hu-HU"/>
        </w:rPr>
        <w:t xml:space="preserve">dózisok </w:t>
      </w:r>
      <w:r w:rsidRPr="008852EB">
        <w:rPr>
          <w:color w:val="auto"/>
          <w:sz w:val="22"/>
          <w:szCs w:val="22"/>
          <w:lang w:val="hu-HU"/>
        </w:rPr>
        <w:t>alkalmazásakor. Rhabdomyolysis nagyon ritka eseteit jelentették ezetimib és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gátlók kombinációjának alkalmazásakor. Mivel farmakodinámiás interakció lehetősége nem zárható ki (lásd 4.5 pont), ezért ezeknek a szereknek a kombinációs alkalmazásakor óvatossággal kell eljárni.</w:t>
      </w:r>
    </w:p>
    <w:p w14:paraId="627FD316" w14:textId="550E0742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Csakúgy, mint más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9A56AA">
        <w:rPr>
          <w:color w:val="auto"/>
          <w:sz w:val="22"/>
          <w:szCs w:val="22"/>
          <w:lang w:val="hu-HU"/>
        </w:rPr>
        <w:t>gátló</w:t>
      </w:r>
      <w:r w:rsidRPr="008852EB">
        <w:rPr>
          <w:color w:val="auto"/>
          <w:sz w:val="22"/>
          <w:szCs w:val="22"/>
          <w:lang w:val="hu-HU"/>
        </w:rPr>
        <w:t xml:space="preserve"> esetében, </w:t>
      </w:r>
      <w:r w:rsidR="009A56AA">
        <w:rPr>
          <w:color w:val="auto"/>
          <w:sz w:val="22"/>
          <w:szCs w:val="22"/>
          <w:lang w:val="hu-HU"/>
        </w:rPr>
        <w:t xml:space="preserve">a </w:t>
      </w:r>
      <w:r w:rsidRPr="008852EB">
        <w:rPr>
          <w:color w:val="auto"/>
          <w:sz w:val="22"/>
          <w:szCs w:val="22"/>
          <w:lang w:val="hu-HU"/>
        </w:rPr>
        <w:t xml:space="preserve">posztmarketing alkalmazás során </w:t>
      </w:r>
      <w:r w:rsidR="009A56AA" w:rsidRPr="008852EB">
        <w:rPr>
          <w:color w:val="auto"/>
          <w:sz w:val="22"/>
          <w:szCs w:val="22"/>
          <w:lang w:val="hu-HU"/>
        </w:rPr>
        <w:t>jelentett</w:t>
      </w:r>
      <w:r w:rsidR="009A56AA">
        <w:rPr>
          <w:color w:val="auto"/>
          <w:sz w:val="22"/>
          <w:szCs w:val="22"/>
          <w:lang w:val="hu-HU"/>
        </w:rPr>
        <w:t>, és</w:t>
      </w:r>
      <w:r w:rsidR="009A56AA" w:rsidRPr="008852EB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a r</w:t>
      </w:r>
      <w:r w:rsidR="006A0175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adásával összefüggésbe hozható rhabdomyolysis esetek gyakorisága </w:t>
      </w:r>
      <w:r w:rsidR="009A56AA">
        <w:rPr>
          <w:color w:val="auto"/>
          <w:sz w:val="22"/>
          <w:szCs w:val="22"/>
          <w:lang w:val="hu-HU"/>
        </w:rPr>
        <w:t xml:space="preserve">magasabb </w:t>
      </w:r>
      <w:r w:rsidRPr="008852EB">
        <w:rPr>
          <w:color w:val="auto"/>
          <w:sz w:val="22"/>
          <w:szCs w:val="22"/>
          <w:lang w:val="hu-HU"/>
        </w:rPr>
        <w:t>a 40 mg</w:t>
      </w:r>
      <w:r w:rsidR="009A56AA">
        <w:rPr>
          <w:color w:val="auto"/>
          <w:sz w:val="22"/>
          <w:szCs w:val="22"/>
          <w:lang w:val="hu-HU"/>
        </w:rPr>
        <w:noBreakHyphen/>
      </w:r>
      <w:r w:rsidR="00316D98" w:rsidRPr="008852EB">
        <w:rPr>
          <w:color w:val="auto"/>
          <w:sz w:val="22"/>
          <w:szCs w:val="22"/>
          <w:lang w:val="hu-HU"/>
        </w:rPr>
        <w:t>os</w:t>
      </w:r>
      <w:r w:rsidRPr="008852EB">
        <w:rPr>
          <w:color w:val="auto"/>
          <w:sz w:val="22"/>
          <w:szCs w:val="22"/>
          <w:lang w:val="hu-HU"/>
        </w:rPr>
        <w:t xml:space="preserve"> dózis esetében.</w:t>
      </w:r>
    </w:p>
    <w:p w14:paraId="531DB2B4" w14:textId="77777777" w:rsidR="002D5B37" w:rsidRPr="002D5B37" w:rsidRDefault="002D5B37" w:rsidP="002D5B37">
      <w:pPr>
        <w:pStyle w:val="Normal1"/>
        <w:rPr>
          <w:color w:val="auto"/>
          <w:sz w:val="22"/>
          <w:szCs w:val="22"/>
          <w:lang w:val="hu-HU"/>
        </w:rPr>
      </w:pPr>
    </w:p>
    <w:p w14:paraId="355D7BA8" w14:textId="77777777" w:rsidR="002D5B37" w:rsidRPr="00B36C6C" w:rsidRDefault="002D5B37" w:rsidP="002D5B37">
      <w:pPr>
        <w:pStyle w:val="Normal1"/>
        <w:rPr>
          <w:i/>
          <w:color w:val="auto"/>
          <w:sz w:val="22"/>
          <w:szCs w:val="22"/>
          <w:lang w:val="hu-HU"/>
        </w:rPr>
      </w:pPr>
      <w:r w:rsidRPr="00B36C6C">
        <w:rPr>
          <w:i/>
          <w:color w:val="auto"/>
          <w:sz w:val="22"/>
          <w:szCs w:val="22"/>
          <w:lang w:val="hu-HU"/>
        </w:rPr>
        <w:t>Neuromuszkuláris hatások</w:t>
      </w:r>
    </w:p>
    <w:p w14:paraId="5CD1D645" w14:textId="0192D76D" w:rsidR="00375288" w:rsidRDefault="002D5B37" w:rsidP="002D5B37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2D5B37">
        <w:rPr>
          <w:color w:val="auto"/>
          <w:sz w:val="22"/>
          <w:szCs w:val="22"/>
          <w:lang w:val="hu-HU"/>
        </w:rPr>
        <w:t xml:space="preserve">Néhány esetben beszámoltak arról, hogy a sztatinok </w:t>
      </w:r>
      <w:r w:rsidRPr="00B36C6C">
        <w:rPr>
          <w:i/>
          <w:iCs/>
          <w:color w:val="auto"/>
          <w:sz w:val="22"/>
          <w:szCs w:val="22"/>
          <w:lang w:val="hu-HU"/>
        </w:rPr>
        <w:t>de novo</w:t>
      </w:r>
      <w:r w:rsidRPr="002D5B37">
        <w:rPr>
          <w:color w:val="auto"/>
          <w:sz w:val="22"/>
          <w:szCs w:val="22"/>
          <w:lang w:val="hu-HU"/>
        </w:rPr>
        <w:t xml:space="preserve"> myasthenia gravist vagy ocularis myastheniát okoztak, illetve súlyosbították ezeket, ha már korábban is fennálltak (lásd 4.8 pont). A Xeter</w:t>
      </w:r>
      <w:r>
        <w:rPr>
          <w:color w:val="auto"/>
          <w:sz w:val="22"/>
          <w:szCs w:val="22"/>
          <w:lang w:val="hu-HU"/>
        </w:rPr>
        <w:t>Duo</w:t>
      </w:r>
      <w:r w:rsidRPr="002D5B37">
        <w:rPr>
          <w:color w:val="auto"/>
          <w:sz w:val="22"/>
          <w:szCs w:val="22"/>
          <w:lang w:val="hu-HU"/>
        </w:rPr>
        <w:t xml:space="preserve"> alkalmazását le kell állítani, ha a tünetek súlyosbodnak. Beszámoltak a tünetek kiújulásáról, miután a beteg (ismét) alkalmazni kezdte ugyanazt vagy egy másik sztatint.</w:t>
      </w:r>
    </w:p>
    <w:p w14:paraId="21DB8600" w14:textId="77777777" w:rsidR="002D5B37" w:rsidRPr="008852EB" w:rsidRDefault="002D5B37" w:rsidP="002D5B37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91608C1" w14:textId="0F5344DD" w:rsidR="00375288" w:rsidRPr="008852EB" w:rsidRDefault="00375288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Kreatin</w:t>
      </w:r>
      <w:r w:rsidRPr="008852EB">
        <w:rPr>
          <w:i/>
          <w:iCs/>
          <w:color w:val="auto"/>
          <w:sz w:val="22"/>
          <w:szCs w:val="22"/>
          <w:lang w:val="hu-HU"/>
        </w:rPr>
        <w:noBreakHyphen/>
        <w:t xml:space="preserve">kináz </w:t>
      </w:r>
      <w:r w:rsidR="00220AA2">
        <w:rPr>
          <w:i/>
          <w:iCs/>
          <w:color w:val="auto"/>
          <w:sz w:val="22"/>
          <w:szCs w:val="22"/>
          <w:lang w:val="hu-HU"/>
        </w:rPr>
        <w:t xml:space="preserve">szintjének </w:t>
      </w:r>
      <w:r w:rsidRPr="008852EB">
        <w:rPr>
          <w:i/>
          <w:iCs/>
          <w:color w:val="auto"/>
          <w:sz w:val="22"/>
          <w:szCs w:val="22"/>
          <w:lang w:val="hu-HU"/>
        </w:rPr>
        <w:t>mérése</w:t>
      </w:r>
    </w:p>
    <w:p w14:paraId="5D5ABF56" w14:textId="16395F39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kreatin</w:t>
      </w:r>
      <w:r w:rsidRPr="008852EB">
        <w:rPr>
          <w:color w:val="auto"/>
          <w:sz w:val="22"/>
          <w:szCs w:val="22"/>
          <w:lang w:val="hu-HU"/>
        </w:rPr>
        <w:noBreakHyphen/>
        <w:t>kináz</w:t>
      </w:r>
      <w:r w:rsidR="00220AA2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 xml:space="preserve">(CK) </w:t>
      </w:r>
      <w:r w:rsidR="00220AA2">
        <w:rPr>
          <w:color w:val="auto"/>
          <w:sz w:val="22"/>
          <w:szCs w:val="22"/>
          <w:lang w:val="hu-HU"/>
        </w:rPr>
        <w:t xml:space="preserve">szintjét </w:t>
      </w:r>
      <w:r w:rsidRPr="008852EB">
        <w:rPr>
          <w:color w:val="auto"/>
          <w:sz w:val="22"/>
          <w:szCs w:val="22"/>
          <w:lang w:val="hu-HU"/>
        </w:rPr>
        <w:t>kimerítő edzést követően vagy a CK</w:t>
      </w:r>
      <w:r w:rsidR="00220AA2">
        <w:rPr>
          <w:color w:val="auto"/>
          <w:sz w:val="22"/>
          <w:szCs w:val="22"/>
          <w:lang w:val="hu-HU"/>
        </w:rPr>
        <w:t>-szint</w:t>
      </w:r>
      <w:r w:rsidRPr="008852EB">
        <w:rPr>
          <w:color w:val="auto"/>
          <w:sz w:val="22"/>
          <w:szCs w:val="22"/>
          <w:lang w:val="hu-HU"/>
        </w:rPr>
        <w:t xml:space="preserve"> növekedésének egyéb kézenfekvő oka esetén nem javasolt mérni, mert a mérési eredmény értékelésében félrevezető lehet. Amennyiben a kiindulási CK</w:t>
      </w:r>
      <w:r w:rsidRPr="008852EB">
        <w:rPr>
          <w:color w:val="auto"/>
          <w:sz w:val="22"/>
          <w:szCs w:val="22"/>
          <w:lang w:val="hu-HU"/>
        </w:rPr>
        <w:noBreakHyphen/>
        <w:t>szintek szignifikánsan megemelkedtek</w:t>
      </w:r>
      <w:r w:rsidRPr="008852EB" w:rsidDel="00F46DBB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(&gt; 5×ULN), 5</w:t>
      </w:r>
      <w:r w:rsidRPr="008852EB">
        <w:rPr>
          <w:color w:val="auto"/>
          <w:sz w:val="22"/>
          <w:szCs w:val="22"/>
          <w:lang w:val="hu-HU"/>
        </w:rPr>
        <w:noBreakHyphen/>
        <w:t>7 napon belül kontrolltesztet kell végezni. Ha az ismételt mérés az alap CK &gt; 5×ULN értékét erősíti meg, a kezelést nem szabad elkezdeni.</w:t>
      </w:r>
    </w:p>
    <w:p w14:paraId="7D6B1D6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1531BF6" w14:textId="77777777" w:rsidR="00375288" w:rsidRPr="008852EB" w:rsidRDefault="00375288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 kezelés megkezdése előtt</w:t>
      </w:r>
    </w:p>
    <w:p w14:paraId="3C645A73" w14:textId="3206C4EE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>t, mint más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A0494F" w:rsidRPr="00A0494F">
        <w:rPr>
          <w:color w:val="auto"/>
          <w:sz w:val="22"/>
          <w:szCs w:val="22"/>
          <w:lang w:val="hu-HU"/>
        </w:rPr>
        <w:t xml:space="preserve"> </w:t>
      </w:r>
      <w:r w:rsidR="00A0494F" w:rsidRPr="008852EB">
        <w:rPr>
          <w:color w:val="auto"/>
          <w:sz w:val="22"/>
          <w:szCs w:val="22"/>
          <w:lang w:val="hu-HU"/>
        </w:rPr>
        <w:t>gátló</w:t>
      </w:r>
      <w:r w:rsidRPr="008852EB">
        <w:rPr>
          <w:color w:val="auto"/>
          <w:sz w:val="22"/>
          <w:szCs w:val="22"/>
          <w:lang w:val="hu-HU"/>
        </w:rPr>
        <w:t>, csak elővigyázatossággal lehet felírni olyan betegeknek, akiknél myopathia/rhabdomyolysis kialakulására hajlamosító tényezők állnak fenn. Ezek a tényezők:</w:t>
      </w:r>
    </w:p>
    <w:p w14:paraId="70EEBC73" w14:textId="5C046FF3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vesekárosodás</w:t>
      </w:r>
      <w:r w:rsidR="00316D98" w:rsidRPr="008852EB">
        <w:t>;</w:t>
      </w:r>
    </w:p>
    <w:p w14:paraId="11C07D58" w14:textId="3147ACB2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lastRenderedPageBreak/>
        <w:t>hypothyreosis</w:t>
      </w:r>
      <w:r w:rsidR="00316D98" w:rsidRPr="008852EB">
        <w:t>;</w:t>
      </w:r>
    </w:p>
    <w:p w14:paraId="20954C4C" w14:textId="25B90654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örökletes izombetegség egyéni megjelenése vagy családi halmozódása</w:t>
      </w:r>
      <w:r w:rsidR="00316D98" w:rsidRPr="008852EB">
        <w:t>;</w:t>
      </w:r>
    </w:p>
    <w:p w14:paraId="1A9CC359" w14:textId="48BDB348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az anamnézisben egyéb HMG</w:t>
      </w:r>
      <w:r w:rsidRPr="008852EB">
        <w:noBreakHyphen/>
        <w:t>CoA</w:t>
      </w:r>
      <w:r w:rsidRPr="008852EB">
        <w:noBreakHyphen/>
        <w:t>reduktáz</w:t>
      </w:r>
      <w:r w:rsidRPr="008852EB">
        <w:noBreakHyphen/>
      </w:r>
      <w:r w:rsidR="00A0494F" w:rsidRPr="008852EB">
        <w:t>gátló</w:t>
      </w:r>
      <w:r w:rsidRPr="008852EB">
        <w:t xml:space="preserve"> vagy fibrát</w:t>
      </w:r>
      <w:r w:rsidRPr="008852EB">
        <w:noBreakHyphen/>
        <w:t>kezelés alkalmazása mellett kialakult izomkárosodás</w:t>
      </w:r>
      <w:r w:rsidR="00316D98" w:rsidRPr="008852EB">
        <w:t>;</w:t>
      </w:r>
    </w:p>
    <w:p w14:paraId="0AFEE89B" w14:textId="6636D995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alkoholabúzus</w:t>
      </w:r>
      <w:r w:rsidR="00316D98" w:rsidRPr="008852EB">
        <w:t>;</w:t>
      </w:r>
    </w:p>
    <w:p w14:paraId="702E296B" w14:textId="61460A76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70 év feletti életkor</w:t>
      </w:r>
      <w:r w:rsidR="00316D98" w:rsidRPr="008852EB">
        <w:t>;</w:t>
      </w:r>
    </w:p>
    <w:p w14:paraId="35F7E708" w14:textId="570C28D5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olyan esetek, amikor a plazmakoncentráció emelkedése fordulhat elő (lásd 4.2, 4.5 és 5.2 pont)</w:t>
      </w:r>
      <w:r w:rsidR="00316D98" w:rsidRPr="008852EB">
        <w:t>;</w:t>
      </w:r>
    </w:p>
    <w:p w14:paraId="0266ECCF" w14:textId="77777777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fibrátok egyidejű alkalmazása.</w:t>
      </w:r>
    </w:p>
    <w:p w14:paraId="41977EF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BEDB0C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Ezeknél a betegeknél a kezeléssel járó kockázatot kell mérlegelni a terápia lehetséges előnyével szemben, továbbá klinikai megfigyelésük javasolt. Amennyiben a kiindulási CK</w:t>
      </w:r>
      <w:r w:rsidRPr="008852EB">
        <w:rPr>
          <w:color w:val="auto"/>
          <w:sz w:val="22"/>
          <w:szCs w:val="22"/>
          <w:lang w:val="hu-HU"/>
        </w:rPr>
        <w:noBreakHyphen/>
        <w:t>szint szignifikánsan magas (&gt; 5×ULN) a kezelést nem szabad elkezdeni.</w:t>
      </w:r>
    </w:p>
    <w:p w14:paraId="18A4A3BC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F2A0F20" w14:textId="77777777" w:rsidR="00375288" w:rsidRPr="008852EB" w:rsidRDefault="00375288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 kezelés ideje alatt</w:t>
      </w:r>
    </w:p>
    <w:p w14:paraId="03B9E121" w14:textId="6782A410" w:rsidR="00C9670F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beteget meg kell kérni, hogy ismeretlen eredetű izomfájdalom, izomgyengeség, vagy izomgörcsök jelentkezéséről haladéktalanul számoljon be, főleg ha azt rosszullét, láz kíséri. Ezeknél a betegeknél a CK</w:t>
      </w:r>
      <w:r w:rsidRPr="008852EB">
        <w:rPr>
          <w:color w:val="auto"/>
          <w:sz w:val="22"/>
          <w:szCs w:val="22"/>
          <w:lang w:val="hu-HU"/>
        </w:rPr>
        <w:noBreakHyphen/>
        <w:t>szintek ellenőrzése szükséges. A terápiát fel kell függeszteni, amennyiben a CK</w:t>
      </w:r>
      <w:r w:rsidRPr="008852EB">
        <w:rPr>
          <w:color w:val="auto"/>
          <w:sz w:val="22"/>
          <w:szCs w:val="22"/>
          <w:lang w:val="hu-HU"/>
        </w:rPr>
        <w:noBreakHyphen/>
        <w:t>szintek jelentősen megemelkednek (&gt; 5×ULN), vagy az izomtünetek súlyossá válnak és a mindennapi tevékenység során panaszokat okoznak (akkor is, ha a CK</w:t>
      </w:r>
      <w:r w:rsidRPr="008852EB">
        <w:rPr>
          <w:color w:val="auto"/>
          <w:sz w:val="22"/>
          <w:szCs w:val="22"/>
          <w:lang w:val="hu-HU"/>
        </w:rPr>
        <w:noBreakHyphen/>
        <w:t>szintek ≤ 5×ULN). Ha a tünetek megszűnnek, és a CK</w:t>
      </w:r>
      <w:r w:rsidRPr="008852EB">
        <w:rPr>
          <w:color w:val="auto"/>
          <w:sz w:val="22"/>
          <w:szCs w:val="22"/>
          <w:lang w:val="hu-HU"/>
        </w:rPr>
        <w:noBreakHyphen/>
        <w:t xml:space="preserve">szint is normalizálódik, a </w:t>
      </w:r>
      <w:r w:rsidR="00316D98" w:rsidRPr="008852EB">
        <w:rPr>
          <w:color w:val="auto"/>
          <w:sz w:val="22"/>
          <w:szCs w:val="22"/>
          <w:lang w:val="hu-HU"/>
        </w:rPr>
        <w:t xml:space="preserve">legkisebb </w:t>
      </w:r>
      <w:r w:rsidRPr="008852EB">
        <w:rPr>
          <w:color w:val="auto"/>
          <w:sz w:val="22"/>
          <w:szCs w:val="22"/>
          <w:lang w:val="hu-HU"/>
        </w:rPr>
        <w:t xml:space="preserve">dózisú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vagy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gátló</w:t>
      </w:r>
      <w:r w:rsidRPr="008852EB">
        <w:rPr>
          <w:color w:val="auto"/>
          <w:sz w:val="22"/>
          <w:szCs w:val="22"/>
          <w:lang w:val="hu-HU"/>
        </w:rPr>
        <w:noBreakHyphen/>
        <w:t>kezelés újraindítása megfontolandó, szoros ellenőrzés mellett. Tünetmentes betegeknél a CK</w:t>
      </w:r>
      <w:r w:rsidRPr="008852EB">
        <w:rPr>
          <w:color w:val="auto"/>
          <w:sz w:val="22"/>
          <w:szCs w:val="22"/>
          <w:lang w:val="hu-HU"/>
        </w:rPr>
        <w:noBreakHyphen/>
        <w:t>szintek ellenőrzése nem indokolt.</w:t>
      </w:r>
    </w:p>
    <w:p w14:paraId="25FF325F" w14:textId="77777777" w:rsidR="00A0494F" w:rsidRDefault="00A0494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B9348CC" w14:textId="30939C50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Nagyon ritkán beszámoltak immunmediált nekrotizáló myopathiáról a sztatin</w:t>
      </w:r>
      <w:r w:rsidRPr="008852EB">
        <w:rPr>
          <w:color w:val="auto"/>
          <w:sz w:val="22"/>
          <w:szCs w:val="22"/>
          <w:lang w:val="hu-HU"/>
        </w:rPr>
        <w:noBreakHyphen/>
        <w:t xml:space="preserve">kezelés </w:t>
      </w:r>
      <w:r w:rsidR="00316D98" w:rsidRPr="008852EB">
        <w:rPr>
          <w:color w:val="auto"/>
          <w:sz w:val="22"/>
          <w:szCs w:val="22"/>
          <w:lang w:val="hu-HU"/>
        </w:rPr>
        <w:t>–</w:t>
      </w:r>
      <w:r w:rsidRPr="008852EB">
        <w:rPr>
          <w:color w:val="auto"/>
          <w:sz w:val="22"/>
          <w:szCs w:val="22"/>
          <w:lang w:val="hu-HU"/>
        </w:rPr>
        <w:t xml:space="preserve"> beleértve a rozuvasztatint is </w:t>
      </w:r>
      <w:r w:rsidR="00316D98" w:rsidRPr="008852EB">
        <w:rPr>
          <w:color w:val="auto"/>
          <w:sz w:val="22"/>
          <w:szCs w:val="22"/>
          <w:lang w:val="hu-HU"/>
        </w:rPr>
        <w:t>–</w:t>
      </w:r>
      <w:r w:rsidRPr="008852EB">
        <w:rPr>
          <w:color w:val="auto"/>
          <w:sz w:val="22"/>
          <w:szCs w:val="22"/>
          <w:lang w:val="hu-HU"/>
        </w:rPr>
        <w:t xml:space="preserve"> alatt vagy után. Az immunmediált nekrotizáló myopathiát klinikailag tartós proxim</w:t>
      </w:r>
      <w:r w:rsidR="00A0494F">
        <w:rPr>
          <w:color w:val="auto"/>
          <w:sz w:val="22"/>
          <w:szCs w:val="22"/>
          <w:lang w:val="hu-HU"/>
        </w:rPr>
        <w:t>á</w:t>
      </w:r>
      <w:r w:rsidRPr="008852EB">
        <w:rPr>
          <w:color w:val="auto"/>
          <w:sz w:val="22"/>
          <w:szCs w:val="22"/>
          <w:lang w:val="hu-HU"/>
        </w:rPr>
        <w:t>lis izomgyengeség és emelkedett szérum kreatin</w:t>
      </w:r>
      <w:r w:rsidRPr="008852EB">
        <w:rPr>
          <w:color w:val="auto"/>
          <w:sz w:val="22"/>
          <w:szCs w:val="22"/>
          <w:lang w:val="hu-HU"/>
        </w:rPr>
        <w:noBreakHyphen/>
        <w:t>kináz</w:t>
      </w:r>
      <w:r w:rsidR="002D7013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szint jellemzi, ami a sztatin</w:t>
      </w:r>
      <w:r w:rsidRPr="008852EB">
        <w:rPr>
          <w:color w:val="auto"/>
          <w:sz w:val="22"/>
          <w:szCs w:val="22"/>
          <w:lang w:val="hu-HU"/>
        </w:rPr>
        <w:noBreakHyphen/>
        <w:t>kezelés megszakítása ellenére is fennmarad.</w:t>
      </w:r>
    </w:p>
    <w:p w14:paraId="2C5C6B7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09468C8" w14:textId="046662D8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Klinikai vizsgálatokban, a r</w:t>
      </w:r>
      <w:r w:rsidR="008921E4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kombinációs terápiával kezelt kis betegcsoportban, a vázizmokat érintő mellékhatások növekedése nem volt bizonyított. Ugyanakkor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A0494F" w:rsidRPr="00A0494F">
        <w:rPr>
          <w:color w:val="auto"/>
          <w:sz w:val="22"/>
          <w:szCs w:val="22"/>
          <w:lang w:val="hu-HU"/>
        </w:rPr>
        <w:t xml:space="preserve"> </w:t>
      </w:r>
      <w:r w:rsidR="00A0494F" w:rsidRPr="008852EB">
        <w:rPr>
          <w:color w:val="auto"/>
          <w:sz w:val="22"/>
          <w:szCs w:val="22"/>
          <w:lang w:val="hu-HU"/>
        </w:rPr>
        <w:t>gátló</w:t>
      </w:r>
      <w:r w:rsidRPr="008852EB">
        <w:rPr>
          <w:color w:val="auto"/>
          <w:sz w:val="22"/>
          <w:szCs w:val="22"/>
          <w:lang w:val="hu-HU"/>
        </w:rPr>
        <w:t xml:space="preserve"> és fibrát</w:t>
      </w:r>
      <w:r w:rsidRPr="008852EB">
        <w:rPr>
          <w:color w:val="auto"/>
          <w:sz w:val="22"/>
          <w:szCs w:val="22"/>
          <w:lang w:val="hu-HU"/>
        </w:rPr>
        <w:noBreakHyphen/>
        <w:t xml:space="preserve">származékok </w:t>
      </w:r>
      <w:r w:rsidR="00A0494F">
        <w:rPr>
          <w:color w:val="auto"/>
          <w:sz w:val="22"/>
          <w:szCs w:val="22"/>
          <w:lang w:val="hu-HU"/>
        </w:rPr>
        <w:t>(</w:t>
      </w:r>
      <w:r w:rsidRPr="008852EB">
        <w:rPr>
          <w:color w:val="auto"/>
          <w:sz w:val="22"/>
          <w:szCs w:val="22"/>
          <w:lang w:val="hu-HU"/>
        </w:rPr>
        <w:t>mint pl. gemfibrozil</w:t>
      </w:r>
      <w:r w:rsidR="00A0494F">
        <w:rPr>
          <w:color w:val="auto"/>
          <w:sz w:val="22"/>
          <w:szCs w:val="22"/>
          <w:lang w:val="hu-HU"/>
        </w:rPr>
        <w:t>)</w:t>
      </w:r>
      <w:r w:rsidRPr="008852EB">
        <w:rPr>
          <w:color w:val="auto"/>
          <w:sz w:val="22"/>
          <w:szCs w:val="22"/>
          <w:lang w:val="hu-HU"/>
        </w:rPr>
        <w:t>, ciklosporin, nikotinsav, azol</w:t>
      </w:r>
      <w:r w:rsidRPr="008852EB">
        <w:rPr>
          <w:color w:val="auto"/>
          <w:sz w:val="22"/>
          <w:szCs w:val="22"/>
          <w:lang w:val="hu-HU"/>
        </w:rPr>
        <w:noBreakHyphen/>
        <w:t>típusú antimikotikumok, proteáz</w:t>
      </w:r>
      <w:r w:rsidRPr="008852EB">
        <w:rPr>
          <w:color w:val="auto"/>
          <w:sz w:val="22"/>
          <w:szCs w:val="22"/>
          <w:lang w:val="hu-HU"/>
        </w:rPr>
        <w:noBreakHyphen/>
        <w:t xml:space="preserve">inhibitorok és makrolid antibiotikumok együttadásakor </w:t>
      </w:r>
      <w:r w:rsidR="00A0494F">
        <w:rPr>
          <w:color w:val="auto"/>
          <w:sz w:val="22"/>
          <w:szCs w:val="22"/>
          <w:lang w:val="hu-HU"/>
        </w:rPr>
        <w:t xml:space="preserve">a </w:t>
      </w:r>
      <w:r w:rsidRPr="008852EB">
        <w:rPr>
          <w:color w:val="auto"/>
          <w:sz w:val="22"/>
          <w:szCs w:val="22"/>
          <w:lang w:val="hu-HU"/>
        </w:rPr>
        <w:t>myositis és myopathia incidenciájának növekedését figyelték meg. A gemfibrozil,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A0494F" w:rsidRPr="00A0494F">
        <w:rPr>
          <w:color w:val="auto"/>
          <w:sz w:val="22"/>
          <w:szCs w:val="22"/>
          <w:lang w:val="hu-HU"/>
        </w:rPr>
        <w:t xml:space="preserve"> </w:t>
      </w:r>
      <w:r w:rsidR="00A0494F">
        <w:rPr>
          <w:color w:val="auto"/>
          <w:sz w:val="22"/>
          <w:szCs w:val="22"/>
          <w:lang w:val="hu-HU"/>
        </w:rPr>
        <w:t>gátlóval</w:t>
      </w:r>
      <w:r w:rsidRPr="008852EB">
        <w:rPr>
          <w:color w:val="auto"/>
          <w:sz w:val="22"/>
          <w:szCs w:val="22"/>
          <w:lang w:val="hu-HU"/>
        </w:rPr>
        <w:t xml:space="preserve"> együttadva növeli a myopathia kockázatát, ezért a </w:t>
      </w:r>
      <w:r w:rsidR="00C046B3" w:rsidRPr="008852EB">
        <w:rPr>
          <w:color w:val="auto"/>
          <w:sz w:val="22"/>
          <w:szCs w:val="22"/>
          <w:lang w:val="hu-HU"/>
        </w:rPr>
        <w:t>rozuvasztatin/acetilszalicilsav</w:t>
      </w:r>
      <w:r w:rsidRPr="008852EB">
        <w:rPr>
          <w:color w:val="auto"/>
          <w:sz w:val="22"/>
          <w:szCs w:val="22"/>
          <w:lang w:val="hu-HU"/>
        </w:rPr>
        <w:t xml:space="preserve"> és a gemfibrozil kombinációja nem javasolt.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fibrátokkal vagy niacinnal kombinált alkalmazásakor gondosan mérlegelni kell a további lipidszint</w:t>
      </w:r>
      <w:r w:rsidRPr="008852EB">
        <w:rPr>
          <w:color w:val="auto"/>
          <w:sz w:val="22"/>
          <w:szCs w:val="22"/>
          <w:lang w:val="hu-HU"/>
        </w:rPr>
        <w:noBreakHyphen/>
        <w:t xml:space="preserve">csökkentés előnyével szemben az ezen kombinációk alkalmazásának </w:t>
      </w:r>
      <w:r w:rsidR="002D7013">
        <w:rPr>
          <w:color w:val="auto"/>
          <w:sz w:val="22"/>
          <w:szCs w:val="22"/>
          <w:lang w:val="hu-HU"/>
        </w:rPr>
        <w:t>kockázat</w:t>
      </w:r>
      <w:r w:rsidR="002D7013" w:rsidRPr="008852EB">
        <w:rPr>
          <w:color w:val="auto"/>
          <w:sz w:val="22"/>
          <w:szCs w:val="22"/>
          <w:lang w:val="hu-HU"/>
        </w:rPr>
        <w:t xml:space="preserve">át </w:t>
      </w:r>
      <w:r w:rsidRPr="008852EB">
        <w:rPr>
          <w:color w:val="auto"/>
          <w:sz w:val="22"/>
          <w:szCs w:val="22"/>
          <w:lang w:val="hu-HU"/>
        </w:rPr>
        <w:t>(lásd 4.5 és 4.8 pont).</w:t>
      </w:r>
    </w:p>
    <w:p w14:paraId="0884C0B6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7E1C9ED" w14:textId="5394E762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="00B5258A" w:rsidRPr="008852EB">
        <w:rPr>
          <w:color w:val="auto"/>
          <w:sz w:val="22"/>
          <w:szCs w:val="22"/>
          <w:lang w:val="hu-HU"/>
        </w:rPr>
        <w:t>-t</w:t>
      </w:r>
      <w:r w:rsidRPr="008852EB">
        <w:rPr>
          <w:color w:val="auto"/>
          <w:sz w:val="22"/>
          <w:szCs w:val="22"/>
          <w:lang w:val="hu-HU"/>
        </w:rPr>
        <w:t xml:space="preserve"> tilos egyidejűleg alkalmazni szisztémásan adott fuzidinsavval vagy a fuzidinsav</w:t>
      </w:r>
      <w:r w:rsidRPr="008852EB">
        <w:rPr>
          <w:color w:val="auto"/>
          <w:sz w:val="22"/>
          <w:szCs w:val="22"/>
          <w:lang w:val="hu-HU"/>
        </w:rPr>
        <w:noBreakHyphen/>
        <w:t>kezelés abbahagyását követően 7 napon belül. Azoknál a betegeknél, akiknél elkerülhetetlen a szisztémás fuzidinsav</w:t>
      </w:r>
      <w:r w:rsidRPr="008852EB">
        <w:rPr>
          <w:color w:val="auto"/>
          <w:sz w:val="22"/>
          <w:szCs w:val="22"/>
          <w:lang w:val="hu-HU"/>
        </w:rPr>
        <w:noBreakHyphen/>
        <w:t>kezelés, a sztatin</w:t>
      </w:r>
      <w:r w:rsidRPr="008852EB">
        <w:rPr>
          <w:color w:val="auto"/>
          <w:sz w:val="22"/>
          <w:szCs w:val="22"/>
          <w:lang w:val="hu-HU"/>
        </w:rPr>
        <w:noBreakHyphen/>
        <w:t>kezelést a fuzidinsav</w:t>
      </w:r>
      <w:r w:rsidRPr="008852EB">
        <w:rPr>
          <w:color w:val="auto"/>
          <w:sz w:val="22"/>
          <w:szCs w:val="22"/>
          <w:lang w:val="hu-HU"/>
        </w:rPr>
        <w:noBreakHyphen/>
        <w:t>kezelés teljes időtartamára le kell állítani. A fuzidinsav és a sztatinok kombinációjával kezelt betegeknél előfordultak rhabdomyolysis esetek (néhány halálos kimenetelű esetet is beleértve) (lásd 4.5 pont). A betegeket figyelmeztetni kell, hogy amennyiben bármilyen izomgyengeséget, izomfájdalmat vagy izomérzékenységet tapasztalnak, azonnal forduljanak orvoshoz.</w:t>
      </w:r>
    </w:p>
    <w:p w14:paraId="6472A96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sztatin</w:t>
      </w:r>
      <w:r w:rsidRPr="008852EB">
        <w:rPr>
          <w:color w:val="auto"/>
          <w:sz w:val="22"/>
          <w:szCs w:val="22"/>
          <w:lang w:val="hu-HU"/>
        </w:rPr>
        <w:noBreakHyphen/>
        <w:t>kezelést a fuzidinsav utolsó adagjának beadása után hét nappal lehet újrakezdeni.</w:t>
      </w:r>
    </w:p>
    <w:p w14:paraId="2540623C" w14:textId="33C5CCE0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Kivételes esetekben, </w:t>
      </w:r>
      <w:r w:rsidR="00A0494F" w:rsidRPr="008852EB">
        <w:rPr>
          <w:color w:val="auto"/>
          <w:sz w:val="22"/>
          <w:szCs w:val="22"/>
          <w:lang w:val="hu-HU"/>
        </w:rPr>
        <w:t xml:space="preserve">például súlyos fertőzések </w:t>
      </w:r>
      <w:r w:rsidR="00A0494F">
        <w:rPr>
          <w:color w:val="auto"/>
          <w:sz w:val="22"/>
          <w:szCs w:val="22"/>
          <w:lang w:val="hu-HU"/>
        </w:rPr>
        <w:t xml:space="preserve">esetén, </w:t>
      </w:r>
      <w:r w:rsidRPr="008852EB">
        <w:rPr>
          <w:color w:val="auto"/>
          <w:sz w:val="22"/>
          <w:szCs w:val="22"/>
          <w:lang w:val="hu-HU"/>
        </w:rPr>
        <w:t>ahol tartós fuzidinsav</w:t>
      </w:r>
      <w:r w:rsidRPr="008852EB">
        <w:rPr>
          <w:color w:val="auto"/>
          <w:sz w:val="22"/>
          <w:szCs w:val="22"/>
          <w:lang w:val="hu-HU"/>
        </w:rPr>
        <w:noBreakHyphen/>
        <w:t xml:space="preserve">kezelésre van szükség,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és a fuzidinsav egyidejű alkalmazásának szükségességét csak eseti elbírálás alapján </w:t>
      </w:r>
      <w:r w:rsidR="00DC3176">
        <w:rPr>
          <w:color w:val="auto"/>
          <w:sz w:val="22"/>
          <w:szCs w:val="22"/>
          <w:lang w:val="hu-HU"/>
        </w:rPr>
        <w:t>szabad</w:t>
      </w:r>
      <w:r w:rsidRPr="008852EB">
        <w:rPr>
          <w:color w:val="auto"/>
          <w:sz w:val="22"/>
          <w:szCs w:val="22"/>
          <w:lang w:val="hu-HU"/>
        </w:rPr>
        <w:t xml:space="preserve"> mérlegelni, és kizárólag szoros orvosi felügyelet alatt végezhető.</w:t>
      </w:r>
    </w:p>
    <w:p w14:paraId="57B97469" w14:textId="77777777" w:rsidR="00314629" w:rsidRDefault="0031462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34D49C4" w14:textId="091F0875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 xml:space="preserve">t nem szabad </w:t>
      </w:r>
      <w:r w:rsidR="00DC3176">
        <w:rPr>
          <w:color w:val="auto"/>
          <w:sz w:val="22"/>
          <w:szCs w:val="22"/>
          <w:lang w:val="hu-HU"/>
        </w:rPr>
        <w:t xml:space="preserve">azokban a </w:t>
      </w:r>
      <w:r w:rsidRPr="008852EB">
        <w:rPr>
          <w:color w:val="auto"/>
          <w:sz w:val="22"/>
          <w:szCs w:val="22"/>
          <w:lang w:val="hu-HU"/>
        </w:rPr>
        <w:t>súlyos, akut állapot</w:t>
      </w:r>
      <w:r w:rsidR="00DC3176">
        <w:rPr>
          <w:color w:val="auto"/>
          <w:sz w:val="22"/>
          <w:szCs w:val="22"/>
          <w:lang w:val="hu-HU"/>
        </w:rPr>
        <w:t>ok</w:t>
      </w:r>
      <w:r w:rsidRPr="008852EB">
        <w:rPr>
          <w:color w:val="auto"/>
          <w:sz w:val="22"/>
          <w:szCs w:val="22"/>
          <w:lang w:val="hu-HU"/>
        </w:rPr>
        <w:t xml:space="preserve">ban alkalmazni, amikor </w:t>
      </w:r>
      <w:r w:rsidR="00DC3176">
        <w:rPr>
          <w:color w:val="auto"/>
          <w:sz w:val="22"/>
          <w:szCs w:val="22"/>
          <w:lang w:val="hu-HU"/>
        </w:rPr>
        <w:t xml:space="preserve">felmerül a </w:t>
      </w:r>
      <w:r w:rsidRPr="008852EB">
        <w:rPr>
          <w:color w:val="auto"/>
          <w:sz w:val="22"/>
          <w:szCs w:val="22"/>
          <w:lang w:val="hu-HU"/>
        </w:rPr>
        <w:t>myopathia, vagy a rhabdomyolysis miatti szekunder veseelégtelenség kialakulásá</w:t>
      </w:r>
      <w:r w:rsidR="004A373D">
        <w:rPr>
          <w:color w:val="auto"/>
          <w:sz w:val="22"/>
          <w:szCs w:val="22"/>
          <w:lang w:val="hu-HU"/>
        </w:rPr>
        <w:t>ra hajlamosító</w:t>
      </w:r>
      <w:r w:rsidR="00314629" w:rsidRPr="008852EB">
        <w:rPr>
          <w:color w:val="auto"/>
          <w:sz w:val="22"/>
          <w:szCs w:val="22"/>
          <w:lang w:val="hu-HU"/>
        </w:rPr>
        <w:t xml:space="preserve"> </w:t>
      </w:r>
      <w:r w:rsidR="004A373D">
        <w:rPr>
          <w:color w:val="auto"/>
          <w:sz w:val="22"/>
          <w:szCs w:val="22"/>
          <w:lang w:val="hu-HU"/>
        </w:rPr>
        <w:t>tényező fennállása</w:t>
      </w:r>
      <w:r w:rsidRPr="008852EB">
        <w:rPr>
          <w:color w:val="auto"/>
          <w:sz w:val="22"/>
          <w:szCs w:val="22"/>
          <w:lang w:val="hu-HU"/>
        </w:rPr>
        <w:t xml:space="preserve"> (pl. sepsis, hypotensio, nagyobb műtéti beavatkozás, trauma, súlyos metabolikus és endokrin rendellenességek, az elektrolit</w:t>
      </w:r>
      <w:r w:rsidRPr="008852EB">
        <w:rPr>
          <w:color w:val="auto"/>
          <w:sz w:val="22"/>
          <w:szCs w:val="22"/>
          <w:lang w:val="hu-HU"/>
        </w:rPr>
        <w:noBreakHyphen/>
        <w:t>háztartás zavara, kezeletlen görcsök).</w:t>
      </w:r>
    </w:p>
    <w:p w14:paraId="1713901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48C6CF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Májra gyakorolt hatások</w:t>
      </w:r>
    </w:p>
    <w:p w14:paraId="7A3C5388" w14:textId="42447E05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Mint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 xml:space="preserve">gátló esetében is,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alkalmazása óvatosságot igényel nagy </w:t>
      </w:r>
      <w:r w:rsidRPr="008852EB">
        <w:rPr>
          <w:color w:val="auto"/>
          <w:sz w:val="22"/>
          <w:szCs w:val="22"/>
          <w:lang w:val="hu-HU"/>
        </w:rPr>
        <w:lastRenderedPageBreak/>
        <w:t>mennyiségű alkoholt fogyasztó betegeknél és/vagy amennyiben az anamnézisben valamely májbetegség szerepel.</w:t>
      </w:r>
    </w:p>
    <w:p w14:paraId="58A52D8F" w14:textId="06941632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Májfunkciós vizsgálatok elvégzése javasolt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alkalmazását megelőzően, illetve a </w:t>
      </w:r>
      <w:r w:rsidR="00A45822" w:rsidRPr="008852EB">
        <w:rPr>
          <w:color w:val="auto"/>
          <w:sz w:val="22"/>
          <w:szCs w:val="22"/>
          <w:lang w:val="hu-HU"/>
        </w:rPr>
        <w:t>rozuvasztatin</w:t>
      </w:r>
      <w:r w:rsidR="00945D12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 xml:space="preserve">kezelés kezdetétől számított három hónap múlva.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alkalmazásának </w:t>
      </w:r>
      <w:r w:rsidRPr="008852EB">
        <w:rPr>
          <w:color w:val="auto"/>
          <w:sz w:val="22"/>
          <w:szCs w:val="22"/>
          <w:lang w:val="hu-HU"/>
        </w:rPr>
        <w:t>felfüggesztése vagy a</w:t>
      </w:r>
      <w:r w:rsidR="00A45822" w:rsidRPr="008852EB">
        <w:rPr>
          <w:color w:val="auto"/>
          <w:sz w:val="22"/>
          <w:szCs w:val="22"/>
          <w:lang w:val="hu-HU"/>
        </w:rPr>
        <w:t xml:space="preserve"> ro</w:t>
      </w:r>
      <w:r w:rsidRPr="008852EB">
        <w:rPr>
          <w:color w:val="auto"/>
          <w:sz w:val="22"/>
          <w:szCs w:val="22"/>
          <w:lang w:val="hu-HU"/>
        </w:rPr>
        <w:t>z</w:t>
      </w:r>
      <w:r w:rsidR="00A45822" w:rsidRPr="008852EB">
        <w:rPr>
          <w:color w:val="auto"/>
          <w:sz w:val="22"/>
          <w:szCs w:val="22"/>
          <w:lang w:val="hu-HU"/>
        </w:rPr>
        <w:t>uvasztatin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dózis </w:t>
      </w:r>
      <w:r w:rsidRPr="008852EB">
        <w:rPr>
          <w:color w:val="auto"/>
          <w:sz w:val="22"/>
          <w:szCs w:val="22"/>
          <w:lang w:val="hu-HU"/>
        </w:rPr>
        <w:t xml:space="preserve">csökkentése szükséges, amennyiben a szérum transzaminázszintek a normálérték felső határának </w:t>
      </w:r>
      <w:r w:rsidR="00A45822" w:rsidRPr="008852EB">
        <w:rPr>
          <w:color w:val="auto"/>
          <w:sz w:val="22"/>
          <w:szCs w:val="22"/>
          <w:lang w:val="hu-HU"/>
        </w:rPr>
        <w:t xml:space="preserve">(ULN) </w:t>
      </w:r>
      <w:r w:rsidRPr="008852EB">
        <w:rPr>
          <w:color w:val="auto"/>
          <w:sz w:val="22"/>
          <w:szCs w:val="22"/>
          <w:lang w:val="hu-HU"/>
        </w:rPr>
        <w:t>háromszorosát meghaladják.</w:t>
      </w:r>
    </w:p>
    <w:p w14:paraId="53D1A37C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Posztmarketing alkalmazás során a májat érintő, súlyos (főleg emelkedett transzaminázszintek formájában jelentkező) események gyakorisága a 40 mg</w:t>
      </w:r>
      <w:r w:rsidRPr="008852EB">
        <w:rPr>
          <w:color w:val="auto"/>
          <w:sz w:val="22"/>
          <w:szCs w:val="22"/>
          <w:lang w:val="hu-HU"/>
        </w:rPr>
        <w:noBreakHyphen/>
        <w:t>os dózis alkalmazása mellett magasabb volt.</w:t>
      </w:r>
    </w:p>
    <w:p w14:paraId="2C79B267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3BDD18A" w14:textId="7A243DA6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Azoknál a betegeknél, akiknél hypothyreosis vagy nephrosis</w:t>
      </w:r>
      <w:r w:rsidR="001C2CC5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 xml:space="preserve">szindróma következtében secundaer hypercholesterinaemia alakul ki,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>terápia megkezdése előtt az alapbetegség kezelése szükséges.</w:t>
      </w:r>
    </w:p>
    <w:p w14:paraId="341C76D9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30822E5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Népcsoportok</w:t>
      </w:r>
    </w:p>
    <w:p w14:paraId="2A2F90A5" w14:textId="5B5E0011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Farmakokinetikai vizsgálatokban ázsiai személyeknél emelkedett expozíciót tapasztaltak a kaukázusiakkal összehasonlítva (lásd 4.2, 4.3 és 5.2 pont).</w:t>
      </w:r>
    </w:p>
    <w:p w14:paraId="7DCCE187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7F50535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Proteáz</w:t>
      </w:r>
      <w:r w:rsidRPr="008852EB">
        <w:rPr>
          <w:color w:val="auto"/>
          <w:sz w:val="22"/>
          <w:szCs w:val="22"/>
          <w:u w:val="single"/>
          <w:lang w:val="hu-HU"/>
        </w:rPr>
        <w:noBreakHyphen/>
        <w:t>inhibitorok</w:t>
      </w:r>
    </w:p>
    <w:p w14:paraId="4DD5A42F" w14:textId="5F0E2383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megnövekedett szisztémás expozícióját figyelték meg azoknál az alanyoknál, akik rozuvasztatint kaptak egyidejűleg különböző proteáz</w:t>
      </w:r>
      <w:r w:rsidRPr="008852EB">
        <w:rPr>
          <w:color w:val="auto"/>
          <w:sz w:val="22"/>
          <w:szCs w:val="22"/>
          <w:lang w:val="hu-HU"/>
        </w:rPr>
        <w:noBreakHyphen/>
        <w:t>inhibitorok és ritonavir kombinációjával. Figyelembe kell venni a proteáz</w:t>
      </w:r>
      <w:r w:rsidRPr="008852EB">
        <w:rPr>
          <w:color w:val="auto"/>
          <w:sz w:val="22"/>
          <w:szCs w:val="22"/>
          <w:lang w:val="hu-HU"/>
        </w:rPr>
        <w:noBreakHyphen/>
        <w:t>inhibitorokat kapó HIV</w:t>
      </w:r>
      <w:r w:rsidR="001C2CC5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 xml:space="preserve">betegek esetében a </w:t>
      </w:r>
      <w:r w:rsidR="00677EB7" w:rsidRPr="008852EB">
        <w:rPr>
          <w:color w:val="auto"/>
          <w:sz w:val="22"/>
          <w:szCs w:val="22"/>
          <w:lang w:val="hu-HU"/>
        </w:rPr>
        <w:t>rozuvasztatin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alkalmazása </w:t>
      </w:r>
      <w:r w:rsidRPr="008852EB">
        <w:rPr>
          <w:color w:val="auto"/>
          <w:sz w:val="22"/>
          <w:szCs w:val="22"/>
          <w:lang w:val="hu-HU"/>
        </w:rPr>
        <w:t>mellett mind a lipidcsökkenés előnyét, mind a</w:t>
      </w:r>
      <w:r w:rsidR="00314629">
        <w:rPr>
          <w:color w:val="auto"/>
          <w:sz w:val="22"/>
          <w:szCs w:val="22"/>
          <w:lang w:val="hu-HU"/>
        </w:rPr>
        <w:t>z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314629">
        <w:rPr>
          <w:color w:val="auto"/>
          <w:sz w:val="22"/>
          <w:szCs w:val="22"/>
          <w:lang w:val="hu-HU"/>
        </w:rPr>
        <w:t>emelkedett</w:t>
      </w:r>
      <w:r w:rsidRPr="008852EB">
        <w:rPr>
          <w:color w:val="auto"/>
          <w:sz w:val="22"/>
          <w:szCs w:val="22"/>
          <w:lang w:val="hu-HU"/>
        </w:rPr>
        <w:t xml:space="preserve"> rozuvasztatin</w:t>
      </w:r>
      <w:r w:rsidR="001C2CC5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 xml:space="preserve">plazmakoncentráció lehetőségét, amikor elkezdjük a </w:t>
      </w:r>
      <w:r w:rsidR="00677EB7" w:rsidRPr="008852EB">
        <w:rPr>
          <w:color w:val="auto"/>
          <w:sz w:val="22"/>
          <w:szCs w:val="22"/>
          <w:lang w:val="hu-HU"/>
        </w:rPr>
        <w:t>rozuvasztatin</w:t>
      </w:r>
      <w:r w:rsidRPr="008852EB">
        <w:rPr>
          <w:color w:val="auto"/>
          <w:sz w:val="22"/>
          <w:szCs w:val="22"/>
          <w:lang w:val="hu-HU"/>
        </w:rPr>
        <w:noBreakHyphen/>
        <w:t>kezelést és feltitráljuk a dózist a proteáz</w:t>
      </w:r>
      <w:r w:rsidRPr="008852EB">
        <w:rPr>
          <w:color w:val="auto"/>
          <w:sz w:val="22"/>
          <w:szCs w:val="22"/>
          <w:lang w:val="hu-HU"/>
        </w:rPr>
        <w:noBreakHyphen/>
        <w:t>inhibitorokkal kezelt betegeknél. Bizonyos proteáz</w:t>
      </w:r>
      <w:r w:rsidRPr="008852EB">
        <w:rPr>
          <w:color w:val="auto"/>
          <w:sz w:val="22"/>
          <w:szCs w:val="22"/>
          <w:lang w:val="hu-HU"/>
        </w:rPr>
        <w:noBreakHyphen/>
        <w:t xml:space="preserve">inhibitorokkal történő egyidejű alkalmazása nem javasolt, kivéve, ha a </w:t>
      </w:r>
      <w:r w:rsidR="00677EB7" w:rsidRPr="008852EB">
        <w:rPr>
          <w:color w:val="auto"/>
          <w:sz w:val="22"/>
          <w:szCs w:val="22"/>
          <w:lang w:val="hu-HU"/>
        </w:rPr>
        <w:t>rozuvasztain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dózisát </w:t>
      </w:r>
      <w:r w:rsidRPr="008852EB">
        <w:rPr>
          <w:color w:val="auto"/>
          <w:sz w:val="22"/>
          <w:szCs w:val="22"/>
          <w:lang w:val="hu-HU"/>
        </w:rPr>
        <w:t>módosítják (</w:t>
      </w:r>
      <w:r w:rsidR="001C2CC5">
        <w:rPr>
          <w:color w:val="auto"/>
          <w:sz w:val="22"/>
          <w:szCs w:val="22"/>
          <w:lang w:val="hu-HU"/>
        </w:rPr>
        <w:t>l</w:t>
      </w:r>
      <w:r w:rsidRPr="008852EB">
        <w:rPr>
          <w:color w:val="auto"/>
          <w:sz w:val="22"/>
          <w:szCs w:val="22"/>
          <w:lang w:val="hu-HU"/>
        </w:rPr>
        <w:t>ásd 4.2 és 4.5 pont.)</w:t>
      </w:r>
    </w:p>
    <w:p w14:paraId="38614225" w14:textId="77777777" w:rsidR="00375288" w:rsidRPr="00D96B72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633511F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Interstitialis tüdőbetegség</w:t>
      </w:r>
    </w:p>
    <w:p w14:paraId="79BBD744" w14:textId="79F696C8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sztatinok</w:t>
      </w:r>
      <w:r w:rsidR="004A373D">
        <w:rPr>
          <w:color w:val="auto"/>
          <w:sz w:val="22"/>
          <w:szCs w:val="22"/>
          <w:lang w:val="hu-HU"/>
        </w:rPr>
        <w:t>,</w:t>
      </w:r>
      <w:r w:rsidRPr="008852EB">
        <w:rPr>
          <w:color w:val="auto"/>
          <w:sz w:val="22"/>
          <w:szCs w:val="22"/>
          <w:lang w:val="hu-HU"/>
        </w:rPr>
        <w:t xml:space="preserve"> főleg </w:t>
      </w:r>
      <w:proofErr w:type="gramStart"/>
      <w:r w:rsidRPr="008852EB">
        <w:rPr>
          <w:color w:val="auto"/>
          <w:sz w:val="22"/>
          <w:szCs w:val="22"/>
          <w:lang w:val="hu-HU"/>
        </w:rPr>
        <w:t>hosszú távon</w:t>
      </w:r>
      <w:proofErr w:type="gramEnd"/>
      <w:r w:rsidRPr="008852EB">
        <w:rPr>
          <w:color w:val="auto"/>
          <w:sz w:val="22"/>
          <w:szCs w:val="22"/>
          <w:lang w:val="hu-HU"/>
        </w:rPr>
        <w:t xml:space="preserve"> történő alkalmazása mellett, kivételes esetekben beszámoltak interstitialis tüdőbetegség kialakulásáról (lásd 4.8 pont). A jellemző tünetek közé sorolhatók a nehézlégzés, a száraz köhögés, az általános állapot rosszabbodása (fáradtság, súlyvesztés, láz). Amennyiben felmerül a gyanú, hogy a betegnél interstitialis tüdőbetegség </w:t>
      </w:r>
      <w:r w:rsidR="00945D12" w:rsidRPr="008852EB">
        <w:rPr>
          <w:color w:val="auto"/>
          <w:sz w:val="22"/>
          <w:szCs w:val="22"/>
          <w:lang w:val="hu-HU"/>
        </w:rPr>
        <w:t xml:space="preserve">alakult </w:t>
      </w:r>
      <w:r w:rsidRPr="008852EB">
        <w:rPr>
          <w:color w:val="auto"/>
          <w:sz w:val="22"/>
          <w:szCs w:val="22"/>
          <w:lang w:val="hu-HU"/>
        </w:rPr>
        <w:t>ki, a sztatin</w:t>
      </w:r>
      <w:r w:rsidR="008E5E64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terápiát fel kell függeszteni.</w:t>
      </w:r>
    </w:p>
    <w:p w14:paraId="363E5712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09F21B0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Diabetes mellitus</w:t>
      </w:r>
    </w:p>
    <w:p w14:paraId="43DC0FBD" w14:textId="5F6538F7" w:rsidR="00375288" w:rsidRPr="008852EB" w:rsidRDefault="00375288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rendelkezésre álló információk alapján a sztatinok megnövelik a vércukorszintet, valamint azokn</w:t>
      </w:r>
      <w:r w:rsidR="00945D12" w:rsidRPr="008852EB">
        <w:rPr>
          <w:rFonts w:ascii="Times New Roman" w:hAnsi="Times New Roman" w:cs="Times New Roman"/>
        </w:rPr>
        <w:t>ál</w:t>
      </w:r>
      <w:r w:rsidRPr="008852EB">
        <w:rPr>
          <w:rFonts w:ascii="Times New Roman" w:hAnsi="Times New Roman" w:cs="Times New Roman"/>
        </w:rPr>
        <w:t xml:space="preserve"> a betegekn</w:t>
      </w:r>
      <w:r w:rsidR="00945D12" w:rsidRPr="008852EB">
        <w:rPr>
          <w:rFonts w:ascii="Times New Roman" w:hAnsi="Times New Roman" w:cs="Times New Roman"/>
        </w:rPr>
        <w:t>él</w:t>
      </w:r>
      <w:r w:rsidRPr="008852EB">
        <w:rPr>
          <w:rFonts w:ascii="Times New Roman" w:hAnsi="Times New Roman" w:cs="Times New Roman"/>
        </w:rPr>
        <w:t>, akik a későbbi diabetes kialakulása szempontjából nagy kockázatnak vannak kitéve, hyper</w:t>
      </w:r>
      <w:r w:rsidR="00983C42">
        <w:rPr>
          <w:rFonts w:ascii="Times New Roman" w:hAnsi="Times New Roman" w:cs="Times New Roman"/>
        </w:rPr>
        <w:t>glyk</w:t>
      </w:r>
      <w:r w:rsidRPr="008852EB">
        <w:rPr>
          <w:rFonts w:ascii="Times New Roman" w:hAnsi="Times New Roman" w:cs="Times New Roman"/>
        </w:rPr>
        <w:t>aemiát okozhatnak, antidiabetikus kezelést téve szükségessé. A sztatinokkal való kezelés leállítása azonban nem indokolt, mivel a sztatinok vas</w:t>
      </w:r>
      <w:r w:rsidR="004A373D">
        <w:rPr>
          <w:rFonts w:ascii="Times New Roman" w:hAnsi="Times New Roman" w:cs="Times New Roman"/>
        </w:rPr>
        <w:t>zk</w:t>
      </w:r>
      <w:r w:rsidRPr="008852EB">
        <w:rPr>
          <w:rFonts w:ascii="Times New Roman" w:hAnsi="Times New Roman" w:cs="Times New Roman"/>
        </w:rPr>
        <w:t>ul</w:t>
      </w:r>
      <w:r w:rsidR="004A373D">
        <w:rPr>
          <w:rFonts w:ascii="Times New Roman" w:hAnsi="Times New Roman" w:cs="Times New Roman"/>
        </w:rPr>
        <w:t>á</w:t>
      </w:r>
      <w:r w:rsidRPr="008852EB">
        <w:rPr>
          <w:rFonts w:ascii="Times New Roman" w:hAnsi="Times New Roman" w:cs="Times New Roman"/>
        </w:rPr>
        <w:t>ris betegségek kockázatainak csökkentéséből származó előnye meghaladja a hyper</w:t>
      </w:r>
      <w:r w:rsidR="00983C42">
        <w:rPr>
          <w:rFonts w:ascii="Times New Roman" w:hAnsi="Times New Roman" w:cs="Times New Roman"/>
        </w:rPr>
        <w:t>glyk</w:t>
      </w:r>
      <w:r w:rsidRPr="008852EB">
        <w:rPr>
          <w:rFonts w:ascii="Times New Roman" w:hAnsi="Times New Roman" w:cs="Times New Roman"/>
        </w:rPr>
        <w:t>aemia kialakulásának kockázatát. A kockázatnak kitett beteget (éhomi glükóz</w:t>
      </w:r>
      <w:r w:rsidR="00945D12" w:rsidRPr="008852EB">
        <w:rPr>
          <w:rFonts w:ascii="Times New Roman" w:hAnsi="Times New Roman" w:cs="Times New Roman"/>
        </w:rPr>
        <w:t>szint</w:t>
      </w:r>
      <w:r w:rsidRPr="008852EB">
        <w:rPr>
          <w:rFonts w:ascii="Times New Roman" w:hAnsi="Times New Roman" w:cs="Times New Roman"/>
        </w:rPr>
        <w:t xml:space="preserve"> 5,6</w:t>
      </w:r>
      <w:r w:rsidRPr="008852EB">
        <w:rPr>
          <w:rFonts w:ascii="Times New Roman" w:hAnsi="Times New Roman" w:cs="Times New Roman"/>
        </w:rPr>
        <w:noBreakHyphen/>
        <w:t>6,9 mmol/l, BMI &gt; 30 kg/m</w:t>
      </w:r>
      <w:r w:rsidRPr="008852EB">
        <w:rPr>
          <w:rFonts w:ascii="Times New Roman" w:hAnsi="Times New Roman" w:cs="Times New Roman"/>
          <w:vertAlign w:val="superscript"/>
        </w:rPr>
        <w:t>2</w:t>
      </w:r>
      <w:r w:rsidRPr="008852EB">
        <w:rPr>
          <w:rFonts w:ascii="Times New Roman" w:hAnsi="Times New Roman" w:cs="Times New Roman"/>
        </w:rPr>
        <w:t xml:space="preserve">, megnövekedett trigliceridszint, hypertonia) a nemzeti irányelveknek megfelelően klinikai </w:t>
      </w:r>
      <w:r w:rsidR="008E5E64" w:rsidRPr="008852EB">
        <w:rPr>
          <w:rFonts w:ascii="Times New Roman" w:hAnsi="Times New Roman" w:cs="Times New Roman"/>
        </w:rPr>
        <w:t xml:space="preserve">szempontból </w:t>
      </w:r>
      <w:r w:rsidRPr="008852EB">
        <w:rPr>
          <w:rFonts w:ascii="Times New Roman" w:hAnsi="Times New Roman" w:cs="Times New Roman"/>
        </w:rPr>
        <w:t xml:space="preserve">és </w:t>
      </w:r>
      <w:r w:rsidR="008E5E64">
        <w:rPr>
          <w:rFonts w:ascii="Times New Roman" w:hAnsi="Times New Roman" w:cs="Times New Roman"/>
        </w:rPr>
        <w:t>laborvizsgálatokkal</w:t>
      </w:r>
      <w:r w:rsidR="008E5E64" w:rsidRPr="008852EB">
        <w:rPr>
          <w:rFonts w:ascii="Times New Roman" w:hAnsi="Times New Roman" w:cs="Times New Roman"/>
        </w:rPr>
        <w:t xml:space="preserve"> </w:t>
      </w:r>
      <w:r w:rsidRPr="008852EB">
        <w:rPr>
          <w:rFonts w:ascii="Times New Roman" w:hAnsi="Times New Roman" w:cs="Times New Roman"/>
        </w:rPr>
        <w:t>monitorozni kell.</w:t>
      </w:r>
    </w:p>
    <w:p w14:paraId="359A4A6C" w14:textId="6E3C1E80" w:rsidR="00375288" w:rsidRPr="008852EB" w:rsidRDefault="00375288" w:rsidP="00B36C6C">
      <w:pPr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JUPITER vizsgálatban a bejelentett diabetes mellitus esetek összgyakorisága 2,8% volt rozuvasztatin, és 2,3% placebo esetén, legfőképpen azoknál a betegeknél, akiknek az éhomi glükózszintje 5,6</w:t>
      </w:r>
      <w:r w:rsidRPr="008852EB">
        <w:rPr>
          <w:rFonts w:ascii="Times New Roman" w:hAnsi="Times New Roman" w:cs="Times New Roman"/>
        </w:rPr>
        <w:noBreakHyphen/>
        <w:t>6,9 mmol/l volt.</w:t>
      </w:r>
    </w:p>
    <w:p w14:paraId="1B80A3E1" w14:textId="7CEEB370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5B6C813" w14:textId="77777777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u w:val="single"/>
        </w:rPr>
        <w:t>Gyermekek és serdülők</w:t>
      </w:r>
    </w:p>
    <w:p w14:paraId="00268AA0" w14:textId="44B88286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rozuvasztatint szedő 6</w:t>
      </w:r>
      <w:r w:rsidR="00D126FD">
        <w:rPr>
          <w:rFonts w:ascii="Times New Roman" w:hAnsi="Times New Roman" w:cs="Times New Roman"/>
        </w:rPr>
        <w:t xml:space="preserve"> és</w:t>
      </w:r>
      <w:r w:rsidR="002B23AF" w:rsidRPr="002B23AF">
        <w:t xml:space="preserve"> </w:t>
      </w:r>
      <w:r w:rsidR="002B23AF" w:rsidRPr="002B23AF">
        <w:rPr>
          <w:rFonts w:ascii="Times New Roman" w:hAnsi="Times New Roman" w:cs="Times New Roman"/>
        </w:rPr>
        <w:t>betöltött 18</w:t>
      </w:r>
      <w:r w:rsidRPr="008852EB">
        <w:rPr>
          <w:rFonts w:ascii="Times New Roman" w:hAnsi="Times New Roman" w:cs="Times New Roman"/>
        </w:rPr>
        <w:t> év</w:t>
      </w:r>
      <w:r w:rsidR="00F6135D">
        <w:rPr>
          <w:rFonts w:ascii="Times New Roman" w:hAnsi="Times New Roman" w:cs="Times New Roman"/>
        </w:rPr>
        <w:t xml:space="preserve"> közötti</w:t>
      </w:r>
      <w:r w:rsidRPr="008852EB">
        <w:rPr>
          <w:rFonts w:ascii="Times New Roman" w:hAnsi="Times New Roman" w:cs="Times New Roman"/>
        </w:rPr>
        <w:t xml:space="preserve"> gyermekek</w:t>
      </w:r>
      <w:r w:rsidR="008E5E64">
        <w:rPr>
          <w:rFonts w:ascii="Times New Roman" w:hAnsi="Times New Roman" w:cs="Times New Roman"/>
        </w:rPr>
        <w:t xml:space="preserve"> és serdülők</w:t>
      </w:r>
      <w:r w:rsidRPr="008852EB">
        <w:rPr>
          <w:rFonts w:ascii="Times New Roman" w:hAnsi="Times New Roman" w:cs="Times New Roman"/>
        </w:rPr>
        <w:t xml:space="preserve"> hosszbeli növekedésének (magasság), testtömegének, testtömegindexének (BMI, body mass index), valamint a nemi érés során a másodlagos nemi jegyek Tanner</w:t>
      </w:r>
      <w:r w:rsidRPr="008852EB">
        <w:rPr>
          <w:rFonts w:ascii="Times New Roman" w:hAnsi="Times New Roman" w:cs="Times New Roman"/>
        </w:rPr>
        <w:noBreakHyphen/>
        <w:t>skála szerinti értékelése egy kétéves időtartamra korlátozódik. A kétéves vizsgálati kezelést követően nem észleltek gyógyszerhatást a növekedésre, a testtömegre, a testtömegindexre és a nemi érésre vonatkozóan (lásd 5.1 pont).</w:t>
      </w:r>
    </w:p>
    <w:p w14:paraId="61A0CA34" w14:textId="77777777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07A21ED" w14:textId="254AD179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Egy klinikai vizsgálatban, amikor a gyermekek és a serdülők 52 héten keresztül kaptak rozuvasztatint, gyakrabban figyelték meg a CK &gt; 10×ULN emelkedését és az izomtünetek jelentkezését mozgás</w:t>
      </w:r>
      <w:r w:rsidR="008E5E64">
        <w:rPr>
          <w:rFonts w:ascii="Times New Roman" w:hAnsi="Times New Roman" w:cs="Times New Roman"/>
        </w:rPr>
        <w:t>t</w:t>
      </w:r>
      <w:r w:rsidRPr="008852EB">
        <w:rPr>
          <w:rFonts w:ascii="Times New Roman" w:hAnsi="Times New Roman" w:cs="Times New Roman"/>
        </w:rPr>
        <w:t xml:space="preserve"> vagy fokozott fizikai aktivitást követően, összehasonlítva a felnőttek klinikai vizsgálataiban észleltekkel (lásd 4.8 pont).</w:t>
      </w:r>
    </w:p>
    <w:p w14:paraId="4A15F328" w14:textId="41B433C0" w:rsidR="008A0F28" w:rsidRPr="008852EB" w:rsidRDefault="008A0F2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394B56A" w14:textId="6C17E2C5" w:rsidR="00372EF6" w:rsidRPr="008852EB" w:rsidRDefault="008962F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/>
          <w:bCs/>
          <w:color w:val="000000"/>
          <w:u w:val="single"/>
        </w:rPr>
        <w:t>Acetilszalicilsav</w:t>
      </w:r>
    </w:p>
    <w:p w14:paraId="77FF11AC" w14:textId="77777777" w:rsidR="00372EF6" w:rsidRPr="008852EB" w:rsidRDefault="00372EF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55D5A47" w14:textId="2B967F81" w:rsidR="00575C01" w:rsidRPr="00D96B72" w:rsidRDefault="00575C01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 xml:space="preserve">A </w:t>
      </w:r>
      <w:r w:rsidR="00F67181" w:rsidRPr="008852EB">
        <w:rPr>
          <w:rFonts w:ascii="Times New Roman" w:eastAsia="Times New Roman" w:hAnsi="Times New Roman" w:cs="Times New Roman"/>
          <w:b/>
          <w:lang w:eastAsia="hu-HU"/>
        </w:rPr>
        <w:t>XeterDuo</w:t>
      </w:r>
      <w:r w:rsidR="00B93B8C" w:rsidRPr="00D96B72">
        <w:rPr>
          <w:rFonts w:ascii="Times New Roman" w:hAnsi="Times New Roman" w:cs="Times New Roman"/>
          <w:b/>
        </w:rPr>
        <w:t xml:space="preserve"> a következő esetekben csak az előny/kockázat körültekintő mérlegelése után, fokozott elővigyázatossággal adható</w:t>
      </w:r>
      <w:r w:rsidR="00945D12" w:rsidRPr="008852EB">
        <w:rPr>
          <w:rFonts w:ascii="Times New Roman" w:hAnsi="Times New Roman" w:cs="Times New Roman"/>
          <w:b/>
        </w:rPr>
        <w:t>:</w:t>
      </w:r>
    </w:p>
    <w:p w14:paraId="295D4224" w14:textId="50BC0D88" w:rsidR="00575C01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2754A5" w:rsidRPr="00D96B72">
        <w:t xml:space="preserve">egyéb </w:t>
      </w:r>
      <w:r w:rsidR="009E629E" w:rsidRPr="00D96B72">
        <w:t xml:space="preserve">fájdalomcsillapítókkal, </w:t>
      </w:r>
      <w:r w:rsidR="00575C01" w:rsidRPr="00D96B72">
        <w:t>gyulladáscsökkentőkkel</w:t>
      </w:r>
      <w:r w:rsidR="009E629E" w:rsidRPr="00D96B72">
        <w:t xml:space="preserve">, </w:t>
      </w:r>
      <w:r w:rsidR="00575C01" w:rsidRPr="00D96B72">
        <w:t>antireumatikumokkal, vagy más allergénekkel szembeni túlérzékenység</w:t>
      </w:r>
      <w:r w:rsidR="009E629E" w:rsidRPr="00D96B72">
        <w:t xml:space="preserve"> (lásd 4.3 pont)</w:t>
      </w:r>
      <w:r w:rsidR="00945D12" w:rsidRPr="00C97108">
        <w:t>;</w:t>
      </w:r>
    </w:p>
    <w:p w14:paraId="61032B80" w14:textId="4F4BAC44" w:rsidR="009B6A03" w:rsidRPr="00D96B72" w:rsidRDefault="00FC7C9D" w:rsidP="00D96B72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96B72">
        <w:rPr>
          <w:rFonts w:ascii="Times New Roman" w:eastAsia="Times New Roman" w:hAnsi="Times New Roman" w:cs="Times New Roman"/>
        </w:rPr>
        <w:t>-</w:t>
      </w:r>
      <w:r w:rsidR="00945D12" w:rsidRPr="00C97108">
        <w:tab/>
      </w:r>
      <w:r w:rsidR="009B6A03" w:rsidRPr="00D96B72">
        <w:rPr>
          <w:rFonts w:ascii="Times New Roman" w:hAnsi="Times New Roman" w:cs="Times New Roman"/>
        </w:rPr>
        <w:t>az acetilszalicilsav kiválthat bronchospasmust és as</w:t>
      </w:r>
      <w:r w:rsidR="004A373D">
        <w:rPr>
          <w:rFonts w:ascii="Times New Roman" w:hAnsi="Times New Roman" w:cs="Times New Roman"/>
        </w:rPr>
        <w:t>z</w:t>
      </w:r>
      <w:r w:rsidR="009B6A03" w:rsidRPr="00D96B72">
        <w:rPr>
          <w:rFonts w:ascii="Times New Roman" w:hAnsi="Times New Roman" w:cs="Times New Roman"/>
        </w:rPr>
        <w:t xml:space="preserve">tmás rohamot vagy egyéb túlérzékenységi reakciót. Rizikófaktornak számít a kórtörténetben szereplő asthma bronchiale, szénanátha, </w:t>
      </w:r>
      <w:r w:rsidR="003F3F56" w:rsidRPr="00D96B72">
        <w:rPr>
          <w:rFonts w:ascii="Times New Roman" w:hAnsi="Times New Roman" w:cs="Times New Roman"/>
        </w:rPr>
        <w:t>orrnyálkahártya</w:t>
      </w:r>
      <w:r w:rsidR="00945D12" w:rsidRPr="00C97108">
        <w:rPr>
          <w:rFonts w:ascii="Times New Roman" w:hAnsi="Times New Roman" w:cs="Times New Roman"/>
        </w:rPr>
        <w:t>-</w:t>
      </w:r>
      <w:r w:rsidR="003F3F56" w:rsidRPr="00D96B72">
        <w:rPr>
          <w:rFonts w:ascii="Times New Roman" w:hAnsi="Times New Roman" w:cs="Times New Roman"/>
        </w:rPr>
        <w:t>duzzanat (</w:t>
      </w:r>
      <w:r w:rsidR="009B6A03" w:rsidRPr="00D96B72">
        <w:rPr>
          <w:rFonts w:ascii="Times New Roman" w:hAnsi="Times New Roman" w:cs="Times New Roman"/>
        </w:rPr>
        <w:t>orrpolip</w:t>
      </w:r>
      <w:r w:rsidR="003F3F56" w:rsidRPr="00D96B72">
        <w:rPr>
          <w:rFonts w:ascii="Times New Roman" w:hAnsi="Times New Roman" w:cs="Times New Roman"/>
        </w:rPr>
        <w:t>)</w:t>
      </w:r>
      <w:r w:rsidR="009B6A03" w:rsidRPr="00D96B72">
        <w:rPr>
          <w:rFonts w:ascii="Times New Roman" w:hAnsi="Times New Roman" w:cs="Times New Roman"/>
        </w:rPr>
        <w:t>, valamint a krónikus obstruktív légúti megbetegedés, valamint egyéb gyógyszerek által kiváltott allergiás reakciók, pl. bőrkiütések, viszketés, urticaria</w:t>
      </w:r>
      <w:r w:rsidR="00945D12" w:rsidRPr="00C97108">
        <w:rPr>
          <w:rFonts w:ascii="Times New Roman" w:hAnsi="Times New Roman" w:cs="Times New Roman"/>
        </w:rPr>
        <w:t>;</w:t>
      </w:r>
    </w:p>
    <w:p w14:paraId="7ECEF3E1" w14:textId="11BD739C" w:rsidR="008E3539" w:rsidRPr="00D96B72" w:rsidRDefault="00FC7C9D" w:rsidP="00D96B72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-</w:t>
      </w:r>
      <w:r w:rsidR="00945D12" w:rsidRPr="00C97108">
        <w:rPr>
          <w:rFonts w:ascii="Times New Roman" w:hAnsi="Times New Roman" w:cs="Times New Roman"/>
        </w:rPr>
        <w:tab/>
      </w:r>
      <w:r w:rsidR="008E3539" w:rsidRPr="00D96B72">
        <w:rPr>
          <w:rFonts w:ascii="Times New Roman" w:hAnsi="Times New Roman" w:cs="Times New Roman"/>
        </w:rPr>
        <w:t>a vérlemezke-aggregációra gyakorolt gátló hatása miatt (amely a bevételt követően napokig fennáll) az acetilszalicilsav növeli a vérzés veszélyét, mértékét a sebészeti beavatkozások alatt és után (beleértve a kisebb beavatkozásokat, pl. foghúzást is)</w:t>
      </w:r>
      <w:r w:rsidR="00C11A2C" w:rsidRPr="00D96B72">
        <w:rPr>
          <w:rFonts w:ascii="Times New Roman" w:hAnsi="Times New Roman" w:cs="Times New Roman"/>
        </w:rPr>
        <w:t>. A kezelés megszakításának hossza egyedileg meghatározandó, de rendszerint körülbelül egy hét</w:t>
      </w:r>
      <w:r w:rsidR="00945D12" w:rsidRPr="00C11A2C">
        <w:rPr>
          <w:rFonts w:ascii="Times New Roman" w:hAnsi="Times New Roman" w:cs="Times New Roman"/>
        </w:rPr>
        <w:t>;</w:t>
      </w:r>
    </w:p>
    <w:p w14:paraId="646EEF81" w14:textId="6E63E917" w:rsidR="008E3539" w:rsidRPr="00D96B72" w:rsidRDefault="00FC7C9D" w:rsidP="00D96B72">
      <w:pPr>
        <w:widowControl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-</w:t>
      </w:r>
      <w:r w:rsidR="00945D12" w:rsidRPr="00C97108">
        <w:rPr>
          <w:rFonts w:ascii="Times New Roman" w:hAnsi="Times New Roman" w:cs="Times New Roman"/>
        </w:rPr>
        <w:tab/>
      </w:r>
      <w:r w:rsidR="008E3539" w:rsidRPr="00D96B72">
        <w:rPr>
          <w:rFonts w:ascii="Times New Roman" w:hAnsi="Times New Roman" w:cs="Times New Roman"/>
        </w:rPr>
        <w:t>az acetilszalicilsav és intravénás sztreptokináz együttadva növeli a stroke kockázatát, ezért együttes alkalmazásuk kerülendő</w:t>
      </w:r>
      <w:r w:rsidR="00945D12" w:rsidRPr="00C97108">
        <w:rPr>
          <w:rStyle w:val="Jegyzethivatkozs"/>
          <w:rFonts w:ascii="Times New Roman" w:hAnsi="Times New Roman" w:cs="Times New Roman"/>
          <w:sz w:val="22"/>
          <w:szCs w:val="22"/>
        </w:rPr>
        <w:t>;</w:t>
      </w:r>
    </w:p>
    <w:p w14:paraId="7BB8E2FD" w14:textId="2AF9882A" w:rsidR="001B1A8E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1B1A8E" w:rsidRPr="00D96B72">
        <w:t>néhány NSAID együttadás</w:t>
      </w:r>
      <w:r w:rsidR="00654EB4" w:rsidRPr="00D96B72">
        <w:t>a</w:t>
      </w:r>
      <w:r w:rsidR="001B1A8E" w:rsidRPr="00D96B72">
        <w:t>kor, mint az ibuprof</w:t>
      </w:r>
      <w:r w:rsidR="00945D12" w:rsidRPr="00C97108">
        <w:t>é</w:t>
      </w:r>
      <w:r w:rsidR="001B1A8E" w:rsidRPr="00D96B72">
        <w:t>n és a naproxén</w:t>
      </w:r>
      <w:r w:rsidR="002A54C3" w:rsidRPr="00D96B72">
        <w:t>.</w:t>
      </w:r>
      <w:r w:rsidR="001B1A8E" w:rsidRPr="00D96B72">
        <w:t xml:space="preserve"> </w:t>
      </w:r>
      <w:r w:rsidR="002A54C3" w:rsidRPr="00D96B72">
        <w:t xml:space="preserve">Ezek </w:t>
      </w:r>
      <w:r w:rsidR="001B1A8E" w:rsidRPr="00D96B72">
        <w:t>gátolhatj</w:t>
      </w:r>
      <w:r w:rsidR="002A54C3" w:rsidRPr="00D96B72">
        <w:t>ák</w:t>
      </w:r>
      <w:r w:rsidR="001B1A8E" w:rsidRPr="00D96B72">
        <w:t xml:space="preserve"> az acetilszalicilsav thrombocyta</w:t>
      </w:r>
      <w:r w:rsidR="004A373D">
        <w:t>-</w:t>
      </w:r>
      <w:r w:rsidR="001B1A8E" w:rsidRPr="00D96B72">
        <w:t>aggreg</w:t>
      </w:r>
      <w:r w:rsidR="006164AA" w:rsidRPr="00D96B72">
        <w:t>áci</w:t>
      </w:r>
      <w:r w:rsidR="001B1A8E" w:rsidRPr="00D96B72">
        <w:t>ót gátló hatását. Azoknak a betegeknek, akik rendszeresen szednek acetilszalicilsavat és fájdalomcsillapításra NSAID hatóanyagot terveznek szedni, konzultálniuk kell az orvosukkal (lásd 4.5 pont)</w:t>
      </w:r>
      <w:r w:rsidR="00A5664E" w:rsidRPr="00D96B72">
        <w:t>.</w:t>
      </w:r>
    </w:p>
    <w:p w14:paraId="0E5080C1" w14:textId="7FE0D29C" w:rsidR="001B1A8E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1B1A8E" w:rsidRPr="00D96B72">
        <w:t>antikoaguláns készítményekkel történő egyidejű kezelés</w:t>
      </w:r>
      <w:r w:rsidR="00A5664E" w:rsidRPr="00D96B72">
        <w:t>.</w:t>
      </w:r>
      <w:r w:rsidR="00184FAA" w:rsidRPr="00D96B72">
        <w:t xml:space="preserve"> Amennyiben az együttes kezelés nem kerülhető el, a nemzetközi normalizált arány (International Normalized Ratio, INR) gyakori monitorozása szükséges és a beteget figyelmeztetni kell, hogy fordítson figyelmet a vérzés, különösen </w:t>
      </w:r>
      <w:proofErr w:type="gramStart"/>
      <w:r w:rsidR="00184FAA" w:rsidRPr="00D96B72">
        <w:t>a</w:t>
      </w:r>
      <w:proofErr w:type="gramEnd"/>
      <w:r w:rsidR="00184FAA" w:rsidRPr="00D96B72">
        <w:t xml:space="preserve"> </w:t>
      </w:r>
      <w:r w:rsidR="00686D0F">
        <w:t>emésztő</w:t>
      </w:r>
      <w:r w:rsidR="00184FAA" w:rsidRPr="00D96B72">
        <w:t>rendszer</w:t>
      </w:r>
      <w:r w:rsidR="00686D0F">
        <w:t>i</w:t>
      </w:r>
      <w:r w:rsidR="00184FAA" w:rsidRPr="00D96B72">
        <w:t xml:space="preserve"> vérzés</w:t>
      </w:r>
      <w:r w:rsidR="00686D0F">
        <w:t>e</w:t>
      </w:r>
      <w:r w:rsidR="008E5E64">
        <w:t>k észlelésére.</w:t>
      </w:r>
    </w:p>
    <w:p w14:paraId="79BF2B94" w14:textId="6EFCA5ED" w:rsidR="00575C01" w:rsidRPr="00D96B72" w:rsidRDefault="00FC7C9D" w:rsidP="00D96B72">
      <w:pPr>
        <w:pStyle w:val="Szvegtrzs1"/>
        <w:spacing w:after="0"/>
        <w:ind w:left="567" w:hanging="567"/>
      </w:pPr>
      <w:r w:rsidRPr="00D96B72">
        <w:rPr>
          <w:bCs/>
        </w:rPr>
        <w:t>-</w:t>
      </w:r>
      <w:r w:rsidR="00945D12" w:rsidRPr="00C97108">
        <w:rPr>
          <w:bCs/>
        </w:rPr>
        <w:tab/>
      </w:r>
      <w:r w:rsidR="004C28E6" w:rsidRPr="00D96B72">
        <w:rPr>
          <w:bCs/>
        </w:rPr>
        <w:t>anamnézisben szereplő gyomor</w:t>
      </w:r>
      <w:r w:rsidR="004C28E6" w:rsidRPr="00D96B72">
        <w:rPr>
          <w:bCs/>
        </w:rPr>
        <w:noBreakHyphen/>
        <w:t xml:space="preserve">vagy nyombélfekély, </w:t>
      </w:r>
      <w:r w:rsidR="00294457" w:rsidRPr="00D96B72">
        <w:rPr>
          <w:bCs/>
        </w:rPr>
        <w:t xml:space="preserve">(beleértve a krónikus és visszatérő fekélyeket is), </w:t>
      </w:r>
      <w:r w:rsidR="00686D0F" w:rsidRPr="00D96B72">
        <w:rPr>
          <w:bCs/>
        </w:rPr>
        <w:t>gas</w:t>
      </w:r>
      <w:r w:rsidR="00686D0F">
        <w:rPr>
          <w:bCs/>
        </w:rPr>
        <w:t>z</w:t>
      </w:r>
      <w:r w:rsidR="00686D0F" w:rsidRPr="00D96B72">
        <w:rPr>
          <w:bCs/>
        </w:rPr>
        <w:t>trointes</w:t>
      </w:r>
      <w:r w:rsidR="00686D0F">
        <w:rPr>
          <w:bCs/>
        </w:rPr>
        <w:t>z</w:t>
      </w:r>
      <w:r w:rsidR="00686D0F" w:rsidRPr="00D96B72">
        <w:rPr>
          <w:bCs/>
        </w:rPr>
        <w:t>tin</w:t>
      </w:r>
      <w:r w:rsidR="00686D0F">
        <w:rPr>
          <w:bCs/>
        </w:rPr>
        <w:t>á</w:t>
      </w:r>
      <w:r w:rsidR="00686D0F" w:rsidRPr="00D96B72">
        <w:rPr>
          <w:bCs/>
        </w:rPr>
        <w:t>lis</w:t>
      </w:r>
      <w:r w:rsidR="004C28E6" w:rsidRPr="00D96B72">
        <w:rPr>
          <w:bCs/>
        </w:rPr>
        <w:t xml:space="preserve"> vérzés a kórtörténetben, illetve vérzéses epizód esetén</w:t>
      </w:r>
      <w:r w:rsidR="00B5458D" w:rsidRPr="00C97108">
        <w:rPr>
          <w:bCs/>
        </w:rPr>
        <w:t>;</w:t>
      </w:r>
    </w:p>
    <w:p w14:paraId="284F6FC9" w14:textId="04A7EC12" w:rsidR="00282D87" w:rsidRPr="00D96B72" w:rsidRDefault="00FC7C9D" w:rsidP="00D96B72">
      <w:pPr>
        <w:pStyle w:val="Szvegtrzs1"/>
        <w:spacing w:after="0"/>
        <w:ind w:left="567" w:hanging="567"/>
        <w:rPr>
          <w:bCs/>
        </w:rPr>
      </w:pPr>
      <w:r w:rsidRPr="00D96B72">
        <w:rPr>
          <w:bCs/>
        </w:rPr>
        <w:t>-</w:t>
      </w:r>
      <w:r w:rsidR="00945D12" w:rsidRPr="00C97108">
        <w:rPr>
          <w:bCs/>
        </w:rPr>
        <w:tab/>
      </w:r>
      <w:r w:rsidR="00B5458D" w:rsidRPr="00C97108">
        <w:rPr>
          <w:bCs/>
        </w:rPr>
        <w:t>a</w:t>
      </w:r>
      <w:r w:rsidR="00596699" w:rsidRPr="00D96B72">
        <w:rPr>
          <w:bCs/>
        </w:rPr>
        <w:t xml:space="preserve">z acetilszalicilsavat kellő óvatossággal kell alkalmazni </w:t>
      </w:r>
      <w:r w:rsidR="001B1A8E" w:rsidRPr="00D96B72">
        <w:t>májkárosodás</w:t>
      </w:r>
      <w:r w:rsidR="00C843E0" w:rsidRPr="00D96B72">
        <w:t>ba</w:t>
      </w:r>
      <w:r w:rsidR="001B1A8E" w:rsidRPr="00D96B72">
        <w:t>n</w:t>
      </w:r>
      <w:r w:rsidR="00C843E0" w:rsidRPr="00D96B72">
        <w:t xml:space="preserve"> szenvedő betegeknél</w:t>
      </w:r>
      <w:r w:rsidR="00390654" w:rsidRPr="00D96B72">
        <w:t xml:space="preserve">, </w:t>
      </w:r>
      <w:r w:rsidR="00E75B9E" w:rsidRPr="00D96B72">
        <w:t xml:space="preserve">miután az acetilszalicilsav elsődlegesen a májon keresztül </w:t>
      </w:r>
      <w:r w:rsidR="00390654" w:rsidRPr="00D96B72">
        <w:t>metaboli</w:t>
      </w:r>
      <w:r w:rsidR="00E75B9E" w:rsidRPr="00D96B72">
        <w:t>zálódik</w:t>
      </w:r>
      <w:r w:rsidR="00390654" w:rsidRPr="00D96B72">
        <w:t xml:space="preserve"> </w:t>
      </w:r>
      <w:r w:rsidR="00E75B9E" w:rsidRPr="00D96B72">
        <w:t xml:space="preserve">(lásd </w:t>
      </w:r>
      <w:r w:rsidR="00390654" w:rsidRPr="00D96B72">
        <w:t>5.2</w:t>
      </w:r>
      <w:r w:rsidR="00E75B9E" w:rsidRPr="00D96B72">
        <w:t xml:space="preserve"> pont</w:t>
      </w:r>
      <w:r w:rsidR="00390654" w:rsidRPr="00D96B72">
        <w:t>).</w:t>
      </w:r>
      <w:r w:rsidR="00563D13" w:rsidRPr="00D96B72">
        <w:t xml:space="preserve"> Súlyos májkárosodás esetén ellenjavallt</w:t>
      </w:r>
      <w:r w:rsidR="00A0077E" w:rsidRPr="00D96B72">
        <w:t xml:space="preserve"> (</w:t>
      </w:r>
      <w:r w:rsidR="00563D13" w:rsidRPr="00D96B72">
        <w:t>lásd 4.3 pont</w:t>
      </w:r>
      <w:r w:rsidR="00A0077E" w:rsidRPr="00D96B72">
        <w:t>)</w:t>
      </w:r>
      <w:r w:rsidR="00282D87" w:rsidRPr="00D96B72">
        <w:rPr>
          <w:bCs/>
        </w:rPr>
        <w:t xml:space="preserve">. </w:t>
      </w:r>
      <w:r w:rsidR="006850B3" w:rsidRPr="00D96B72">
        <w:rPr>
          <w:bCs/>
        </w:rPr>
        <w:t>E</w:t>
      </w:r>
      <w:r w:rsidR="00282D87" w:rsidRPr="00D96B72">
        <w:rPr>
          <w:bCs/>
        </w:rPr>
        <w:t>nyhe vagy közepesen súlyos máj</w:t>
      </w:r>
      <w:r w:rsidR="004C50B7">
        <w:rPr>
          <w:bCs/>
        </w:rPr>
        <w:t>károsodásba</w:t>
      </w:r>
      <w:r w:rsidR="00282D87" w:rsidRPr="00D96B72">
        <w:rPr>
          <w:bCs/>
        </w:rPr>
        <w:t>n szenvedőknél rendszeres májfunkció</w:t>
      </w:r>
      <w:r w:rsidR="00282D87" w:rsidRPr="00D96B72">
        <w:rPr>
          <w:bCs/>
        </w:rPr>
        <w:noBreakHyphen/>
        <w:t>vizsgálatot kell végezni.</w:t>
      </w:r>
    </w:p>
    <w:p w14:paraId="20BBDBA3" w14:textId="7359A9E8" w:rsidR="00FC7C9D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575C01" w:rsidRPr="00D96B72">
        <w:t>vesekárosodásban vagy szív-és érrendszeri károsodásban szenvedő betegeknek (pl. renalis vascularis megbetegedés, congestiv szívelégtelenség, volumen</w:t>
      </w:r>
      <w:r w:rsidR="004A373D">
        <w:t>hiány</w:t>
      </w:r>
      <w:r w:rsidR="00575C01" w:rsidRPr="00D96B72">
        <w:t xml:space="preserve">, nagy sebészeti beavatkozás, sepsis vagy nagy haemorrhagiás esemény esetén), </w:t>
      </w:r>
      <w:r w:rsidR="004D5F82" w:rsidRPr="00D96B72">
        <w:rPr>
          <w:bCs/>
        </w:rPr>
        <w:t>illetve dehidrált betegeknél</w:t>
      </w:r>
      <w:r w:rsidR="00B5458D" w:rsidRPr="00C97108">
        <w:rPr>
          <w:bCs/>
        </w:rPr>
        <w:t>,</w:t>
      </w:r>
      <w:r w:rsidR="004D5F82" w:rsidRPr="00D96B72">
        <w:t xml:space="preserve"> </w:t>
      </w:r>
      <w:r w:rsidR="00575C01" w:rsidRPr="00D96B72">
        <w:t>mivel az acetilszalicilsav tovább növelheti a vesekárosodás és az akut veseelégtelenség kockázatát</w:t>
      </w:r>
      <w:r w:rsidR="00563D13" w:rsidRPr="00D96B72">
        <w:t xml:space="preserve"> (súlyos vesekárosodás és szívelégtelenség esetén kontraindikált </w:t>
      </w:r>
      <w:r w:rsidR="00B5458D" w:rsidRPr="00C97108">
        <w:t>–</w:t>
      </w:r>
      <w:r w:rsidR="00563D13" w:rsidRPr="00D96B72">
        <w:t xml:space="preserve"> lásd 4.3 pont)</w:t>
      </w:r>
      <w:r w:rsidR="004C50B7">
        <w:t>.</w:t>
      </w:r>
    </w:p>
    <w:p w14:paraId="2ECA55FF" w14:textId="1482E03B" w:rsidR="00FC7C9D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B5458D" w:rsidRPr="00C97108">
        <w:t>u</w:t>
      </w:r>
      <w:r w:rsidR="00524850" w:rsidRPr="00D96B72">
        <w:t xml:space="preserve">ricosuriás hatóanyagokkal, mint például benzbromaron, </w:t>
      </w:r>
      <w:r w:rsidR="003A2858" w:rsidRPr="00D96B72">
        <w:t>probenecid, s</w:t>
      </w:r>
      <w:r w:rsidR="00B5458D" w:rsidRPr="00C97108">
        <w:t>z</w:t>
      </w:r>
      <w:r w:rsidR="003A2858" w:rsidRPr="00D96B72">
        <w:t>ul</w:t>
      </w:r>
      <w:r w:rsidR="00B5458D" w:rsidRPr="00C97108">
        <w:t>f</w:t>
      </w:r>
      <w:r w:rsidR="003A2858" w:rsidRPr="00D96B72">
        <w:t>inp</w:t>
      </w:r>
      <w:r w:rsidR="00B5458D" w:rsidRPr="00C97108">
        <w:t>i</w:t>
      </w:r>
      <w:r w:rsidR="003A2858" w:rsidRPr="00D96B72">
        <w:t xml:space="preserve">razon együttadása </w:t>
      </w:r>
      <w:r w:rsidR="00524850" w:rsidRPr="00D96B72">
        <w:t>nem javasolt (lásd 4.5 pont)</w:t>
      </w:r>
      <w:r w:rsidR="00B5458D" w:rsidRPr="00C97108">
        <w:t>;</w:t>
      </w:r>
    </w:p>
    <w:p w14:paraId="1D9AB6D5" w14:textId="7BE0F938" w:rsidR="00FC7C9D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824D96" w:rsidRPr="00C97108">
        <w:tab/>
      </w:r>
      <w:r w:rsidR="0029361A" w:rsidRPr="00D96B72">
        <w:t>hypertonia</w:t>
      </w:r>
      <w:r w:rsidR="00B5458D" w:rsidRPr="00C97108">
        <w:t>;</w:t>
      </w:r>
    </w:p>
    <w:p w14:paraId="3E022C19" w14:textId="18F6024C" w:rsidR="00575C01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824D96" w:rsidRPr="00C97108">
        <w:tab/>
      </w:r>
      <w:r w:rsidR="00575C01" w:rsidRPr="00D96B72">
        <w:t>súlyos glükóz</w:t>
      </w:r>
      <w:r w:rsidR="00575C01" w:rsidRPr="00D96B72">
        <w:noBreakHyphen/>
        <w:t>6</w:t>
      </w:r>
      <w:r w:rsidR="00575C01" w:rsidRPr="00D96B72">
        <w:noBreakHyphen/>
        <w:t>foszfát</w:t>
      </w:r>
      <w:r w:rsidR="00575C01" w:rsidRPr="00D96B72">
        <w:noBreakHyphen/>
        <w:t>dehidrogenáz (G6PD) hiányban szenvedő betegeknek, mivel ebben az esetben az acetilszalicilsav hemolysist vagy hemolyticus anaemiát indukálhat. A következő tényezők növelhetik a hemolysis kockázatát: </w:t>
      </w:r>
      <w:r w:rsidR="00B5458D" w:rsidRPr="00C97108">
        <w:t>nagy</w:t>
      </w:r>
      <w:r w:rsidR="00B5458D" w:rsidRPr="00D96B72">
        <w:t xml:space="preserve"> </w:t>
      </w:r>
      <w:r w:rsidR="00575C01" w:rsidRPr="00D96B72">
        <w:t>dózis, láz, akut infe</w:t>
      </w:r>
      <w:r w:rsidR="002A54C3" w:rsidRPr="00D96B72">
        <w:t>kció</w:t>
      </w:r>
      <w:r w:rsidR="00A5664E" w:rsidRPr="00D96B72">
        <w:t>.</w:t>
      </w:r>
    </w:p>
    <w:p w14:paraId="48B646FB" w14:textId="77777777" w:rsidR="00560793" w:rsidRPr="00C97108" w:rsidRDefault="00560793" w:rsidP="00D96B72">
      <w:pPr>
        <w:pStyle w:val="Szvegtrzs1"/>
        <w:spacing w:after="0"/>
        <w:ind w:left="567" w:hanging="567"/>
      </w:pPr>
    </w:p>
    <w:p w14:paraId="74629405" w14:textId="6DA78788" w:rsidR="00575C01" w:rsidRPr="008852EB" w:rsidRDefault="00B5458D" w:rsidP="008852EB">
      <w:pPr>
        <w:pStyle w:val="Szvegtrzs1"/>
        <w:spacing w:after="0"/>
      </w:pPr>
      <w:r w:rsidRPr="008852EB">
        <w:t xml:space="preserve">Kis </w:t>
      </w:r>
      <w:r w:rsidR="002754A5" w:rsidRPr="008852EB">
        <w:t xml:space="preserve">dózisban alkalmazva, az acetilszalicilsav csökkenti a húgysav kiválasztását. </w:t>
      </w:r>
      <w:r w:rsidR="00EF2BCB" w:rsidRPr="008852EB">
        <w:rPr>
          <w:bCs/>
        </w:rPr>
        <w:t>Ennek következtében azoknál a betegeknél, akiknél egyébként is csökkent a húgysavkiválasztás</w:t>
      </w:r>
      <w:r w:rsidR="00EF2BCB" w:rsidRPr="008852EB">
        <w:t xml:space="preserve"> </w:t>
      </w:r>
      <w:r w:rsidR="00560793" w:rsidRPr="008852EB">
        <w:t>(</w:t>
      </w:r>
      <w:r w:rsidR="002754A5" w:rsidRPr="008852EB">
        <w:t>köszvényre hajlamos betegeknél</w:t>
      </w:r>
      <w:r w:rsidR="00560793" w:rsidRPr="008852EB">
        <w:t>)</w:t>
      </w:r>
      <w:r w:rsidR="002754A5" w:rsidRPr="008852EB">
        <w:t xml:space="preserve"> köszvényes rohamot válthat ki</w:t>
      </w:r>
      <w:r w:rsidR="00A5664E" w:rsidRPr="008852EB">
        <w:t>.</w:t>
      </w:r>
    </w:p>
    <w:p w14:paraId="60B073D4" w14:textId="0808D3F2" w:rsidR="00083036" w:rsidRPr="008852EB" w:rsidRDefault="00083036" w:rsidP="008852EB">
      <w:pPr>
        <w:pStyle w:val="Szvegtrzs1"/>
        <w:spacing w:after="0"/>
      </w:pPr>
    </w:p>
    <w:p w14:paraId="67BA89CA" w14:textId="66A59F0B" w:rsidR="005078F9" w:rsidRPr="008852EB" w:rsidRDefault="00083036" w:rsidP="00D96B72">
      <w:pPr>
        <w:pStyle w:val="Szvegtrzs1"/>
        <w:spacing w:after="0"/>
        <w:rPr>
          <w:bCs/>
        </w:rPr>
      </w:pPr>
      <w:r w:rsidRPr="008852EB">
        <w:rPr>
          <w:bCs/>
        </w:rPr>
        <w:t xml:space="preserve">A szulfonilureák és inzulin által előidézett hypoglykaemiás hatás </w:t>
      </w:r>
      <w:r w:rsidR="008E5E64">
        <w:rPr>
          <w:bCs/>
        </w:rPr>
        <w:t>kockázat</w:t>
      </w:r>
      <w:r w:rsidRPr="008852EB">
        <w:rPr>
          <w:bCs/>
        </w:rPr>
        <w:t xml:space="preserve">át a túladagolt </w:t>
      </w:r>
      <w:r w:rsidR="004C32B3" w:rsidRPr="008852EB">
        <w:rPr>
          <w:bCs/>
        </w:rPr>
        <w:t>acetilszalicilsav</w:t>
      </w:r>
      <w:r w:rsidR="00B5458D" w:rsidRPr="008852EB">
        <w:rPr>
          <w:bCs/>
        </w:rPr>
        <w:t>-</w:t>
      </w:r>
      <w:r w:rsidR="004C32B3" w:rsidRPr="008852EB">
        <w:rPr>
          <w:bCs/>
        </w:rPr>
        <w:t xml:space="preserve">tartalmú készítmények </w:t>
      </w:r>
      <w:r w:rsidRPr="008852EB">
        <w:rPr>
          <w:bCs/>
        </w:rPr>
        <w:t>felerősítheti</w:t>
      </w:r>
      <w:r w:rsidR="004C32B3" w:rsidRPr="008852EB">
        <w:rPr>
          <w:bCs/>
        </w:rPr>
        <w:t>k</w:t>
      </w:r>
      <w:r w:rsidRPr="008852EB">
        <w:rPr>
          <w:bCs/>
        </w:rPr>
        <w:t xml:space="preserve"> (lásd 4.5 pont</w:t>
      </w:r>
      <w:r w:rsidR="000E2FD9" w:rsidRPr="008852EB">
        <w:rPr>
          <w:bCs/>
        </w:rPr>
        <w:t>).</w:t>
      </w:r>
    </w:p>
    <w:p w14:paraId="27E2620C" w14:textId="403A63DE" w:rsidR="005078F9" w:rsidRPr="008852EB" w:rsidRDefault="005078F9" w:rsidP="00D96B72">
      <w:pPr>
        <w:pStyle w:val="Szvegtrzs1"/>
        <w:spacing w:after="0"/>
        <w:rPr>
          <w:bCs/>
        </w:rPr>
      </w:pPr>
      <w:r w:rsidRPr="008852EB">
        <w:rPr>
          <w:bCs/>
        </w:rPr>
        <w:t>Ritkán súlyos bőrreakciókról, köztük Stevens</w:t>
      </w:r>
      <w:r w:rsidR="00B5458D" w:rsidRPr="008852EB">
        <w:rPr>
          <w:bCs/>
        </w:rPr>
        <w:t>–</w:t>
      </w:r>
      <w:r w:rsidRPr="008852EB">
        <w:rPr>
          <w:bCs/>
        </w:rPr>
        <w:t>Johnson</w:t>
      </w:r>
      <w:r w:rsidR="00B5458D" w:rsidRPr="008852EB">
        <w:rPr>
          <w:bCs/>
        </w:rPr>
        <w:t>-</w:t>
      </w:r>
      <w:r w:rsidRPr="008852EB">
        <w:rPr>
          <w:bCs/>
        </w:rPr>
        <w:t>szindrómáról számoltak be az acetilszalicilsav alkalmazásával kapcsolat</w:t>
      </w:r>
      <w:r w:rsidR="00EC27D3" w:rsidRPr="008852EB">
        <w:rPr>
          <w:bCs/>
        </w:rPr>
        <w:t>osan (lásd 4.8 pont). Az acetilszalicilsav</w:t>
      </w:r>
      <w:r w:rsidR="00983C42">
        <w:rPr>
          <w:bCs/>
        </w:rPr>
        <w:t>-</w:t>
      </w:r>
      <w:r w:rsidR="00EC27D3" w:rsidRPr="008852EB">
        <w:rPr>
          <w:bCs/>
        </w:rPr>
        <w:t>tartalmú készítmények</w:t>
      </w:r>
      <w:r w:rsidRPr="008852EB">
        <w:rPr>
          <w:bCs/>
        </w:rPr>
        <w:t xml:space="preserve"> alkalmazását bőrkiütések, nyálkahártya</w:t>
      </w:r>
      <w:r w:rsidRPr="008852EB">
        <w:rPr>
          <w:bCs/>
        </w:rPr>
        <w:noBreakHyphen/>
        <w:t>l</w:t>
      </w:r>
      <w:r w:rsidR="00532959">
        <w:rPr>
          <w:bCs/>
        </w:rPr>
        <w:t>aes</w:t>
      </w:r>
      <w:r w:rsidRPr="008852EB">
        <w:rPr>
          <w:bCs/>
        </w:rPr>
        <w:t>iók vagy más, túlérzékenységre utaló bármilyen tünet első megjelenésekor fel kell függeszteni.</w:t>
      </w:r>
    </w:p>
    <w:p w14:paraId="27BA3489" w14:textId="37E47DDC" w:rsidR="005078F9" w:rsidRPr="008852EB" w:rsidRDefault="005078F9" w:rsidP="00D96B72">
      <w:pPr>
        <w:pStyle w:val="Szvegtrzs1"/>
        <w:spacing w:after="0"/>
        <w:rPr>
          <w:bCs/>
        </w:rPr>
      </w:pPr>
      <w:r w:rsidRPr="008852EB">
        <w:rPr>
          <w:bCs/>
        </w:rPr>
        <w:t>Az idős betegek különösen fogékonyak az NSAID</w:t>
      </w:r>
      <w:r w:rsidRPr="008852EB">
        <w:rPr>
          <w:bCs/>
        </w:rPr>
        <w:noBreakHyphen/>
        <w:t xml:space="preserve">ok, többek között az acetilszalicilsav által kiváltott mellékhatásokra, főként a </w:t>
      </w:r>
      <w:r w:rsidR="00686D0F" w:rsidRPr="00D96B72">
        <w:rPr>
          <w:bCs/>
        </w:rPr>
        <w:t>gas</w:t>
      </w:r>
      <w:r w:rsidR="00686D0F">
        <w:rPr>
          <w:bCs/>
        </w:rPr>
        <w:t>z</w:t>
      </w:r>
      <w:r w:rsidR="00686D0F" w:rsidRPr="00D96B72">
        <w:rPr>
          <w:bCs/>
        </w:rPr>
        <w:t>trointes</w:t>
      </w:r>
      <w:r w:rsidR="00686D0F">
        <w:rPr>
          <w:bCs/>
        </w:rPr>
        <w:t>z</w:t>
      </w:r>
      <w:r w:rsidR="00686D0F" w:rsidRPr="00D96B72">
        <w:rPr>
          <w:bCs/>
        </w:rPr>
        <w:t>tin</w:t>
      </w:r>
      <w:r w:rsidR="00686D0F">
        <w:rPr>
          <w:bCs/>
        </w:rPr>
        <w:t>á</w:t>
      </w:r>
      <w:r w:rsidR="00686D0F" w:rsidRPr="00D96B72">
        <w:rPr>
          <w:bCs/>
        </w:rPr>
        <w:t>lis</w:t>
      </w:r>
      <w:r w:rsidRPr="008852EB">
        <w:rPr>
          <w:bCs/>
        </w:rPr>
        <w:t xml:space="preserve"> vérzésekre, illetve a perfor</w:t>
      </w:r>
      <w:r w:rsidR="00532959">
        <w:rPr>
          <w:bCs/>
        </w:rPr>
        <w:t>at</w:t>
      </w:r>
      <w:r w:rsidRPr="008852EB">
        <w:rPr>
          <w:bCs/>
        </w:rPr>
        <w:t xml:space="preserve">ióra, amelyek akár fatális kimenetelűek is lehetnek. Azokat a betegeket, akiknél </w:t>
      </w:r>
      <w:r w:rsidR="00147B90" w:rsidRPr="008852EB">
        <w:rPr>
          <w:bCs/>
        </w:rPr>
        <w:t>acetilszalicilsav</w:t>
      </w:r>
      <w:r w:rsidR="00B5458D" w:rsidRPr="008852EB">
        <w:rPr>
          <w:bCs/>
        </w:rPr>
        <w:t>-</w:t>
      </w:r>
      <w:r w:rsidR="00147B90" w:rsidRPr="008852EB">
        <w:rPr>
          <w:bCs/>
        </w:rPr>
        <w:t xml:space="preserve">tartalmú készítmények </w:t>
      </w:r>
      <w:r w:rsidRPr="008852EB">
        <w:rPr>
          <w:bCs/>
        </w:rPr>
        <w:t xml:space="preserve">tartós </w:t>
      </w:r>
      <w:r w:rsidRPr="008852EB">
        <w:rPr>
          <w:bCs/>
        </w:rPr>
        <w:lastRenderedPageBreak/>
        <w:t>terápi</w:t>
      </w:r>
      <w:r w:rsidR="00147B90" w:rsidRPr="008852EB">
        <w:rPr>
          <w:bCs/>
        </w:rPr>
        <w:t>áj</w:t>
      </w:r>
      <w:r w:rsidRPr="008852EB">
        <w:rPr>
          <w:bCs/>
        </w:rPr>
        <w:t>a szükséges, rendszeres felülvizsgálatban kell részesíteni.</w:t>
      </w:r>
    </w:p>
    <w:p w14:paraId="5EE852DC" w14:textId="53BD3E5B" w:rsidR="005078F9" w:rsidRPr="008852EB" w:rsidRDefault="005327B6" w:rsidP="00D96B72">
      <w:pPr>
        <w:pStyle w:val="Szvegtrzs1"/>
        <w:spacing w:after="0"/>
        <w:rPr>
          <w:bCs/>
        </w:rPr>
      </w:pPr>
      <w:r w:rsidRPr="008852EB">
        <w:rPr>
          <w:bCs/>
        </w:rPr>
        <w:t>Acetilszalicilsa</w:t>
      </w:r>
      <w:r w:rsidR="001174EB" w:rsidRPr="008852EB">
        <w:rPr>
          <w:bCs/>
        </w:rPr>
        <w:t>v</w:t>
      </w:r>
      <w:r w:rsidR="005078F9" w:rsidRPr="008852EB">
        <w:rPr>
          <w:bCs/>
        </w:rPr>
        <w:t xml:space="preserve"> és egyéb hemostasist megváltoztató gyógyszerek (pl. antikoagulánsok, mint amilyen a warfarin, trombolitikus és thrombocyta</w:t>
      </w:r>
      <w:r w:rsidR="00983C42">
        <w:rPr>
          <w:bCs/>
        </w:rPr>
        <w:t>-</w:t>
      </w:r>
      <w:r w:rsidR="00B5458D" w:rsidRPr="008852EB">
        <w:rPr>
          <w:bCs/>
        </w:rPr>
        <w:t>aggregáció</w:t>
      </w:r>
      <w:r w:rsidR="005078F9" w:rsidRPr="008852EB">
        <w:rPr>
          <w:bCs/>
        </w:rPr>
        <w:noBreakHyphen/>
      </w:r>
      <w:r w:rsidR="00B5458D" w:rsidRPr="008852EB">
        <w:rPr>
          <w:bCs/>
        </w:rPr>
        <w:t>gátló</w:t>
      </w:r>
      <w:r w:rsidR="005078F9" w:rsidRPr="008852EB">
        <w:rPr>
          <w:bCs/>
        </w:rPr>
        <w:t xml:space="preserve"> hatású szerek, gyulladásgátlók és szelektív szerotonin</w:t>
      </w:r>
      <w:r w:rsidR="005078F9" w:rsidRPr="008852EB">
        <w:rPr>
          <w:bCs/>
        </w:rPr>
        <w:noBreakHyphen/>
        <w:t>újrafelvétel</w:t>
      </w:r>
      <w:r w:rsidR="005078F9" w:rsidRPr="008852EB">
        <w:rPr>
          <w:bCs/>
        </w:rPr>
        <w:noBreakHyphen/>
        <w:t xml:space="preserve">gátlók) egyidejű alkalmazása nem javasolt, csak szigorúan indokolt esetekben, mivel ezek fokozhatják a vérzés kockázatát (lásd 4.5 pont). Ha a kombináció alkalmazása elkerülhetetlen, a beteget szoros megfigyelés alatt kell tartani a vérzés jeleinek </w:t>
      </w:r>
      <w:r w:rsidR="00B5458D" w:rsidRPr="008852EB">
        <w:rPr>
          <w:bCs/>
        </w:rPr>
        <w:t>észlelése érdek</w:t>
      </w:r>
      <w:r w:rsidR="005078F9" w:rsidRPr="008852EB">
        <w:rPr>
          <w:bCs/>
        </w:rPr>
        <w:t>ében.</w:t>
      </w:r>
    </w:p>
    <w:p w14:paraId="4A3CD032" w14:textId="607E1E9B" w:rsidR="00210197" w:rsidRPr="008852EB" w:rsidRDefault="005078F9" w:rsidP="00D96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bCs/>
        </w:rPr>
        <w:t>Kellő körültekintés ajánlott azoknál a betegeknél, akik egyidejűleg olyan gyógyszereket kapnak</w:t>
      </w:r>
      <w:r w:rsidR="00532959">
        <w:rPr>
          <w:rFonts w:ascii="Times New Roman" w:hAnsi="Times New Roman" w:cs="Times New Roman"/>
          <w:bCs/>
        </w:rPr>
        <w:t xml:space="preserve"> (</w:t>
      </w:r>
      <w:r w:rsidR="00532959" w:rsidRPr="00532959">
        <w:rPr>
          <w:rFonts w:ascii="Times New Roman" w:hAnsi="Times New Roman" w:cs="Times New Roman"/>
          <w:bCs/>
        </w:rPr>
        <w:t>pl. orális kortikoszteroidok</w:t>
      </w:r>
      <w:r w:rsidR="00532959">
        <w:rPr>
          <w:rFonts w:ascii="Times New Roman" w:hAnsi="Times New Roman" w:cs="Times New Roman"/>
          <w:bCs/>
        </w:rPr>
        <w:t>at</w:t>
      </w:r>
      <w:r w:rsidR="00532959" w:rsidRPr="00532959">
        <w:rPr>
          <w:rFonts w:ascii="Times New Roman" w:hAnsi="Times New Roman" w:cs="Times New Roman"/>
          <w:bCs/>
        </w:rPr>
        <w:t>, szelektív szerotonin</w:t>
      </w:r>
      <w:r w:rsidR="00532959">
        <w:rPr>
          <w:rFonts w:ascii="Times New Roman" w:hAnsi="Times New Roman" w:cs="Times New Roman"/>
          <w:bCs/>
        </w:rPr>
        <w:t>-</w:t>
      </w:r>
      <w:r w:rsidR="00532959" w:rsidRPr="00532959">
        <w:rPr>
          <w:rFonts w:ascii="Times New Roman" w:hAnsi="Times New Roman" w:cs="Times New Roman"/>
          <w:bCs/>
        </w:rPr>
        <w:t>újrafelvétel</w:t>
      </w:r>
      <w:r w:rsidR="00983C42">
        <w:rPr>
          <w:rFonts w:ascii="Times New Roman" w:hAnsi="Times New Roman" w:cs="Times New Roman"/>
          <w:bCs/>
        </w:rPr>
        <w:t>-</w:t>
      </w:r>
      <w:r w:rsidR="00532959" w:rsidRPr="00532959">
        <w:rPr>
          <w:rFonts w:ascii="Times New Roman" w:hAnsi="Times New Roman" w:cs="Times New Roman"/>
          <w:bCs/>
        </w:rPr>
        <w:t>gátlók</w:t>
      </w:r>
      <w:r w:rsidR="00532959">
        <w:rPr>
          <w:rFonts w:ascii="Times New Roman" w:hAnsi="Times New Roman" w:cs="Times New Roman"/>
          <w:bCs/>
        </w:rPr>
        <w:t>at</w:t>
      </w:r>
      <w:r w:rsidR="00532959" w:rsidRPr="00532959">
        <w:rPr>
          <w:rFonts w:ascii="Times New Roman" w:hAnsi="Times New Roman" w:cs="Times New Roman"/>
          <w:bCs/>
        </w:rPr>
        <w:t xml:space="preserve"> és deferazirox</w:t>
      </w:r>
      <w:r w:rsidR="00532959">
        <w:rPr>
          <w:rFonts w:ascii="Times New Roman" w:hAnsi="Times New Roman" w:cs="Times New Roman"/>
          <w:bCs/>
        </w:rPr>
        <w:t>ot</w:t>
      </w:r>
      <w:r w:rsidR="00983C42">
        <w:rPr>
          <w:rFonts w:ascii="Times New Roman" w:hAnsi="Times New Roman" w:cs="Times New Roman"/>
          <w:bCs/>
        </w:rPr>
        <w:t>)</w:t>
      </w:r>
      <w:r w:rsidRPr="008852EB">
        <w:rPr>
          <w:rFonts w:ascii="Times New Roman" w:hAnsi="Times New Roman" w:cs="Times New Roman"/>
          <w:bCs/>
        </w:rPr>
        <w:t>, amelyek fokozhatják a fekélyképződés</w:t>
      </w:r>
      <w:r w:rsidR="00210197" w:rsidRPr="008852EB">
        <w:rPr>
          <w:rFonts w:ascii="Times New Roman" w:hAnsi="Times New Roman" w:cs="Times New Roman"/>
          <w:bCs/>
        </w:rPr>
        <w:t xml:space="preserve"> </w:t>
      </w:r>
      <w:r w:rsidR="00532959">
        <w:rPr>
          <w:rFonts w:ascii="Times New Roman" w:hAnsi="Times New Roman" w:cs="Times New Roman"/>
          <w:bCs/>
        </w:rPr>
        <w:t xml:space="preserve">és </w:t>
      </w:r>
      <w:r w:rsidR="00210197" w:rsidRPr="008852EB">
        <w:rPr>
          <w:rFonts w:ascii="Times New Roman" w:hAnsi="Times New Roman" w:cs="Times New Roman"/>
          <w:bCs/>
        </w:rPr>
        <w:t>a felső gasztrointesztinális traktus vérzésének</w:t>
      </w:r>
      <w:r w:rsidRPr="008852EB">
        <w:rPr>
          <w:rFonts w:ascii="Times New Roman" w:hAnsi="Times New Roman" w:cs="Times New Roman"/>
          <w:bCs/>
        </w:rPr>
        <w:t xml:space="preserve"> kockázatát</w:t>
      </w:r>
      <w:r w:rsidR="00210197" w:rsidRPr="008852EB">
        <w:rPr>
          <w:rFonts w:ascii="Times New Roman" w:hAnsi="Times New Roman" w:cs="Times New Roman"/>
          <w:bCs/>
        </w:rPr>
        <w:t xml:space="preserve"> </w:t>
      </w:r>
      <w:r w:rsidR="00983C42">
        <w:rPr>
          <w:rFonts w:ascii="Times New Roman" w:hAnsi="Times New Roman" w:cs="Times New Roman"/>
          <w:bCs/>
        </w:rPr>
        <w:t xml:space="preserve">a </w:t>
      </w:r>
      <w:r w:rsidR="00210197" w:rsidRPr="008852EB">
        <w:rPr>
          <w:rFonts w:ascii="Times New Roman" w:hAnsi="Times New Roman" w:cs="Times New Roman"/>
          <w:bCs/>
        </w:rPr>
        <w:t>szinergista hatás következtében</w:t>
      </w:r>
      <w:r w:rsidRPr="008852EB">
        <w:rPr>
          <w:rFonts w:ascii="Times New Roman" w:hAnsi="Times New Roman" w:cs="Times New Roman"/>
          <w:bCs/>
        </w:rPr>
        <w:t xml:space="preserve"> (lásd 4.5 pont)</w:t>
      </w:r>
      <w:r w:rsidR="001B7FE1" w:rsidRPr="008852EB">
        <w:rPr>
          <w:rFonts w:ascii="Times New Roman" w:hAnsi="Times New Roman" w:cs="Times New Roman"/>
        </w:rPr>
        <w:t>.</w:t>
      </w:r>
    </w:p>
    <w:p w14:paraId="5E5B4B8E" w14:textId="77777777" w:rsidR="004F706B" w:rsidRPr="008852EB" w:rsidRDefault="004F706B" w:rsidP="00D96B72">
      <w:pPr>
        <w:pStyle w:val="Normal1"/>
        <w:suppressAutoHyphens w:val="0"/>
        <w:rPr>
          <w:rFonts w:eastAsia="Times New Roman"/>
          <w:color w:val="auto"/>
          <w:sz w:val="22"/>
          <w:szCs w:val="22"/>
          <w:lang w:val="hu-HU"/>
        </w:rPr>
      </w:pPr>
    </w:p>
    <w:p w14:paraId="2F372312" w14:textId="18421C93" w:rsidR="001B7FE1" w:rsidRPr="00906E75" w:rsidRDefault="00CA4BC8" w:rsidP="00D96B72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  <w:r>
        <w:rPr>
          <w:bCs/>
          <w:color w:val="auto"/>
          <w:sz w:val="22"/>
          <w:szCs w:val="22"/>
          <w:lang w:val="hu-HU"/>
        </w:rPr>
        <w:t>Az a</w:t>
      </w:r>
      <w:r w:rsidR="005E3A9D" w:rsidRPr="00906E75">
        <w:rPr>
          <w:bCs/>
          <w:color w:val="auto"/>
          <w:sz w:val="22"/>
          <w:szCs w:val="22"/>
          <w:lang w:val="hu-HU"/>
        </w:rPr>
        <w:t>cetilszalicilsav</w:t>
      </w:r>
      <w:r w:rsidR="00983C42">
        <w:rPr>
          <w:bCs/>
          <w:color w:val="auto"/>
          <w:sz w:val="22"/>
          <w:szCs w:val="22"/>
          <w:lang w:val="hu-HU"/>
        </w:rPr>
        <w:t>-</w:t>
      </w:r>
      <w:r w:rsidR="005E3A9D" w:rsidRPr="00906E75">
        <w:rPr>
          <w:bCs/>
          <w:color w:val="auto"/>
          <w:sz w:val="22"/>
          <w:szCs w:val="22"/>
          <w:lang w:val="hu-HU"/>
        </w:rPr>
        <w:t>tartalmú készítmények óvatosan alkalmazandó</w:t>
      </w:r>
      <w:r w:rsidR="005E3A9D" w:rsidRPr="000D38FC">
        <w:rPr>
          <w:bCs/>
          <w:color w:val="auto"/>
          <w:sz w:val="22"/>
          <w:szCs w:val="22"/>
          <w:lang w:val="hu-HU"/>
        </w:rPr>
        <w:t xml:space="preserve">k nagyon </w:t>
      </w:r>
      <w:r w:rsidR="006D1FF2" w:rsidRPr="009D0DD9">
        <w:rPr>
          <w:bCs/>
          <w:color w:val="auto"/>
          <w:sz w:val="22"/>
          <w:szCs w:val="22"/>
          <w:lang w:val="hu-HU"/>
        </w:rPr>
        <w:t>erős</w:t>
      </w:r>
      <w:r w:rsidR="005E3A9D" w:rsidRPr="00DB62BE">
        <w:rPr>
          <w:bCs/>
          <w:color w:val="auto"/>
          <w:sz w:val="22"/>
          <w:szCs w:val="22"/>
          <w:lang w:val="hu-HU"/>
        </w:rPr>
        <w:t xml:space="preserve"> menstruációs vérzés esetében</w:t>
      </w:r>
      <w:r w:rsidR="002C4B0D" w:rsidRPr="00DB62BE">
        <w:rPr>
          <w:bCs/>
          <w:color w:val="auto"/>
          <w:sz w:val="22"/>
          <w:szCs w:val="22"/>
          <w:lang w:val="hu-HU"/>
        </w:rPr>
        <w:t>.</w:t>
      </w:r>
    </w:p>
    <w:p w14:paraId="179A7D0D" w14:textId="1A729803" w:rsidR="006C2BD6" w:rsidRPr="001D581E" w:rsidRDefault="006C2BD6" w:rsidP="00D96B72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38061C49" w14:textId="4497CCA6" w:rsidR="001B7DDB" w:rsidRPr="008852EB" w:rsidRDefault="001B7DDB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bCs/>
          <w:u w:val="single"/>
        </w:rPr>
        <w:t>Az acetilszalicilsav alkalmazása alatti alkoholfogyasztás fokozza az emésztőrendszeri vérzések kockázatát</w:t>
      </w:r>
      <w:r w:rsidR="00B5458D" w:rsidRPr="008852EB">
        <w:rPr>
          <w:rFonts w:ascii="Times New Roman" w:hAnsi="Times New Roman" w:cs="Times New Roman"/>
          <w:bCs/>
          <w:u w:val="single"/>
        </w:rPr>
        <w:t>.</w:t>
      </w:r>
    </w:p>
    <w:p w14:paraId="08F9B2EF" w14:textId="0B36AC1F" w:rsidR="005A21CA" w:rsidRPr="008852EB" w:rsidRDefault="001B7DDB" w:rsidP="00D96B72">
      <w:pPr>
        <w:pStyle w:val="Normal1"/>
        <w:suppressAutoHyphens w:val="0"/>
        <w:rPr>
          <w:sz w:val="22"/>
          <w:szCs w:val="22"/>
          <w:lang w:val="hu-HU"/>
        </w:rPr>
      </w:pPr>
      <w:r w:rsidRPr="008852EB">
        <w:rPr>
          <w:sz w:val="22"/>
          <w:szCs w:val="22"/>
          <w:lang w:val="hu-HU"/>
        </w:rPr>
        <w:t>A beteget figyelmeztetni kell a gasztrointesztinális sérülések és vérzés</w:t>
      </w:r>
      <w:r w:rsidR="00532959">
        <w:rPr>
          <w:sz w:val="22"/>
          <w:szCs w:val="22"/>
          <w:lang w:val="hu-HU"/>
        </w:rPr>
        <w:t>ek</w:t>
      </w:r>
      <w:r w:rsidRPr="008852EB">
        <w:rPr>
          <w:sz w:val="22"/>
          <w:szCs w:val="22"/>
          <w:lang w:val="hu-HU"/>
        </w:rPr>
        <w:t xml:space="preserve"> kockázatára a </w:t>
      </w:r>
      <w:r w:rsidR="00F67181" w:rsidRPr="008852EB">
        <w:rPr>
          <w:sz w:val="22"/>
          <w:szCs w:val="22"/>
          <w:lang w:val="hu-HU"/>
        </w:rPr>
        <w:t>XeterDuo</w:t>
      </w:r>
      <w:r w:rsidRPr="008852EB">
        <w:rPr>
          <w:sz w:val="22"/>
          <w:szCs w:val="22"/>
          <w:lang w:val="hu-HU"/>
        </w:rPr>
        <w:t xml:space="preserve"> alkohollal történő együttes alkalmazása esetében, különösen, ha az alkoholfogyasztás krónikus és </w:t>
      </w:r>
      <w:r w:rsidR="008E5E64">
        <w:rPr>
          <w:sz w:val="22"/>
          <w:szCs w:val="22"/>
          <w:lang w:val="hu-HU"/>
        </w:rPr>
        <w:t>nagymértékű</w:t>
      </w:r>
      <w:r w:rsidR="004F706B" w:rsidRPr="008852EB">
        <w:rPr>
          <w:sz w:val="22"/>
          <w:szCs w:val="22"/>
          <w:lang w:val="hu-HU"/>
        </w:rPr>
        <w:t>.</w:t>
      </w:r>
    </w:p>
    <w:p w14:paraId="2FDFC801" w14:textId="58FA6282" w:rsidR="002E1C6E" w:rsidRPr="008852EB" w:rsidRDefault="002E1C6E" w:rsidP="00D96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6554772" w14:textId="3B4F029A" w:rsidR="000B5AA1" w:rsidRPr="008852EB" w:rsidRDefault="00407A6C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532959" w:rsidRPr="00532959">
        <w:rPr>
          <w:color w:val="auto"/>
          <w:sz w:val="22"/>
          <w:szCs w:val="22"/>
          <w:lang w:val="hu-HU"/>
        </w:rPr>
        <w:t>kemény kapszula</w:t>
      </w:r>
      <w:r w:rsidRPr="008852EB">
        <w:rPr>
          <w:color w:val="auto"/>
          <w:sz w:val="22"/>
          <w:szCs w:val="22"/>
          <w:lang w:val="hu-HU"/>
        </w:rPr>
        <w:t xml:space="preserve"> a hatóanyag mennyisége miatt nem alkalma</w:t>
      </w:r>
      <w:r w:rsidR="00A01ADE" w:rsidRPr="008852EB">
        <w:rPr>
          <w:color w:val="auto"/>
          <w:sz w:val="22"/>
          <w:szCs w:val="22"/>
          <w:lang w:val="hu-HU"/>
        </w:rPr>
        <w:t xml:space="preserve">zható </w:t>
      </w:r>
      <w:r w:rsidR="00A01ADE" w:rsidRPr="008852EB">
        <w:rPr>
          <w:bCs/>
          <w:color w:val="auto"/>
          <w:sz w:val="22"/>
          <w:szCs w:val="22"/>
          <w:lang w:val="hu-HU"/>
        </w:rPr>
        <w:t>gyulladásgátlóként/fájdalomcsillapítóként/lázcsillapítóként</w:t>
      </w:r>
      <w:r w:rsidR="00B5458D" w:rsidRPr="008852EB">
        <w:rPr>
          <w:bCs/>
          <w:color w:val="auto"/>
          <w:sz w:val="22"/>
          <w:szCs w:val="22"/>
          <w:lang w:val="hu-HU"/>
        </w:rPr>
        <w:t>.</w:t>
      </w:r>
    </w:p>
    <w:p w14:paraId="63198556" w14:textId="77777777" w:rsidR="00B85B99" w:rsidRDefault="00B85B99" w:rsidP="00B85B99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</w:p>
    <w:p w14:paraId="53336A31" w14:textId="4FAE0C45" w:rsidR="00B85B99" w:rsidRDefault="00B85B99" w:rsidP="00B85B99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>
        <w:rPr>
          <w:color w:val="auto"/>
          <w:sz w:val="22"/>
          <w:szCs w:val="22"/>
          <w:u w:val="single"/>
          <w:lang w:val="hu-HU"/>
        </w:rPr>
        <w:t>Szív- és érrendszeri és cerebrovaszkuláris hatások</w:t>
      </w:r>
    </w:p>
    <w:p w14:paraId="4DCEFE5B" w14:textId="21CD4756" w:rsidR="00B85B99" w:rsidRDefault="00B85B99" w:rsidP="00B85B99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85B99">
        <w:rPr>
          <w:color w:val="auto"/>
          <w:sz w:val="22"/>
          <w:szCs w:val="22"/>
          <w:lang w:val="hu-HU"/>
        </w:rPr>
        <w:t>Az acetilszalicilsavval kezelt betegeknél ritkán túlérzékenységi reakció (Kounis-szindróma) részeként</w:t>
      </w:r>
      <w:r>
        <w:rPr>
          <w:color w:val="auto"/>
          <w:sz w:val="22"/>
          <w:szCs w:val="22"/>
          <w:lang w:val="hu-HU"/>
        </w:rPr>
        <w:t xml:space="preserve"> jelentkező akut miokardiális ischemiát figyeltek meg, miokardiális infarktussal vagy </w:t>
      </w:r>
      <w:proofErr w:type="gramStart"/>
      <w:r>
        <w:rPr>
          <w:color w:val="auto"/>
          <w:sz w:val="22"/>
          <w:szCs w:val="22"/>
          <w:lang w:val="hu-HU"/>
        </w:rPr>
        <w:t>anélkül</w:t>
      </w:r>
      <w:proofErr w:type="gramEnd"/>
      <w:r>
        <w:rPr>
          <w:color w:val="auto"/>
          <w:sz w:val="22"/>
          <w:szCs w:val="22"/>
          <w:lang w:val="hu-HU"/>
        </w:rPr>
        <w:t>. Kounis</w:t>
      </w:r>
      <w:r>
        <w:rPr>
          <w:color w:val="auto"/>
          <w:sz w:val="22"/>
          <w:szCs w:val="22"/>
          <w:lang w:val="hu-HU"/>
        </w:rPr>
        <w:noBreakHyphen/>
        <w:t>szindróma acetilszalicilsavval összefüggő előfordulásának igazolása esetén a XeterDuo alkalmazását azonnal fel kell függeszteni.</w:t>
      </w:r>
    </w:p>
    <w:p w14:paraId="78FB0B7F" w14:textId="77777777" w:rsidR="00F00800" w:rsidRPr="008852EB" w:rsidRDefault="00F00800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1FBED35" w14:textId="77777777" w:rsidR="00206C02" w:rsidRPr="008852EB" w:rsidRDefault="00206C02" w:rsidP="00D96B72">
      <w:pPr>
        <w:widowControl w:val="0"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8852EB">
        <w:rPr>
          <w:rFonts w:ascii="Times New Roman" w:eastAsia="Times New Roman" w:hAnsi="Times New Roman" w:cs="Times New Roman"/>
          <w:u w:val="single"/>
          <w:lang w:eastAsia="hu-HU"/>
        </w:rPr>
        <w:t>Gyermekek és serdülők</w:t>
      </w:r>
    </w:p>
    <w:p w14:paraId="08C7D556" w14:textId="4081D1FC" w:rsidR="00206C02" w:rsidRPr="008852EB" w:rsidRDefault="00BA1CD5" w:rsidP="00D96B72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2E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B5458D" w:rsidRPr="008852EB">
        <w:rPr>
          <w:rFonts w:ascii="Times New Roman" w:eastAsia="Times New Roman" w:hAnsi="Times New Roman" w:cs="Times New Roman"/>
          <w:lang w:eastAsia="hu-HU"/>
        </w:rPr>
        <w:t>acetilszalicilsav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 xml:space="preserve"> biztonságosságát és hatásosságát </w:t>
      </w:r>
      <w:r w:rsidR="00983C42">
        <w:rPr>
          <w:rFonts w:ascii="Times New Roman" w:eastAsia="Times New Roman" w:hAnsi="Times New Roman" w:cs="Times New Roman"/>
          <w:lang w:eastAsia="hu-HU"/>
        </w:rPr>
        <w:t xml:space="preserve">betöltött 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>18 éves kor alatti gyermekek és serdülők esetében nem igazolták. Nincsenek rendelkezé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sre álló adatok. Így az </w:t>
      </w:r>
      <w:r w:rsidR="00B5458D" w:rsidRPr="008852EB">
        <w:rPr>
          <w:rFonts w:ascii="Times New Roman" w:eastAsia="Times New Roman" w:hAnsi="Times New Roman" w:cs="Times New Roman"/>
          <w:lang w:eastAsia="hu-HU"/>
        </w:rPr>
        <w:t xml:space="preserve">acetilszalicilsav 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 xml:space="preserve">alkalmazása </w:t>
      </w:r>
      <w:r w:rsidR="00983C42">
        <w:rPr>
          <w:rFonts w:ascii="Times New Roman" w:eastAsia="Times New Roman" w:hAnsi="Times New Roman" w:cs="Times New Roman"/>
          <w:lang w:eastAsia="hu-HU"/>
        </w:rPr>
        <w:t xml:space="preserve">betöltött 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>18 év alatti gyermekeknél és serdülőknél nem javasolt.</w:t>
      </w:r>
    </w:p>
    <w:p w14:paraId="2AE75AE7" w14:textId="77777777" w:rsidR="008D0B26" w:rsidRPr="008852EB" w:rsidRDefault="008D0B26" w:rsidP="00D96B72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76FC422A" w14:textId="6123A78F" w:rsidR="002C4B0D" w:rsidRPr="00906E75" w:rsidRDefault="002C4B0D" w:rsidP="00D96B72">
      <w:pPr>
        <w:spacing w:after="0" w:line="240" w:lineRule="auto"/>
        <w:rPr>
          <w:rFonts w:ascii="Times New Roman" w:eastAsia="Times New Roman" w:hAnsi="Times New Roman" w:cs="Times New Roman"/>
          <w:bCs/>
          <w:lang w:eastAsia="hu-HU"/>
        </w:rPr>
      </w:pPr>
      <w:r w:rsidRPr="00906E75">
        <w:rPr>
          <w:rFonts w:ascii="Times New Roman" w:eastAsia="Times New Roman" w:hAnsi="Times New Roman" w:cs="Times New Roman"/>
          <w:bCs/>
          <w:lang w:eastAsia="hu-HU"/>
        </w:rPr>
        <w:t>Bizonyos vírusfertőzések esetén (pl. influenza A</w:t>
      </w:r>
      <w:r w:rsidRPr="000D38FC">
        <w:rPr>
          <w:rFonts w:ascii="Times New Roman" w:eastAsia="Times New Roman" w:hAnsi="Times New Roman" w:cs="Times New Roman"/>
          <w:bCs/>
          <w:lang w:eastAsia="hu-HU"/>
        </w:rPr>
        <w:noBreakHyphen/>
        <w:t>, vagy B- és varicella-fertőzések) fennáll a Reye</w:t>
      </w:r>
      <w:r w:rsidR="00983C42">
        <w:rPr>
          <w:rFonts w:ascii="Times New Roman" w:eastAsia="Times New Roman" w:hAnsi="Times New Roman" w:cs="Times New Roman"/>
          <w:bCs/>
          <w:lang w:eastAsia="hu-HU"/>
        </w:rPr>
        <w:noBreakHyphen/>
      </w:r>
      <w:r w:rsidRPr="000D38FC">
        <w:rPr>
          <w:rFonts w:ascii="Times New Roman" w:eastAsia="Times New Roman" w:hAnsi="Times New Roman" w:cs="Times New Roman"/>
          <w:bCs/>
          <w:lang w:eastAsia="hu-HU"/>
        </w:rPr>
        <w:t>szindróma kialakulásának kockázata, mely egy</w:t>
      </w:r>
      <w:r w:rsidR="00DE03A5" w:rsidRPr="00DB62BE">
        <w:rPr>
          <w:rFonts w:ascii="Times New Roman" w:eastAsia="Times New Roman" w:hAnsi="Times New Roman" w:cs="Times New Roman"/>
          <w:bCs/>
          <w:lang w:eastAsia="hu-HU"/>
        </w:rPr>
        <w:t>, az agyat és májat érintő</w:t>
      </w:r>
      <w:r w:rsidRPr="00DB62BE">
        <w:rPr>
          <w:rFonts w:ascii="Times New Roman" w:eastAsia="Times New Roman" w:hAnsi="Times New Roman" w:cs="Times New Roman"/>
          <w:bCs/>
          <w:lang w:eastAsia="hu-HU"/>
        </w:rPr>
        <w:t xml:space="preserve"> nagyon ritka, de esetlegesen az életet veszélyeztető állapot, ami azonnali orvosi ellátást igényel. Az egyi</w:t>
      </w:r>
      <w:r w:rsidRPr="003D04F4">
        <w:rPr>
          <w:rFonts w:ascii="Times New Roman" w:eastAsia="Times New Roman" w:hAnsi="Times New Roman" w:cs="Times New Roman"/>
          <w:bCs/>
          <w:lang w:eastAsia="hu-HU"/>
        </w:rPr>
        <w:t xml:space="preserve">dejűleg adott acetilszalicilsav </w:t>
      </w:r>
      <w:r w:rsidR="006D1FF2" w:rsidRPr="003D04F4">
        <w:rPr>
          <w:rFonts w:ascii="Times New Roman" w:eastAsia="Times New Roman" w:hAnsi="Times New Roman" w:cs="Times New Roman"/>
          <w:bCs/>
          <w:lang w:eastAsia="hu-HU"/>
        </w:rPr>
        <w:t>növel</w:t>
      </w:r>
      <w:r w:rsidRPr="003D04F4">
        <w:rPr>
          <w:rFonts w:ascii="Times New Roman" w:eastAsia="Times New Roman" w:hAnsi="Times New Roman" w:cs="Times New Roman"/>
          <w:bCs/>
          <w:lang w:eastAsia="hu-HU"/>
        </w:rPr>
        <w:t>heti a kockázatot, azonban az alkalmi összefüggés nem bizonyított. Amennyiben ezek a betegségek tartós hányással járnak, az a Reye-szindrómára utaló jel lehet.</w:t>
      </w:r>
    </w:p>
    <w:p w14:paraId="3366A91E" w14:textId="7E5F957E" w:rsidR="00D62CFB" w:rsidRPr="001D581E" w:rsidRDefault="00D62CFB" w:rsidP="008852EB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</w:p>
    <w:p w14:paraId="34651CA1" w14:textId="11781340" w:rsidR="00677EB7" w:rsidRDefault="00D861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>
        <w:rPr>
          <w:color w:val="auto"/>
          <w:sz w:val="22"/>
          <w:szCs w:val="22"/>
          <w:u w:val="single"/>
          <w:lang w:val="hu-HU"/>
        </w:rPr>
        <w:t>Segédanyag</w:t>
      </w:r>
      <w:r w:rsidR="00D24B7D">
        <w:rPr>
          <w:color w:val="auto"/>
          <w:sz w:val="22"/>
          <w:szCs w:val="22"/>
          <w:u w:val="single"/>
          <w:lang w:val="hu-HU"/>
        </w:rPr>
        <w:t>ok</w:t>
      </w:r>
    </w:p>
    <w:p w14:paraId="162DF2CD" w14:textId="39DAB32F" w:rsidR="00D24B7D" w:rsidRPr="00D24B7D" w:rsidRDefault="00D24B7D" w:rsidP="00D24B7D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 xml:space="preserve">Ez a készítmény </w:t>
      </w:r>
      <w:r w:rsidRPr="00D24B7D">
        <w:rPr>
          <w:rFonts w:ascii="Times New Roman" w:eastAsia="Times New Roman" w:hAnsi="Times New Roman" w:cs="Times New Roman"/>
          <w:iCs/>
          <w:lang w:eastAsia="ar-SA"/>
        </w:rPr>
        <w:t xml:space="preserve">szójalecitint </w:t>
      </w:r>
      <w:r w:rsidRPr="00D24B7D">
        <w:rPr>
          <w:rFonts w:ascii="Times New Roman" w:eastAsia="Times New Roman" w:hAnsi="Times New Roman" w:cs="Times New Roman"/>
          <w:lang w:eastAsia="ar-SA"/>
        </w:rPr>
        <w:t>tartalmaz.</w:t>
      </w:r>
      <w:r w:rsidRPr="00D24B7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24B7D">
        <w:rPr>
          <w:rFonts w:ascii="Times New Roman" w:eastAsia="Times New Roman" w:hAnsi="Times New Roman" w:cs="Times New Roman"/>
          <w:iCs/>
          <w:lang w:eastAsia="ar-SA"/>
        </w:rPr>
        <w:t>Földimogyoró- vagy szójaallergiában szenvedő betegeknél a készítmény nem alkalmazható.</w:t>
      </w:r>
    </w:p>
    <w:p w14:paraId="54023D21" w14:textId="3ED67105" w:rsidR="00677EB7" w:rsidRPr="008852EB" w:rsidRDefault="00532959" w:rsidP="00BB4A0D">
      <w:pPr>
        <w:pStyle w:val="Normal1"/>
        <w:widowControl/>
        <w:suppressAutoHyphens w:val="0"/>
        <w:rPr>
          <w:color w:val="auto"/>
          <w:sz w:val="22"/>
          <w:szCs w:val="22"/>
          <w:lang w:val="hu-HU"/>
        </w:rPr>
      </w:pPr>
      <w:r w:rsidRPr="00532959">
        <w:rPr>
          <w:bCs/>
          <w:color w:val="auto"/>
          <w:sz w:val="22"/>
          <w:szCs w:val="22"/>
          <w:lang w:val="hu-HU"/>
        </w:rPr>
        <w:t>Ez a készítmény laktózt tartalmaz</w:t>
      </w:r>
      <w:r>
        <w:rPr>
          <w:bCs/>
          <w:color w:val="auto"/>
          <w:sz w:val="22"/>
          <w:szCs w:val="22"/>
          <w:lang w:val="hu-HU"/>
        </w:rPr>
        <w:t>.</w:t>
      </w:r>
      <w:r w:rsidRPr="00532959">
        <w:rPr>
          <w:bCs/>
          <w:color w:val="auto"/>
          <w:sz w:val="22"/>
          <w:szCs w:val="22"/>
          <w:lang w:val="hu-HU"/>
        </w:rPr>
        <w:t xml:space="preserve"> </w:t>
      </w:r>
      <w:r w:rsidR="00677EB7" w:rsidRPr="008852EB">
        <w:rPr>
          <w:bCs/>
          <w:color w:val="auto"/>
          <w:sz w:val="22"/>
          <w:szCs w:val="22"/>
          <w:lang w:val="hu-HU"/>
        </w:rPr>
        <w:t xml:space="preserve">Ritkán előforduló, </w:t>
      </w:r>
      <w:r w:rsidR="00677EB7" w:rsidRPr="008852EB">
        <w:rPr>
          <w:color w:val="auto"/>
          <w:sz w:val="22"/>
          <w:szCs w:val="22"/>
          <w:lang w:val="hu-HU"/>
        </w:rPr>
        <w:t xml:space="preserve">örökletes galaktózintoleranciában, </w:t>
      </w:r>
      <w:r w:rsidR="0066021E" w:rsidRPr="008852EB">
        <w:rPr>
          <w:color w:val="auto"/>
          <w:sz w:val="22"/>
          <w:szCs w:val="22"/>
          <w:lang w:val="hu-HU"/>
        </w:rPr>
        <w:t xml:space="preserve">teljes laktázhiányban </w:t>
      </w:r>
      <w:r w:rsidR="00677EB7" w:rsidRPr="008852EB">
        <w:rPr>
          <w:color w:val="auto"/>
          <w:sz w:val="22"/>
          <w:szCs w:val="22"/>
          <w:lang w:val="hu-HU"/>
        </w:rPr>
        <w:t>vagy glükóz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="00677EB7" w:rsidRPr="008852EB">
        <w:rPr>
          <w:color w:val="auto"/>
          <w:sz w:val="22"/>
          <w:szCs w:val="22"/>
          <w:lang w:val="hu-HU"/>
        </w:rPr>
        <w:t>galaktóz malabszorpcióban a készítmény nem szedhető.</w:t>
      </w:r>
    </w:p>
    <w:p w14:paraId="708B7642" w14:textId="77777777" w:rsidR="00914C0B" w:rsidRPr="008852EB" w:rsidRDefault="00914C0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AD4DC3E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4.5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Gyógyszerkölcsönhatások és egyéb interakciók</w:t>
      </w:r>
    </w:p>
    <w:p w14:paraId="0312351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8B1229" w14:textId="097E67F0" w:rsidR="00755989" w:rsidRPr="008852EB" w:rsidRDefault="00D2287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u w:val="single"/>
        </w:rPr>
        <w:t>A rozuvasztatin összetevőhöz köthető interakciók</w:t>
      </w:r>
    </w:p>
    <w:p w14:paraId="51661DD4" w14:textId="67DD5830" w:rsidR="00D22876" w:rsidRPr="008852EB" w:rsidRDefault="00D2287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B8340E3" w14:textId="204FFC05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8852EB">
        <w:rPr>
          <w:rFonts w:ascii="Times New Roman" w:hAnsi="Times New Roman" w:cs="Times New Roman"/>
          <w:i/>
          <w:iCs/>
          <w:u w:val="single"/>
        </w:rPr>
        <w:t>Az egyidejűleg alkalmazott gyógyszerek rozuvasztatinra gyakorolt hatás</w:t>
      </w:r>
      <w:r w:rsidRPr="008852EB">
        <w:rPr>
          <w:rFonts w:ascii="Times New Roman" w:hAnsi="Times New Roman" w:cs="Times New Roman"/>
          <w:i/>
          <w:iCs/>
        </w:rPr>
        <w:t>a</w:t>
      </w:r>
    </w:p>
    <w:p w14:paraId="60501121" w14:textId="2330D265" w:rsidR="00184B90" w:rsidRPr="008852EB" w:rsidRDefault="00184B90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7AAE0FD4" w14:textId="23042D5B" w:rsidR="00184B90" w:rsidRPr="008852EB" w:rsidRDefault="00184B90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Az acetilszalicilsav </w:t>
      </w:r>
      <w:r w:rsidR="004C50B7">
        <w:rPr>
          <w:rFonts w:ascii="Times New Roman" w:hAnsi="Times New Roman" w:cs="Times New Roman"/>
        </w:rPr>
        <w:t>nagyo</w:t>
      </w:r>
      <w:r w:rsidRPr="008852EB">
        <w:rPr>
          <w:rFonts w:ascii="Times New Roman" w:hAnsi="Times New Roman" w:cs="Times New Roman"/>
        </w:rPr>
        <w:t>bb dózisai csökkentik a rozuvasztatin előnyös hatásait, emiatt az acetilszalicilsav további dózisainak adását el kell kerülni.</w:t>
      </w:r>
    </w:p>
    <w:p w14:paraId="02A226FD" w14:textId="77777777" w:rsidR="00184B90" w:rsidRPr="008852EB" w:rsidRDefault="00184B90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482387F" w14:textId="111ACF9F" w:rsidR="00D22876" w:rsidRPr="00C97108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Cs/>
          <w:i/>
          <w:iCs/>
        </w:rPr>
        <w:t>Transzportfehérje</w:t>
      </w:r>
      <w:r w:rsidRPr="008852EB">
        <w:rPr>
          <w:rFonts w:ascii="Times New Roman" w:hAnsi="Times New Roman" w:cs="Times New Roman"/>
          <w:bCs/>
          <w:i/>
          <w:iCs/>
        </w:rPr>
        <w:noBreakHyphen/>
        <w:t>gátlók:</w:t>
      </w:r>
      <w:r w:rsidRPr="008852EB">
        <w:rPr>
          <w:rFonts w:ascii="Times New Roman" w:hAnsi="Times New Roman" w:cs="Times New Roman"/>
          <w:bCs/>
        </w:rPr>
        <w:t xml:space="preserve"> </w:t>
      </w:r>
      <w:r w:rsidRPr="008852EB">
        <w:rPr>
          <w:rFonts w:ascii="Times New Roman" w:hAnsi="Times New Roman" w:cs="Times New Roman"/>
        </w:rPr>
        <w:t>A rozuvasztatin bizonyos transzportfehérjék szubsztrátja, beleértve a hepaticus uptake transzporter OATP1B1</w:t>
      </w:r>
      <w:r w:rsidRPr="008852EB">
        <w:rPr>
          <w:rFonts w:ascii="Times New Roman" w:hAnsi="Times New Roman" w:cs="Times New Roman"/>
        </w:rPr>
        <w:noBreakHyphen/>
        <w:t>et és efflux transzporter BCRP</w:t>
      </w:r>
      <w:r w:rsidRPr="008852EB">
        <w:rPr>
          <w:rFonts w:ascii="Times New Roman" w:hAnsi="Times New Roman" w:cs="Times New Roman"/>
        </w:rPr>
        <w:noBreakHyphen/>
        <w:t xml:space="preserve">t. A </w:t>
      </w:r>
      <w:r w:rsidR="00F45988" w:rsidRPr="008852EB">
        <w:rPr>
          <w:rFonts w:ascii="Times New Roman" w:hAnsi="Times New Roman" w:cs="Times New Roman"/>
        </w:rPr>
        <w:t>rozuvasztatin</w:t>
      </w:r>
      <w:r w:rsidRPr="008852EB">
        <w:rPr>
          <w:rFonts w:ascii="Times New Roman" w:hAnsi="Times New Roman" w:cs="Times New Roman"/>
        </w:rPr>
        <w:t xml:space="preserve"> egyidejű </w:t>
      </w:r>
      <w:r w:rsidRPr="008852EB">
        <w:rPr>
          <w:rFonts w:ascii="Times New Roman" w:hAnsi="Times New Roman" w:cs="Times New Roman"/>
        </w:rPr>
        <w:lastRenderedPageBreak/>
        <w:t xml:space="preserve">alkalmazása az olyan gyógyszerekkel, amelyek inhibitorai ezeknek a transzportfehérjéknek, a rozuvasztatin fokozott plazmakoncentrációját és a </w:t>
      </w:r>
      <w:r w:rsidRPr="00C97108">
        <w:rPr>
          <w:rFonts w:ascii="Times New Roman" w:hAnsi="Times New Roman" w:cs="Times New Roman"/>
        </w:rPr>
        <w:t xml:space="preserve">myopathia </w:t>
      </w:r>
      <w:r w:rsidR="003A30C5" w:rsidRPr="00D96B72">
        <w:rPr>
          <w:rFonts w:ascii="Times New Roman" w:hAnsi="Times New Roman" w:cs="Times New Roman"/>
        </w:rPr>
        <w:t xml:space="preserve">(beleértve a rhabdomyolysist is) </w:t>
      </w:r>
      <w:r w:rsidRPr="00C97108">
        <w:rPr>
          <w:rFonts w:ascii="Times New Roman" w:hAnsi="Times New Roman" w:cs="Times New Roman"/>
        </w:rPr>
        <w:t>megnövekedett kockázatát eredményezheti</w:t>
      </w:r>
      <w:r w:rsidR="00F045FB" w:rsidRPr="00C97108">
        <w:rPr>
          <w:rFonts w:ascii="Times New Roman" w:hAnsi="Times New Roman" w:cs="Times New Roman"/>
        </w:rPr>
        <w:t>, így nem javasolt</w:t>
      </w:r>
      <w:r w:rsidRPr="00C97108">
        <w:rPr>
          <w:rFonts w:ascii="Times New Roman" w:hAnsi="Times New Roman" w:cs="Times New Roman"/>
        </w:rPr>
        <w:t xml:space="preserve"> (lásd 4.4 és 4.5 pont </w:t>
      </w:r>
      <w:r w:rsidRPr="00C97108">
        <w:rPr>
          <w:rFonts w:ascii="Times New Roman" w:hAnsi="Times New Roman" w:cs="Times New Roman"/>
        </w:rPr>
        <w:noBreakHyphen/>
        <w:t xml:space="preserve"> 1. táblázat).</w:t>
      </w:r>
    </w:p>
    <w:p w14:paraId="1FF82749" w14:textId="0D4487D6" w:rsidR="003B2B73" w:rsidRPr="00D96B72" w:rsidRDefault="003A30C5" w:rsidP="008852EB">
      <w:pPr>
        <w:pStyle w:val="Normal1"/>
        <w:suppressAutoHyphens w:val="0"/>
        <w:rPr>
          <w:sz w:val="22"/>
          <w:szCs w:val="22"/>
          <w:lang w:val="hu-HU"/>
        </w:rPr>
      </w:pPr>
      <w:r w:rsidRPr="00D96B72">
        <w:rPr>
          <w:sz w:val="22"/>
          <w:szCs w:val="22"/>
          <w:lang w:val="hu-HU"/>
        </w:rPr>
        <w:t xml:space="preserve">Amikor lehetséges, </w:t>
      </w:r>
      <w:r w:rsidR="004C50B7">
        <w:rPr>
          <w:sz w:val="22"/>
          <w:szCs w:val="22"/>
          <w:lang w:val="hu-HU"/>
        </w:rPr>
        <w:t xml:space="preserve">egy másik gyógyszerrel végzett </w:t>
      </w:r>
      <w:r w:rsidRPr="00D96B72">
        <w:rPr>
          <w:sz w:val="22"/>
          <w:szCs w:val="22"/>
          <w:lang w:val="hu-HU"/>
        </w:rPr>
        <w:t>kezelést kell megfontolni, és ha szükséges, mérlegelni kell a rozuvasztatin</w:t>
      </w:r>
      <w:r w:rsidRPr="00D96B72">
        <w:rPr>
          <w:sz w:val="22"/>
          <w:szCs w:val="22"/>
          <w:lang w:val="hu-HU"/>
        </w:rPr>
        <w:noBreakHyphen/>
        <w:t>terápia átmeneti felfüggesztését. Azokban az esetekben, amikor ezeknek a gyógyszereknek az együttes alkalmazása elkerülhetetlen, az egyidejű kezelésnek és a rozuvasztatin adagolás módosításának előnyét és kockázatát kell gondosan mérlegelni.</w:t>
      </w:r>
    </w:p>
    <w:p w14:paraId="2A259760" w14:textId="77777777" w:rsidR="003A30C5" w:rsidRPr="003A30C5" w:rsidRDefault="003A30C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EEF77A2" w14:textId="191BCFC5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Ciklosporin:</w:t>
      </w:r>
      <w:r w:rsidRPr="008852EB">
        <w:rPr>
          <w:color w:val="auto"/>
          <w:sz w:val="22"/>
          <w:szCs w:val="22"/>
          <w:lang w:val="hu-HU"/>
        </w:rPr>
        <w:t xml:space="preserve"> Ciklosporin és </w:t>
      </w:r>
      <w:r w:rsidR="00F45988" w:rsidRPr="008852EB">
        <w:rPr>
          <w:color w:val="auto"/>
          <w:sz w:val="22"/>
          <w:szCs w:val="22"/>
          <w:lang w:val="hu-HU"/>
        </w:rPr>
        <w:t>rozuvasztatin</w:t>
      </w:r>
      <w:r w:rsidRPr="008852EB">
        <w:rPr>
          <w:color w:val="auto"/>
          <w:sz w:val="22"/>
          <w:szCs w:val="22"/>
          <w:lang w:val="hu-HU"/>
        </w:rPr>
        <w:t xml:space="preserve"> egyidejű alkalmazásakor a rozuvasztatin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értéke átlagosan hétszer magasabb volt az egészséges önkénteseknél mért értékekhez képest (lásd 1. táblázat). A r</w:t>
      </w:r>
      <w:r w:rsidR="00F45988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ellenjavallt azoknál a betegeknél, akik egyidejűleg ciklosporint kapnak (lásd 4.3 pont). Az egyidejű alkalmazás nem befolyásolta a ciklosporin plazmakoncentrációját.</w:t>
      </w:r>
    </w:p>
    <w:p w14:paraId="63CD565E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57775027" w14:textId="0C0AC85B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Cs/>
          <w:i/>
        </w:rPr>
        <w:t>Proteáz</w:t>
      </w:r>
      <w:r w:rsidRPr="008852EB">
        <w:rPr>
          <w:rFonts w:ascii="Times New Roman" w:hAnsi="Times New Roman" w:cs="Times New Roman"/>
          <w:bCs/>
          <w:i/>
        </w:rPr>
        <w:noBreakHyphen/>
        <w:t>inhibitorok:</w:t>
      </w:r>
      <w:r w:rsidRPr="008852EB">
        <w:rPr>
          <w:rFonts w:ascii="Times New Roman" w:hAnsi="Times New Roman" w:cs="Times New Roman"/>
        </w:rPr>
        <w:t xml:space="preserve"> Habár az interakció pontos mechanizmusa nem ismert, proteáz</w:t>
      </w:r>
      <w:r w:rsidRPr="008852EB">
        <w:rPr>
          <w:rFonts w:ascii="Times New Roman" w:hAnsi="Times New Roman" w:cs="Times New Roman"/>
        </w:rPr>
        <w:noBreakHyphen/>
        <w:t>inhibitorok egyidejű alkalmazásakor a rozuvasztatin</w:t>
      </w:r>
      <w:r w:rsidRPr="008852EB">
        <w:rPr>
          <w:rFonts w:ascii="Times New Roman" w:hAnsi="Times New Roman" w:cs="Times New Roman"/>
        </w:rPr>
        <w:noBreakHyphen/>
        <w:t>expozíció erőteljesen megnövekedhet (lásd 1. táblázat). Például egy egészséges önkéntesekn</w:t>
      </w:r>
      <w:r w:rsidR="004C50B7">
        <w:rPr>
          <w:rFonts w:ascii="Times New Roman" w:hAnsi="Times New Roman" w:cs="Times New Roman"/>
        </w:rPr>
        <w:t>él</w:t>
      </w:r>
      <w:r w:rsidRPr="008852EB">
        <w:rPr>
          <w:rFonts w:ascii="Times New Roman" w:hAnsi="Times New Roman" w:cs="Times New Roman"/>
        </w:rPr>
        <w:t xml:space="preserve"> végzett farmakokinetikai vizsgálatban 10 mg rozuvasztatin és két proteáz</w:t>
      </w:r>
      <w:r w:rsidRPr="008852EB">
        <w:rPr>
          <w:rFonts w:ascii="Times New Roman" w:hAnsi="Times New Roman" w:cs="Times New Roman"/>
        </w:rPr>
        <w:noBreakHyphen/>
        <w:t>inhibitort tartalmazó kombinációs készítmény (300 mg atazanavir/100 mg ritonavir) együttadása a rozuvasztatin AUC</w:t>
      </w:r>
      <w:r w:rsidR="00B5458D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értékének kb. 3</w:t>
      </w:r>
      <w:r w:rsidRPr="008852EB">
        <w:rPr>
          <w:rFonts w:ascii="Times New Roman" w:hAnsi="Times New Roman" w:cs="Times New Roman"/>
        </w:rPr>
        <w:noBreakHyphen/>
        <w:t>szoros, és C</w:t>
      </w:r>
      <w:r w:rsidRPr="008852EB">
        <w:rPr>
          <w:rFonts w:ascii="Times New Roman" w:hAnsi="Times New Roman" w:cs="Times New Roman"/>
          <w:vertAlign w:val="subscript"/>
        </w:rPr>
        <w:t>max</w:t>
      </w:r>
      <w:r w:rsidR="00B5458D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értékének 7</w:t>
      </w:r>
      <w:r w:rsidRPr="008852EB">
        <w:rPr>
          <w:rFonts w:ascii="Times New Roman" w:hAnsi="Times New Roman" w:cs="Times New Roman"/>
        </w:rPr>
        <w:noBreakHyphen/>
        <w:t>szeres emelkedését eredményezte. A r</w:t>
      </w:r>
      <w:r w:rsidR="00F45988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és néhány proteáz</w:t>
      </w:r>
      <w:r w:rsidRPr="008852EB">
        <w:rPr>
          <w:rFonts w:ascii="Times New Roman" w:hAnsi="Times New Roman" w:cs="Times New Roman"/>
        </w:rPr>
        <w:noBreakHyphen/>
        <w:t>inhibitor kombinációjának egyidejű alkalmazása megfontolható a r</w:t>
      </w:r>
      <w:r w:rsidR="00F45988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dózismódosítás gondos mérlegelése után, mely a rozuvasztatin</w:t>
      </w:r>
      <w:r w:rsidRPr="008852EB">
        <w:rPr>
          <w:rFonts w:ascii="Times New Roman" w:hAnsi="Times New Roman" w:cs="Times New Roman"/>
        </w:rPr>
        <w:noBreakHyphen/>
        <w:t xml:space="preserve">expozíció várható megnövekedésén alapul (lásd 4.2, 4.4 és 4.5 pont </w:t>
      </w:r>
      <w:r w:rsidR="00B5458D" w:rsidRPr="008852EB">
        <w:rPr>
          <w:rFonts w:ascii="Times New Roman" w:hAnsi="Times New Roman" w:cs="Times New Roman"/>
        </w:rPr>
        <w:t>–</w:t>
      </w:r>
      <w:r w:rsidRPr="008852EB">
        <w:rPr>
          <w:rFonts w:ascii="Times New Roman" w:hAnsi="Times New Roman" w:cs="Times New Roman"/>
        </w:rPr>
        <w:t xml:space="preserve"> 1. táblázat).</w:t>
      </w:r>
    </w:p>
    <w:p w14:paraId="174AD99D" w14:textId="77777777" w:rsidR="00D22876" w:rsidRPr="00C536AE" w:rsidRDefault="00D22876" w:rsidP="00C536AE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B12A6B5" w14:textId="6A62530C" w:rsidR="00C536AE" w:rsidRPr="00BB4A0D" w:rsidRDefault="00C536AE" w:rsidP="00BB4A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</w:rPr>
      </w:pPr>
      <w:r w:rsidRPr="00BB4A0D">
        <w:rPr>
          <w:rFonts w:ascii="Times New Roman" w:hAnsi="Times New Roman" w:cs="Times New Roman"/>
          <w:i/>
        </w:rPr>
        <w:t>Tikagrelor:</w:t>
      </w:r>
      <w:r w:rsidRPr="00BB4A0D">
        <w:rPr>
          <w:rFonts w:ascii="Times New Roman" w:hAnsi="Times New Roman" w:cs="Times New Roman"/>
          <w:bCs/>
          <w:iCs/>
        </w:rPr>
        <w:t xml:space="preserve"> A tikagrelor gátolja a BCRP</w:t>
      </w:r>
      <w:r w:rsidR="00A12781">
        <w:rPr>
          <w:rFonts w:ascii="Times New Roman" w:hAnsi="Times New Roman" w:cs="Times New Roman"/>
          <w:bCs/>
          <w:iCs/>
        </w:rPr>
        <w:t>-</w:t>
      </w:r>
      <w:r w:rsidRPr="00BB4A0D">
        <w:rPr>
          <w:rFonts w:ascii="Times New Roman" w:hAnsi="Times New Roman" w:cs="Times New Roman"/>
          <w:bCs/>
          <w:iCs/>
        </w:rPr>
        <w:t>transzportert, ami a rozuvasztatin AUC 2,6-szoros növekedését okozza, és ez fokozhatja a myopathia kockázatát. Figyelembe kell venni a rozuvasztatin alkalmazásával elérhető, súlyos kardiovaszkuláris események megelőzésének előnyeit és a rozuvasztatin plazmakoncentrációjának emelkedésével járó kockázatokat.</w:t>
      </w:r>
    </w:p>
    <w:p w14:paraId="1C631351" w14:textId="77777777" w:rsidR="00C536AE" w:rsidRPr="00C536AE" w:rsidRDefault="00C536AE" w:rsidP="00C536AE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2D8B0FAA" w14:textId="7FE03091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Gemfibrozil és egyéb lipidszintet csökkentő szerek:</w:t>
      </w:r>
      <w:r w:rsidRPr="008852EB">
        <w:rPr>
          <w:b/>
          <w:bCs/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A r</w:t>
      </w:r>
      <w:r w:rsidR="00F45988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és gemfibrozil egyidejű alkalmazásakor a rozuvasztatin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="00B5458D" w:rsidRPr="008852EB">
        <w:rPr>
          <w:color w:val="auto"/>
          <w:sz w:val="22"/>
          <w:szCs w:val="22"/>
          <w:lang w:val="hu-HU"/>
        </w:rPr>
        <w:t xml:space="preserve">- </w:t>
      </w:r>
      <w:r w:rsidRPr="008852EB">
        <w:rPr>
          <w:color w:val="auto"/>
          <w:sz w:val="22"/>
          <w:szCs w:val="22"/>
          <w:lang w:val="hu-HU"/>
        </w:rPr>
        <w:t>és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értékei kétszeresére növekedtek (lásd 4.4 pont).</w:t>
      </w:r>
    </w:p>
    <w:p w14:paraId="4AE4A601" w14:textId="56C44398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Specifikus gyógyszerinterakciós vizsgálatok során nyert adatok alapján a fenofibráttal farmakokinetikai vonatkozású interakció nem várható, bár farmakodin</w:t>
      </w:r>
      <w:r w:rsidR="00B5458D" w:rsidRPr="008852EB">
        <w:rPr>
          <w:color w:val="auto"/>
          <w:sz w:val="22"/>
          <w:szCs w:val="22"/>
          <w:lang w:val="hu-HU"/>
        </w:rPr>
        <w:t>á</w:t>
      </w:r>
      <w:r w:rsidRPr="008852EB">
        <w:rPr>
          <w:color w:val="auto"/>
          <w:sz w:val="22"/>
          <w:szCs w:val="22"/>
          <w:lang w:val="hu-HU"/>
        </w:rPr>
        <w:t>mi</w:t>
      </w:r>
      <w:r w:rsidR="00B5458D" w:rsidRPr="008852EB">
        <w:rPr>
          <w:color w:val="auto"/>
          <w:sz w:val="22"/>
          <w:szCs w:val="22"/>
          <w:lang w:val="hu-HU"/>
        </w:rPr>
        <w:t>ás</w:t>
      </w:r>
      <w:r w:rsidRPr="008852EB">
        <w:rPr>
          <w:color w:val="auto"/>
          <w:sz w:val="22"/>
          <w:szCs w:val="22"/>
          <w:lang w:val="hu-HU"/>
        </w:rPr>
        <w:t xml:space="preserve"> interakció kialakulhat.</w:t>
      </w:r>
    </w:p>
    <w:p w14:paraId="40C14583" w14:textId="43BA99EB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gemfibrozil, a fenofibrát, egyéb fibrátok, vagy </w:t>
      </w:r>
      <w:r w:rsidRPr="00906E75">
        <w:rPr>
          <w:color w:val="auto"/>
          <w:sz w:val="22"/>
          <w:szCs w:val="22"/>
          <w:lang w:val="hu-HU"/>
        </w:rPr>
        <w:t>a niacin (nikotinsav) lipidcsökkentő</w:t>
      </w:r>
      <w:r w:rsidRPr="008852EB">
        <w:rPr>
          <w:color w:val="auto"/>
          <w:sz w:val="22"/>
          <w:szCs w:val="22"/>
          <w:lang w:val="hu-HU"/>
        </w:rPr>
        <w:t xml:space="preserve"> dózisai (≥ 1 g/nap)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C6195A">
        <w:rPr>
          <w:color w:val="auto"/>
          <w:sz w:val="22"/>
          <w:szCs w:val="22"/>
          <w:lang w:val="hu-HU"/>
        </w:rPr>
        <w:t>gátlók</w:t>
      </w:r>
      <w:r w:rsidRPr="008852EB">
        <w:rPr>
          <w:color w:val="auto"/>
          <w:sz w:val="22"/>
          <w:szCs w:val="22"/>
          <w:lang w:val="hu-HU"/>
        </w:rPr>
        <w:t>kal együttadva növelik a myopathia kockázatát, valószínűleg azért, mert ezek a készítmények monoterápiában alkalmazva is myopathiát okozhatnak.</w:t>
      </w:r>
    </w:p>
    <w:p w14:paraId="51948190" w14:textId="54E003CD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Ezeknél a betegeknél </w:t>
      </w:r>
      <w:r w:rsidR="003F76C0" w:rsidRPr="008852EB">
        <w:rPr>
          <w:color w:val="auto"/>
          <w:sz w:val="22"/>
          <w:szCs w:val="22"/>
          <w:lang w:val="hu-HU"/>
        </w:rPr>
        <w:t xml:space="preserve">a rozuvasztatin kezdő </w:t>
      </w:r>
      <w:r w:rsidR="00B5458D" w:rsidRPr="008852EB">
        <w:rPr>
          <w:color w:val="auto"/>
          <w:sz w:val="22"/>
          <w:szCs w:val="22"/>
          <w:lang w:val="hu-HU"/>
        </w:rPr>
        <w:t>dózisa</w:t>
      </w:r>
      <w:r w:rsidRPr="008852EB">
        <w:rPr>
          <w:color w:val="auto"/>
          <w:sz w:val="22"/>
          <w:szCs w:val="22"/>
          <w:lang w:val="hu-HU"/>
        </w:rPr>
        <w:t xml:space="preserve"> 5 mg legyen.</w:t>
      </w:r>
    </w:p>
    <w:p w14:paraId="71FD06D8" w14:textId="710CE0DC" w:rsidR="00015F52" w:rsidRPr="008852EB" w:rsidRDefault="00015F52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5540B19" w14:textId="68B5CFD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Ezetimib:</w:t>
      </w:r>
      <w:r w:rsidRPr="008852EB">
        <w:rPr>
          <w:color w:val="auto"/>
          <w:sz w:val="22"/>
          <w:szCs w:val="22"/>
          <w:lang w:val="hu-HU"/>
        </w:rPr>
        <w:t xml:space="preserve"> 10 mg r</w:t>
      </w:r>
      <w:r w:rsidR="00935A65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és 10 mg ezetimib együttadása hypercholesterinaemiás alanyoknál a rozuvasztatin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értékének 1,2</w:t>
      </w:r>
      <w:r w:rsidRPr="008852EB">
        <w:rPr>
          <w:color w:val="auto"/>
          <w:sz w:val="22"/>
          <w:szCs w:val="22"/>
          <w:lang w:val="hu-HU"/>
        </w:rPr>
        <w:noBreakHyphen/>
        <w:t xml:space="preserve">szeres növekedését eredményezte (lásd 1. táblázat).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és az ezetimib között fellépő farmakodinámiás interakció </w:t>
      </w:r>
      <w:r w:rsidR="00B5458D" w:rsidRPr="008852EB">
        <w:rPr>
          <w:color w:val="auto"/>
          <w:sz w:val="22"/>
          <w:szCs w:val="22"/>
          <w:lang w:val="hu-HU"/>
        </w:rPr>
        <w:t>–</w:t>
      </w:r>
      <w:r w:rsidRPr="008852EB">
        <w:rPr>
          <w:color w:val="auto"/>
          <w:sz w:val="22"/>
          <w:szCs w:val="22"/>
          <w:lang w:val="hu-HU"/>
        </w:rPr>
        <w:t xml:space="preserve"> mellékhatások tekintetében – nem zárható ki (lásd 4.4 pont).</w:t>
      </w:r>
    </w:p>
    <w:p w14:paraId="043A7C5A" w14:textId="7777777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2C139FF" w14:textId="0D04C573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Antacidok:</w:t>
      </w:r>
      <w:r w:rsidRPr="008852EB">
        <w:rPr>
          <w:color w:val="auto"/>
          <w:sz w:val="22"/>
          <w:szCs w:val="22"/>
          <w:lang w:val="hu-HU"/>
        </w:rPr>
        <w:t xml:space="preserve"> Valamely alumínium- és magnézium</w:t>
      </w:r>
      <w:r w:rsidRPr="008852EB">
        <w:rPr>
          <w:color w:val="auto"/>
          <w:sz w:val="22"/>
          <w:szCs w:val="22"/>
          <w:lang w:val="hu-HU"/>
        </w:rPr>
        <w:noBreakHyphen/>
        <w:t>hidroxid</w:t>
      </w:r>
      <w:r w:rsidRPr="008852EB">
        <w:rPr>
          <w:color w:val="auto"/>
          <w:sz w:val="22"/>
          <w:szCs w:val="22"/>
          <w:lang w:val="hu-HU"/>
        </w:rPr>
        <w:noBreakHyphen/>
        <w:t>tartalmú antacid szuszpenzió és r</w:t>
      </w:r>
      <w:r w:rsidR="00935A65" w:rsidRPr="008852EB">
        <w:rPr>
          <w:color w:val="auto"/>
          <w:sz w:val="22"/>
          <w:szCs w:val="22"/>
          <w:lang w:val="hu-HU"/>
        </w:rPr>
        <w:t>ozuvaszatin</w:t>
      </w:r>
      <w:r w:rsidRPr="008852EB">
        <w:rPr>
          <w:color w:val="auto"/>
          <w:sz w:val="22"/>
          <w:szCs w:val="22"/>
          <w:lang w:val="hu-HU"/>
        </w:rPr>
        <w:t xml:space="preserve"> együttadása a rozuvasztatin plazmakoncentráció megközelítőleg 50%</w:t>
      </w:r>
      <w:r w:rsidRPr="008852EB">
        <w:rPr>
          <w:color w:val="auto"/>
          <w:sz w:val="22"/>
          <w:szCs w:val="22"/>
          <w:lang w:val="hu-HU"/>
        </w:rPr>
        <w:noBreakHyphen/>
        <w:t xml:space="preserve">os csökkenését eredményezte. Ez a hatás mérséklődött, amikor az antacidot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bevétele után 2 órával alkalmazták. Ennek az interakciónak a klinikai jelentőségét nem vizsgálták.</w:t>
      </w:r>
    </w:p>
    <w:p w14:paraId="59DAD968" w14:textId="7777777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BD34898" w14:textId="68AFA2B0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Eritromicin:</w:t>
      </w:r>
      <w:r w:rsidRPr="008852EB">
        <w:rPr>
          <w:color w:val="auto"/>
          <w:sz w:val="22"/>
          <w:szCs w:val="22"/>
          <w:lang w:val="hu-HU"/>
        </w:rPr>
        <w:t xml:space="preserve"> r</w:t>
      </w:r>
      <w:r w:rsidR="00935A65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és eritromicin együttadásakor a rozuvasztatin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értéke 20%</w:t>
      </w:r>
      <w:r w:rsidRPr="008852EB">
        <w:rPr>
          <w:color w:val="auto"/>
          <w:sz w:val="22"/>
          <w:szCs w:val="22"/>
          <w:lang w:val="hu-HU"/>
        </w:rPr>
        <w:noBreakHyphen/>
        <w:t>kal,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="00C6195A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>értéke 30%</w:t>
      </w:r>
      <w:r w:rsidRPr="008852EB">
        <w:rPr>
          <w:color w:val="auto"/>
          <w:sz w:val="22"/>
          <w:szCs w:val="22"/>
          <w:lang w:val="hu-HU"/>
        </w:rPr>
        <w:noBreakHyphen/>
        <w:t>kal csökkent. Az interakció az eritromicin által kiváltott fokozott béltraktus</w:t>
      </w:r>
      <w:r w:rsidRPr="008852EB">
        <w:rPr>
          <w:color w:val="auto"/>
          <w:sz w:val="22"/>
          <w:szCs w:val="22"/>
          <w:lang w:val="hu-HU"/>
        </w:rPr>
        <w:noBreakHyphen/>
        <w:t>mozgás eredménye lehet.</w:t>
      </w:r>
    </w:p>
    <w:p w14:paraId="3394B295" w14:textId="7777777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66DBF13" w14:textId="77777777" w:rsidR="00935A65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 xml:space="preserve">Citokróm P450 enzimek: </w:t>
      </w:r>
      <w:r w:rsidRPr="008852EB">
        <w:rPr>
          <w:i/>
          <w:color w:val="auto"/>
          <w:sz w:val="22"/>
          <w:szCs w:val="22"/>
          <w:lang w:val="hu-HU"/>
        </w:rPr>
        <w:t>In vitro</w:t>
      </w:r>
      <w:r w:rsidRPr="008852EB">
        <w:rPr>
          <w:color w:val="auto"/>
          <w:sz w:val="22"/>
          <w:szCs w:val="22"/>
          <w:lang w:val="hu-HU"/>
        </w:rPr>
        <w:t xml:space="preserve"> és </w:t>
      </w:r>
      <w:r w:rsidRPr="008852EB">
        <w:rPr>
          <w:i/>
          <w:color w:val="auto"/>
          <w:sz w:val="22"/>
          <w:szCs w:val="22"/>
          <w:lang w:val="hu-HU"/>
        </w:rPr>
        <w:t>in vivo</w:t>
      </w:r>
      <w:r w:rsidRPr="008852EB">
        <w:rPr>
          <w:color w:val="auto"/>
          <w:sz w:val="22"/>
          <w:szCs w:val="22"/>
          <w:lang w:val="hu-HU"/>
        </w:rPr>
        <w:t xml:space="preserve"> vizsgálatokból származó eredmények azt mutatták, hogy a rozuvasztatin a P450 izoenzimrendszernek se nem inhibitora, se nem induktora. Továbbá a rozuvasztatin ezeknek az izoenzimeknek gyenge szubsztrátja.</w:t>
      </w:r>
    </w:p>
    <w:p w14:paraId="6A93BCEB" w14:textId="2B480CAD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Így a citokróm P450 mediált metabolizmus eredményeként gyógyszerinterakció nem várható. Nem figyeltek meg klinikai szempontból jelentős interakciót sem rozuvasztatin és flukonazol (CYP2C9- és CYP3A4</w:t>
      </w:r>
      <w:r w:rsidRPr="008852EB">
        <w:rPr>
          <w:color w:val="auto"/>
          <w:sz w:val="22"/>
          <w:szCs w:val="22"/>
          <w:lang w:val="hu-HU"/>
        </w:rPr>
        <w:noBreakHyphen/>
        <w:t>inhibitor), sem rozuvasztatin és ketokonazol (CYP2A6- és CYP3A4</w:t>
      </w:r>
      <w:r w:rsidRPr="008852EB">
        <w:rPr>
          <w:color w:val="auto"/>
          <w:sz w:val="22"/>
          <w:szCs w:val="22"/>
          <w:lang w:val="hu-HU"/>
        </w:rPr>
        <w:noBreakHyphen/>
        <w:t>inhibitor) között.</w:t>
      </w:r>
    </w:p>
    <w:p w14:paraId="219A3D37" w14:textId="77777777" w:rsidR="003717F6" w:rsidRPr="008852EB" w:rsidRDefault="003717F6" w:rsidP="003717F6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2317E411" w14:textId="522120CC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Cs/>
          <w:i/>
          <w:iCs/>
        </w:rPr>
        <w:lastRenderedPageBreak/>
        <w:t>A rozuvasztatin dózismódosítását igénylő interakciók (lásd még 1. táblázat):</w:t>
      </w:r>
      <w:r w:rsidRPr="008852EB">
        <w:rPr>
          <w:rFonts w:ascii="Times New Roman" w:hAnsi="Times New Roman" w:cs="Times New Roman"/>
        </w:rPr>
        <w:t xml:space="preserve"> Amikor a r</w:t>
      </w:r>
      <w:r w:rsidR="00935A65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egyidejű alkalmazása szükséges olyan egyéb gyógyszerekkel, amelyek ismerten növelik a rozuvasztatin</w:t>
      </w:r>
      <w:r w:rsidRPr="008852EB">
        <w:rPr>
          <w:rFonts w:ascii="Times New Roman" w:hAnsi="Times New Roman" w:cs="Times New Roman"/>
        </w:rPr>
        <w:noBreakHyphen/>
        <w:t>expozíciót, a r</w:t>
      </w:r>
      <w:r w:rsidR="00935A65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dózisokat módosítani kell. Napi egyszer 5 mg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legyen a kezdő d</w:t>
      </w:r>
      <w:r w:rsidR="00B5458D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>, ha az expozíció (AUC) várható növekedése kb. 2</w:t>
      </w:r>
      <w:r w:rsidRPr="008852EB">
        <w:rPr>
          <w:rFonts w:ascii="Times New Roman" w:hAnsi="Times New Roman" w:cs="Times New Roman"/>
        </w:rPr>
        <w:noBreakHyphen/>
        <w:t>szeres vagy nagyobb. A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maximális napi d</w:t>
      </w:r>
      <w:r w:rsidR="00B5458D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>át úgy kell módosítani, hogy a várható rozuvasztatin</w:t>
      </w:r>
      <w:r w:rsidRPr="008852EB">
        <w:rPr>
          <w:rFonts w:ascii="Times New Roman" w:hAnsi="Times New Roman" w:cs="Times New Roman"/>
        </w:rPr>
        <w:noBreakHyphen/>
        <w:t>expozíció valószínűleg ne haladja meg azt az értéket, amely a napi 40 mg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bevételekor alakul ki interakciót kiváltó gyógyszer nélkül, például 20 mg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 gemfibrozillel (1,9</w:t>
      </w:r>
      <w:r w:rsidRPr="008852EB">
        <w:rPr>
          <w:rFonts w:ascii="Times New Roman" w:hAnsi="Times New Roman" w:cs="Times New Roman"/>
        </w:rPr>
        <w:noBreakHyphen/>
        <w:t>szeres növekedés) és 10 mg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 ritonavir/atazanavir kombinációjával (3,1</w:t>
      </w:r>
      <w:r w:rsidRPr="008852EB">
        <w:rPr>
          <w:rFonts w:ascii="Times New Roman" w:hAnsi="Times New Roman" w:cs="Times New Roman"/>
        </w:rPr>
        <w:noBreakHyphen/>
        <w:t>szeres növekedés).</w:t>
      </w:r>
    </w:p>
    <w:p w14:paraId="62C97916" w14:textId="042CA43C" w:rsidR="00773D2C" w:rsidRPr="008852EB" w:rsidRDefault="00773D2C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Amennyiben a megfigyelés alapján a gyógyszer a rozuvasztatin AUC</w:t>
      </w:r>
      <w:r w:rsidR="00B5458D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értékét kevesebb mint kétszeresére növeli, úgy a kezdő d</w:t>
      </w:r>
      <w:r w:rsidR="00B5458D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>t nem szü</w:t>
      </w:r>
      <w:r w:rsidR="00E45D73" w:rsidRPr="008852EB">
        <w:rPr>
          <w:rFonts w:ascii="Times New Roman" w:hAnsi="Times New Roman" w:cs="Times New Roman"/>
        </w:rPr>
        <w:t>kséges csökkenteni, de a rozuvasztatin</w:t>
      </w:r>
      <w:r w:rsidRPr="008852EB">
        <w:rPr>
          <w:rFonts w:ascii="Times New Roman" w:hAnsi="Times New Roman" w:cs="Times New Roman"/>
        </w:rPr>
        <w:t xml:space="preserve"> dózis 20 mg fölé emelése óvatosságot igényel.</w:t>
      </w:r>
    </w:p>
    <w:p w14:paraId="66951A3E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11CB3F7" w14:textId="10B4AB92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1. táblázat. Az egyidej</w:t>
      </w:r>
      <w:r w:rsidR="00FD7991" w:rsidRPr="008852EB">
        <w:rPr>
          <w:rFonts w:ascii="Times New Roman" w:hAnsi="Times New Roman" w:cs="Times New Roman"/>
        </w:rPr>
        <w:t>ű</w:t>
      </w:r>
      <w:r w:rsidRPr="008852EB">
        <w:rPr>
          <w:rFonts w:ascii="Times New Roman" w:hAnsi="Times New Roman" w:cs="Times New Roman"/>
        </w:rPr>
        <w:t>leg alkalmazott gyógyszerek rozuvasztatin</w:t>
      </w:r>
      <w:r w:rsidRPr="008852EB">
        <w:rPr>
          <w:rFonts w:ascii="Times New Roman" w:hAnsi="Times New Roman" w:cs="Times New Roman"/>
        </w:rPr>
        <w:noBreakHyphen/>
        <w:t>expozícióra gyakorolt hatása (AUC; csökkenő nagyságrendben) közölt klinikai vizsgálatokból</w:t>
      </w:r>
    </w:p>
    <w:tbl>
      <w:tblPr>
        <w:tblStyle w:val="Rcsostblzat"/>
        <w:tblW w:w="5000" w:type="pct"/>
        <w:tblLayout w:type="fixed"/>
        <w:tblLook w:val="0000" w:firstRow="0" w:lastRow="0" w:firstColumn="0" w:lastColumn="0" w:noHBand="0" w:noVBand="0"/>
      </w:tblPr>
      <w:tblGrid>
        <w:gridCol w:w="4281"/>
        <w:gridCol w:w="2800"/>
        <w:gridCol w:w="1979"/>
      </w:tblGrid>
      <w:tr w:rsidR="006D3FD3" w:rsidRPr="008852EB" w14:paraId="299128F1" w14:textId="77777777" w:rsidTr="006D3FD3">
        <w:tc>
          <w:tcPr>
            <w:tcW w:w="5000" w:type="pct"/>
            <w:gridSpan w:val="3"/>
          </w:tcPr>
          <w:p w14:paraId="74EC554C" w14:textId="5271156E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A rozuvasztatin AUC értékének 2-szeres vagy nagyobb mértékű növekedése</w:t>
            </w:r>
          </w:p>
        </w:tc>
      </w:tr>
      <w:tr w:rsidR="006D3FD3" w:rsidRPr="008852EB" w14:paraId="772E9696" w14:textId="77777777" w:rsidTr="00BB4A0D">
        <w:tc>
          <w:tcPr>
            <w:tcW w:w="2363" w:type="pct"/>
          </w:tcPr>
          <w:p w14:paraId="4530AC60" w14:textId="77777777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1545" w:type="pct"/>
          </w:tcPr>
          <w:p w14:paraId="7751A7B4" w14:textId="77777777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092" w:type="pct"/>
          </w:tcPr>
          <w:p w14:paraId="129B9EFA" w14:textId="77777777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Rozuvasztatin AUC</w:t>
            </w:r>
            <w:r w:rsidRPr="008852EB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8852EB">
              <w:rPr>
                <w:szCs w:val="22"/>
                <w:lang w:val="hu-HU" w:eastAsia="zh-CN"/>
              </w:rPr>
              <w:t>változása</w:t>
            </w:r>
          </w:p>
        </w:tc>
      </w:tr>
      <w:tr w:rsidR="006D3FD3" w:rsidRPr="008852EB" w14:paraId="09BFD3E8" w14:textId="77777777" w:rsidTr="00BB4A0D">
        <w:tc>
          <w:tcPr>
            <w:tcW w:w="2363" w:type="pct"/>
          </w:tcPr>
          <w:p w14:paraId="265D215C" w14:textId="164F3D5E" w:rsidR="006D3FD3" w:rsidRPr="00D96B72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96B72">
              <w:rPr>
                <w:b w:val="0"/>
                <w:bCs/>
                <w:szCs w:val="22"/>
                <w:lang w:val="hu-HU" w:eastAsia="zh-CN"/>
              </w:rPr>
              <w:t>Szofoszbuvir/velpataszvir/voxilaprevir (400 mg-100 mg-100 mg) + voxilaprevir (100 mg) napi egyszer, 15 napig</w:t>
            </w:r>
          </w:p>
        </w:tc>
        <w:tc>
          <w:tcPr>
            <w:tcW w:w="1545" w:type="pct"/>
          </w:tcPr>
          <w:p w14:paraId="5DD587FC" w14:textId="78F1FDA3" w:rsidR="006D3FD3" w:rsidRPr="00D96B72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96B72">
              <w:rPr>
                <w:b w:val="0"/>
                <w:bCs/>
                <w:szCs w:val="22"/>
                <w:lang w:val="hu-HU" w:eastAsia="zh-CN"/>
              </w:rPr>
              <w:t>10 mg egyszeri adag</w:t>
            </w:r>
          </w:p>
        </w:tc>
        <w:tc>
          <w:tcPr>
            <w:tcW w:w="1092" w:type="pct"/>
          </w:tcPr>
          <w:p w14:paraId="63CEA5E9" w14:textId="769C42C8" w:rsidR="006D3FD3" w:rsidRPr="00D96B72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96B72">
              <w:rPr>
                <w:b w:val="0"/>
                <w:bCs/>
                <w:szCs w:val="22"/>
                <w:lang w:val="hu-HU" w:eastAsia="zh-CN"/>
              </w:rPr>
              <w:t>7,4</w:t>
            </w:r>
            <w:r w:rsidRPr="00D96B72">
              <w:rPr>
                <w:b w:val="0"/>
                <w:bCs/>
                <w:szCs w:val="22"/>
                <w:lang w:val="hu-HU" w:eastAsia="zh-CN"/>
              </w:rPr>
              <w:noBreakHyphen/>
              <w:t xml:space="preserve">szeres </w:t>
            </w:r>
            <w:r w:rsidRPr="00D96B72">
              <w:rPr>
                <w:b w:val="0"/>
                <w:bCs/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023A2F87" w14:textId="77777777" w:rsidTr="00BB4A0D">
        <w:tc>
          <w:tcPr>
            <w:tcW w:w="2363" w:type="pct"/>
          </w:tcPr>
          <w:p w14:paraId="5153FA6B" w14:textId="48C52EF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Ciklosporin 75 mg napi kétszer </w:t>
            </w:r>
            <w:r w:rsidRPr="008852EB">
              <w:rPr>
                <w:szCs w:val="22"/>
                <w:lang w:val="hu-HU" w:eastAsia="zh-CN"/>
              </w:rPr>
              <w:noBreakHyphen/>
              <w:t xml:space="preserve"> 200 mg napi kétszer, 6 hónap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DBAB38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 napi egyszer, 10 nap</w:t>
            </w:r>
          </w:p>
        </w:tc>
        <w:tc>
          <w:tcPr>
            <w:tcW w:w="1092" w:type="pct"/>
          </w:tcPr>
          <w:p w14:paraId="1E857DD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7,1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FB9BC35" w14:textId="77777777" w:rsidTr="00BB4A0D">
        <w:tc>
          <w:tcPr>
            <w:tcW w:w="2363" w:type="pct"/>
          </w:tcPr>
          <w:p w14:paraId="5BDFD145" w14:textId="4999390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Darolutamid 600 mg napi kétszer, 5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46C2A1F" w14:textId="5026AA4C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 mg, egyszeri adag</w:t>
            </w:r>
          </w:p>
        </w:tc>
        <w:tc>
          <w:tcPr>
            <w:tcW w:w="1092" w:type="pct"/>
          </w:tcPr>
          <w:p w14:paraId="3498A9E0" w14:textId="7660124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5,2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0296A7E0" w14:textId="77777777" w:rsidTr="00BB4A0D">
        <w:tc>
          <w:tcPr>
            <w:tcW w:w="2363" w:type="pct"/>
          </w:tcPr>
          <w:p w14:paraId="0D3DEFEA" w14:textId="43792C3A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Regorafenib 160 mg napi egyszer,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C299B62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092" w:type="pct"/>
          </w:tcPr>
          <w:p w14:paraId="033AD1FE" w14:textId="468748C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3,8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BA3A77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BA3A77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7C91A5FE" w14:textId="77777777" w:rsidTr="00BB4A0D">
        <w:tc>
          <w:tcPr>
            <w:tcW w:w="2363" w:type="pct"/>
          </w:tcPr>
          <w:p w14:paraId="68B2E6BF" w14:textId="378D51A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Atazanavir 300 mg/ritonavir 100 mg napi egyszer, 8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24B269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0813D9A8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3,1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7550FB" w:rsidRPr="008852EB" w14:paraId="60CCB1DE" w14:textId="77777777" w:rsidTr="00BB4A0D">
        <w:tc>
          <w:tcPr>
            <w:tcW w:w="2363" w:type="pct"/>
          </w:tcPr>
          <w:p w14:paraId="3C7C86C3" w14:textId="5A7F2EB7" w:rsidR="007550FB" w:rsidRPr="008852EB" w:rsidRDefault="007550FB" w:rsidP="007550FB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Roxadus</w:t>
            </w:r>
            <w:r>
              <w:rPr>
                <w:szCs w:val="22"/>
                <w:lang w:val="hu-HU" w:eastAsia="zh-CN"/>
              </w:rPr>
              <w:t>z</w:t>
            </w:r>
            <w:r w:rsidRPr="0018521E">
              <w:rPr>
                <w:szCs w:val="22"/>
                <w:lang w:val="hu-HU" w:eastAsia="zh-CN"/>
              </w:rPr>
              <w:t>t</w:t>
            </w:r>
            <w:r>
              <w:rPr>
                <w:szCs w:val="22"/>
                <w:lang w:val="hu-HU" w:eastAsia="zh-CN"/>
              </w:rPr>
              <w:t>á</w:t>
            </w:r>
            <w:r w:rsidRPr="0018521E">
              <w:rPr>
                <w:szCs w:val="22"/>
                <w:lang w:val="hu-HU" w:eastAsia="zh-CN"/>
              </w:rPr>
              <w:t>t 200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 </w:t>
            </w:r>
            <w:r>
              <w:rPr>
                <w:szCs w:val="22"/>
                <w:lang w:val="hu-HU" w:eastAsia="zh-CN"/>
              </w:rPr>
              <w:t>minden második nap</w:t>
            </w:r>
          </w:p>
        </w:tc>
        <w:tc>
          <w:tcPr>
            <w:tcW w:w="1545" w:type="pct"/>
          </w:tcPr>
          <w:p w14:paraId="104AC747" w14:textId="5C301AF7" w:rsidR="007550FB" w:rsidRPr="008852EB" w:rsidRDefault="007550FB" w:rsidP="007550FB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10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mg, </w:t>
            </w:r>
            <w:r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1092" w:type="pct"/>
          </w:tcPr>
          <w:p w14:paraId="1FCB9981" w14:textId="3C875291" w:rsidR="007550FB" w:rsidRPr="008852EB" w:rsidRDefault="007550FB" w:rsidP="007550FB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2</w:t>
            </w:r>
            <w:r>
              <w:rPr>
                <w:szCs w:val="22"/>
                <w:lang w:val="hu-HU" w:eastAsia="zh-CN"/>
              </w:rPr>
              <w:t>,</w:t>
            </w:r>
            <w:r w:rsidRPr="0018521E">
              <w:rPr>
                <w:szCs w:val="22"/>
                <w:lang w:val="hu-HU" w:eastAsia="zh-CN"/>
              </w:rPr>
              <w:t>9-</w:t>
            </w:r>
            <w:r>
              <w:rPr>
                <w:szCs w:val="22"/>
                <w:lang w:val="hu-HU" w:eastAsia="zh-CN"/>
              </w:rPr>
              <w:t>szeres</w:t>
            </w:r>
            <w:r w:rsidRPr="0018521E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6D3FD3" w:rsidRPr="008852EB" w14:paraId="26CBF037" w14:textId="77777777" w:rsidTr="00BB4A0D">
        <w:tc>
          <w:tcPr>
            <w:tcW w:w="2363" w:type="pct"/>
          </w:tcPr>
          <w:p w14:paraId="7A9A08AA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Velpataszvir 100 mg napi egyszer</w:t>
            </w:r>
          </w:p>
        </w:tc>
        <w:tc>
          <w:tcPr>
            <w:tcW w:w="1545" w:type="pct"/>
          </w:tcPr>
          <w:p w14:paraId="024B6AA8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22475D1D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2,7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36BD7" w:rsidRPr="008852EB" w14:paraId="30F54858" w14:textId="77777777" w:rsidTr="00BB4A0D">
        <w:tc>
          <w:tcPr>
            <w:tcW w:w="2363" w:type="pct"/>
          </w:tcPr>
          <w:p w14:paraId="37C85958" w14:textId="18C0A3B5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A5980">
              <w:t>Momelotinib 200</w:t>
            </w:r>
            <w:r>
              <w:t> </w:t>
            </w:r>
            <w:r w:rsidRPr="008A5980">
              <w:t xml:space="preserve">mg </w:t>
            </w:r>
            <w:r>
              <w:t>naponta egyszer,</w:t>
            </w:r>
            <w:r w:rsidRPr="008A5980">
              <w:t xml:space="preserve"> 6 </w:t>
            </w:r>
            <w:r>
              <w:t>nap</w:t>
            </w:r>
          </w:p>
        </w:tc>
        <w:tc>
          <w:tcPr>
            <w:tcW w:w="1545" w:type="pct"/>
          </w:tcPr>
          <w:p w14:paraId="1C1844CF" w14:textId="6C0FD23D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6A1489BF" w14:textId="6E896311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2,7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36BD7" w:rsidRPr="008852EB" w14:paraId="7C41871B" w14:textId="77777777" w:rsidTr="00BB4A0D">
        <w:tc>
          <w:tcPr>
            <w:tcW w:w="2363" w:type="pct"/>
          </w:tcPr>
          <w:p w14:paraId="0D2FF0F4" w14:textId="31552308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A5980">
              <w:t>Ti</w:t>
            </w:r>
            <w:r>
              <w:t>k</w:t>
            </w:r>
            <w:r w:rsidRPr="008A5980">
              <w:t>agrelor 90</w:t>
            </w:r>
            <w:r>
              <w:t> </w:t>
            </w:r>
            <w:r w:rsidRPr="008A5980">
              <w:t xml:space="preserve">mg </w:t>
            </w:r>
            <w:r>
              <w:t>napi kétszer</w:t>
            </w:r>
            <w:r w:rsidRPr="008A5980">
              <w:t xml:space="preserve">, 2 </w:t>
            </w:r>
            <w:r>
              <w:t>nap</w:t>
            </w:r>
          </w:p>
        </w:tc>
        <w:tc>
          <w:tcPr>
            <w:tcW w:w="1545" w:type="pct"/>
          </w:tcPr>
          <w:p w14:paraId="033B82BB" w14:textId="23C1D7AD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1D12FB5B" w14:textId="7793E4D8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6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13E9DC37" w14:textId="77777777" w:rsidTr="00BB4A0D">
        <w:tc>
          <w:tcPr>
            <w:tcW w:w="2363" w:type="pct"/>
          </w:tcPr>
          <w:p w14:paraId="78CB2DD1" w14:textId="3336BCC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Ombitaszvir 25 mg/paritaprevir 150 mg/ ritonavir 100 mg napi egyszer/ dazabuvir 400 mg napi kétszer,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25A9A1D7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092" w:type="pct"/>
          </w:tcPr>
          <w:p w14:paraId="77B272C5" w14:textId="32DC5B78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2,6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C8E4133" w14:textId="77777777" w:rsidTr="00BB4A0D">
        <w:tc>
          <w:tcPr>
            <w:tcW w:w="2363" w:type="pct"/>
          </w:tcPr>
          <w:p w14:paraId="3E31E841" w14:textId="597F460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2A1B16">
              <w:rPr>
                <w:szCs w:val="22"/>
                <w:lang w:val="hu-HU" w:eastAsia="zh-CN"/>
              </w:rPr>
              <w:t>Teriflunomid</w:t>
            </w:r>
            <w:r w:rsidR="00BA3A77">
              <w:rPr>
                <w:szCs w:val="22"/>
                <w:lang w:val="hu-HU" w:eastAsia="zh-CN"/>
              </w:rPr>
              <w:t>, Leflunomid</w:t>
            </w:r>
          </w:p>
        </w:tc>
        <w:tc>
          <w:tcPr>
            <w:tcW w:w="1545" w:type="pct"/>
          </w:tcPr>
          <w:p w14:paraId="1BA7E0A7" w14:textId="3FB51029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092" w:type="pct"/>
          </w:tcPr>
          <w:p w14:paraId="126234BF" w14:textId="079DBBFD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5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E49DA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E49DA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92604" w:rsidRPr="008852EB" w14:paraId="54A13D55" w14:textId="77777777" w:rsidTr="00BB4A0D">
        <w:tc>
          <w:tcPr>
            <w:tcW w:w="2363" w:type="pct"/>
          </w:tcPr>
          <w:p w14:paraId="16998164" w14:textId="55846928" w:rsidR="00D92604" w:rsidRPr="002A1B16" w:rsidRDefault="00D92604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Vadadusztát</w:t>
            </w:r>
            <w:r w:rsidR="00C70AEB">
              <w:rPr>
                <w:szCs w:val="22"/>
                <w:lang w:val="hu-HU" w:eastAsia="zh-CN"/>
              </w:rPr>
              <w:t xml:space="preserve"> 600 mg napi egyszer</w:t>
            </w:r>
            <w:r w:rsidR="00C947F1">
              <w:rPr>
                <w:szCs w:val="22"/>
                <w:lang w:val="hu-HU" w:eastAsia="zh-CN"/>
              </w:rPr>
              <w:t>, 8 nap</w:t>
            </w:r>
          </w:p>
        </w:tc>
        <w:tc>
          <w:tcPr>
            <w:tcW w:w="1545" w:type="pct"/>
          </w:tcPr>
          <w:p w14:paraId="1A05A65B" w14:textId="302787C8" w:rsidR="00D92604" w:rsidRDefault="00C947F1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092" w:type="pct"/>
          </w:tcPr>
          <w:p w14:paraId="65CBC068" w14:textId="2740C4BC" w:rsidR="00D92604" w:rsidRPr="008852EB" w:rsidRDefault="00C947F1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C947F1">
              <w:rPr>
                <w:szCs w:val="22"/>
                <w:lang w:val="hu-HU" w:eastAsia="zh-CN"/>
              </w:rPr>
              <w:t>2,5</w:t>
            </w:r>
            <w:r w:rsidRPr="00C947F1">
              <w:rPr>
                <w:szCs w:val="22"/>
                <w:lang w:val="hu-HU" w:eastAsia="zh-CN"/>
              </w:rPr>
              <w:noBreakHyphen/>
              <w:t xml:space="preserve">szörös </w:t>
            </w:r>
            <w:r w:rsidRPr="00C947F1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19865EB5" w14:textId="77777777" w:rsidTr="00BB4A0D">
        <w:tc>
          <w:tcPr>
            <w:tcW w:w="2363" w:type="pct"/>
          </w:tcPr>
          <w:p w14:paraId="0DB1EC25" w14:textId="595F0CBB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Grazoprevir 200 mg/elbasvir 50 mg napi egyszer, 11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7DBD09D3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582EE14E" w14:textId="73B0784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2,3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0034E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0034E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2FFAF4D" w14:textId="77777777" w:rsidTr="00BB4A0D">
        <w:tc>
          <w:tcPr>
            <w:tcW w:w="2363" w:type="pct"/>
          </w:tcPr>
          <w:p w14:paraId="52EBF269" w14:textId="34FC8E5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Glekaprevir 400 mg/pibrentaszvir 120 mg napi egyszer,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40BF89E0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 mg napi egyszer, 7 nap</w:t>
            </w:r>
          </w:p>
        </w:tc>
        <w:tc>
          <w:tcPr>
            <w:tcW w:w="1092" w:type="pct"/>
          </w:tcPr>
          <w:p w14:paraId="0F192727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2,2 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B225C3E" w14:textId="77777777" w:rsidTr="00BB4A0D">
        <w:tc>
          <w:tcPr>
            <w:tcW w:w="2363" w:type="pct"/>
          </w:tcPr>
          <w:p w14:paraId="35F4F64A" w14:textId="70806049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Lopinavir 400 mg/ritonavir 100 mg napi kétszer, 17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1993C25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20 mg napi egyszer, 7 nap</w:t>
            </w:r>
          </w:p>
        </w:tc>
        <w:tc>
          <w:tcPr>
            <w:tcW w:w="1092" w:type="pct"/>
          </w:tcPr>
          <w:p w14:paraId="3EA500F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2,1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3C6B1731" w14:textId="77777777" w:rsidTr="00BB4A0D">
        <w:tc>
          <w:tcPr>
            <w:tcW w:w="2363" w:type="pct"/>
          </w:tcPr>
          <w:p w14:paraId="53A04BF5" w14:textId="37707A3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K</w:t>
            </w:r>
            <w:r w:rsidRPr="002A1B16">
              <w:rPr>
                <w:szCs w:val="22"/>
                <w:lang w:val="hu-HU" w:eastAsia="zh-CN"/>
              </w:rPr>
              <w:t>apmatinib 400</w:t>
            </w:r>
            <w:r>
              <w:rPr>
                <w:szCs w:val="22"/>
                <w:lang w:val="hu-HU" w:eastAsia="zh-CN"/>
              </w:rPr>
              <w:t> </w:t>
            </w:r>
            <w:r w:rsidRPr="002A1B16">
              <w:rPr>
                <w:szCs w:val="22"/>
                <w:lang w:val="hu-HU" w:eastAsia="zh-CN"/>
              </w:rPr>
              <w:t>mg</w:t>
            </w:r>
            <w:r w:rsidRPr="008852EB">
              <w:rPr>
                <w:szCs w:val="22"/>
                <w:lang w:val="hu-HU" w:eastAsia="zh-CN"/>
              </w:rPr>
              <w:t xml:space="preserve"> napi kétszer</w:t>
            </w:r>
          </w:p>
        </w:tc>
        <w:tc>
          <w:tcPr>
            <w:tcW w:w="1545" w:type="pct"/>
          </w:tcPr>
          <w:p w14:paraId="478ED6E3" w14:textId="6A94487E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1092" w:type="pct"/>
          </w:tcPr>
          <w:p w14:paraId="4DD696FC" w14:textId="03532AF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2A1B16">
              <w:rPr>
                <w:szCs w:val="22"/>
                <w:lang w:val="hu-HU" w:eastAsia="zh-CN"/>
              </w:rPr>
              <w:t xml:space="preserve">2,1 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09C4E203" w14:textId="77777777" w:rsidTr="00BB4A0D">
        <w:tc>
          <w:tcPr>
            <w:tcW w:w="2363" w:type="pct"/>
          </w:tcPr>
          <w:p w14:paraId="50399AED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Klopidogrel 300 mg</w:t>
            </w:r>
            <w:r w:rsidRPr="008852EB">
              <w:rPr>
                <w:szCs w:val="22"/>
                <w:lang w:val="hu-HU" w:eastAsia="zh-CN"/>
              </w:rPr>
              <w:noBreakHyphen/>
              <w:t>os telítő adag, 75 mg</w:t>
            </w:r>
            <w:r w:rsidRPr="008852EB">
              <w:rPr>
                <w:szCs w:val="22"/>
                <w:lang w:val="hu-HU" w:eastAsia="zh-CN"/>
              </w:rPr>
              <w:noBreakHyphen/>
              <w:t>mal folytatva 24 óránként</w:t>
            </w:r>
          </w:p>
        </w:tc>
        <w:tc>
          <w:tcPr>
            <w:tcW w:w="1545" w:type="pct"/>
          </w:tcPr>
          <w:p w14:paraId="4CF95F39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092" w:type="pct"/>
          </w:tcPr>
          <w:p w14:paraId="15C6E17B" w14:textId="3F85C64A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12A32372" w14:textId="77777777" w:rsidTr="00BB4A0D">
        <w:tc>
          <w:tcPr>
            <w:tcW w:w="2363" w:type="pct"/>
          </w:tcPr>
          <w:p w14:paraId="5FAB53CE" w14:textId="7D153698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B05A45">
              <w:t>Fos</w:t>
            </w:r>
            <w:r>
              <w:t>z</w:t>
            </w:r>
            <w:r w:rsidRPr="00B05A45">
              <w:t>tamatinib</w:t>
            </w:r>
            <w:r>
              <w:t xml:space="preserve"> 100 mg napi kétszer</w:t>
            </w:r>
          </w:p>
        </w:tc>
        <w:tc>
          <w:tcPr>
            <w:tcW w:w="1545" w:type="pct"/>
          </w:tcPr>
          <w:p w14:paraId="4ABAFEB2" w14:textId="63379F3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 egyszeri adag</w:t>
            </w:r>
          </w:p>
        </w:tc>
        <w:tc>
          <w:tcPr>
            <w:tcW w:w="1092" w:type="pct"/>
          </w:tcPr>
          <w:p w14:paraId="02C9CBFC" w14:textId="5DE5C9B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82AF6" w:rsidRPr="008852EB" w14:paraId="13299378" w14:textId="77777777" w:rsidTr="00BB4A0D">
        <w:tc>
          <w:tcPr>
            <w:tcW w:w="2363" w:type="pct"/>
          </w:tcPr>
          <w:p w14:paraId="05604F00" w14:textId="2B6DB27E" w:rsidR="00D82AF6" w:rsidRDefault="00D82AF6" w:rsidP="00D82AF6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Tafamidis</w:t>
            </w:r>
            <w:r>
              <w:rPr>
                <w:szCs w:val="22"/>
                <w:lang w:val="hu-HU" w:eastAsia="zh-CN"/>
              </w:rPr>
              <w:t>z</w:t>
            </w:r>
            <w:r w:rsidRPr="00917A52">
              <w:rPr>
                <w:szCs w:val="22"/>
                <w:lang w:val="hu-HU" w:eastAsia="zh-CN"/>
              </w:rPr>
              <w:t xml:space="preserve"> 61</w:t>
            </w:r>
            <w:r>
              <w:rPr>
                <w:szCs w:val="22"/>
                <w:lang w:val="hu-HU" w:eastAsia="zh-CN"/>
              </w:rPr>
              <w:t> </w:t>
            </w:r>
            <w:r w:rsidRPr="00917A52">
              <w:rPr>
                <w:szCs w:val="22"/>
                <w:lang w:val="hu-HU" w:eastAsia="zh-CN"/>
              </w:rPr>
              <w:t xml:space="preserve">mg </w:t>
            </w:r>
            <w:r w:rsidRPr="00712061">
              <w:rPr>
                <w:szCs w:val="22"/>
                <w:lang w:val="hu-HU" w:eastAsia="zh-CN"/>
              </w:rPr>
              <w:t>naponta kétszer az 1. és 2. napon, majd naponta egyszer a 3</w:t>
            </w:r>
            <w:r>
              <w:rPr>
                <w:szCs w:val="22"/>
                <w:lang w:val="hu-HU" w:eastAsia="zh-CN"/>
              </w:rPr>
              <w:noBreakHyphen/>
            </w:r>
            <w:r w:rsidRPr="00712061">
              <w:rPr>
                <w:szCs w:val="22"/>
                <w:lang w:val="hu-HU" w:eastAsia="zh-CN"/>
              </w:rPr>
              <w:t>9. napon</w:t>
            </w:r>
          </w:p>
        </w:tc>
        <w:tc>
          <w:tcPr>
            <w:tcW w:w="1545" w:type="pct"/>
          </w:tcPr>
          <w:p w14:paraId="5AC370E4" w14:textId="2A65519C" w:rsidR="00D82AF6" w:rsidRDefault="00D82AF6" w:rsidP="00D82AF6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16CEB605" w14:textId="75F6E373" w:rsidR="00D82AF6" w:rsidRPr="008852EB" w:rsidRDefault="00D82AF6" w:rsidP="00D82AF6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2-</w:t>
            </w:r>
            <w:r>
              <w:rPr>
                <w:szCs w:val="22"/>
                <w:lang w:val="hu-HU" w:eastAsia="zh-CN"/>
              </w:rPr>
              <w:t>szeres</w:t>
            </w:r>
            <w:r w:rsidRPr="00917A52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6D3FD3" w:rsidRPr="008852EB" w14:paraId="053603AD" w14:textId="77777777" w:rsidTr="00FB75CE">
        <w:tc>
          <w:tcPr>
            <w:tcW w:w="5000" w:type="pct"/>
            <w:gridSpan w:val="3"/>
          </w:tcPr>
          <w:p w14:paraId="3530C746" w14:textId="77777777" w:rsidR="006D3FD3" w:rsidRPr="00D96B72" w:rsidRDefault="006D3FD3" w:rsidP="006D3FD3">
            <w:pPr>
              <w:pStyle w:val="A-TableText"/>
              <w:widowControl w:val="0"/>
              <w:spacing w:before="0" w:after="0"/>
              <w:rPr>
                <w:bCs/>
                <w:szCs w:val="22"/>
                <w:lang w:val="hu-HU" w:eastAsia="zh-CN"/>
              </w:rPr>
            </w:pPr>
          </w:p>
          <w:p w14:paraId="42E924CF" w14:textId="5BC18087" w:rsidR="006D3FD3" w:rsidRPr="00D96B72" w:rsidRDefault="006D3FD3" w:rsidP="006D3FD3">
            <w:pPr>
              <w:pStyle w:val="A-TableText"/>
              <w:widowControl w:val="0"/>
              <w:spacing w:before="0" w:after="0"/>
              <w:rPr>
                <w:b/>
                <w:szCs w:val="22"/>
                <w:lang w:val="hu-HU" w:eastAsia="zh-CN"/>
              </w:rPr>
            </w:pPr>
            <w:r w:rsidRPr="00D96B72">
              <w:rPr>
                <w:b/>
                <w:szCs w:val="22"/>
                <w:lang w:val="hu-HU" w:eastAsia="zh-CN"/>
              </w:rPr>
              <w:t>A rozuvasztatin AUC-értékének kevesebb mint 2-szeres mértékű növekedése</w:t>
            </w:r>
          </w:p>
        </w:tc>
      </w:tr>
      <w:tr w:rsidR="004C0FD1" w:rsidRPr="008852EB" w14:paraId="6B7A5D87" w14:textId="77777777" w:rsidTr="00BB4A0D">
        <w:tc>
          <w:tcPr>
            <w:tcW w:w="2363" w:type="pct"/>
          </w:tcPr>
          <w:p w14:paraId="6D263D7F" w14:textId="77777777" w:rsidR="004C0FD1" w:rsidRPr="008852EB" w:rsidRDefault="004C0FD1" w:rsidP="00A209E4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Febuxosztát 120 mg napi egyszer</w:t>
            </w:r>
          </w:p>
        </w:tc>
        <w:tc>
          <w:tcPr>
            <w:tcW w:w="1545" w:type="pct"/>
          </w:tcPr>
          <w:p w14:paraId="6F121430" w14:textId="77777777" w:rsidR="004C0FD1" w:rsidRPr="008852EB" w:rsidRDefault="004C0FD1" w:rsidP="00A209E4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1092" w:type="pct"/>
          </w:tcPr>
          <w:p w14:paraId="239D7ABD" w14:textId="77777777" w:rsidR="004C0FD1" w:rsidRPr="008852EB" w:rsidRDefault="004C0FD1" w:rsidP="00A209E4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1,9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3EACD283" w14:textId="3813645B" w:rsidTr="00BB4A0D">
        <w:tc>
          <w:tcPr>
            <w:tcW w:w="2363" w:type="pct"/>
          </w:tcPr>
          <w:p w14:paraId="50B8A285" w14:textId="093C7D9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Gemfibrozil 600 mg napi kétszer,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563F9DE2" w14:textId="499CA70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092" w:type="pct"/>
          </w:tcPr>
          <w:p w14:paraId="6198D193" w14:textId="3086A276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1,9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930D1AD" w14:textId="77777777" w:rsidTr="00BB4A0D">
        <w:tc>
          <w:tcPr>
            <w:tcW w:w="2363" w:type="pct"/>
          </w:tcPr>
          <w:p w14:paraId="528C9868" w14:textId="7212EFDB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Eltrombopag 75 mg napi egyszer, 5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76BFA91E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31C7CDD9" w14:textId="0A9EB30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1,6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8F425D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8F425D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71374899" w14:textId="77777777" w:rsidTr="00BB4A0D">
        <w:tc>
          <w:tcPr>
            <w:tcW w:w="2363" w:type="pct"/>
          </w:tcPr>
          <w:p w14:paraId="40E8BD81" w14:textId="6A970AFC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Darunavir 600 mg/ritonavir 100 mg napi kétszer,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BBAC7AB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 napi egyszer, 7 nap</w:t>
            </w:r>
          </w:p>
        </w:tc>
        <w:tc>
          <w:tcPr>
            <w:tcW w:w="1092" w:type="pct"/>
          </w:tcPr>
          <w:p w14:paraId="078AC1BE" w14:textId="6DF6206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1,5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8F425D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8F425D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4A0F6B6C" w14:textId="77777777" w:rsidTr="00BB4A0D">
        <w:tc>
          <w:tcPr>
            <w:tcW w:w="2363" w:type="pct"/>
          </w:tcPr>
          <w:p w14:paraId="70E906B9" w14:textId="6586894E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Tipranavir 500 mg/ritonavir 200 mg napi </w:t>
            </w:r>
            <w:r w:rsidRPr="008852EB">
              <w:rPr>
                <w:szCs w:val="22"/>
                <w:lang w:val="hu-HU" w:eastAsia="zh-CN"/>
              </w:rPr>
              <w:lastRenderedPageBreak/>
              <w:t>kétszer, 11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6B3CBD6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lastRenderedPageBreak/>
              <w:t>10 mg, egyszeri adag</w:t>
            </w:r>
          </w:p>
        </w:tc>
        <w:tc>
          <w:tcPr>
            <w:tcW w:w="1092" w:type="pct"/>
          </w:tcPr>
          <w:p w14:paraId="2A9FA87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1,4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6F88FB90" w14:textId="77777777" w:rsidTr="00BB4A0D">
        <w:tc>
          <w:tcPr>
            <w:tcW w:w="2363" w:type="pct"/>
          </w:tcPr>
          <w:p w14:paraId="4C98E7E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Dronedaron 400 mg napi kétszer</w:t>
            </w:r>
          </w:p>
        </w:tc>
        <w:tc>
          <w:tcPr>
            <w:tcW w:w="1545" w:type="pct"/>
          </w:tcPr>
          <w:p w14:paraId="210632D6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092" w:type="pct"/>
          </w:tcPr>
          <w:p w14:paraId="05D8F70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1,4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3EC303E1" w14:textId="77777777" w:rsidTr="00BB4A0D">
        <w:tc>
          <w:tcPr>
            <w:tcW w:w="2363" w:type="pct"/>
          </w:tcPr>
          <w:p w14:paraId="7527BC78" w14:textId="277054AC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Itrakonazol 200 mg napi egyszer, 5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0763CD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230981BD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1,4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  <w:r w:rsidRPr="008852EB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6D3FD3" w:rsidRPr="008852EB" w14:paraId="55427786" w14:textId="77777777" w:rsidTr="00BB4A0D">
        <w:tc>
          <w:tcPr>
            <w:tcW w:w="2363" w:type="pct"/>
          </w:tcPr>
          <w:p w14:paraId="5A78AEDF" w14:textId="0349F70A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Ezetimib 10 mg napi egyszer,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62D97C93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napi egyszer, 14 nap</w:t>
            </w:r>
          </w:p>
        </w:tc>
        <w:tc>
          <w:tcPr>
            <w:tcW w:w="1092" w:type="pct"/>
          </w:tcPr>
          <w:p w14:paraId="4C8CEBE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  <w:r w:rsidRPr="008852EB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6D3FD3" w:rsidRPr="008852EB" w14:paraId="76A959B8" w14:textId="77777777" w:rsidTr="00FB75CE">
        <w:tc>
          <w:tcPr>
            <w:tcW w:w="5000" w:type="pct"/>
            <w:gridSpan w:val="3"/>
          </w:tcPr>
          <w:p w14:paraId="04C47F10" w14:textId="4132B9BE" w:rsidR="006D3FD3" w:rsidRPr="00D96B72" w:rsidRDefault="006D3FD3" w:rsidP="006D3FD3">
            <w:pPr>
              <w:pStyle w:val="A-TableText"/>
              <w:keepNext/>
              <w:widowControl w:val="0"/>
              <w:spacing w:before="0" w:after="0"/>
              <w:rPr>
                <w:bCs/>
                <w:szCs w:val="22"/>
                <w:lang w:val="hu-HU" w:eastAsia="zh-CN"/>
              </w:rPr>
            </w:pPr>
          </w:p>
          <w:p w14:paraId="5B08AB88" w14:textId="296C9C4D" w:rsidR="006D3FD3" w:rsidRPr="00D96B72" w:rsidRDefault="006D3FD3" w:rsidP="006D3FD3">
            <w:pPr>
              <w:pStyle w:val="A-TableText"/>
              <w:keepNext/>
              <w:widowControl w:val="0"/>
              <w:spacing w:before="0" w:after="0"/>
              <w:rPr>
                <w:b/>
                <w:szCs w:val="22"/>
                <w:lang w:val="hu-HU" w:eastAsia="zh-CN"/>
              </w:rPr>
            </w:pPr>
            <w:r w:rsidRPr="00D96B72">
              <w:rPr>
                <w:b/>
                <w:szCs w:val="22"/>
                <w:lang w:val="hu-HU" w:eastAsia="zh-CN"/>
              </w:rPr>
              <w:t>A rozuvasztatin AUC-értékének csökkenése</w:t>
            </w:r>
          </w:p>
        </w:tc>
      </w:tr>
      <w:tr w:rsidR="006D3FD3" w:rsidRPr="008852EB" w14:paraId="2FB6122E" w14:textId="77777777" w:rsidTr="00BB4A0D">
        <w:tc>
          <w:tcPr>
            <w:tcW w:w="2363" w:type="pct"/>
          </w:tcPr>
          <w:p w14:paraId="42E70407" w14:textId="7698C286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Eritromicin 500 mg napi négyszer,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3925B82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092" w:type="pct"/>
          </w:tcPr>
          <w:p w14:paraId="10CD5156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20% </w:t>
            </w:r>
            <w:r w:rsidRPr="008852EB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6D3FD3" w:rsidRPr="008852EB" w14:paraId="61B47DDF" w14:textId="77777777" w:rsidTr="00BB4A0D">
        <w:tc>
          <w:tcPr>
            <w:tcW w:w="2363" w:type="pct"/>
          </w:tcPr>
          <w:p w14:paraId="76E4428D" w14:textId="77594FF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Baikalin 50 mg napi háromszor,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2DDA253E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092" w:type="pct"/>
          </w:tcPr>
          <w:p w14:paraId="24D3857B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47% </w:t>
            </w:r>
            <w:r w:rsidRPr="008852EB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6D3FD3" w:rsidRPr="008852EB" w14:paraId="04741FF1" w14:textId="77777777" w:rsidTr="00090B3C">
        <w:tc>
          <w:tcPr>
            <w:tcW w:w="5000" w:type="pct"/>
            <w:gridSpan w:val="3"/>
          </w:tcPr>
          <w:p w14:paraId="644DCB12" w14:textId="77777777" w:rsidR="006D3FD3" w:rsidRPr="008852EB" w:rsidRDefault="006D3FD3" w:rsidP="006D3FD3">
            <w:pPr>
              <w:widowControl w:val="0"/>
              <w:tabs>
                <w:tab w:val="left" w:pos="285"/>
              </w:tabs>
              <w:ind w:left="284" w:hanging="284"/>
              <w:rPr>
                <w:rFonts w:ascii="Times New Roman" w:hAnsi="Times New Roman" w:cs="Times New Roman"/>
                <w:lang w:eastAsia="zh-CN"/>
              </w:rPr>
            </w:pP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>*</w:t>
            </w: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ab/>
            </w:r>
            <w:r w:rsidRPr="008852EB">
              <w:rPr>
                <w:rFonts w:ascii="Times New Roman" w:hAnsi="Times New Roman" w:cs="Times New Roman"/>
                <w:lang w:eastAsia="zh-CN"/>
              </w:rPr>
              <w:t>Az x</w:t>
            </w:r>
            <w:r w:rsidRPr="008852EB">
              <w:rPr>
                <w:rFonts w:ascii="Times New Roman" w:hAnsi="Times New Roman" w:cs="Times New Roman"/>
                <w:lang w:eastAsia="zh-CN"/>
              </w:rPr>
              <w:noBreakHyphen/>
              <w:t>szeres változásként megadott adat az egyidejű alkalmazás és a rozuvasztatin önmagában történő alkalmazása közötti egyszerű arányszámot mutatja. A %</w:t>
            </w:r>
            <w:r w:rsidRPr="008852EB">
              <w:rPr>
                <w:rFonts w:ascii="Times New Roman" w:hAnsi="Times New Roman" w:cs="Times New Roman"/>
                <w:lang w:eastAsia="zh-CN"/>
              </w:rPr>
              <w:noBreakHyphen/>
              <w:t>ban kifejezett változás a rozuvasztatin önmagában történő alkalmazásához képest mért relatív %</w:t>
            </w:r>
            <w:r w:rsidRPr="008852EB">
              <w:rPr>
                <w:rFonts w:ascii="Times New Roman" w:hAnsi="Times New Roman" w:cs="Times New Roman"/>
                <w:lang w:eastAsia="zh-CN"/>
              </w:rPr>
              <w:noBreakHyphen/>
              <w:t>os eltérést jelenti.</w:t>
            </w:r>
          </w:p>
          <w:p w14:paraId="1774636F" w14:textId="711D2ADD" w:rsidR="006D3FD3" w:rsidRPr="008852EB" w:rsidRDefault="006D3FD3" w:rsidP="006D3FD3">
            <w:pPr>
              <w:widowControl w:val="0"/>
              <w:tabs>
                <w:tab w:val="left" w:pos="285"/>
              </w:tabs>
              <w:ind w:left="284"/>
              <w:rPr>
                <w:rFonts w:ascii="Times New Roman" w:hAnsi="Times New Roman" w:cs="Times New Roman"/>
                <w:lang w:eastAsia="zh-CN"/>
              </w:rPr>
            </w:pPr>
            <w:r w:rsidRPr="008852EB">
              <w:rPr>
                <w:rFonts w:ascii="Times New Roman" w:hAnsi="Times New Roman" w:cs="Times New Roman"/>
                <w:lang w:eastAsia="zh-CN"/>
              </w:rPr>
              <w:t>Növekedés “</w:t>
            </w:r>
            <w:r w:rsidRPr="008852EB">
              <w:rPr>
                <w:rFonts w:ascii="Times New Roman" w:hAnsi="Times New Roman" w:cs="Times New Roman"/>
                <w:lang w:eastAsia="zh-CN"/>
              </w:rPr>
              <w:sym w:font="Symbol" w:char="F0AD"/>
            </w:r>
            <w:r w:rsidRPr="008852EB">
              <w:rPr>
                <w:rFonts w:ascii="Times New Roman" w:hAnsi="Times New Roman" w:cs="Times New Roman"/>
                <w:lang w:eastAsia="zh-CN"/>
              </w:rPr>
              <w:t>”, csökkenés “</w:t>
            </w:r>
            <w:r w:rsidRPr="008852EB">
              <w:rPr>
                <w:rFonts w:ascii="Times New Roman" w:hAnsi="Times New Roman" w:cs="Times New Roman"/>
                <w:lang w:eastAsia="zh-CN"/>
              </w:rPr>
              <w:sym w:font="Symbol" w:char="F0AF"/>
            </w:r>
            <w:r w:rsidRPr="008852EB">
              <w:rPr>
                <w:rFonts w:ascii="Times New Roman" w:hAnsi="Times New Roman" w:cs="Times New Roman"/>
                <w:lang w:eastAsia="zh-CN"/>
              </w:rPr>
              <w:t>” jellel mutatva.</w:t>
            </w:r>
          </w:p>
          <w:p w14:paraId="743A10A3" w14:textId="77777777" w:rsidR="006D3FD3" w:rsidRDefault="006D3FD3" w:rsidP="006D3FD3">
            <w:pPr>
              <w:widowControl w:val="0"/>
              <w:tabs>
                <w:tab w:val="left" w:pos="285"/>
              </w:tabs>
              <w:ind w:left="284" w:hanging="284"/>
              <w:rPr>
                <w:rFonts w:ascii="Times New Roman" w:hAnsi="Times New Roman" w:cs="Times New Roman"/>
                <w:lang w:eastAsia="zh-CN"/>
              </w:rPr>
            </w:pP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>**</w:t>
            </w: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ab/>
            </w:r>
            <w:r w:rsidRPr="008852EB">
              <w:rPr>
                <w:rFonts w:ascii="Times New Roman" w:hAnsi="Times New Roman" w:cs="Times New Roman"/>
                <w:lang w:eastAsia="zh-CN"/>
              </w:rPr>
              <w:t xml:space="preserve">Számos interakciós vizsgálatot végeztek különböző rozuvasztatin dózisokkal, a táblázat a legszignifikánsabb arányt mutatja. </w:t>
            </w:r>
          </w:p>
          <w:p w14:paraId="67175065" w14:textId="51BEB96D" w:rsidR="006D3FD3" w:rsidRPr="008852EB" w:rsidRDefault="006D3FD3" w:rsidP="006D3FD3">
            <w:pPr>
              <w:widowControl w:val="0"/>
              <w:tabs>
                <w:tab w:val="left" w:pos="285"/>
              </w:tabs>
              <w:ind w:left="284" w:hanging="284"/>
              <w:rPr>
                <w:rFonts w:ascii="Times New Roman" w:hAnsi="Times New Roman" w:cs="Times New Roman"/>
                <w:lang w:eastAsia="zh-CN"/>
              </w:rPr>
            </w:pPr>
            <w:r w:rsidRPr="00651650">
              <w:rPr>
                <w:rFonts w:ascii="Times New Roman" w:hAnsi="Times New Roman" w:cs="Times New Roman"/>
                <w:lang w:eastAsia="zh-CN"/>
              </w:rPr>
              <w:t>AUC = görbe alatti terület (</w:t>
            </w:r>
            <w:r w:rsidRPr="00B36C6C">
              <w:rPr>
                <w:rFonts w:ascii="Times New Roman" w:hAnsi="Times New Roman" w:cs="Times New Roman"/>
                <w:i/>
                <w:lang w:eastAsia="zh-CN"/>
              </w:rPr>
              <w:t>area under curve</w:t>
            </w:r>
            <w:r w:rsidRPr="00651650">
              <w:rPr>
                <w:rFonts w:ascii="Times New Roman" w:hAnsi="Times New Roman" w:cs="Times New Roman"/>
                <w:lang w:eastAsia="zh-CN"/>
              </w:rPr>
              <w:t>),</w:t>
            </w:r>
          </w:p>
        </w:tc>
      </w:tr>
    </w:tbl>
    <w:p w14:paraId="092B2A09" w14:textId="721D0FE8" w:rsidR="00DD4CFD" w:rsidRDefault="00DD4CFD" w:rsidP="008852EB">
      <w:pPr>
        <w:widowControl w:val="0"/>
        <w:spacing w:after="0" w:line="240" w:lineRule="auto"/>
        <w:rPr>
          <w:rFonts w:ascii="Times New Roman" w:hAnsi="Times New Roman" w:cs="Times New Roman"/>
          <w:i/>
          <w:iCs/>
          <w:u w:val="single"/>
        </w:rPr>
      </w:pPr>
    </w:p>
    <w:p w14:paraId="7FFA741F" w14:textId="77777777" w:rsidR="00C46C32" w:rsidRPr="00BB4A0D" w:rsidRDefault="00C46C32" w:rsidP="00BB4A0D">
      <w:pPr>
        <w:spacing w:after="0" w:line="240" w:lineRule="auto"/>
        <w:rPr>
          <w:rFonts w:ascii="Times New Roman" w:hAnsi="Times New Roman" w:cs="Times New Roman"/>
        </w:rPr>
      </w:pPr>
      <w:r w:rsidRPr="00BB4A0D">
        <w:rPr>
          <w:rFonts w:ascii="Times New Roman" w:hAnsi="Times New Roman" w:cs="Times New Roman"/>
        </w:rPr>
        <w:t>A következő gyógyszerek/kombinációk rozuvasztatinnal egyidejűleg alkalmazva nem befolyásolták klinikai szempontból szignifikánsan az AUC értékét:</w:t>
      </w:r>
    </w:p>
    <w:p w14:paraId="4645BB61" w14:textId="77777777" w:rsidR="00C46C32" w:rsidRPr="00BB4A0D" w:rsidRDefault="00C46C32" w:rsidP="00BB4A0D">
      <w:pPr>
        <w:spacing w:after="0" w:line="240" w:lineRule="auto"/>
        <w:rPr>
          <w:rFonts w:ascii="Times New Roman" w:hAnsi="Times New Roman" w:cs="Times New Roman"/>
          <w:bCs/>
        </w:rPr>
      </w:pPr>
      <w:r w:rsidRPr="00BB4A0D">
        <w:rPr>
          <w:rFonts w:ascii="Times New Roman" w:hAnsi="Times New Roman" w:cs="Times New Roman"/>
        </w:rPr>
        <w:t>Aleglitazar 0,3 mg, 7 napig; fenofibrát 67 mg napi háromszor, 7 napig; flukonazol 200 mg napi egyszer, 11 napig; fozamprenavir 700 mg/ritonavir 100 mg napi kétszer, 8 napig; ketokonazol 200 mg napi kétszer, 7 napig; rifampin 450 mg napi egyszer, 7 napig; szilimarin (máriatövis</w:t>
      </w:r>
      <w:r w:rsidRPr="00BB4A0D">
        <w:rPr>
          <w:rFonts w:ascii="Times New Roman" w:hAnsi="Times New Roman" w:cs="Times New Roman"/>
        </w:rPr>
        <w:noBreakHyphen/>
        <w:t>kivonat) 140 mg napi háromszor, 5 napig.</w:t>
      </w:r>
    </w:p>
    <w:p w14:paraId="5CF53B3B" w14:textId="77777777" w:rsidR="00C46C32" w:rsidRPr="00C46C32" w:rsidRDefault="00C46C32" w:rsidP="00C46C32">
      <w:pPr>
        <w:widowControl w:val="0"/>
        <w:spacing w:after="0" w:line="240" w:lineRule="auto"/>
        <w:rPr>
          <w:rFonts w:ascii="Times New Roman" w:hAnsi="Times New Roman" w:cs="Times New Roman"/>
          <w:i/>
          <w:iCs/>
          <w:u w:val="single"/>
        </w:rPr>
      </w:pPr>
    </w:p>
    <w:p w14:paraId="14E7ED57" w14:textId="43435546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8852EB">
        <w:rPr>
          <w:rFonts w:ascii="Times New Roman" w:hAnsi="Times New Roman" w:cs="Times New Roman"/>
          <w:i/>
          <w:iCs/>
          <w:u w:val="single"/>
        </w:rPr>
        <w:t>A rozuvasztatin hatása az egyidejűleg alkalmazott gyógyszerekre</w:t>
      </w:r>
    </w:p>
    <w:p w14:paraId="2088DEC6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3DD7264D" w14:textId="46B506F8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</w:rPr>
        <w:t>K-vitamin</w:t>
      </w:r>
      <w:r w:rsidRPr="008852EB">
        <w:rPr>
          <w:rFonts w:ascii="Times New Roman" w:hAnsi="Times New Roman" w:cs="Times New Roman"/>
          <w:i/>
        </w:rPr>
        <w:noBreakHyphen/>
        <w:t>antagonisták:</w:t>
      </w:r>
      <w:r w:rsidRPr="008852EB">
        <w:rPr>
          <w:rFonts w:ascii="Times New Roman" w:hAnsi="Times New Roman" w:cs="Times New Roman"/>
        </w:rPr>
        <w:t xml:space="preserve"> Hasonlóan egyéb HMG</w:t>
      </w:r>
      <w:r w:rsidRPr="008852EB">
        <w:rPr>
          <w:rFonts w:ascii="Times New Roman" w:hAnsi="Times New Roman" w:cs="Times New Roman"/>
        </w:rPr>
        <w:noBreakHyphen/>
        <w:t>CoA</w:t>
      </w:r>
      <w:r w:rsidRPr="008852EB">
        <w:rPr>
          <w:rFonts w:ascii="Times New Roman" w:hAnsi="Times New Roman" w:cs="Times New Roman"/>
        </w:rPr>
        <w:noBreakHyphen/>
        <w:t>reduktáz</w:t>
      </w:r>
      <w:r w:rsidRPr="008852EB">
        <w:rPr>
          <w:rFonts w:ascii="Times New Roman" w:hAnsi="Times New Roman" w:cs="Times New Roman"/>
        </w:rPr>
        <w:noBreakHyphen/>
      </w:r>
      <w:r w:rsidR="00C6195A">
        <w:rPr>
          <w:rFonts w:ascii="Times New Roman" w:hAnsi="Times New Roman" w:cs="Times New Roman"/>
        </w:rPr>
        <w:t>gátlók</w:t>
      </w:r>
      <w:r w:rsidRPr="008852EB">
        <w:rPr>
          <w:rFonts w:ascii="Times New Roman" w:hAnsi="Times New Roman" w:cs="Times New Roman"/>
        </w:rPr>
        <w:t>hoz, egyidejűleg K</w:t>
      </w:r>
      <w:r w:rsidRPr="008852EB">
        <w:rPr>
          <w:rFonts w:ascii="Times New Roman" w:hAnsi="Times New Roman" w:cs="Times New Roman"/>
        </w:rPr>
        <w:noBreakHyphen/>
        <w:t>vitamin</w:t>
      </w:r>
      <w:r w:rsidRPr="008852EB">
        <w:rPr>
          <w:rFonts w:ascii="Times New Roman" w:hAnsi="Times New Roman" w:cs="Times New Roman"/>
        </w:rPr>
        <w:noBreakHyphen/>
        <w:t>antagonistával (pl. warfarin vagy más, kumarin</w:t>
      </w:r>
      <w:r w:rsidRPr="008852EB">
        <w:rPr>
          <w:rFonts w:ascii="Times New Roman" w:hAnsi="Times New Roman" w:cs="Times New Roman"/>
        </w:rPr>
        <w:noBreakHyphen/>
        <w:t>típusú antikoaguláns) kezelt betegeknél a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noBreakHyphen/>
        <w:t>terápia megkezdése, illetve a dózis emelése a nemzetközi normalizált arány (International Normalized Ratio, INR) megemelkedését okozhatja. A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noBreakHyphen/>
        <w:t>terápia felfüggesztése vagy a</w:t>
      </w:r>
      <w:r w:rsidR="0052580B" w:rsidRPr="008852EB">
        <w:rPr>
          <w:rFonts w:ascii="Times New Roman" w:hAnsi="Times New Roman" w:cs="Times New Roman"/>
        </w:rPr>
        <w:t xml:space="preserve"> </w:t>
      </w:r>
      <w:r w:rsidRPr="008852EB">
        <w:rPr>
          <w:rFonts w:ascii="Times New Roman" w:hAnsi="Times New Roman" w:cs="Times New Roman"/>
        </w:rPr>
        <w:t>d</w:t>
      </w:r>
      <w:r w:rsidR="0052580B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 xml:space="preserve"> csökkentése az INR csökkenését eredményezheti. Ilyen esetekben az INR megfelelő ellenőrzése szükséges.</w:t>
      </w:r>
    </w:p>
    <w:p w14:paraId="01E51FAF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4DFD2988" w14:textId="29D93F7F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D75C29">
        <w:rPr>
          <w:rFonts w:ascii="Times New Roman" w:hAnsi="Times New Roman" w:cs="Times New Roman"/>
          <w:i/>
        </w:rPr>
        <w:t>Orális fogamzásgátlók/hormonpótló terápia (HRT):</w:t>
      </w:r>
      <w:r w:rsidRPr="00D75C29">
        <w:rPr>
          <w:rFonts w:ascii="Times New Roman" w:hAnsi="Times New Roman" w:cs="Times New Roman"/>
        </w:rPr>
        <w:t xml:space="preserve"> r</w:t>
      </w:r>
      <w:r w:rsidR="00FD7991" w:rsidRPr="00D75C29">
        <w:rPr>
          <w:rFonts w:ascii="Times New Roman" w:hAnsi="Times New Roman" w:cs="Times New Roman"/>
        </w:rPr>
        <w:t>ozuvasztatin</w:t>
      </w:r>
      <w:r w:rsidRPr="00D75C29">
        <w:rPr>
          <w:rFonts w:ascii="Times New Roman" w:hAnsi="Times New Roman" w:cs="Times New Roman"/>
        </w:rPr>
        <w:t xml:space="preserve"> és orális fogamzásgátlók egyidejű</w:t>
      </w:r>
      <w:r w:rsidRPr="008852EB">
        <w:rPr>
          <w:rFonts w:ascii="Times New Roman" w:hAnsi="Times New Roman" w:cs="Times New Roman"/>
        </w:rPr>
        <w:t xml:space="preserve"> alkalmazásakor az etinil</w:t>
      </w:r>
      <w:r w:rsidRPr="008852EB">
        <w:rPr>
          <w:rFonts w:ascii="Times New Roman" w:hAnsi="Times New Roman" w:cs="Times New Roman"/>
        </w:rPr>
        <w:noBreakHyphen/>
        <w:t>ösztradiol AUC</w:t>
      </w:r>
      <w:r w:rsidR="0052580B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értéke 26%</w:t>
      </w:r>
      <w:r w:rsidRPr="008852EB">
        <w:rPr>
          <w:rFonts w:ascii="Times New Roman" w:hAnsi="Times New Roman" w:cs="Times New Roman"/>
        </w:rPr>
        <w:noBreakHyphen/>
        <w:t>kal, a norgesztrel AUC</w:t>
      </w:r>
      <w:r w:rsidR="0052580B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értéke 34%</w:t>
      </w:r>
      <w:r w:rsidRPr="008852EB">
        <w:rPr>
          <w:rFonts w:ascii="Times New Roman" w:hAnsi="Times New Roman" w:cs="Times New Roman"/>
        </w:rPr>
        <w:noBreakHyphen/>
        <w:t>kal emelkedett. A plazmaszint</w:t>
      </w:r>
      <w:r w:rsidRPr="008852EB">
        <w:rPr>
          <w:rFonts w:ascii="Times New Roman" w:hAnsi="Times New Roman" w:cs="Times New Roman"/>
        </w:rPr>
        <w:noBreakHyphen/>
        <w:t>emelkedést az orális fogamzásgátló dózisának megválasztásakor figyelembe kell venni. Nincs farmakokinetikai adat olyan betegekre vonatkozóan, akiknek hormonpótló kezelést és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>t együtt adtak, ilyen esetekben hasonló hatás nem zárható ki. Nőknél nagy betegszámú klinikai vizsgálatokban alkalmazva a kombinációt a betegek ugyanakkor azt jól tolerálták.</w:t>
      </w:r>
    </w:p>
    <w:p w14:paraId="042F1FA7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1EDDFA99" w14:textId="4AC2D21D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i/>
        </w:rPr>
      </w:pPr>
      <w:r w:rsidRPr="008852EB">
        <w:rPr>
          <w:rFonts w:ascii="Times New Roman" w:hAnsi="Times New Roman" w:cs="Times New Roman"/>
          <w:i/>
        </w:rPr>
        <w:t>Egyéb gyógyszerek</w:t>
      </w:r>
    </w:p>
    <w:p w14:paraId="44E38A83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  <w:iCs/>
          <w:u w:val="single"/>
        </w:rPr>
        <w:t>Digoxin:</w:t>
      </w:r>
      <w:r w:rsidRPr="008852EB">
        <w:rPr>
          <w:rFonts w:ascii="Times New Roman" w:hAnsi="Times New Roman" w:cs="Times New Roman"/>
        </w:rPr>
        <w:t xml:space="preserve"> Specifikus gyógyszerinterakciós vizsgálatok során nyert adatok alapján digoxinnal klinikailag releváns interakció nem várható.</w:t>
      </w:r>
    </w:p>
    <w:p w14:paraId="68458FA4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4FA46E6E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132C2">
        <w:rPr>
          <w:rFonts w:ascii="Times New Roman" w:hAnsi="Times New Roman" w:cs="Times New Roman"/>
          <w:i/>
          <w:iCs/>
          <w:u w:val="single"/>
        </w:rPr>
        <w:t>Fuzidinsav:</w:t>
      </w:r>
      <w:r w:rsidRPr="008132C2">
        <w:rPr>
          <w:rFonts w:ascii="Times New Roman" w:hAnsi="Times New Roman" w:cs="Times New Roman"/>
        </w:rPr>
        <w:t xml:space="preserve"> Interakciós vizsgálatokat nem végeztek rozuvasztatin és fuzidinsav alkalmazásával. A</w:t>
      </w:r>
      <w:r w:rsidRPr="008852EB">
        <w:rPr>
          <w:rFonts w:ascii="Times New Roman" w:hAnsi="Times New Roman" w:cs="Times New Roman"/>
        </w:rPr>
        <w:t xml:space="preserve"> szisztémás fuzidinsav és a sztatinok egyidejű alkalmazása mellett a myopathia kockázata megnövekedhet, beleértve a rhabdomyolysist is. Ennek az interakciónak a mechanizmusa (hogy vajon ez a kölcsönhatás farmakodinámiás vagy farmakokinetikai vagy mindkettő) még nem tisztázott. Ezzel a kombinációval kezelt betegeknél előfordultak rhabdomyolysis esetek (néhány halálos kimenetelű esetet is beleértve).</w:t>
      </w:r>
    </w:p>
    <w:p w14:paraId="4D579970" w14:textId="2F038EF5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</w:rPr>
        <w:t>Azoknál a betegeknél, akiknél elkerülhetetlen a szisztémás fuzidinsav</w:t>
      </w:r>
      <w:r w:rsidRPr="008852EB">
        <w:rPr>
          <w:rFonts w:ascii="Times New Roman" w:hAnsi="Times New Roman" w:cs="Times New Roman"/>
        </w:rPr>
        <w:noBreakHyphen/>
        <w:t>kezelés, a r</w:t>
      </w:r>
      <w:r w:rsidR="001D41AF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noBreakHyphen/>
        <w:t>kezelést a fuzidinsav</w:t>
      </w:r>
      <w:r w:rsidRPr="008852EB">
        <w:rPr>
          <w:rFonts w:ascii="Times New Roman" w:hAnsi="Times New Roman" w:cs="Times New Roman"/>
        </w:rPr>
        <w:noBreakHyphen/>
        <w:t xml:space="preserve">kezelés teljes időtartamára le kell állítani. </w:t>
      </w:r>
      <w:r w:rsidRPr="008852EB">
        <w:rPr>
          <w:rFonts w:ascii="Times New Roman" w:hAnsi="Times New Roman" w:cs="Times New Roman"/>
          <w:bCs/>
        </w:rPr>
        <w:t>Lásd 4.4 pont.</w:t>
      </w:r>
    </w:p>
    <w:p w14:paraId="34A64B9C" w14:textId="26F58BA9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03A363B" w14:textId="5932D556" w:rsidR="004F5A2B" w:rsidRPr="008852EB" w:rsidRDefault="004F5A2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8852EB">
        <w:rPr>
          <w:rFonts w:ascii="Times New Roman" w:hAnsi="Times New Roman" w:cs="Times New Roman"/>
          <w:b/>
          <w:u w:val="single"/>
        </w:rPr>
        <w:t>Az acetilszalicilsav összetevőhöz köthető interakciók</w:t>
      </w:r>
    </w:p>
    <w:p w14:paraId="0E2F2055" w14:textId="4B477D59" w:rsidR="00E01132" w:rsidRPr="00D96B72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F3EB6B0" w14:textId="191928B5" w:rsidR="00E01132" w:rsidRPr="00F64BAD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F64BAD">
        <w:rPr>
          <w:rFonts w:ascii="Times New Roman" w:hAnsi="Times New Roman" w:cs="Times New Roman"/>
          <w:b/>
          <w:bCs/>
          <w:u w:val="single"/>
        </w:rPr>
        <w:t>Ellenjavallt kombinációk</w:t>
      </w:r>
    </w:p>
    <w:p w14:paraId="753B5FDF" w14:textId="77777777" w:rsidR="00FF361C" w:rsidRPr="00D96B72" w:rsidRDefault="00FF361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3F3894E" w14:textId="2F775BC3" w:rsidR="00E01132" w:rsidRPr="00D96B72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D96B72">
        <w:rPr>
          <w:rFonts w:ascii="Times New Roman" w:hAnsi="Times New Roman" w:cs="Times New Roman"/>
          <w:b/>
          <w:bCs/>
          <w:i/>
        </w:rPr>
        <w:t xml:space="preserve">Metotrexát (15 mg/hét </w:t>
      </w:r>
      <w:r w:rsidR="00F02267" w:rsidRPr="00D96B72">
        <w:rPr>
          <w:rFonts w:ascii="Times New Roman" w:hAnsi="Times New Roman" w:cs="Times New Roman"/>
          <w:b/>
          <w:bCs/>
          <w:i/>
        </w:rPr>
        <w:t>és e</w:t>
      </w:r>
      <w:r w:rsidR="0098027F" w:rsidRPr="00F64BAD">
        <w:rPr>
          <w:rFonts w:ascii="Times New Roman" w:hAnsi="Times New Roman" w:cs="Times New Roman"/>
          <w:b/>
          <w:bCs/>
          <w:i/>
        </w:rPr>
        <w:t>nnél nagyobb</w:t>
      </w:r>
      <w:r w:rsidRPr="00D96B72">
        <w:rPr>
          <w:rFonts w:ascii="Times New Roman" w:hAnsi="Times New Roman" w:cs="Times New Roman"/>
          <w:b/>
          <w:bCs/>
          <w:i/>
        </w:rPr>
        <w:t xml:space="preserve"> dózisokban</w:t>
      </w:r>
      <w:r w:rsidRPr="00D96B72">
        <w:rPr>
          <w:rFonts w:ascii="Times New Roman" w:hAnsi="Times New Roman" w:cs="Times New Roman"/>
          <w:bCs/>
          <w:i/>
        </w:rPr>
        <w:t>)</w:t>
      </w:r>
    </w:p>
    <w:p w14:paraId="10A09CC5" w14:textId="7F3D6AAC" w:rsidR="00E01132" w:rsidRPr="00D96B72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 xml:space="preserve">Metotrexát és acetilszalicilsav gyógyszerkombinációban az acetilszalicilsav által csökkentett metotrexát renalis clearance miatt fokozódik a metotrexát hematológiai toxicitása. Ennek megfelelően </w:t>
      </w:r>
      <w:r w:rsidR="0098027F" w:rsidRPr="00F64BAD">
        <w:rPr>
          <w:rFonts w:ascii="Times New Roman" w:hAnsi="Times New Roman" w:cs="Times New Roman"/>
          <w:bCs/>
        </w:rPr>
        <w:t xml:space="preserve">a </w:t>
      </w:r>
      <w:r w:rsidRPr="00D96B72">
        <w:rPr>
          <w:rFonts w:ascii="Times New Roman" w:hAnsi="Times New Roman" w:cs="Times New Roman"/>
          <w:bCs/>
        </w:rPr>
        <w:t>metotrexát (15 mg/</w:t>
      </w:r>
      <w:r w:rsidR="008944E6" w:rsidRPr="00D96B72">
        <w:rPr>
          <w:rFonts w:ascii="Times New Roman" w:hAnsi="Times New Roman" w:cs="Times New Roman"/>
          <w:bCs/>
        </w:rPr>
        <w:t xml:space="preserve">hét feletti dózisban) és </w:t>
      </w:r>
      <w:r w:rsidR="008132C2">
        <w:rPr>
          <w:rFonts w:ascii="Times New Roman" w:hAnsi="Times New Roman" w:cs="Times New Roman"/>
          <w:bCs/>
        </w:rPr>
        <w:t xml:space="preserve">a </w:t>
      </w:r>
      <w:r w:rsidR="00F67181" w:rsidRPr="00F64BAD">
        <w:rPr>
          <w:rFonts w:ascii="Times New Roman" w:hAnsi="Times New Roman" w:cs="Times New Roman"/>
          <w:bCs/>
        </w:rPr>
        <w:t>XeterDuo</w:t>
      </w:r>
      <w:r w:rsidRPr="00D96B72">
        <w:rPr>
          <w:rFonts w:ascii="Times New Roman" w:hAnsi="Times New Roman" w:cs="Times New Roman"/>
          <w:bCs/>
        </w:rPr>
        <w:t xml:space="preserve"> együttes alkalmazása ellenjavallt (lásd 4.3 pont</w:t>
      </w:r>
      <w:r w:rsidR="006338F7" w:rsidRPr="00D96B72">
        <w:rPr>
          <w:rFonts w:ascii="Times New Roman" w:hAnsi="Times New Roman" w:cs="Times New Roman"/>
          <w:bCs/>
        </w:rPr>
        <w:t>)</w:t>
      </w:r>
      <w:r w:rsidR="009408D8" w:rsidRPr="00D96B72">
        <w:rPr>
          <w:rFonts w:ascii="Times New Roman" w:hAnsi="Times New Roman" w:cs="Times New Roman"/>
          <w:bCs/>
        </w:rPr>
        <w:t xml:space="preserve">. Fokozott ellenőrzés ajánlott idősek, illetve </w:t>
      </w:r>
      <w:r w:rsidR="0098027F" w:rsidRPr="00F64BAD">
        <w:rPr>
          <w:rFonts w:ascii="Times New Roman" w:hAnsi="Times New Roman" w:cs="Times New Roman"/>
          <w:bCs/>
        </w:rPr>
        <w:t>vese</w:t>
      </w:r>
      <w:r w:rsidR="009408D8" w:rsidRPr="00D96B72">
        <w:rPr>
          <w:rFonts w:ascii="Times New Roman" w:hAnsi="Times New Roman" w:cs="Times New Roman"/>
          <w:bCs/>
        </w:rPr>
        <w:t>károsod</w:t>
      </w:r>
      <w:r w:rsidR="0098027F" w:rsidRPr="00F64BAD">
        <w:rPr>
          <w:rFonts w:ascii="Times New Roman" w:hAnsi="Times New Roman" w:cs="Times New Roman"/>
          <w:bCs/>
        </w:rPr>
        <w:t>ás</w:t>
      </w:r>
      <w:r w:rsidR="009408D8" w:rsidRPr="00D96B72">
        <w:rPr>
          <w:rFonts w:ascii="Times New Roman" w:hAnsi="Times New Roman" w:cs="Times New Roman"/>
          <w:bCs/>
        </w:rPr>
        <w:t xml:space="preserve"> esetében (még enyhe károsodásnál is)</w:t>
      </w:r>
      <w:r w:rsidR="0098027F" w:rsidRPr="00F64BAD">
        <w:rPr>
          <w:rFonts w:ascii="Times New Roman" w:hAnsi="Times New Roman" w:cs="Times New Roman"/>
          <w:bCs/>
        </w:rPr>
        <w:t>.</w:t>
      </w:r>
    </w:p>
    <w:p w14:paraId="3F782F9E" w14:textId="2E8FBCB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928CEA1" w14:textId="77777777" w:rsidR="00E53F9D" w:rsidRPr="00D96B72" w:rsidRDefault="00E53F9D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Az alábbi gyógyszerekkel csak fokozott elővigyázatossággal alkalmazható együtt az acetilszalicilsav:</w:t>
      </w:r>
    </w:p>
    <w:p w14:paraId="3D8BC0BE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56E1317" w14:textId="0FCA864A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 xml:space="preserve">15 mg/hét dózisnál </w:t>
      </w:r>
      <w:r w:rsidR="0098027F" w:rsidRPr="00F64BAD">
        <w:rPr>
          <w:rFonts w:ascii="Times New Roman" w:hAnsi="Times New Roman" w:cs="Times New Roman"/>
          <w:b/>
        </w:rPr>
        <w:t>kise</w:t>
      </w:r>
      <w:r w:rsidRPr="00D96B72">
        <w:rPr>
          <w:rFonts w:ascii="Times New Roman" w:hAnsi="Times New Roman" w:cs="Times New Roman"/>
          <w:b/>
        </w:rPr>
        <w:t xml:space="preserve">bb </w:t>
      </w:r>
      <w:r w:rsidR="0098027F" w:rsidRPr="00F64BAD">
        <w:rPr>
          <w:rFonts w:ascii="Times New Roman" w:hAnsi="Times New Roman" w:cs="Times New Roman"/>
          <w:b/>
        </w:rPr>
        <w:t xml:space="preserve">dózisú </w:t>
      </w:r>
      <w:r w:rsidRPr="00D96B72">
        <w:rPr>
          <w:rFonts w:ascii="Times New Roman" w:hAnsi="Times New Roman" w:cs="Times New Roman"/>
          <w:b/>
        </w:rPr>
        <w:t>metotrexát-kezelés</w:t>
      </w:r>
      <w:r w:rsidR="00B15946" w:rsidRPr="00D96B72">
        <w:rPr>
          <w:rFonts w:ascii="Times New Roman" w:hAnsi="Times New Roman" w:cs="Times New Roman"/>
          <w:b/>
        </w:rPr>
        <w:t xml:space="preserve"> </w:t>
      </w:r>
      <w:r w:rsidR="00B5797E" w:rsidRPr="00D96B72">
        <w:rPr>
          <w:rFonts w:ascii="Times New Roman" w:hAnsi="Times New Roman" w:cs="Times New Roman"/>
          <w:b/>
        </w:rPr>
        <w:t>(</w:t>
      </w:r>
      <w:r w:rsidR="00B15946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B15946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B5797E" w:rsidRPr="00D96B72">
        <w:rPr>
          <w:rFonts w:ascii="Times New Roman" w:hAnsi="Times New Roman" w:cs="Times New Roman"/>
          <w:b/>
          <w:i/>
          <w:iCs/>
        </w:rPr>
        <w:t>)</w:t>
      </w:r>
    </w:p>
    <w:p w14:paraId="5ADF1991" w14:textId="678E7A9B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Megnőhet a metotrexát által okozott hematológiai toxicitás (csökkent renalis metotrexát-clearance, amit általánosságban a gyulladáscsökkentő szerek okoznak</w:t>
      </w:r>
      <w:r w:rsidR="0057670B">
        <w:rPr>
          <w:rFonts w:ascii="Times New Roman" w:hAnsi="Times New Roman" w:cs="Times New Roman"/>
        </w:rPr>
        <w:t>;</w:t>
      </w:r>
      <w:r w:rsidRPr="00D96B72">
        <w:rPr>
          <w:rFonts w:ascii="Times New Roman" w:hAnsi="Times New Roman" w:cs="Times New Roman"/>
        </w:rPr>
        <w:t xml:space="preserve"> a szalicilátok a metotrexátot leszorítják a plazmafehérje-kötőhelyéről).</w:t>
      </w:r>
    </w:p>
    <w:p w14:paraId="3BE4C311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463577D" w14:textId="587161D4" w:rsidR="007E5166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Nem-szteroid gyulladáscsökkentők</w:t>
      </w:r>
      <w:r w:rsidR="00604326" w:rsidRPr="00D96B72">
        <w:rPr>
          <w:rFonts w:ascii="Times New Roman" w:hAnsi="Times New Roman" w:cs="Times New Roman"/>
          <w:b/>
        </w:rPr>
        <w:t xml:space="preserve"> (hatásgyengülés)</w:t>
      </w:r>
    </w:p>
    <w:p w14:paraId="10BEA552" w14:textId="0E65B817" w:rsidR="00284510" w:rsidRPr="00D96B72" w:rsidRDefault="00B77A8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Egyes</w:t>
      </w:r>
      <w:r w:rsidR="00E53F9D" w:rsidRPr="00D96B72">
        <w:rPr>
          <w:rFonts w:ascii="Times New Roman" w:hAnsi="Times New Roman" w:cs="Times New Roman"/>
        </w:rPr>
        <w:t xml:space="preserve"> nem-szteroid gyulladáscsökkentő</w:t>
      </w:r>
      <w:r w:rsidR="00392FDD" w:rsidRPr="00D96B72">
        <w:rPr>
          <w:rFonts w:ascii="Times New Roman" w:hAnsi="Times New Roman" w:cs="Times New Roman"/>
        </w:rPr>
        <w:t>k</w:t>
      </w:r>
      <w:r w:rsidR="00E53F9D" w:rsidRPr="00D96B72">
        <w:rPr>
          <w:rFonts w:ascii="Times New Roman" w:hAnsi="Times New Roman" w:cs="Times New Roman"/>
        </w:rPr>
        <w:t xml:space="preserve">, mint az ibuprofén és a naproxén, egyidejű (ugyanazon a napon) szedése gátolhatja a </w:t>
      </w:r>
      <w:r w:rsidR="0098027F" w:rsidRPr="00F64BAD">
        <w:rPr>
          <w:rFonts w:ascii="Times New Roman" w:hAnsi="Times New Roman" w:cs="Times New Roman"/>
        </w:rPr>
        <w:t>kis</w:t>
      </w:r>
      <w:r w:rsidR="00E53F9D" w:rsidRPr="00D96B72">
        <w:rPr>
          <w:rFonts w:ascii="Times New Roman" w:hAnsi="Times New Roman" w:cs="Times New Roman"/>
        </w:rPr>
        <w:t xml:space="preserve"> dózisban szedett acetilszalicilsav </w:t>
      </w:r>
      <w:r w:rsidR="003C559F" w:rsidRPr="00D96B72">
        <w:rPr>
          <w:rFonts w:ascii="Times New Roman" w:hAnsi="Times New Roman" w:cs="Times New Roman"/>
        </w:rPr>
        <w:t xml:space="preserve">irreverzibilis </w:t>
      </w:r>
      <w:r w:rsidR="00E53F9D" w:rsidRPr="00D96B72">
        <w:rPr>
          <w:rFonts w:ascii="Times New Roman" w:hAnsi="Times New Roman" w:cs="Times New Roman"/>
        </w:rPr>
        <w:t>thromobocyta</w:t>
      </w:r>
      <w:r w:rsidR="00C6195A">
        <w:rPr>
          <w:rFonts w:ascii="Times New Roman" w:hAnsi="Times New Roman" w:cs="Times New Roman"/>
        </w:rPr>
        <w:noBreakHyphen/>
      </w:r>
      <w:r w:rsidR="00E53F9D" w:rsidRPr="00D96B72">
        <w:rPr>
          <w:rFonts w:ascii="Times New Roman" w:hAnsi="Times New Roman" w:cs="Times New Roman"/>
        </w:rPr>
        <w:t>aggregáció</w:t>
      </w:r>
      <w:r w:rsidR="00C6195A">
        <w:rPr>
          <w:rFonts w:ascii="Times New Roman" w:hAnsi="Times New Roman" w:cs="Times New Roman"/>
        </w:rPr>
        <w:t>-</w:t>
      </w:r>
      <w:r w:rsidR="00E53F9D" w:rsidRPr="00D96B72">
        <w:rPr>
          <w:rFonts w:ascii="Times New Roman" w:hAnsi="Times New Roman" w:cs="Times New Roman"/>
        </w:rPr>
        <w:t>gátló hatását.</w:t>
      </w:r>
    </w:p>
    <w:p w14:paraId="471E1F9A" w14:textId="151FA0A9" w:rsidR="00284510" w:rsidRPr="00D96B72" w:rsidRDefault="0028451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  <w:bCs/>
        </w:rPr>
        <w:t xml:space="preserve">Az ilyen adatok korlátozott száma, valamint az </w:t>
      </w:r>
      <w:r w:rsidRPr="00D96B72">
        <w:rPr>
          <w:rFonts w:ascii="Times New Roman" w:hAnsi="Times New Roman" w:cs="Times New Roman"/>
          <w:bCs/>
          <w:i/>
        </w:rPr>
        <w:t>ex vivo</w:t>
      </w:r>
      <w:r w:rsidRPr="00D96B72">
        <w:rPr>
          <w:rFonts w:ascii="Times New Roman" w:hAnsi="Times New Roman" w:cs="Times New Roman"/>
          <w:bCs/>
        </w:rPr>
        <w:t xml:space="preserve"> eredmények klinikai helyzetekre való extrapolálhatóságával kapcsolatos bizonytalanságok azonban azt jelzik, hogy nem vonható le határozott következtetés a rendszeres ibuprofén alkalmazással kapcsolatosan, továbbá nem tartható valószínűnek, hogy az alkalmanként szedett ibuprofén klinikailag jelentős hatást fejtene ki</w:t>
      </w:r>
      <w:r w:rsidR="006C59E8" w:rsidRPr="00D96B72">
        <w:rPr>
          <w:rFonts w:ascii="Times New Roman" w:hAnsi="Times New Roman" w:cs="Times New Roman"/>
          <w:bCs/>
        </w:rPr>
        <w:t>.</w:t>
      </w:r>
    </w:p>
    <w:p w14:paraId="1ECB263C" w14:textId="6BDCE133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 xml:space="preserve">Néhány nem-szteroid gyulladáscsökkentővel, mint az ibuprofén vagy a naproxén, történő kezelésnél, a fokozott </w:t>
      </w:r>
      <w:r w:rsidR="00C6195A">
        <w:rPr>
          <w:rFonts w:ascii="Times New Roman" w:hAnsi="Times New Roman" w:cs="Times New Roman"/>
        </w:rPr>
        <w:t>k</w:t>
      </w:r>
      <w:r w:rsidRPr="00D96B72">
        <w:rPr>
          <w:rFonts w:ascii="Times New Roman" w:hAnsi="Times New Roman" w:cs="Times New Roman"/>
        </w:rPr>
        <w:t>ardivas</w:t>
      </w:r>
      <w:r w:rsidR="00C6195A">
        <w:rPr>
          <w:rFonts w:ascii="Times New Roman" w:hAnsi="Times New Roman" w:cs="Times New Roman"/>
        </w:rPr>
        <w:t>zk</w:t>
      </w:r>
      <w:r w:rsidRPr="00D96B72">
        <w:rPr>
          <w:rFonts w:ascii="Times New Roman" w:hAnsi="Times New Roman" w:cs="Times New Roman"/>
        </w:rPr>
        <w:t>ul</w:t>
      </w:r>
      <w:r w:rsidR="00C6195A">
        <w:rPr>
          <w:rFonts w:ascii="Times New Roman" w:hAnsi="Times New Roman" w:cs="Times New Roman"/>
        </w:rPr>
        <w:t>á</w:t>
      </w:r>
      <w:r w:rsidRPr="00D96B72">
        <w:rPr>
          <w:rFonts w:ascii="Times New Roman" w:hAnsi="Times New Roman" w:cs="Times New Roman"/>
        </w:rPr>
        <w:t xml:space="preserve">ris kockázattal rendelkező betegek esetében csökkenhet az acetilszalicilsav </w:t>
      </w:r>
      <w:r w:rsidR="00C6195A">
        <w:rPr>
          <w:rFonts w:ascii="Times New Roman" w:hAnsi="Times New Roman" w:cs="Times New Roman"/>
        </w:rPr>
        <w:t>k</w:t>
      </w:r>
      <w:r w:rsidR="00C6195A" w:rsidRPr="00D96B72">
        <w:rPr>
          <w:rFonts w:ascii="Times New Roman" w:hAnsi="Times New Roman" w:cs="Times New Roman"/>
        </w:rPr>
        <w:t>ardivas</w:t>
      </w:r>
      <w:r w:rsidR="00C6195A">
        <w:rPr>
          <w:rFonts w:ascii="Times New Roman" w:hAnsi="Times New Roman" w:cs="Times New Roman"/>
        </w:rPr>
        <w:t>zk</w:t>
      </w:r>
      <w:r w:rsidR="00C6195A" w:rsidRPr="00D96B72">
        <w:rPr>
          <w:rFonts w:ascii="Times New Roman" w:hAnsi="Times New Roman" w:cs="Times New Roman"/>
        </w:rPr>
        <w:t>ul</w:t>
      </w:r>
      <w:r w:rsidR="00C6195A">
        <w:rPr>
          <w:rFonts w:ascii="Times New Roman" w:hAnsi="Times New Roman" w:cs="Times New Roman"/>
        </w:rPr>
        <w:t>á</w:t>
      </w:r>
      <w:r w:rsidR="00C6195A" w:rsidRPr="00D96B72">
        <w:rPr>
          <w:rFonts w:ascii="Times New Roman" w:hAnsi="Times New Roman" w:cs="Times New Roman"/>
        </w:rPr>
        <w:t>ris</w:t>
      </w:r>
      <w:r w:rsidR="00C6195A" w:rsidRPr="00D96B72" w:rsidDel="00C6195A">
        <w:rPr>
          <w:rFonts w:ascii="Times New Roman" w:hAnsi="Times New Roman" w:cs="Times New Roman"/>
        </w:rPr>
        <w:t xml:space="preserve"> </w:t>
      </w:r>
      <w:r w:rsidRPr="00D96B72">
        <w:rPr>
          <w:rFonts w:ascii="Times New Roman" w:hAnsi="Times New Roman" w:cs="Times New Roman"/>
        </w:rPr>
        <w:t>védő hatása (lásd 4.4</w:t>
      </w:r>
      <w:r w:rsidR="0075248D" w:rsidRPr="00D96B72">
        <w:rPr>
          <w:rFonts w:ascii="Times New Roman" w:hAnsi="Times New Roman" w:cs="Times New Roman"/>
        </w:rPr>
        <w:t xml:space="preserve"> és 5.1</w:t>
      </w:r>
      <w:r w:rsidRPr="00D96B72">
        <w:rPr>
          <w:rFonts w:ascii="Times New Roman" w:hAnsi="Times New Roman" w:cs="Times New Roman"/>
        </w:rPr>
        <w:t> pont).</w:t>
      </w:r>
    </w:p>
    <w:p w14:paraId="3E51D80B" w14:textId="08D68033" w:rsidR="002A6913" w:rsidRPr="00D96B72" w:rsidRDefault="002A691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D04C271" w14:textId="35C07564" w:rsidR="002A6913" w:rsidRPr="00D96B72" w:rsidRDefault="002A6913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 xml:space="preserve">Egyéb nem-szteroid </w:t>
      </w:r>
      <w:r w:rsidRPr="00D96B72">
        <w:rPr>
          <w:rFonts w:ascii="Times New Roman" w:hAnsi="Times New Roman" w:cs="Times New Roman"/>
          <w:b/>
          <w:bCs/>
        </w:rPr>
        <w:t xml:space="preserve">fájdalomcsillapítók, </w:t>
      </w:r>
      <w:r w:rsidRPr="00D96B72">
        <w:rPr>
          <w:rFonts w:ascii="Times New Roman" w:hAnsi="Times New Roman" w:cs="Times New Roman"/>
          <w:b/>
        </w:rPr>
        <w:t xml:space="preserve">gyulladáscsökkentők és antireumatikumok általában, </w:t>
      </w:r>
      <w:r w:rsidR="00B53058" w:rsidRPr="00F64BAD">
        <w:rPr>
          <w:rFonts w:ascii="Times New Roman" w:hAnsi="Times New Roman" w:cs="Times New Roman"/>
          <w:b/>
        </w:rPr>
        <w:t>nagyo</w:t>
      </w:r>
      <w:r w:rsidRPr="00D96B72">
        <w:rPr>
          <w:rFonts w:ascii="Times New Roman" w:hAnsi="Times New Roman" w:cs="Times New Roman"/>
          <w:b/>
        </w:rPr>
        <w:t>bb dózisú szalicilátok együttes alkalmazása (</w:t>
      </w:r>
      <w:r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Pr="00D96B72">
        <w:rPr>
          <w:rFonts w:ascii="Times New Roman" w:hAnsi="Times New Roman" w:cs="Times New Roman"/>
          <w:b/>
        </w:rPr>
        <w:t>)</w:t>
      </w:r>
    </w:p>
    <w:p w14:paraId="4AA43A33" w14:textId="13B85E70" w:rsidR="002A6913" w:rsidRPr="00D96B72" w:rsidRDefault="002A6913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 xml:space="preserve">A szinergia miatt megnőhet a fekélyek kialakulásának és a 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Pr="00D96B72">
        <w:rPr>
          <w:rFonts w:ascii="Times New Roman" w:hAnsi="Times New Roman" w:cs="Times New Roman"/>
        </w:rPr>
        <w:t xml:space="preserve"> vérzéseknek a kockázata.</w:t>
      </w:r>
    </w:p>
    <w:p w14:paraId="30B640DC" w14:textId="7A19D064" w:rsidR="00284510" w:rsidRPr="00D96B72" w:rsidRDefault="0028451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3B2BDEE8" w14:textId="2C90515D" w:rsidR="00812AFB" w:rsidRPr="00F64BAD" w:rsidRDefault="00E53F9D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D96B72">
        <w:rPr>
          <w:rFonts w:ascii="Times New Roman" w:hAnsi="Times New Roman" w:cs="Times New Roman"/>
          <w:b/>
          <w:bCs/>
        </w:rPr>
        <w:t>Metamizol</w:t>
      </w:r>
      <w:r w:rsidR="00A053BF" w:rsidRPr="00D96B72">
        <w:rPr>
          <w:rFonts w:ascii="Times New Roman" w:hAnsi="Times New Roman" w:cs="Times New Roman"/>
          <w:b/>
          <w:bCs/>
        </w:rPr>
        <w:t xml:space="preserve"> </w:t>
      </w:r>
      <w:r w:rsidR="005E3C95" w:rsidRPr="00D96B72">
        <w:rPr>
          <w:rFonts w:ascii="Times New Roman" w:hAnsi="Times New Roman" w:cs="Times New Roman"/>
          <w:b/>
        </w:rPr>
        <w:t>(hatásgyengülés)</w:t>
      </w:r>
    </w:p>
    <w:p w14:paraId="6878F34D" w14:textId="0DD34C3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 metamizol csökkentheti az acetilszalicilsavnak a vérlemezke-aggregációra gyakorolt hatását, ha egyidejűleg veszik be. Ezért ezt a gyógyszert óvatosan kell alkalmazni azoknál a betegeknél, akik kardioprotektív céllal kis dózisban acetilszalicilsavat szednek.</w:t>
      </w:r>
    </w:p>
    <w:p w14:paraId="031ACACF" w14:textId="0B551807" w:rsidR="00E53F9D" w:rsidRPr="00F64BAD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35E32803" w14:textId="65B5A155" w:rsidR="00E53F9D" w:rsidRPr="00D96B72" w:rsidRDefault="00E53F9D" w:rsidP="00D96B72">
      <w:pPr>
        <w:widowControl w:val="0"/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</w:rPr>
        <w:t>Antikoagulánsok, trombol</w:t>
      </w:r>
      <w:r w:rsidR="00686D0F">
        <w:rPr>
          <w:rFonts w:ascii="Times New Roman" w:hAnsi="Times New Roman" w:cs="Times New Roman"/>
          <w:b/>
        </w:rPr>
        <w:t>i</w:t>
      </w:r>
      <w:r w:rsidRPr="00D96B72">
        <w:rPr>
          <w:rFonts w:ascii="Times New Roman" w:hAnsi="Times New Roman" w:cs="Times New Roman"/>
          <w:b/>
        </w:rPr>
        <w:t>ti</w:t>
      </w:r>
      <w:r w:rsidR="00686D0F">
        <w:rPr>
          <w:rFonts w:ascii="Times New Roman" w:hAnsi="Times New Roman" w:cs="Times New Roman"/>
          <w:b/>
        </w:rPr>
        <w:t>k</w:t>
      </w:r>
      <w:r w:rsidRPr="00D96B72">
        <w:rPr>
          <w:rFonts w:ascii="Times New Roman" w:hAnsi="Times New Roman" w:cs="Times New Roman"/>
          <w:b/>
        </w:rPr>
        <w:t>umok, egyéb vérlemezke-aggregációt, hemostasist gátló szerek</w:t>
      </w:r>
      <w:r w:rsidR="0015622C" w:rsidRPr="00D96B72">
        <w:rPr>
          <w:rFonts w:ascii="Times New Roman" w:hAnsi="Times New Roman" w:cs="Times New Roman"/>
          <w:b/>
        </w:rPr>
        <w:t xml:space="preserve">, </w:t>
      </w:r>
      <w:r w:rsidR="0015622C" w:rsidRPr="00D96B72">
        <w:rPr>
          <w:rFonts w:ascii="Times New Roman" w:hAnsi="Times New Roman" w:cs="Times New Roman"/>
          <w:b/>
          <w:bCs/>
          <w:i/>
        </w:rPr>
        <w:t>pl. kumarin, heparin, warfarin</w:t>
      </w:r>
      <w:r w:rsidR="0015622C" w:rsidRPr="00D96B72">
        <w:rPr>
          <w:rFonts w:ascii="Times New Roman" w:hAnsi="Times New Roman" w:cs="Times New Roman"/>
          <w:b/>
          <w:bCs/>
        </w:rPr>
        <w:t xml:space="preserve"> </w:t>
      </w:r>
      <w:r w:rsidR="001D3C93" w:rsidRPr="00D96B72">
        <w:rPr>
          <w:rFonts w:ascii="Times New Roman" w:hAnsi="Times New Roman" w:cs="Times New Roman"/>
          <w:b/>
        </w:rPr>
        <w:t>(</w:t>
      </w:r>
      <w:r w:rsidR="001D3C93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1D3C93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1D3C93" w:rsidRPr="00D96B72">
        <w:rPr>
          <w:rFonts w:ascii="Times New Roman" w:hAnsi="Times New Roman" w:cs="Times New Roman"/>
          <w:b/>
        </w:rPr>
        <w:t>)</w:t>
      </w:r>
    </w:p>
    <w:p w14:paraId="3808B30D" w14:textId="5338BF9E" w:rsidR="00F8655E" w:rsidRPr="00D96B72" w:rsidRDefault="00FB75C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F64BAD">
        <w:rPr>
          <w:rFonts w:ascii="Times New Roman" w:hAnsi="Times New Roman" w:cs="Times New Roman"/>
          <w:bCs/>
        </w:rPr>
        <w:t>A</w:t>
      </w:r>
      <w:r w:rsidR="0015622C" w:rsidRPr="00D96B72">
        <w:rPr>
          <w:rFonts w:ascii="Times New Roman" w:hAnsi="Times New Roman" w:cs="Times New Roman"/>
          <w:bCs/>
        </w:rPr>
        <w:t xml:space="preserve">z acetilszalicilsav megnövelheti a vérzés veszélyét, </w:t>
      </w:r>
      <w:r w:rsidR="003B1E53" w:rsidRPr="00D96B72">
        <w:rPr>
          <w:rFonts w:ascii="Times New Roman" w:hAnsi="Times New Roman" w:cs="Times New Roman"/>
          <w:bCs/>
        </w:rPr>
        <w:t xml:space="preserve">a thrombocyta-funkció gátlása, a duodenalis mucosa sérülése és az orális antikoagulánsok plazmafehérje kötődési helyeiből való kiszorítása miatt, </w:t>
      </w:r>
      <w:r w:rsidR="0015622C" w:rsidRPr="00D96B72">
        <w:rPr>
          <w:rFonts w:ascii="Times New Roman" w:hAnsi="Times New Roman" w:cs="Times New Roman"/>
          <w:bCs/>
        </w:rPr>
        <w:t>amennyiben trombolitikus kezelés előtt alkalmazzák. A trombolitikus kezelésben részesülő betegeket ezért fokozottan kell ellenőrizni a külső vagy belső vérzés jelei</w:t>
      </w:r>
      <w:r w:rsidR="008132C2">
        <w:rPr>
          <w:rFonts w:ascii="Times New Roman" w:hAnsi="Times New Roman" w:cs="Times New Roman"/>
          <w:bCs/>
        </w:rPr>
        <w:t>nek észlelése érdekében</w:t>
      </w:r>
      <w:r w:rsidR="0015622C" w:rsidRPr="00D96B72">
        <w:rPr>
          <w:rFonts w:ascii="Times New Roman" w:hAnsi="Times New Roman" w:cs="Times New Roman"/>
          <w:bCs/>
        </w:rPr>
        <w:t xml:space="preserve"> (pl. zúzódások esetén)</w:t>
      </w:r>
      <w:r w:rsidR="003B1E53" w:rsidRPr="00D96B72">
        <w:rPr>
          <w:rFonts w:ascii="Times New Roman" w:hAnsi="Times New Roman" w:cs="Times New Roman"/>
          <w:bCs/>
        </w:rPr>
        <w:t xml:space="preserve">. </w:t>
      </w:r>
      <w:r w:rsidR="00F8655E" w:rsidRPr="00D96B72">
        <w:rPr>
          <w:rFonts w:ascii="Times New Roman" w:hAnsi="Times New Roman" w:cs="Times New Roman"/>
          <w:bCs/>
        </w:rPr>
        <w:t>A vérzési időt rendszeresen ellenőrizni kell (lásd 4.4 pont).</w:t>
      </w:r>
    </w:p>
    <w:p w14:paraId="5639F6B3" w14:textId="0A4DF38C" w:rsidR="00F8655E" w:rsidRPr="00D96B72" w:rsidRDefault="00F8655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DE528EB" w14:textId="431BEE49" w:rsidR="00BF749E" w:rsidRPr="00D96B72" w:rsidRDefault="00D5240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D96B72">
        <w:rPr>
          <w:rFonts w:ascii="Times New Roman" w:hAnsi="Times New Roman" w:cs="Times New Roman"/>
          <w:bCs/>
          <w:i/>
        </w:rPr>
        <w:t>Egyes v</w:t>
      </w:r>
      <w:r w:rsidR="00AB5AD8" w:rsidRPr="00D96B72">
        <w:rPr>
          <w:rFonts w:ascii="Times New Roman" w:hAnsi="Times New Roman" w:cs="Times New Roman"/>
          <w:bCs/>
          <w:i/>
        </w:rPr>
        <w:t>érlemezke-aggregációt gátló szerek, pl. ti</w:t>
      </w:r>
      <w:r w:rsidR="005548E3" w:rsidRPr="00F64BAD">
        <w:rPr>
          <w:rFonts w:ascii="Times New Roman" w:hAnsi="Times New Roman" w:cs="Times New Roman"/>
          <w:bCs/>
          <w:i/>
        </w:rPr>
        <w:t>k</w:t>
      </w:r>
      <w:r w:rsidR="00AB5AD8" w:rsidRPr="00D96B72">
        <w:rPr>
          <w:rFonts w:ascii="Times New Roman" w:hAnsi="Times New Roman" w:cs="Times New Roman"/>
          <w:bCs/>
          <w:i/>
        </w:rPr>
        <w:t>lopidin, klopidogrel</w:t>
      </w:r>
      <w:r w:rsidR="00AE3815" w:rsidRPr="00D96B72">
        <w:rPr>
          <w:rFonts w:ascii="Times New Roman" w:hAnsi="Times New Roman" w:cs="Times New Roman"/>
          <w:bCs/>
          <w:i/>
        </w:rPr>
        <w:t xml:space="preserve"> és dipiridamol</w:t>
      </w:r>
      <w:r w:rsidR="00AB5AD8" w:rsidRPr="00D96B72">
        <w:rPr>
          <w:rFonts w:ascii="Times New Roman" w:hAnsi="Times New Roman" w:cs="Times New Roman"/>
          <w:bCs/>
          <w:i/>
        </w:rPr>
        <w:t>: elnyújthatják a véralvadási időt.</w:t>
      </w:r>
      <w:r w:rsidR="00AE3815" w:rsidRPr="00D96B72">
        <w:rPr>
          <w:rFonts w:ascii="Times New Roman" w:hAnsi="Times New Roman" w:cs="Times New Roman"/>
          <w:bCs/>
          <w:i/>
        </w:rPr>
        <w:t xml:space="preserve"> </w:t>
      </w:r>
      <w:r w:rsidR="00BF749E" w:rsidRPr="00D96B72">
        <w:rPr>
          <w:rFonts w:ascii="Times New Roman" w:hAnsi="Times New Roman" w:cs="Times New Roman"/>
          <w:bCs/>
        </w:rPr>
        <w:t>Fokozott a gas</w:t>
      </w:r>
      <w:r w:rsidR="00686D0F">
        <w:rPr>
          <w:rFonts w:ascii="Times New Roman" w:hAnsi="Times New Roman" w:cs="Times New Roman"/>
          <w:bCs/>
        </w:rPr>
        <w:t>z</w:t>
      </w:r>
      <w:r w:rsidR="00BF749E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BF749E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BF749E" w:rsidRPr="00D96B72">
        <w:rPr>
          <w:rFonts w:ascii="Times New Roman" w:hAnsi="Times New Roman" w:cs="Times New Roman"/>
          <w:bCs/>
        </w:rPr>
        <w:t>lis vérzés kockázata</w:t>
      </w:r>
      <w:r w:rsidR="008F1819" w:rsidRPr="00D96B72">
        <w:rPr>
          <w:rFonts w:ascii="Times New Roman" w:hAnsi="Times New Roman" w:cs="Times New Roman"/>
          <w:bCs/>
        </w:rPr>
        <w:t xml:space="preserve"> a lehetséges szinergia miatt</w:t>
      </w:r>
      <w:r w:rsidR="00BF749E" w:rsidRPr="00D96B72">
        <w:rPr>
          <w:rFonts w:ascii="Times New Roman" w:hAnsi="Times New Roman" w:cs="Times New Roman"/>
          <w:bCs/>
        </w:rPr>
        <w:t xml:space="preserve"> (lásd 4.4 pont).</w:t>
      </w:r>
    </w:p>
    <w:p w14:paraId="6B84F003" w14:textId="77777777" w:rsidR="00BF749E" w:rsidRPr="00D96B72" w:rsidRDefault="00BF749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3DE14EB" w14:textId="4DEB2668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D96B72">
        <w:rPr>
          <w:rFonts w:ascii="Times New Roman" w:hAnsi="Times New Roman" w:cs="Times New Roman"/>
          <w:b/>
        </w:rPr>
        <w:t>Szelektív szerotonin-visszavétel-gátlók (SSRI)</w:t>
      </w:r>
      <w:r w:rsidR="007635AA" w:rsidRPr="00D96B72">
        <w:rPr>
          <w:rFonts w:ascii="Times New Roman" w:hAnsi="Times New Roman" w:cs="Times New Roman"/>
          <w:bCs/>
          <w:i/>
        </w:rPr>
        <w:t xml:space="preserve"> </w:t>
      </w:r>
      <w:r w:rsidR="007635AA" w:rsidRPr="00D96B72">
        <w:rPr>
          <w:rFonts w:ascii="Times New Roman" w:hAnsi="Times New Roman" w:cs="Times New Roman"/>
          <w:b/>
          <w:bCs/>
          <w:i/>
        </w:rPr>
        <w:t>mint amilyen a szertralin vagy paroxetin</w:t>
      </w:r>
      <w:r w:rsidR="00425586" w:rsidRPr="00D96B72">
        <w:rPr>
          <w:rFonts w:ascii="Times New Roman" w:hAnsi="Times New Roman" w:cs="Times New Roman"/>
          <w:b/>
          <w:bCs/>
          <w:i/>
        </w:rPr>
        <w:t xml:space="preserve"> </w:t>
      </w:r>
      <w:r w:rsidR="00451A82" w:rsidRPr="00D96B72">
        <w:rPr>
          <w:rFonts w:ascii="Times New Roman" w:hAnsi="Times New Roman" w:cs="Times New Roman"/>
          <w:b/>
          <w:bCs/>
          <w:i/>
        </w:rPr>
        <w:t>(</w:t>
      </w:r>
      <w:r w:rsidR="00425586" w:rsidRPr="00D96B72">
        <w:rPr>
          <w:rFonts w:ascii="Times New Roman" w:hAnsi="Times New Roman" w:cs="Times New Roman"/>
          <w:b/>
          <w:bCs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bCs/>
          <w:i/>
          <w:iCs/>
        </w:rPr>
        <w:t>kockázat</w:t>
      </w:r>
      <w:r w:rsidR="00425586" w:rsidRPr="00D96B72">
        <w:rPr>
          <w:rFonts w:ascii="Times New Roman" w:hAnsi="Times New Roman" w:cs="Times New Roman"/>
          <w:b/>
          <w:bCs/>
          <w:i/>
          <w:iCs/>
        </w:rPr>
        <w:t>ának növekedésével járó megnövekedett hatás</w:t>
      </w:r>
      <w:r w:rsidR="00451A82" w:rsidRPr="00D96B72">
        <w:rPr>
          <w:rFonts w:ascii="Times New Roman" w:hAnsi="Times New Roman" w:cs="Times New Roman"/>
          <w:b/>
          <w:bCs/>
          <w:i/>
          <w:iCs/>
        </w:rPr>
        <w:t>)</w:t>
      </w:r>
    </w:p>
    <w:p w14:paraId="69D5392F" w14:textId="219130DA" w:rsidR="00E53F9D" w:rsidRPr="00D96B72" w:rsidRDefault="008132C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E82D8A" w:rsidRPr="00D96B72">
        <w:rPr>
          <w:rFonts w:ascii="Times New Roman" w:hAnsi="Times New Roman" w:cs="Times New Roman"/>
        </w:rPr>
        <w:t xml:space="preserve">lnyújthatják a véralvadási időt. </w:t>
      </w:r>
      <w:r w:rsidR="00E53F9D" w:rsidRPr="00D96B72">
        <w:rPr>
          <w:rFonts w:ascii="Times New Roman" w:hAnsi="Times New Roman" w:cs="Times New Roman"/>
        </w:rPr>
        <w:t>Megnőhet a felső-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="00686D0F" w:rsidRPr="00D96B72" w:rsidDel="00686D0F">
        <w:rPr>
          <w:rFonts w:ascii="Times New Roman" w:hAnsi="Times New Roman" w:cs="Times New Roman"/>
        </w:rPr>
        <w:t xml:space="preserve"> </w:t>
      </w:r>
      <w:r w:rsidR="00E53F9D" w:rsidRPr="00D96B72">
        <w:rPr>
          <w:rFonts w:ascii="Times New Roman" w:hAnsi="Times New Roman" w:cs="Times New Roman"/>
        </w:rPr>
        <w:t>vérzések kockázata, a lehetséges szinergia miatt.</w:t>
      </w:r>
    </w:p>
    <w:p w14:paraId="33FFBAA8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4A89F29" w14:textId="116636F4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Digoxin</w:t>
      </w:r>
      <w:r w:rsidR="00E050F0" w:rsidRPr="00D96B72">
        <w:rPr>
          <w:rFonts w:ascii="Times New Roman" w:hAnsi="Times New Roman" w:cs="Times New Roman"/>
          <w:b/>
        </w:rPr>
        <w:t xml:space="preserve"> </w:t>
      </w:r>
      <w:r w:rsidR="008B086C" w:rsidRPr="00D96B72">
        <w:rPr>
          <w:rFonts w:ascii="Times New Roman" w:hAnsi="Times New Roman" w:cs="Times New Roman"/>
          <w:b/>
        </w:rPr>
        <w:t>(</w:t>
      </w:r>
      <w:r w:rsidR="00E050F0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E050F0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8B086C" w:rsidRPr="00D96B72">
        <w:rPr>
          <w:rFonts w:ascii="Times New Roman" w:hAnsi="Times New Roman" w:cs="Times New Roman"/>
          <w:b/>
          <w:i/>
          <w:iCs/>
        </w:rPr>
        <w:t>)</w:t>
      </w:r>
    </w:p>
    <w:p w14:paraId="03EEE9D3" w14:textId="5A0BD5DD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A vesekiválasztás csökkenése következt</w:t>
      </w:r>
      <w:r w:rsidR="009C3185" w:rsidRPr="00D96B72">
        <w:rPr>
          <w:rFonts w:ascii="Times New Roman" w:hAnsi="Times New Roman" w:cs="Times New Roman"/>
        </w:rPr>
        <w:t>ében megnőhet a digoxin plazmako</w:t>
      </w:r>
      <w:r w:rsidRPr="00D96B72">
        <w:rPr>
          <w:rFonts w:ascii="Times New Roman" w:hAnsi="Times New Roman" w:cs="Times New Roman"/>
        </w:rPr>
        <w:t>ncentrációja.</w:t>
      </w:r>
      <w:r w:rsidR="009C3185" w:rsidRPr="00D96B72">
        <w:rPr>
          <w:rFonts w:ascii="Times New Roman" w:hAnsi="Times New Roman" w:cs="Times New Roman"/>
        </w:rPr>
        <w:t xml:space="preserve"> </w:t>
      </w:r>
      <w:r w:rsidR="005548E3" w:rsidRPr="00F64BAD">
        <w:rPr>
          <w:rFonts w:ascii="Times New Roman" w:hAnsi="Times New Roman" w:cs="Times New Roman"/>
        </w:rPr>
        <w:t>A d</w:t>
      </w:r>
      <w:r w:rsidR="009C3185" w:rsidRPr="00D96B72">
        <w:rPr>
          <w:rFonts w:ascii="Times New Roman" w:hAnsi="Times New Roman" w:cs="Times New Roman"/>
        </w:rPr>
        <w:t>igoxin plazmakoncentrációjának monitorozása javasolt.</w:t>
      </w:r>
    </w:p>
    <w:p w14:paraId="7F8CF5ED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DC380BA" w14:textId="33D47A1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Lítium és barbiturátok</w:t>
      </w:r>
    </w:p>
    <w:p w14:paraId="302E54AF" w14:textId="5F49F490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Megnőhet a lítium és barbiturátok koncentrációja.</w:t>
      </w:r>
    </w:p>
    <w:p w14:paraId="59DDAFA8" w14:textId="795C998C" w:rsidR="009B17B9" w:rsidRPr="00D96B72" w:rsidRDefault="009B17B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Az acetilszalicilsav</w:t>
      </w:r>
      <w:r w:rsidRPr="00D96B72">
        <w:rPr>
          <w:rFonts w:ascii="Times New Roman" w:hAnsi="Times New Roman" w:cs="Times New Roman"/>
          <w:bCs/>
        </w:rPr>
        <w:noBreakHyphen/>
        <w:t xml:space="preserve">kezelés elkezdésekor és befejezésekor javasolt </w:t>
      </w:r>
      <w:r w:rsidR="00355F06" w:rsidRPr="00906E75">
        <w:rPr>
          <w:rFonts w:ascii="Times New Roman" w:hAnsi="Times New Roman" w:cs="Times New Roman"/>
          <w:bCs/>
        </w:rPr>
        <w:t>a</w:t>
      </w:r>
      <w:r w:rsidRPr="00D96B72">
        <w:rPr>
          <w:rFonts w:ascii="Times New Roman" w:hAnsi="Times New Roman" w:cs="Times New Roman"/>
          <w:bCs/>
        </w:rPr>
        <w:t xml:space="preserve"> lítium plazmakoncentrációk monitorozása. Szükség lehet a dózis módosítására is.</w:t>
      </w:r>
    </w:p>
    <w:p w14:paraId="7C7393BD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8F7B583" w14:textId="4C9806E9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Antidiabetikumok, pl. inzulin, szulfonilureák</w:t>
      </w:r>
      <w:r w:rsidR="00FC51AF" w:rsidRPr="00D96B72">
        <w:rPr>
          <w:rFonts w:ascii="Times New Roman" w:hAnsi="Times New Roman" w:cs="Times New Roman"/>
          <w:b/>
        </w:rPr>
        <w:t xml:space="preserve"> </w:t>
      </w:r>
      <w:r w:rsidR="003047E2" w:rsidRPr="00D96B72">
        <w:rPr>
          <w:rFonts w:ascii="Times New Roman" w:hAnsi="Times New Roman" w:cs="Times New Roman"/>
          <w:b/>
        </w:rPr>
        <w:t>(</w:t>
      </w:r>
      <w:r w:rsidR="00FC51AF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FC51AF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3047E2" w:rsidRPr="00D96B72">
        <w:rPr>
          <w:rFonts w:ascii="Times New Roman" w:hAnsi="Times New Roman" w:cs="Times New Roman"/>
          <w:b/>
          <w:i/>
          <w:iCs/>
        </w:rPr>
        <w:t>)</w:t>
      </w:r>
    </w:p>
    <w:p w14:paraId="51FB6C88" w14:textId="296A836D" w:rsidR="00E53F9D" w:rsidRPr="00D96B72" w:rsidRDefault="00FC51A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A</w:t>
      </w:r>
      <w:r w:rsidR="00E53F9D" w:rsidRPr="00D96B72">
        <w:rPr>
          <w:rFonts w:ascii="Times New Roman" w:hAnsi="Times New Roman" w:cs="Times New Roman"/>
        </w:rPr>
        <w:t>cetilszalicilsav-kezelés következtében megnőhet a hypo</w:t>
      </w:r>
      <w:r w:rsidR="00983C42">
        <w:rPr>
          <w:rFonts w:ascii="Times New Roman" w:hAnsi="Times New Roman" w:cs="Times New Roman"/>
        </w:rPr>
        <w:t>glyk</w:t>
      </w:r>
      <w:r w:rsidR="00E53F9D" w:rsidRPr="00D96B72">
        <w:rPr>
          <w:rFonts w:ascii="Times New Roman" w:hAnsi="Times New Roman" w:cs="Times New Roman"/>
        </w:rPr>
        <w:t>aemiát okozó hatás (az acetilszalicilsav hypo</w:t>
      </w:r>
      <w:r w:rsidR="00983C42">
        <w:rPr>
          <w:rFonts w:ascii="Times New Roman" w:hAnsi="Times New Roman" w:cs="Times New Roman"/>
        </w:rPr>
        <w:t>glyk</w:t>
      </w:r>
      <w:r w:rsidR="00E53F9D" w:rsidRPr="00D96B72">
        <w:rPr>
          <w:rFonts w:ascii="Times New Roman" w:hAnsi="Times New Roman" w:cs="Times New Roman"/>
        </w:rPr>
        <w:t>aemiát okoz a szulfonilurea plazmafehérje-kötőhelyéről történő leszorítása miatt).</w:t>
      </w:r>
    </w:p>
    <w:p w14:paraId="357F86AE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85EA2EA" w14:textId="6CE64A82" w:rsidR="00E53F9D" w:rsidRPr="00D96B72" w:rsidRDefault="005548E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64BAD">
        <w:rPr>
          <w:rFonts w:ascii="Times New Roman" w:hAnsi="Times New Roman" w:cs="Times New Roman"/>
          <w:b/>
        </w:rPr>
        <w:t>Nagy</w:t>
      </w:r>
      <w:r w:rsidR="00E53F9D" w:rsidRPr="00D96B72">
        <w:rPr>
          <w:rFonts w:ascii="Times New Roman" w:hAnsi="Times New Roman" w:cs="Times New Roman"/>
          <w:b/>
        </w:rPr>
        <w:t xml:space="preserve"> dózisú acetilszalicilsav-kezeléssel egyidejűleg alkalmazott diuretikumok</w:t>
      </w:r>
    </w:p>
    <w:p w14:paraId="619CE5D0" w14:textId="7640B86C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Csökken a glomerul</w:t>
      </w:r>
      <w:r w:rsidR="00472903">
        <w:rPr>
          <w:rFonts w:ascii="Times New Roman" w:hAnsi="Times New Roman" w:cs="Times New Roman"/>
        </w:rPr>
        <w:t>us</w:t>
      </w:r>
      <w:r w:rsidRPr="00D96B72">
        <w:rPr>
          <w:rFonts w:ascii="Times New Roman" w:hAnsi="Times New Roman" w:cs="Times New Roman"/>
        </w:rPr>
        <w:t>filtráció a csökkent prosztaglandin-termelés következtében.</w:t>
      </w:r>
    </w:p>
    <w:p w14:paraId="5B2951AD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C4611C6" w14:textId="59C55722" w:rsidR="005A04B8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>Szisztémiás glükokortikoidok (kivéve az Addison-kórban hormonpótlásként alkalmazott hidrokortizont)</w:t>
      </w:r>
      <w:r w:rsidR="005A04B8" w:rsidRPr="00D96B72">
        <w:rPr>
          <w:rFonts w:ascii="Times New Roman" w:hAnsi="Times New Roman" w:cs="Times New Roman"/>
          <w:b/>
        </w:rPr>
        <w:t xml:space="preserve"> </w:t>
      </w:r>
      <w:r w:rsidR="00381113" w:rsidRPr="00D96B72">
        <w:rPr>
          <w:rFonts w:ascii="Times New Roman" w:hAnsi="Times New Roman" w:cs="Times New Roman"/>
          <w:b/>
        </w:rPr>
        <w:t>(</w:t>
      </w:r>
      <w:r w:rsidR="005A04B8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5A04B8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381113" w:rsidRPr="00D96B72">
        <w:rPr>
          <w:rFonts w:ascii="Times New Roman" w:hAnsi="Times New Roman" w:cs="Times New Roman"/>
          <w:b/>
          <w:i/>
          <w:iCs/>
        </w:rPr>
        <w:t>)</w:t>
      </w:r>
    </w:p>
    <w:p w14:paraId="3C51DEF2" w14:textId="52C85F7E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</w:rPr>
        <w:t>Kortikoszteroid-kezelés alatt csökkenhet a vér szalicilát-szintje; a kortikoszteroid-kezelés befejezését követően nő az esélye a szalicilát-túladagolásnak.</w:t>
      </w:r>
    </w:p>
    <w:p w14:paraId="74207057" w14:textId="39613CB8" w:rsidR="00AE599C" w:rsidRPr="00D96B72" w:rsidRDefault="00AE599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Acetilszalicilsav és kortikoszteroidok együttes alkalmazásakor fokozódhat a gastrointestinalis ulceratio és vérzés kockázata (lásd 4.4 pont).</w:t>
      </w:r>
    </w:p>
    <w:p w14:paraId="5AE53035" w14:textId="77777777" w:rsidR="00AE599C" w:rsidRPr="00D96B72" w:rsidRDefault="00AE599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EF641A" w14:textId="33BF3F4C" w:rsidR="00E53F9D" w:rsidRPr="00D96B72" w:rsidRDefault="005548E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64BAD">
        <w:rPr>
          <w:rFonts w:ascii="Times New Roman" w:hAnsi="Times New Roman" w:cs="Times New Roman"/>
          <w:b/>
        </w:rPr>
        <w:t>Nagy</w:t>
      </w:r>
      <w:r w:rsidR="00E53F9D" w:rsidRPr="00D96B72">
        <w:rPr>
          <w:rFonts w:ascii="Times New Roman" w:hAnsi="Times New Roman" w:cs="Times New Roman"/>
          <w:b/>
        </w:rPr>
        <w:t xml:space="preserve"> dózisú acetilszalicilsav-kezeléssel egyidejűleg alkalmazott angiotenzin-konvertáló enzim gátlók (ACE</w:t>
      </w:r>
      <w:r w:rsidR="00E53F9D" w:rsidRPr="00D96B72">
        <w:rPr>
          <w:rFonts w:ascii="Times New Roman" w:hAnsi="Times New Roman" w:cs="Times New Roman"/>
          <w:b/>
        </w:rPr>
        <w:noBreakHyphen/>
        <w:t>inhibitorok)</w:t>
      </w:r>
    </w:p>
    <w:p w14:paraId="18E0184F" w14:textId="2BF0008B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A vazodilatátor prosztaglandinok gátlása következtében csökkenhet a glomerul</w:t>
      </w:r>
      <w:r w:rsidR="00472903">
        <w:rPr>
          <w:rFonts w:ascii="Times New Roman" w:hAnsi="Times New Roman" w:cs="Times New Roman"/>
        </w:rPr>
        <w:t>us</w:t>
      </w:r>
      <w:r w:rsidRPr="00D96B72">
        <w:rPr>
          <w:rFonts w:ascii="Times New Roman" w:hAnsi="Times New Roman" w:cs="Times New Roman"/>
        </w:rPr>
        <w:t>filtráció, továbbá csökkenhet a vérnyomáscsökkentő hatás.</w:t>
      </w:r>
    </w:p>
    <w:p w14:paraId="0CA7A3F6" w14:textId="65386EFE" w:rsidR="008E2DA3" w:rsidRPr="00D96B72" w:rsidRDefault="008E2D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FBF5DB" w14:textId="77777777" w:rsidR="008E2DA3" w:rsidRPr="00D96B72" w:rsidRDefault="008E2D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  <w:bCs/>
        </w:rPr>
        <w:t>Diuretikumok és vérnyomáscsökkentők</w:t>
      </w:r>
    </w:p>
    <w:p w14:paraId="221382BD" w14:textId="4AEC179C" w:rsidR="008E2DA3" w:rsidRPr="00D96B72" w:rsidRDefault="008E2D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</w:t>
      </w:r>
      <w:r w:rsidR="005548E3" w:rsidRPr="00F64BAD">
        <w:rPr>
          <w:rFonts w:ascii="Times New Roman" w:hAnsi="Times New Roman" w:cs="Times New Roman"/>
          <w:bCs/>
        </w:rPr>
        <w:t>z</w:t>
      </w:r>
      <w:r w:rsidRPr="00D96B72">
        <w:rPr>
          <w:rFonts w:ascii="Times New Roman" w:hAnsi="Times New Roman" w:cs="Times New Roman"/>
          <w:bCs/>
        </w:rPr>
        <w:t xml:space="preserve"> NSAID</w:t>
      </w:r>
      <w:r w:rsidRPr="00D96B72">
        <w:rPr>
          <w:rFonts w:ascii="Times New Roman" w:hAnsi="Times New Roman" w:cs="Times New Roman"/>
          <w:bCs/>
        </w:rPr>
        <w:noBreakHyphen/>
        <w:t>ok csökkenthetik a diuretikumok és egyéb antihipertenzív szerek vérnyomáscsökkentő hatását. Csakúgy, mint más NSAID</w:t>
      </w:r>
      <w:r w:rsidRPr="00D96B72">
        <w:rPr>
          <w:rFonts w:ascii="Times New Roman" w:hAnsi="Times New Roman" w:cs="Times New Roman"/>
          <w:bCs/>
        </w:rPr>
        <w:noBreakHyphen/>
        <w:t>ok esetében, az ACE</w:t>
      </w:r>
      <w:r w:rsidRPr="00D96B72">
        <w:rPr>
          <w:rFonts w:ascii="Times New Roman" w:hAnsi="Times New Roman" w:cs="Times New Roman"/>
          <w:bCs/>
        </w:rPr>
        <w:noBreakHyphen/>
        <w:t>gátlókkal való egyidejű alkalmazás fokozza az akut veseelégtelenség kockázatát.</w:t>
      </w:r>
    </w:p>
    <w:p w14:paraId="1CD5E4D0" w14:textId="3151B155" w:rsidR="00FD4828" w:rsidRPr="00D96B72" w:rsidRDefault="00324E0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Diuretikumok esetében f</w:t>
      </w:r>
      <w:r w:rsidR="008E2DA3" w:rsidRPr="00D96B72">
        <w:rPr>
          <w:rFonts w:ascii="Times New Roman" w:hAnsi="Times New Roman" w:cs="Times New Roman"/>
          <w:bCs/>
        </w:rPr>
        <w:t>ennáll az akut veseelégtelenség kockázata a csökkent renalis prosztaglandin</w:t>
      </w:r>
      <w:r w:rsidR="008E2DA3" w:rsidRPr="00D96B72">
        <w:rPr>
          <w:rFonts w:ascii="Times New Roman" w:hAnsi="Times New Roman" w:cs="Times New Roman"/>
          <w:bCs/>
        </w:rPr>
        <w:noBreakHyphen/>
        <w:t>szintézis miatt bekövetkező gyengült glomerul</w:t>
      </w:r>
      <w:r w:rsidR="00472903">
        <w:rPr>
          <w:rFonts w:ascii="Times New Roman" w:hAnsi="Times New Roman" w:cs="Times New Roman"/>
          <w:bCs/>
        </w:rPr>
        <w:t>us</w:t>
      </w:r>
      <w:r w:rsidR="008E2DA3" w:rsidRPr="00D96B72">
        <w:rPr>
          <w:rFonts w:ascii="Times New Roman" w:hAnsi="Times New Roman" w:cs="Times New Roman"/>
          <w:bCs/>
        </w:rPr>
        <w:t>filtráció miatt. A kezelés kezdetekor ajánlott a beteg megfelelő hidrálása és a vesefunkció monitorozása</w:t>
      </w:r>
      <w:r w:rsidR="000C04C1" w:rsidRPr="00F64BAD">
        <w:rPr>
          <w:rFonts w:ascii="Times New Roman" w:hAnsi="Times New Roman" w:cs="Times New Roman"/>
          <w:bCs/>
        </w:rPr>
        <w:t>.</w:t>
      </w:r>
    </w:p>
    <w:p w14:paraId="2F956F89" w14:textId="2230BA5B" w:rsidR="00C50F85" w:rsidRPr="00F64BAD" w:rsidRDefault="008C66E6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F64BAD">
        <w:rPr>
          <w:rFonts w:ascii="Times New Roman" w:hAnsi="Times New Roman" w:cs="Times New Roman"/>
          <w:bCs/>
        </w:rPr>
        <w:t>Aldoszteron</w:t>
      </w:r>
      <w:r w:rsidR="005548E3" w:rsidRPr="00F64BAD">
        <w:rPr>
          <w:rFonts w:ascii="Times New Roman" w:hAnsi="Times New Roman" w:cs="Times New Roman"/>
          <w:bCs/>
        </w:rPr>
        <w:t>-</w:t>
      </w:r>
      <w:r w:rsidRPr="00F64BAD">
        <w:rPr>
          <w:rFonts w:ascii="Times New Roman" w:hAnsi="Times New Roman" w:cs="Times New Roman"/>
          <w:bCs/>
        </w:rPr>
        <w:t>antagonisták (spironolakton és kálium</w:t>
      </w:r>
      <w:r w:rsidR="005548E3" w:rsidRPr="00F64BAD">
        <w:rPr>
          <w:rFonts w:ascii="Times New Roman" w:hAnsi="Times New Roman" w:cs="Times New Roman"/>
          <w:bCs/>
        </w:rPr>
        <w:t>-</w:t>
      </w:r>
      <w:r w:rsidRPr="00F64BAD">
        <w:rPr>
          <w:rFonts w:ascii="Times New Roman" w:hAnsi="Times New Roman" w:cs="Times New Roman"/>
          <w:bCs/>
        </w:rPr>
        <w:t>kanrenoát) és kacsdiuretikumok (pl. furos</w:t>
      </w:r>
      <w:r w:rsidR="005548E3" w:rsidRPr="00F64BAD">
        <w:rPr>
          <w:rFonts w:ascii="Times New Roman" w:hAnsi="Times New Roman" w:cs="Times New Roman"/>
          <w:bCs/>
        </w:rPr>
        <w:t>z</w:t>
      </w:r>
      <w:r w:rsidRPr="00F64BAD">
        <w:rPr>
          <w:rFonts w:ascii="Times New Roman" w:hAnsi="Times New Roman" w:cs="Times New Roman"/>
          <w:bCs/>
        </w:rPr>
        <w:t>emid) egyidejű alkalmazá</w:t>
      </w:r>
      <w:r w:rsidR="00F03ABB" w:rsidRPr="00F64BAD">
        <w:rPr>
          <w:rFonts w:ascii="Times New Roman" w:hAnsi="Times New Roman" w:cs="Times New Roman"/>
          <w:bCs/>
        </w:rPr>
        <w:t>sa hatásgyengülést idézhet elő.</w:t>
      </w:r>
    </w:p>
    <w:p w14:paraId="70573530" w14:textId="71FBC02B" w:rsidR="00E70D1D" w:rsidRPr="00D96B72" w:rsidRDefault="00E70D1D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78E54CDD" w14:textId="76B3E2CA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>Valproinsav</w:t>
      </w:r>
      <w:r w:rsidR="000D7A5A" w:rsidRPr="00D96B72">
        <w:rPr>
          <w:rFonts w:ascii="Times New Roman" w:hAnsi="Times New Roman" w:cs="Times New Roman"/>
          <w:b/>
        </w:rPr>
        <w:t xml:space="preserve"> </w:t>
      </w:r>
      <w:r w:rsidR="00C21E21" w:rsidRPr="00D96B72">
        <w:rPr>
          <w:rFonts w:ascii="Times New Roman" w:hAnsi="Times New Roman" w:cs="Times New Roman"/>
          <w:b/>
        </w:rPr>
        <w:t>(</w:t>
      </w:r>
      <w:r w:rsidR="000D7A5A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0D7A5A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C21E21" w:rsidRPr="00D96B72">
        <w:rPr>
          <w:rFonts w:ascii="Times New Roman" w:hAnsi="Times New Roman" w:cs="Times New Roman"/>
          <w:b/>
          <w:i/>
          <w:iCs/>
        </w:rPr>
        <w:t>)</w:t>
      </w:r>
    </w:p>
    <w:p w14:paraId="0FC2A19D" w14:textId="5A28F920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Megnőhet a valproinsav toxicitása a fehérje-kötőhelyekről történő leszorítás miatt.</w:t>
      </w:r>
    </w:p>
    <w:p w14:paraId="38BECA18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A5BCE31" w14:textId="027B0E7C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Alkohol</w:t>
      </w:r>
      <w:r w:rsidR="0016200F" w:rsidRPr="00D96B72">
        <w:rPr>
          <w:rFonts w:ascii="Times New Roman" w:hAnsi="Times New Roman" w:cs="Times New Roman"/>
          <w:b/>
        </w:rPr>
        <w:t xml:space="preserve"> </w:t>
      </w:r>
      <w:r w:rsidR="00B57237" w:rsidRPr="00D96B72">
        <w:rPr>
          <w:rFonts w:ascii="Times New Roman" w:hAnsi="Times New Roman" w:cs="Times New Roman"/>
          <w:b/>
        </w:rPr>
        <w:t>(</w:t>
      </w:r>
      <w:r w:rsidR="0016200F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1B190E" w:rsidRPr="00D96B72">
        <w:rPr>
          <w:rFonts w:ascii="Times New Roman" w:hAnsi="Times New Roman" w:cs="Times New Roman"/>
          <w:b/>
          <w:i/>
          <w:iCs/>
        </w:rPr>
        <w:t>kockázat</w:t>
      </w:r>
      <w:r w:rsidR="0016200F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B57237" w:rsidRPr="00D96B72">
        <w:rPr>
          <w:rFonts w:ascii="Times New Roman" w:hAnsi="Times New Roman" w:cs="Times New Roman"/>
          <w:b/>
          <w:i/>
          <w:iCs/>
        </w:rPr>
        <w:t>)</w:t>
      </w:r>
    </w:p>
    <w:p w14:paraId="7F01EE9C" w14:textId="2D68A9F5" w:rsidR="00E53F9D" w:rsidRPr="00D96B72" w:rsidRDefault="00F20DB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  <w:bCs/>
        </w:rPr>
        <w:t xml:space="preserve">Az acetilszalicilsav alkalmazása alatti alkoholfogyasztás </w:t>
      </w:r>
      <w:r w:rsidRPr="00D96B72">
        <w:rPr>
          <w:rFonts w:ascii="Times New Roman" w:hAnsi="Times New Roman" w:cs="Times New Roman"/>
        </w:rPr>
        <w:t>következtében m</w:t>
      </w:r>
      <w:r w:rsidR="00E53F9D" w:rsidRPr="00D96B72">
        <w:rPr>
          <w:rFonts w:ascii="Times New Roman" w:hAnsi="Times New Roman" w:cs="Times New Roman"/>
        </w:rPr>
        <w:t>egnőhet a gastrointestinalis mucosára gyakorolt káros hatás és hosszabb vérzési idő alakulhat ki az acetilszalicilsav és az alkohol additív hatása miatt.</w:t>
      </w:r>
    </w:p>
    <w:p w14:paraId="63F03609" w14:textId="77777777" w:rsidR="0016200F" w:rsidRPr="00D96B72" w:rsidRDefault="0016200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FF499B" w14:textId="491975B5" w:rsidR="00532D47" w:rsidRPr="00F64BAD" w:rsidRDefault="00E53F9D" w:rsidP="008852EB">
      <w:pPr>
        <w:widowControl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>Húgysavürítő szerek, pl. benzbromaron, proben</w:t>
      </w:r>
      <w:r w:rsidR="005548E3" w:rsidRPr="00F64BAD">
        <w:rPr>
          <w:rFonts w:ascii="Times New Roman" w:hAnsi="Times New Roman" w:cs="Times New Roman"/>
          <w:b/>
        </w:rPr>
        <w:t>e</w:t>
      </w:r>
      <w:r w:rsidRPr="00D96B72">
        <w:rPr>
          <w:rFonts w:ascii="Times New Roman" w:hAnsi="Times New Roman" w:cs="Times New Roman"/>
          <w:b/>
        </w:rPr>
        <w:t>cid</w:t>
      </w:r>
      <w:r w:rsidR="00995120" w:rsidRPr="00D96B72">
        <w:rPr>
          <w:rFonts w:ascii="Times New Roman" w:hAnsi="Times New Roman" w:cs="Times New Roman"/>
          <w:b/>
        </w:rPr>
        <w:t>, s</w:t>
      </w:r>
      <w:r w:rsidR="005548E3" w:rsidRPr="00F64BAD">
        <w:rPr>
          <w:rFonts w:ascii="Times New Roman" w:hAnsi="Times New Roman" w:cs="Times New Roman"/>
          <w:b/>
        </w:rPr>
        <w:t>z</w:t>
      </w:r>
      <w:r w:rsidR="00995120" w:rsidRPr="00D96B72">
        <w:rPr>
          <w:rFonts w:ascii="Times New Roman" w:hAnsi="Times New Roman" w:cs="Times New Roman"/>
          <w:b/>
        </w:rPr>
        <w:t>ul</w:t>
      </w:r>
      <w:r w:rsidR="005548E3" w:rsidRPr="00F64BAD">
        <w:rPr>
          <w:rFonts w:ascii="Times New Roman" w:hAnsi="Times New Roman" w:cs="Times New Roman"/>
          <w:b/>
        </w:rPr>
        <w:t>f</w:t>
      </w:r>
      <w:r w:rsidR="00995120" w:rsidRPr="00D96B72">
        <w:rPr>
          <w:rFonts w:ascii="Times New Roman" w:hAnsi="Times New Roman" w:cs="Times New Roman"/>
          <w:b/>
        </w:rPr>
        <w:t>inp</w:t>
      </w:r>
      <w:r w:rsidR="005548E3" w:rsidRPr="00F64BAD">
        <w:rPr>
          <w:rFonts w:ascii="Times New Roman" w:hAnsi="Times New Roman" w:cs="Times New Roman"/>
          <w:b/>
        </w:rPr>
        <w:t>i</w:t>
      </w:r>
      <w:r w:rsidR="00995120" w:rsidRPr="00D96B72">
        <w:rPr>
          <w:rFonts w:ascii="Times New Roman" w:hAnsi="Times New Roman" w:cs="Times New Roman"/>
          <w:b/>
        </w:rPr>
        <w:t>razon</w:t>
      </w:r>
      <w:r w:rsidR="00532D47" w:rsidRPr="00F64BAD">
        <w:rPr>
          <w:rFonts w:ascii="Times New Roman" w:hAnsi="Times New Roman" w:cs="Times New Roman"/>
          <w:i/>
          <w:iCs/>
        </w:rPr>
        <w:t xml:space="preserve"> </w:t>
      </w:r>
      <w:r w:rsidR="00532D47" w:rsidRPr="00F64BAD">
        <w:rPr>
          <w:rFonts w:ascii="Times New Roman" w:hAnsi="Times New Roman" w:cs="Times New Roman"/>
          <w:b/>
          <w:i/>
          <w:iCs/>
        </w:rPr>
        <w:t>(</w:t>
      </w:r>
      <w:r w:rsidR="005548E3" w:rsidRPr="00F64BAD">
        <w:rPr>
          <w:rFonts w:ascii="Times New Roman" w:hAnsi="Times New Roman" w:cs="Times New Roman"/>
          <w:b/>
          <w:i/>
          <w:iCs/>
        </w:rPr>
        <w:t>h</w:t>
      </w:r>
      <w:r w:rsidR="00532D47" w:rsidRPr="00F64BAD">
        <w:rPr>
          <w:rFonts w:ascii="Times New Roman" w:hAnsi="Times New Roman" w:cs="Times New Roman"/>
          <w:b/>
          <w:i/>
          <w:iCs/>
        </w:rPr>
        <w:t>atásgyengülés)</w:t>
      </w:r>
    </w:p>
    <w:p w14:paraId="0E3F4F2C" w14:textId="260CE5BE" w:rsidR="001E0DDA" w:rsidRPr="00D96B72" w:rsidRDefault="008F610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  <w:bCs/>
        </w:rPr>
        <w:t>A szalicilátok megfordítják a probenecid hatását.</w:t>
      </w:r>
      <w:r w:rsidRPr="00D96B72">
        <w:rPr>
          <w:rFonts w:ascii="Times New Roman" w:hAnsi="Times New Roman" w:cs="Times New Roman"/>
        </w:rPr>
        <w:t xml:space="preserve"> </w:t>
      </w:r>
      <w:r w:rsidR="00E53F9D" w:rsidRPr="00D96B72">
        <w:rPr>
          <w:rFonts w:ascii="Times New Roman" w:hAnsi="Times New Roman" w:cs="Times New Roman"/>
        </w:rPr>
        <w:t>Csökkent húgysavürítő hatás léphet fel a ren</w:t>
      </w:r>
      <w:r w:rsidR="00472903">
        <w:rPr>
          <w:rFonts w:ascii="Times New Roman" w:hAnsi="Times New Roman" w:cs="Times New Roman"/>
        </w:rPr>
        <w:t>á</w:t>
      </w:r>
      <w:r w:rsidR="00E53F9D" w:rsidRPr="00D96B72">
        <w:rPr>
          <w:rFonts w:ascii="Times New Roman" w:hAnsi="Times New Roman" w:cs="Times New Roman"/>
        </w:rPr>
        <w:t>lis tubuláris húgysav-kiválasztás kompetíciója miatt</w:t>
      </w:r>
      <w:r w:rsidR="005548E3" w:rsidRPr="00F64BAD">
        <w:rPr>
          <w:rFonts w:ascii="Times New Roman" w:hAnsi="Times New Roman" w:cs="Times New Roman"/>
        </w:rPr>
        <w:t xml:space="preserve"> </w:t>
      </w:r>
      <w:r w:rsidR="00995120" w:rsidRPr="00D96B72">
        <w:rPr>
          <w:rFonts w:ascii="Times New Roman" w:hAnsi="Times New Roman" w:cs="Times New Roman"/>
        </w:rPr>
        <w:t>(lásd 4.4 pont)</w:t>
      </w:r>
      <w:r w:rsidR="005548E3" w:rsidRPr="00F64BAD">
        <w:rPr>
          <w:rFonts w:ascii="Times New Roman" w:hAnsi="Times New Roman" w:cs="Times New Roman"/>
        </w:rPr>
        <w:t>.</w:t>
      </w:r>
    </w:p>
    <w:p w14:paraId="30223B10" w14:textId="77777777" w:rsidR="001E0DDA" w:rsidRPr="00D96B72" w:rsidRDefault="001E0DD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144D6E" w14:textId="0594A16E" w:rsidR="00100E83" w:rsidRPr="00D96B72" w:rsidRDefault="00100E8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D96B72">
        <w:rPr>
          <w:rFonts w:ascii="Times New Roman" w:hAnsi="Times New Roman" w:cs="Times New Roman"/>
          <w:b/>
          <w:bCs/>
        </w:rPr>
        <w:t>Karboanhidráz</w:t>
      </w:r>
      <w:r w:rsidRPr="00D96B72">
        <w:rPr>
          <w:rFonts w:ascii="Times New Roman" w:hAnsi="Times New Roman" w:cs="Times New Roman"/>
          <w:b/>
          <w:bCs/>
        </w:rPr>
        <w:noBreakHyphen/>
        <w:t>gátlók (acetazolamid</w:t>
      </w:r>
      <w:r w:rsidRPr="00D96B72">
        <w:rPr>
          <w:rFonts w:ascii="Times New Roman" w:hAnsi="Times New Roman" w:cs="Times New Roman"/>
          <w:bCs/>
        </w:rPr>
        <w:t>)</w:t>
      </w:r>
    </w:p>
    <w:p w14:paraId="1C4CC1F5" w14:textId="160456CC" w:rsidR="00E53F9D" w:rsidRPr="00D96B72" w:rsidRDefault="00100E8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Ezen kombináció következménye súlyos acidózis és a központi idegrendszeri toxicitás kockázatának fokozódása lehet</w:t>
      </w:r>
      <w:r w:rsidR="005548E3" w:rsidRPr="00F64BAD">
        <w:rPr>
          <w:rFonts w:ascii="Times New Roman" w:hAnsi="Times New Roman" w:cs="Times New Roman"/>
          <w:bCs/>
        </w:rPr>
        <w:t>.</w:t>
      </w:r>
    </w:p>
    <w:p w14:paraId="7E5FE37F" w14:textId="2B20F8EB" w:rsidR="000C4FB8" w:rsidRPr="00D96B72" w:rsidRDefault="000C4FB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8516E9B" w14:textId="0E706401" w:rsidR="002A6652" w:rsidRPr="00D96B72" w:rsidRDefault="002A665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  <w:bCs/>
        </w:rPr>
        <w:t>Ciklosporin, takrolimusz</w:t>
      </w:r>
    </w:p>
    <w:p w14:paraId="170D2DF7" w14:textId="77777777" w:rsidR="002A6652" w:rsidRPr="00D96B72" w:rsidRDefault="002A665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lastRenderedPageBreak/>
        <w:t>NSAID</w:t>
      </w:r>
      <w:r w:rsidRPr="00D96B72">
        <w:rPr>
          <w:rFonts w:ascii="Times New Roman" w:hAnsi="Times New Roman" w:cs="Times New Roman"/>
          <w:bCs/>
        </w:rPr>
        <w:noBreakHyphen/>
        <w:t>ok, valamint ciklosporin vagy takrolimusz kombinált alkalmazása fokozhatja a ciklosporin, illetve takrolimusz nephrotoxicus hatását. Amennyiben ezeket a készítményeket acetilszalicilsavval adják együtt, monitorozni kell a veseműködést.</w:t>
      </w:r>
    </w:p>
    <w:p w14:paraId="6FA927A8" w14:textId="77777777" w:rsidR="002A6652" w:rsidRPr="00F64BAD" w:rsidRDefault="002A665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u w:val="single"/>
        </w:rPr>
      </w:pPr>
    </w:p>
    <w:p w14:paraId="70ED995A" w14:textId="3E22C641" w:rsidR="002A6652" w:rsidRPr="00D96B72" w:rsidRDefault="002A6652" w:rsidP="00B307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  <w:bCs/>
        </w:rPr>
        <w:t>Fenitoin</w:t>
      </w:r>
    </w:p>
    <w:p w14:paraId="3E9FC8A5" w14:textId="00C42B91" w:rsidR="000D0D5D" w:rsidRPr="00F64BAD" w:rsidRDefault="00F4699D" w:rsidP="00B30748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F64BAD">
        <w:rPr>
          <w:rFonts w:ascii="Times New Roman" w:eastAsia="Times New Roman" w:hAnsi="Times New Roman" w:cs="Times New Roman"/>
          <w:lang w:eastAsia="ar-SA"/>
        </w:rPr>
        <w:t>A szalicilátok csökkenthetik a plazma fenitoin-koncentrációját azáltal, hogy csökkentik a fenitoin albuminhoz történő kötődését a plazmában. A szabad fenitoin mennyisége azonban általában nem nő, és ezért ez a kölcsönhatás elvileg nem befolyásolhatja a fenitoin adagolását</w:t>
      </w:r>
      <w:r w:rsidR="005548E3" w:rsidRPr="00F64BAD">
        <w:rPr>
          <w:rFonts w:ascii="Times New Roman" w:eastAsia="Times New Roman" w:hAnsi="Times New Roman" w:cs="Times New Roman"/>
          <w:lang w:eastAsia="ar-SA"/>
        </w:rPr>
        <w:t>.</w:t>
      </w:r>
    </w:p>
    <w:p w14:paraId="68E743A0" w14:textId="1F64E50C" w:rsidR="004F5A2B" w:rsidRPr="00D96B72" w:rsidRDefault="004F5A2B" w:rsidP="00D96B72">
      <w:pPr>
        <w:spacing w:after="0" w:line="240" w:lineRule="auto"/>
        <w:rPr>
          <w:rFonts w:ascii="Times New Roman" w:hAnsi="Times New Roman" w:cs="Times New Roman"/>
        </w:rPr>
      </w:pPr>
    </w:p>
    <w:p w14:paraId="5D2C0340" w14:textId="179DBEDF" w:rsidR="00884924" w:rsidRPr="00F64BAD" w:rsidRDefault="00687641" w:rsidP="00D96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64BAD">
        <w:rPr>
          <w:rFonts w:ascii="Times New Roman" w:hAnsi="Times New Roman" w:cs="Times New Roman"/>
          <w:b/>
          <w:bCs/>
        </w:rPr>
        <w:t>Az antacidok</w:t>
      </w:r>
      <w:r w:rsidRPr="00F64BAD">
        <w:rPr>
          <w:rFonts w:ascii="Times New Roman" w:hAnsi="Times New Roman" w:cs="Times New Roman"/>
          <w:bCs/>
        </w:rPr>
        <w:t xml:space="preserve"> növelhetik az acetilszalicilsav renális kiválasztását a vizelet alkalizálásával.</w:t>
      </w:r>
    </w:p>
    <w:p w14:paraId="696C469A" w14:textId="77777777" w:rsidR="00D22876" w:rsidRPr="008852EB" w:rsidRDefault="00D22876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449D31" w14:textId="77777777" w:rsidR="00755989" w:rsidRPr="008852EB" w:rsidRDefault="00755989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4.6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Termékenység, terhesség és szoptatás</w:t>
      </w:r>
    </w:p>
    <w:p w14:paraId="194F39BE" w14:textId="77777777" w:rsidR="00755989" w:rsidRPr="008852EB" w:rsidRDefault="00755989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4BA4B39" w14:textId="4842AAB5" w:rsidR="006F7B45" w:rsidRPr="008852EB" w:rsidRDefault="006F7B45" w:rsidP="00D96B72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Terhesség</w:t>
      </w:r>
    </w:p>
    <w:p w14:paraId="409BAC4F" w14:textId="77777777" w:rsidR="006F7B45" w:rsidRPr="008852EB" w:rsidRDefault="006F7B45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6C6DBE7" w14:textId="19B029C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>kezelés a terhesség ideje alatt ellenjavallt (lásd 4.3 pont).</w:t>
      </w:r>
    </w:p>
    <w:p w14:paraId="33BF084D" w14:textId="77777777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2630A76" w14:textId="7E5E8E7D" w:rsidR="006F7B45" w:rsidRPr="008852EB" w:rsidRDefault="006F7B45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Rozuvasztatin</w:t>
      </w:r>
    </w:p>
    <w:p w14:paraId="65EEE4D0" w14:textId="1640B7E7" w:rsidR="006F7B45" w:rsidRPr="008852EB" w:rsidRDefault="005548E3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Fogamzóképes </w:t>
      </w:r>
      <w:r w:rsidR="006F7B45" w:rsidRPr="008852EB">
        <w:rPr>
          <w:color w:val="auto"/>
          <w:sz w:val="22"/>
          <w:szCs w:val="22"/>
          <w:lang w:val="hu-HU"/>
        </w:rPr>
        <w:t>nőknek megfelelő fogamzásgátló módszert kell alkalmazni</w:t>
      </w:r>
      <w:r w:rsidR="00A94B10">
        <w:rPr>
          <w:color w:val="auto"/>
          <w:sz w:val="22"/>
          <w:szCs w:val="22"/>
          <w:lang w:val="hu-HU"/>
        </w:rPr>
        <w:t>uk</w:t>
      </w:r>
      <w:r w:rsidR="006F7B45" w:rsidRPr="008852EB">
        <w:rPr>
          <w:color w:val="auto"/>
          <w:sz w:val="22"/>
          <w:szCs w:val="22"/>
          <w:lang w:val="hu-HU"/>
        </w:rPr>
        <w:t>.</w:t>
      </w:r>
    </w:p>
    <w:p w14:paraId="6D3B4C48" w14:textId="77777777" w:rsidR="00884E3F" w:rsidRPr="008852EB" w:rsidRDefault="00884E3F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8CCECBC" w14:textId="541C9634" w:rsidR="006F7B45" w:rsidRPr="008852EB" w:rsidRDefault="006F7B45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Mivel a koleszterin és egyéb, a koleszterin bioszintézisének eredményeképpen létrejövő közti termékek a magzat fejlődéséhez nélkülözhetetlenek, a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 xml:space="preserve">reduktáz gátlásából eredő potenciális kockázat meghaladja a terápia előnyeit a terhesség ideje alatt. Állatokon végzett kísérletekből korlátozott számú adat áll rendelkezésre a reproduktív toxicitásra vonatkozóan (lásd 5.3 pont). Amennyiben a </w:t>
      </w:r>
      <w:r w:rsidR="00CD694C" w:rsidRPr="008852EB">
        <w:rPr>
          <w:color w:val="auto"/>
          <w:sz w:val="22"/>
          <w:szCs w:val="22"/>
          <w:lang w:val="hu-HU"/>
        </w:rPr>
        <w:t xml:space="preserve">készítménnyel való </w:t>
      </w:r>
      <w:r w:rsidRPr="008852EB">
        <w:rPr>
          <w:color w:val="auto"/>
          <w:sz w:val="22"/>
          <w:szCs w:val="22"/>
          <w:lang w:val="hu-HU"/>
        </w:rPr>
        <w:t>terápia ideje alatt a beteg teherbe esik, a kezelést azonnal fel kell függeszteni.</w:t>
      </w:r>
    </w:p>
    <w:p w14:paraId="25443CFD" w14:textId="2E43CB2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9D697FF" w14:textId="4F11EA53" w:rsidR="007C1A14" w:rsidRPr="008852EB" w:rsidRDefault="007C1A14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Acetilszalicilsav</w:t>
      </w:r>
    </w:p>
    <w:p w14:paraId="5558E9D5" w14:textId="4730CACE" w:rsidR="007C1A14" w:rsidRPr="008852EB" w:rsidRDefault="007C1A14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8852EB">
        <w:rPr>
          <w:rFonts w:ascii="Times New Roman" w:hAnsi="Times New Roman"/>
          <w:szCs w:val="22"/>
          <w:lang w:val="hu-HU" w:eastAsia="en-US"/>
        </w:rPr>
        <w:t>A prosztaglandin-szintézis gátlása negatívan befolyásolhatja a terhességet és/vagy az embr</w:t>
      </w:r>
      <w:r w:rsidR="00944D1C" w:rsidRPr="008852EB">
        <w:rPr>
          <w:rFonts w:ascii="Times New Roman" w:hAnsi="Times New Roman"/>
          <w:szCs w:val="22"/>
          <w:lang w:val="hu-HU" w:eastAsia="en-US"/>
        </w:rPr>
        <w:t>i</w:t>
      </w:r>
      <w:r w:rsidRPr="008852EB">
        <w:rPr>
          <w:rFonts w:ascii="Times New Roman" w:hAnsi="Times New Roman"/>
          <w:szCs w:val="22"/>
          <w:lang w:val="hu-HU" w:eastAsia="en-US"/>
        </w:rPr>
        <w:t>on</w:t>
      </w:r>
      <w:r w:rsidR="00944D1C" w:rsidRPr="008852EB">
        <w:rPr>
          <w:rFonts w:ascii="Times New Roman" w:hAnsi="Times New Roman"/>
          <w:szCs w:val="22"/>
          <w:lang w:val="hu-HU" w:eastAsia="en-US"/>
        </w:rPr>
        <w:t>á</w:t>
      </w:r>
      <w:r w:rsidRPr="008852EB">
        <w:rPr>
          <w:rFonts w:ascii="Times New Roman" w:hAnsi="Times New Roman"/>
          <w:szCs w:val="22"/>
          <w:lang w:val="hu-HU" w:eastAsia="en-US"/>
        </w:rPr>
        <w:t>lis/magzati fejlődést.</w:t>
      </w:r>
    </w:p>
    <w:p w14:paraId="31BAFF64" w14:textId="4BDBDA41" w:rsidR="000C04C1" w:rsidRDefault="007C1A14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8852EB">
        <w:rPr>
          <w:rFonts w:ascii="Times New Roman" w:hAnsi="Times New Roman"/>
          <w:szCs w:val="22"/>
          <w:lang w:val="hu-HU" w:eastAsia="en-US"/>
        </w:rPr>
        <w:t xml:space="preserve">Epidemiológiai vizsgálatokból származó adatok a vetélés és/vagy </w:t>
      </w:r>
      <w:r w:rsidR="00944D1C" w:rsidRPr="008852EB">
        <w:rPr>
          <w:rFonts w:ascii="Times New Roman" w:hAnsi="Times New Roman"/>
          <w:szCs w:val="22"/>
          <w:lang w:val="hu-HU" w:eastAsia="en-US"/>
        </w:rPr>
        <w:t xml:space="preserve">szívrendellenességek és hasfalzáródási rendellenesség </w:t>
      </w:r>
      <w:r w:rsidRPr="008852EB">
        <w:rPr>
          <w:rFonts w:ascii="Times New Roman" w:hAnsi="Times New Roman"/>
          <w:szCs w:val="22"/>
          <w:lang w:val="hu-HU" w:eastAsia="en-US"/>
        </w:rPr>
        <w:t>kockázatának növekedését jelzik korai terhesség során alkalmazott prosztaglandin-szintézist gátló szer alkalmazását követően. A kockázat valószínűleg nő a dózis és a kezelés hosszának növekedésével.</w:t>
      </w:r>
    </w:p>
    <w:p w14:paraId="624B137D" w14:textId="03BAD646" w:rsidR="007C1A14" w:rsidRPr="008852EB" w:rsidRDefault="00C56E7D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8852EB">
        <w:rPr>
          <w:rFonts w:ascii="Times New Roman" w:hAnsi="Times New Roman"/>
          <w:szCs w:val="22"/>
          <w:lang w:val="hu-HU" w:eastAsia="en-US"/>
        </w:rPr>
        <w:t>Az acetilszalicilsav biztonságossága terhesség alatt nem bizonyított.</w:t>
      </w:r>
    </w:p>
    <w:p w14:paraId="078A4B60" w14:textId="45CBDC5A" w:rsidR="00EB5230" w:rsidRPr="008852EB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</w:p>
    <w:p w14:paraId="4CA9146A" w14:textId="21F264A7" w:rsidR="00C23439" w:rsidRPr="008852EB" w:rsidRDefault="00C23439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Állatokon végzett vizsgálatokban kimutattak reproduktív toxicitást (lásd 5.3 pont).</w:t>
      </w:r>
    </w:p>
    <w:p w14:paraId="6B0C2F56" w14:textId="77777777" w:rsidR="002801BA" w:rsidRPr="00D96B72" w:rsidRDefault="002801BA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</w:p>
    <w:p w14:paraId="0566E581" w14:textId="4C50D870" w:rsidR="00573336" w:rsidRPr="008852EB" w:rsidRDefault="007422AF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A terhesség első és második trimesztere alatt csak alapos előny/kockázat mérlegelést követően adható acetilszalicilsav-tartalmú gyógyszer.</w:t>
      </w:r>
    </w:p>
    <w:p w14:paraId="62423492" w14:textId="1E8C1716" w:rsidR="007422AF" w:rsidRPr="00D96B72" w:rsidRDefault="007422AF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Amennyiben acetilszalicilsav alkalmazására kerül sor olyan nőnél, aki teherbe kíván esni, vagy a terhessége első vagy második trimeszteré</w:t>
      </w:r>
      <w:r w:rsidR="00952734">
        <w:rPr>
          <w:rFonts w:ascii="Times New Roman" w:hAnsi="Times New Roman"/>
          <w:szCs w:val="22"/>
          <w:lang w:val="hu-HU"/>
        </w:rPr>
        <w:t>ben van</w:t>
      </w:r>
      <w:r w:rsidRPr="00D96B72">
        <w:rPr>
          <w:rFonts w:ascii="Times New Roman" w:hAnsi="Times New Roman"/>
          <w:szCs w:val="22"/>
          <w:lang w:val="hu-HU"/>
        </w:rPr>
        <w:t xml:space="preserve">, a </w:t>
      </w:r>
      <w:r w:rsidR="00A94B10">
        <w:rPr>
          <w:rFonts w:ascii="Times New Roman" w:hAnsi="Times New Roman"/>
          <w:szCs w:val="22"/>
          <w:lang w:val="hu-HU"/>
        </w:rPr>
        <w:t xml:space="preserve">lehető legkisebb </w:t>
      </w:r>
      <w:r w:rsidRPr="00D96B72">
        <w:rPr>
          <w:rFonts w:ascii="Times New Roman" w:hAnsi="Times New Roman"/>
          <w:szCs w:val="22"/>
          <w:lang w:val="hu-HU"/>
        </w:rPr>
        <w:t>dózist</w:t>
      </w:r>
      <w:r w:rsidR="00A94B10">
        <w:rPr>
          <w:rFonts w:ascii="Times New Roman" w:hAnsi="Times New Roman"/>
          <w:szCs w:val="22"/>
          <w:lang w:val="hu-HU"/>
        </w:rPr>
        <w:t xml:space="preserve"> kapja</w:t>
      </w:r>
      <w:r w:rsidRPr="00D96B72">
        <w:rPr>
          <w:rFonts w:ascii="Times New Roman" w:hAnsi="Times New Roman"/>
          <w:szCs w:val="22"/>
          <w:lang w:val="hu-HU"/>
        </w:rPr>
        <w:t xml:space="preserve"> és a kezelés </w:t>
      </w:r>
      <w:r w:rsidR="00A94B10">
        <w:rPr>
          <w:rFonts w:ascii="Times New Roman" w:hAnsi="Times New Roman"/>
          <w:szCs w:val="22"/>
          <w:lang w:val="hu-HU"/>
        </w:rPr>
        <w:t>a lehető legrövidebb ideig tartson.</w:t>
      </w:r>
    </w:p>
    <w:p w14:paraId="0E03D18C" w14:textId="77777777" w:rsidR="00EB5230" w:rsidRPr="00D96B72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</w:p>
    <w:p w14:paraId="48607694" w14:textId="77777777" w:rsidR="00A94B10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A terhesség harmadik trimesztere alatt a prosztaglandinszintézis-gátlók növelhetik az alábbiak kockázatát</w:t>
      </w:r>
    </w:p>
    <w:p w14:paraId="0F1C25AA" w14:textId="7C887E5D" w:rsidR="00EB5230" w:rsidRPr="00D96B72" w:rsidRDefault="00A94B1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>
        <w:rPr>
          <w:rFonts w:ascii="Times New Roman" w:hAnsi="Times New Roman"/>
          <w:szCs w:val="22"/>
          <w:lang w:val="hu-HU"/>
        </w:rPr>
        <w:t>1,</w:t>
      </w:r>
      <w:r w:rsidR="00EB5230" w:rsidRPr="00D96B72">
        <w:rPr>
          <w:rFonts w:ascii="Times New Roman" w:hAnsi="Times New Roman"/>
          <w:szCs w:val="22"/>
          <w:lang w:val="hu-HU"/>
        </w:rPr>
        <w:t xml:space="preserve"> a magzatnál:</w:t>
      </w:r>
    </w:p>
    <w:p w14:paraId="45DDB131" w14:textId="59C75B64" w:rsidR="00EB5230" w:rsidRPr="008852EB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472903">
        <w:rPr>
          <w:rFonts w:ascii="Times New Roman" w:hAnsi="Times New Roman"/>
          <w:szCs w:val="22"/>
          <w:lang w:val="hu-HU"/>
        </w:rPr>
        <w:t>k</w:t>
      </w:r>
      <w:r w:rsidR="00EB5230" w:rsidRPr="008852EB">
        <w:rPr>
          <w:rFonts w:ascii="Times New Roman" w:hAnsi="Times New Roman"/>
          <w:szCs w:val="22"/>
          <w:lang w:val="hu-HU"/>
        </w:rPr>
        <w:t>ardiopulmon</w:t>
      </w:r>
      <w:r w:rsidR="00472903">
        <w:rPr>
          <w:rFonts w:ascii="Times New Roman" w:hAnsi="Times New Roman"/>
          <w:szCs w:val="22"/>
          <w:lang w:val="hu-HU"/>
        </w:rPr>
        <w:t>áli</w:t>
      </w:r>
      <w:r w:rsidR="00EB5230" w:rsidRPr="008852EB">
        <w:rPr>
          <w:rFonts w:ascii="Times New Roman" w:hAnsi="Times New Roman"/>
          <w:szCs w:val="22"/>
          <w:lang w:val="hu-HU"/>
        </w:rPr>
        <w:t>s toxicitás (a ductus arteriosus idő előtti záródása és pulmonalis hypertensio)</w:t>
      </w:r>
      <w:r w:rsidR="005548E3" w:rsidRPr="008852EB">
        <w:rPr>
          <w:rFonts w:ascii="Times New Roman" w:hAnsi="Times New Roman"/>
          <w:szCs w:val="22"/>
          <w:lang w:val="hu-HU"/>
        </w:rPr>
        <w:t>;</w:t>
      </w:r>
    </w:p>
    <w:p w14:paraId="64E374BF" w14:textId="38072E26" w:rsidR="00EB5230" w:rsidRPr="00D96B72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EB5230" w:rsidRPr="00D96B72">
        <w:rPr>
          <w:rFonts w:ascii="Times New Roman" w:hAnsi="Times New Roman"/>
          <w:szCs w:val="22"/>
          <w:lang w:val="hu-HU"/>
        </w:rPr>
        <w:t>vesekárosodás, amely oligohydramnio</w:t>
      </w:r>
      <w:r w:rsidR="00A94B10">
        <w:rPr>
          <w:rFonts w:ascii="Times New Roman" w:hAnsi="Times New Roman"/>
          <w:szCs w:val="22"/>
          <w:lang w:val="hu-HU"/>
        </w:rPr>
        <w:t>nnal</w:t>
      </w:r>
      <w:r w:rsidR="00EB5230" w:rsidRPr="00D96B72">
        <w:rPr>
          <w:rFonts w:ascii="Times New Roman" w:hAnsi="Times New Roman"/>
          <w:szCs w:val="22"/>
          <w:lang w:val="hu-HU"/>
        </w:rPr>
        <w:t xml:space="preserve"> járó veseelégtelenséghez vezethet</w:t>
      </w:r>
      <w:r w:rsidR="005548E3" w:rsidRPr="008852EB">
        <w:rPr>
          <w:rFonts w:ascii="Times New Roman" w:hAnsi="Times New Roman"/>
          <w:szCs w:val="22"/>
          <w:lang w:val="hu-HU"/>
        </w:rPr>
        <w:t>.</w:t>
      </w:r>
    </w:p>
    <w:p w14:paraId="0502BC53" w14:textId="77777777" w:rsidR="00EB5230" w:rsidRPr="00D96B72" w:rsidRDefault="00EB5230" w:rsidP="008852EB">
      <w:pPr>
        <w:pStyle w:val="GlobalBayerBodyText"/>
        <w:widowControl w:val="0"/>
        <w:spacing w:before="0" w:after="0"/>
        <w:rPr>
          <w:rFonts w:ascii="Times New Roman" w:hAnsi="Times New Roman"/>
          <w:szCs w:val="22"/>
          <w:lang w:val="hu-HU"/>
        </w:rPr>
      </w:pPr>
    </w:p>
    <w:p w14:paraId="54FF7612" w14:textId="068228C5" w:rsidR="00EB5230" w:rsidRPr="00D96B72" w:rsidRDefault="00A94B1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>
        <w:rPr>
          <w:rFonts w:ascii="Times New Roman" w:hAnsi="Times New Roman"/>
          <w:szCs w:val="22"/>
          <w:lang w:val="hu-HU"/>
        </w:rPr>
        <w:t>2, a</w:t>
      </w:r>
      <w:r w:rsidR="00EB5230" w:rsidRPr="00D96B72">
        <w:rPr>
          <w:rFonts w:ascii="Times New Roman" w:hAnsi="Times New Roman"/>
          <w:szCs w:val="22"/>
          <w:lang w:val="hu-HU"/>
        </w:rPr>
        <w:t>z anyánál és a magzatnál a terhesség végén:</w:t>
      </w:r>
    </w:p>
    <w:p w14:paraId="67617A09" w14:textId="4A086881" w:rsidR="00EB5230" w:rsidRPr="008852EB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ind w:left="567" w:hanging="567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EB5230" w:rsidRPr="008852EB">
        <w:rPr>
          <w:rFonts w:ascii="Times New Roman" w:hAnsi="Times New Roman"/>
          <w:szCs w:val="22"/>
          <w:lang w:val="hu-HU"/>
        </w:rPr>
        <w:t xml:space="preserve">a vérzési idő lehetséges megnövekedése, antiaggregációs hatás, amely nagyon </w:t>
      </w:r>
      <w:r w:rsidR="005548E3" w:rsidRPr="008852EB">
        <w:rPr>
          <w:rFonts w:ascii="Times New Roman" w:hAnsi="Times New Roman"/>
          <w:szCs w:val="22"/>
          <w:lang w:val="hu-HU"/>
        </w:rPr>
        <w:t>kis</w:t>
      </w:r>
      <w:r w:rsidR="00EB5230" w:rsidRPr="008852EB">
        <w:rPr>
          <w:rFonts w:ascii="Times New Roman" w:hAnsi="Times New Roman"/>
          <w:szCs w:val="22"/>
          <w:lang w:val="hu-HU"/>
        </w:rPr>
        <w:t xml:space="preserve"> dózisok alkalmazását követően is előfordulhat</w:t>
      </w:r>
      <w:r w:rsidR="005548E3" w:rsidRPr="008852EB">
        <w:rPr>
          <w:rFonts w:ascii="Times New Roman" w:hAnsi="Times New Roman"/>
          <w:szCs w:val="22"/>
          <w:lang w:val="hu-HU"/>
        </w:rPr>
        <w:t>;</w:t>
      </w:r>
    </w:p>
    <w:p w14:paraId="2193A1E2" w14:textId="3F9DFAE6" w:rsidR="00EB5230" w:rsidRPr="00D96B72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ind w:left="567" w:hanging="567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EB5230" w:rsidRPr="00D96B72">
        <w:rPr>
          <w:rFonts w:ascii="Times New Roman" w:hAnsi="Times New Roman"/>
          <w:szCs w:val="22"/>
          <w:lang w:val="hu-HU"/>
        </w:rPr>
        <w:t>az intrauterin kontrakciók gátlása, amely elhúzódó vajúdást eredményezhet.</w:t>
      </w:r>
    </w:p>
    <w:p w14:paraId="37B6232F" w14:textId="77777777" w:rsidR="00EB5230" w:rsidRPr="00D96B72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</w:p>
    <w:p w14:paraId="00BCEF1C" w14:textId="0F9E34D2" w:rsidR="00A75CF9" w:rsidRPr="008852EB" w:rsidRDefault="00EB5230" w:rsidP="008852EB">
      <w:pPr>
        <w:pStyle w:val="GlobalBayerBodyText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Ennek megfelelően, az acetilszalicilsav kontraindikált a terhesség harmadik trimeszterében.</w:t>
      </w:r>
    </w:p>
    <w:p w14:paraId="069FD246" w14:textId="64503127" w:rsidR="00884E3F" w:rsidRPr="008852EB" w:rsidRDefault="00884E3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BA53358" w14:textId="14916F6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lastRenderedPageBreak/>
        <w:t>Szoptatás</w:t>
      </w:r>
    </w:p>
    <w:p w14:paraId="283DD37F" w14:textId="435D184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 xml:space="preserve">kezelés a </w:t>
      </w:r>
      <w:r w:rsidR="00944D1C" w:rsidRPr="008852EB">
        <w:rPr>
          <w:color w:val="auto"/>
          <w:sz w:val="22"/>
          <w:szCs w:val="22"/>
          <w:lang w:val="hu-HU"/>
        </w:rPr>
        <w:t xml:space="preserve">szoptatás ideje </w:t>
      </w:r>
      <w:r w:rsidRPr="008852EB">
        <w:rPr>
          <w:color w:val="auto"/>
          <w:sz w:val="22"/>
          <w:szCs w:val="22"/>
          <w:lang w:val="hu-HU"/>
        </w:rPr>
        <w:t>alatt ellenjavallt.</w:t>
      </w:r>
    </w:p>
    <w:p w14:paraId="5BA06C5C" w14:textId="77777777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8A2B4BA" w14:textId="7ACB1F81" w:rsidR="006F7B45" w:rsidRDefault="00143DCA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B4A0D">
        <w:rPr>
          <w:sz w:val="22"/>
          <w:lang w:val="hu-HU"/>
        </w:rPr>
        <w:t>A közzétett jelentésekből származó korlátozott adatok arra utalnak, hogy a rozuvasztatin megjelenik az emberi anyatejben</w:t>
      </w:r>
      <w:r>
        <w:rPr>
          <w:sz w:val="22"/>
          <w:lang w:val="hu-HU"/>
        </w:rPr>
        <w:t>.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6F7B45" w:rsidRPr="008852EB">
        <w:rPr>
          <w:color w:val="auto"/>
          <w:sz w:val="22"/>
          <w:szCs w:val="22"/>
          <w:lang w:val="hu-HU"/>
        </w:rPr>
        <w:t>A rozuvasztatin patkányokban kiválasztódik az anyatejbe.</w:t>
      </w:r>
      <w:r w:rsidR="00D06E77" w:rsidRPr="00BB4A0D">
        <w:rPr>
          <w:sz w:val="22"/>
          <w:lang w:val="hu-HU"/>
        </w:rPr>
        <w:t xml:space="preserve"> A rozuvasztatin hatásmechanizmusa miatt fennáll a csecsemőknél a mellékhatások lehetséges kockázata. A XeterDuo ellenjavallt a szoptatás ideje alatt</w:t>
      </w:r>
      <w:r w:rsidR="006F7B45" w:rsidRPr="008852EB">
        <w:rPr>
          <w:color w:val="auto"/>
          <w:sz w:val="22"/>
          <w:szCs w:val="22"/>
          <w:lang w:val="hu-HU"/>
        </w:rPr>
        <w:t>.</w:t>
      </w:r>
    </w:p>
    <w:p w14:paraId="4A27D569" w14:textId="77777777" w:rsidR="00D06E77" w:rsidRPr="008852EB" w:rsidRDefault="00D06E7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6700068" w14:textId="1695CB23" w:rsidR="00755989" w:rsidRPr="008852EB" w:rsidRDefault="00AD370C" w:rsidP="008852EB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</w:rPr>
        <w:t xml:space="preserve">Az acetilszalicilsav </w:t>
      </w:r>
      <w:r w:rsidR="00944D1C" w:rsidRPr="008852EB">
        <w:rPr>
          <w:rFonts w:ascii="Times New Roman" w:hAnsi="Times New Roman" w:cs="Times New Roman"/>
        </w:rPr>
        <w:t xml:space="preserve">és bomlástermékei </w:t>
      </w:r>
      <w:r w:rsidRPr="008852EB">
        <w:rPr>
          <w:rFonts w:ascii="Times New Roman" w:hAnsi="Times New Roman" w:cs="Times New Roman"/>
        </w:rPr>
        <w:t>kis mennyiségben átjut</w:t>
      </w:r>
      <w:r w:rsidR="00944D1C" w:rsidRPr="008852EB">
        <w:rPr>
          <w:rFonts w:ascii="Times New Roman" w:hAnsi="Times New Roman" w:cs="Times New Roman"/>
        </w:rPr>
        <w:t>nak</w:t>
      </w:r>
      <w:r w:rsidRPr="008852EB">
        <w:rPr>
          <w:rFonts w:ascii="Times New Roman" w:hAnsi="Times New Roman" w:cs="Times New Roman"/>
        </w:rPr>
        <w:t xml:space="preserve"> az anyatejbe.</w:t>
      </w:r>
    </w:p>
    <w:p w14:paraId="3C800830" w14:textId="1F19EDB4" w:rsidR="006F7B45" w:rsidRPr="003A74CC" w:rsidRDefault="006F7B45" w:rsidP="003A7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F36A2A6" w14:textId="77777777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A74CC">
        <w:rPr>
          <w:rFonts w:ascii="Times New Roman" w:hAnsi="Times New Roman" w:cs="Times New Roman"/>
          <w:u w:val="single"/>
        </w:rPr>
        <w:t>Termékenység</w:t>
      </w:r>
    </w:p>
    <w:p w14:paraId="115CCE40" w14:textId="77777777" w:rsidR="00375BFB" w:rsidRPr="00375BFB" w:rsidRDefault="00375BFB" w:rsidP="003A74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AA142" w14:textId="657A5521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3A74CC">
        <w:rPr>
          <w:rFonts w:ascii="Times New Roman" w:hAnsi="Times New Roman" w:cs="Times New Roman"/>
          <w:i/>
          <w:iCs/>
        </w:rPr>
        <w:t>Ro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uvas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tatin</w:t>
      </w:r>
    </w:p>
    <w:p w14:paraId="68D92A7B" w14:textId="5D848448" w:rsidR="003A74CC" w:rsidRDefault="001F214D" w:rsidP="003A74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214D">
        <w:rPr>
          <w:rFonts w:ascii="Times New Roman" w:hAnsi="Times New Roman" w:cs="Times New Roman"/>
        </w:rPr>
        <w:t>A rozuvasztatin alkalmazása után nem ismertek a termékenységre gyakorolt hatások</w:t>
      </w:r>
      <w:r w:rsidR="003A74CC" w:rsidRPr="003A74CC">
        <w:rPr>
          <w:rFonts w:ascii="Times New Roman" w:hAnsi="Times New Roman" w:cs="Times New Roman"/>
        </w:rPr>
        <w:t>.</w:t>
      </w:r>
    </w:p>
    <w:p w14:paraId="1D02A546" w14:textId="77777777" w:rsidR="00375BFB" w:rsidRPr="003A74CC" w:rsidRDefault="00375BFB" w:rsidP="003A74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3F91CA" w14:textId="77777777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3A74CC">
        <w:rPr>
          <w:rFonts w:ascii="Times New Roman" w:hAnsi="Times New Roman" w:cs="Times New Roman"/>
          <w:i/>
          <w:iCs/>
        </w:rPr>
        <w:t>Acetilszalicilsav</w:t>
      </w:r>
    </w:p>
    <w:p w14:paraId="17C8DBCF" w14:textId="114F1882" w:rsidR="003A74CC" w:rsidRDefault="003A74CC" w:rsidP="00D96B72">
      <w:pPr>
        <w:spacing w:after="0" w:line="240" w:lineRule="auto"/>
        <w:rPr>
          <w:rFonts w:ascii="Times New Roman" w:hAnsi="Times New Roman" w:cs="Times New Roman"/>
        </w:rPr>
      </w:pPr>
      <w:r w:rsidRPr="003A74CC">
        <w:rPr>
          <w:rFonts w:ascii="Times New Roman" w:hAnsi="Times New Roman" w:cs="Times New Roman"/>
        </w:rPr>
        <w:t>Az acetilszalicilsavra vonatkozóan korlátozott számú adat áll rendelkezésre. Sem humán vizsgálatokból</w:t>
      </w:r>
      <w:r w:rsidR="00A94B10">
        <w:rPr>
          <w:rFonts w:ascii="Times New Roman" w:hAnsi="Times New Roman" w:cs="Times New Roman"/>
        </w:rPr>
        <w:t>,</w:t>
      </w:r>
      <w:r w:rsidRPr="003A74CC">
        <w:rPr>
          <w:rFonts w:ascii="Times New Roman" w:hAnsi="Times New Roman" w:cs="Times New Roman"/>
        </w:rPr>
        <w:t xml:space="preserve"> sem állatkísérletből származó adatok nem igazolták egyértelműen az acetilszali</w:t>
      </w:r>
      <w:r w:rsidR="00375BFB">
        <w:rPr>
          <w:rFonts w:ascii="Times New Roman" w:hAnsi="Times New Roman" w:cs="Times New Roman"/>
        </w:rPr>
        <w:t>c</w:t>
      </w:r>
      <w:r w:rsidRPr="003A74CC">
        <w:rPr>
          <w:rFonts w:ascii="Times New Roman" w:hAnsi="Times New Roman" w:cs="Times New Roman"/>
        </w:rPr>
        <w:t>ilsav termékenységet befolyásoló hatását.</w:t>
      </w:r>
    </w:p>
    <w:p w14:paraId="3C4CB42D" w14:textId="77777777" w:rsidR="00375BFB" w:rsidRPr="003A74CC" w:rsidRDefault="00375BFB" w:rsidP="003A74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A55D8F" w14:textId="2120C94D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3A74CC">
        <w:rPr>
          <w:rFonts w:ascii="Times New Roman" w:hAnsi="Times New Roman" w:cs="Times New Roman"/>
          <w:i/>
          <w:iCs/>
        </w:rPr>
        <w:t>Ro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uvas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tatin és acetilszalicilsav kombinációja</w:t>
      </w:r>
    </w:p>
    <w:p w14:paraId="40C0DA3F" w14:textId="3EC5F1C8" w:rsidR="003844EF" w:rsidRPr="003A74CC" w:rsidRDefault="003A74CC" w:rsidP="00D96B72">
      <w:pPr>
        <w:spacing w:after="0" w:line="240" w:lineRule="auto"/>
        <w:rPr>
          <w:rFonts w:ascii="Times New Roman" w:hAnsi="Times New Roman" w:cs="Times New Roman"/>
        </w:rPr>
      </w:pPr>
      <w:r w:rsidRPr="003A74CC">
        <w:rPr>
          <w:rFonts w:ascii="Times New Roman" w:hAnsi="Times New Roman" w:cs="Times New Roman"/>
        </w:rPr>
        <w:t>Rozuvasztatin és acetilszalicilsav kombinációjá</w:t>
      </w:r>
      <w:r w:rsidR="00A94B10">
        <w:rPr>
          <w:rFonts w:ascii="Times New Roman" w:hAnsi="Times New Roman" w:cs="Times New Roman"/>
        </w:rPr>
        <w:t>nak a</w:t>
      </w:r>
      <w:r w:rsidRPr="003A74CC">
        <w:rPr>
          <w:rFonts w:ascii="Times New Roman" w:hAnsi="Times New Roman" w:cs="Times New Roman"/>
        </w:rPr>
        <w:t xml:space="preserve"> termékenységet befolyásoló </w:t>
      </w:r>
      <w:r w:rsidR="00A94B10">
        <w:rPr>
          <w:rFonts w:ascii="Times New Roman" w:hAnsi="Times New Roman" w:cs="Times New Roman"/>
        </w:rPr>
        <w:t xml:space="preserve">hatásáról </w:t>
      </w:r>
      <w:r w:rsidRPr="003A74CC">
        <w:rPr>
          <w:rFonts w:ascii="Times New Roman" w:hAnsi="Times New Roman" w:cs="Times New Roman"/>
        </w:rPr>
        <w:t>humán adatok nem állnak rendelkezésre.</w:t>
      </w:r>
    </w:p>
    <w:p w14:paraId="385CDE5E" w14:textId="77777777" w:rsidR="003A74CC" w:rsidRPr="008852EB" w:rsidRDefault="003A74C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1CC7DC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4.7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készítmény hatásai a gépjárművezetéshez és a gépek kezeléséhez szükséges képességekre</w:t>
      </w:r>
    </w:p>
    <w:p w14:paraId="4D023FFE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76F9CBA" w14:textId="4AD948CB" w:rsidR="001736A0" w:rsidRPr="008852EB" w:rsidRDefault="001736A0" w:rsidP="008852EB">
      <w:pPr>
        <w:pStyle w:val="Normal1"/>
        <w:suppressAutoHyphens w:val="0"/>
        <w:rPr>
          <w:sz w:val="22"/>
          <w:szCs w:val="22"/>
          <w:lang w:val="hu-HU"/>
        </w:rPr>
      </w:pPr>
      <w:r w:rsidRPr="008852EB">
        <w:rPr>
          <w:sz w:val="22"/>
          <w:szCs w:val="22"/>
          <w:lang w:val="hu-HU"/>
        </w:rPr>
        <w:t xml:space="preserve">A </w:t>
      </w:r>
      <w:r w:rsidR="00F67181" w:rsidRPr="008852EB">
        <w:rPr>
          <w:sz w:val="22"/>
          <w:szCs w:val="22"/>
          <w:lang w:val="hu-HU"/>
        </w:rPr>
        <w:t>XeterDuo</w:t>
      </w:r>
      <w:r w:rsidRPr="008852EB">
        <w:rPr>
          <w:sz w:val="22"/>
          <w:szCs w:val="22"/>
          <w:lang w:val="hu-HU"/>
        </w:rPr>
        <w:t xml:space="preserve"> csak kismértékben vagy közepes mértékben befolyásolja a gépjárművezetéshez és a gépek kezeléséhez szükséges képességeket.</w:t>
      </w:r>
    </w:p>
    <w:p w14:paraId="2B66DB17" w14:textId="61A02900" w:rsidR="00924136" w:rsidRPr="008852EB" w:rsidRDefault="0092413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6A2BA5" w:rsidRPr="008852EB">
        <w:rPr>
          <w:color w:val="auto"/>
          <w:sz w:val="22"/>
          <w:szCs w:val="22"/>
          <w:lang w:val="hu-HU"/>
        </w:rPr>
        <w:t xml:space="preserve">rozuvasztatin </w:t>
      </w:r>
      <w:r w:rsidRPr="008852EB">
        <w:rPr>
          <w:color w:val="auto"/>
          <w:sz w:val="22"/>
          <w:szCs w:val="22"/>
          <w:lang w:val="hu-HU"/>
        </w:rPr>
        <w:t>gépjárművezetéshez és a gépek kezeléséhez szükséges képességeket befolyásoló hatásait nem vizsgálták. Ugyanakkor, farmakokinetikai tulajdonságai alapján nem valószínű, hogy a r</w:t>
      </w:r>
      <w:r w:rsidR="001736A0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befolyásolja ezeket a képességeket. Gépjárművezetés és a gépek kezelése során figyelembe kell venni, hogy a terápia időtartama alatt szédülés előfordulhat.</w:t>
      </w:r>
    </w:p>
    <w:p w14:paraId="6A5DC11F" w14:textId="3C9E0665" w:rsidR="00755989" w:rsidRPr="008852EB" w:rsidRDefault="001736A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</w:rPr>
        <w:t>Az acetilszalicilsav nem befolyásolja a gépjárművezetéshez és a gépek kezeléséhez szükséges képességeket.</w:t>
      </w:r>
    </w:p>
    <w:p w14:paraId="5A7B0769" w14:textId="77777777" w:rsidR="00AB55D5" w:rsidRPr="008852EB" w:rsidRDefault="00AB55D5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C6B7E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4.8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Nemkívánatos hatások, mellékhatások</w:t>
      </w:r>
    </w:p>
    <w:p w14:paraId="4789D323" w14:textId="34547C39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2CB62BC" w14:textId="0CBA9954" w:rsidR="00050417" w:rsidRPr="008852EB" w:rsidRDefault="0005041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proofErr w:type="gramStart"/>
      <w:r w:rsidRPr="008852EB">
        <w:rPr>
          <w:color w:val="auto"/>
          <w:sz w:val="22"/>
          <w:szCs w:val="22"/>
          <w:lang w:val="hu-HU"/>
        </w:rPr>
        <w:t>A mellékhatások előfordulási gyakoriságát az alábbi megegyezés szerint határozták meg: gyakori (</w:t>
      </w:r>
      <w:r w:rsidRPr="008852EB">
        <w:rPr>
          <w:b/>
          <w:sz w:val="22"/>
          <w:szCs w:val="22"/>
          <w:lang w:val="hu-HU"/>
        </w:rPr>
        <w:sym w:font="Symbol" w:char="F0B3"/>
      </w:r>
      <w:r w:rsidRPr="008852EB">
        <w:rPr>
          <w:b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1/100 </w:t>
      </w:r>
      <w:r w:rsidRPr="008852EB">
        <w:rPr>
          <w:color w:val="auto"/>
          <w:sz w:val="22"/>
          <w:szCs w:val="22"/>
          <w:lang w:val="hu-HU"/>
        </w:rPr>
        <w:noBreakHyphen/>
        <w:t xml:space="preserve"> &lt; 1/10); nem gyakori (</w:t>
      </w:r>
      <w:r w:rsidRPr="008852EB">
        <w:rPr>
          <w:b/>
          <w:sz w:val="22"/>
          <w:szCs w:val="22"/>
          <w:lang w:val="hu-HU"/>
        </w:rPr>
        <w:sym w:font="Symbol" w:char="F0B3"/>
      </w:r>
      <w:r w:rsidRPr="008852EB">
        <w:rPr>
          <w:b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1/1000 </w:t>
      </w:r>
      <w:r w:rsidRPr="008852EB">
        <w:rPr>
          <w:color w:val="auto"/>
          <w:sz w:val="22"/>
          <w:szCs w:val="22"/>
          <w:lang w:val="hu-HU"/>
        </w:rPr>
        <w:noBreakHyphen/>
        <w:t xml:space="preserve"> &lt; 1/100); ritka (</w:t>
      </w:r>
      <w:r w:rsidRPr="008852EB">
        <w:rPr>
          <w:b/>
          <w:sz w:val="22"/>
          <w:szCs w:val="22"/>
          <w:lang w:val="hu-HU"/>
        </w:rPr>
        <w:sym w:font="Symbol" w:char="F0B3"/>
      </w:r>
      <w:r w:rsidRPr="008852EB">
        <w:rPr>
          <w:b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1/10 000 </w:t>
      </w:r>
      <w:r w:rsidRPr="008852EB">
        <w:rPr>
          <w:color w:val="auto"/>
          <w:sz w:val="22"/>
          <w:szCs w:val="22"/>
          <w:lang w:val="hu-HU"/>
        </w:rPr>
        <w:noBreakHyphen/>
        <w:t xml:space="preserve"> &lt; 1/1000); nagyon ritka (&lt; 1/10 000), nem ismert (a rendelkezésre álló adatokból </w:t>
      </w:r>
      <w:r w:rsidR="00A94B10">
        <w:rPr>
          <w:color w:val="auto"/>
          <w:sz w:val="22"/>
          <w:szCs w:val="22"/>
          <w:lang w:val="hu-HU"/>
        </w:rPr>
        <w:t xml:space="preserve">a gyakoriság </w:t>
      </w:r>
      <w:r w:rsidRPr="008852EB">
        <w:rPr>
          <w:color w:val="auto"/>
          <w:sz w:val="22"/>
          <w:szCs w:val="22"/>
          <w:lang w:val="hu-HU"/>
        </w:rPr>
        <w:t>nem állapítható meg).</w:t>
      </w:r>
      <w:proofErr w:type="gramEnd"/>
    </w:p>
    <w:p w14:paraId="7310E165" w14:textId="77777777" w:rsidR="00194A5D" w:rsidRPr="008852EB" w:rsidRDefault="00194A5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282E5799" w14:textId="51FA642B" w:rsidR="00924136" w:rsidRPr="008852EB" w:rsidRDefault="0005041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u w:val="single"/>
        </w:rPr>
        <w:t xml:space="preserve">Mellékhatások táblázatos </w:t>
      </w:r>
      <w:r w:rsidR="00194A5D" w:rsidRPr="008852EB">
        <w:rPr>
          <w:rFonts w:ascii="Times New Roman" w:hAnsi="Times New Roman" w:cs="Times New Roman"/>
          <w:u w:val="single"/>
        </w:rPr>
        <w:t>felsorolása</w:t>
      </w:r>
    </w:p>
    <w:p w14:paraId="0793D3B8" w14:textId="77777777" w:rsidR="00050417" w:rsidRPr="008852EB" w:rsidRDefault="00050417" w:rsidP="008852EB">
      <w:pPr>
        <w:pStyle w:val="Tblzatfelirata0"/>
      </w:pPr>
    </w:p>
    <w:tbl>
      <w:tblPr>
        <w:tblOverlap w:val="never"/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1"/>
        <w:gridCol w:w="3696"/>
        <w:gridCol w:w="1558"/>
        <w:gridCol w:w="1555"/>
      </w:tblGrid>
      <w:tr w:rsidR="00050417" w:rsidRPr="008852EB" w14:paraId="2200C4EF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2DFBA1" w14:textId="56CFAB01" w:rsidR="00050417" w:rsidRPr="008852EB" w:rsidRDefault="00F21A6B" w:rsidP="008852EB">
            <w:pPr>
              <w:pStyle w:val="Egyb0"/>
              <w:spacing w:after="0"/>
            </w:pPr>
            <w:r w:rsidRPr="008852EB">
              <w:rPr>
                <w:b/>
                <w:bCs/>
              </w:rPr>
              <w:t>Szervrendszeri kategóriák</w:t>
            </w:r>
          </w:p>
        </w:tc>
        <w:tc>
          <w:tcPr>
            <w:tcW w:w="2040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B3BC2" w14:textId="507B8712" w:rsidR="00050417" w:rsidRPr="008852EB" w:rsidRDefault="0088706B" w:rsidP="00B36C6C">
            <w:pPr>
              <w:pStyle w:val="Egyb0"/>
              <w:spacing w:after="0"/>
              <w:jc w:val="center"/>
              <w:rPr>
                <w:b/>
                <w:bCs/>
              </w:rPr>
            </w:pPr>
            <w:r w:rsidRPr="008852EB">
              <w:rPr>
                <w:b/>
                <w:bCs/>
              </w:rPr>
              <w:t>Mellékhatások</w:t>
            </w:r>
          </w:p>
        </w:tc>
        <w:tc>
          <w:tcPr>
            <w:tcW w:w="171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06D60" w14:textId="1EE12067" w:rsidR="00050417" w:rsidRPr="008852EB" w:rsidRDefault="0088706B" w:rsidP="00B36C6C">
            <w:pPr>
              <w:pStyle w:val="Egyb0"/>
              <w:spacing w:after="0"/>
              <w:jc w:val="center"/>
            </w:pPr>
            <w:r w:rsidRPr="008852EB">
              <w:rPr>
                <w:b/>
                <w:bCs/>
              </w:rPr>
              <w:t>Gyakoriság</w:t>
            </w:r>
          </w:p>
        </w:tc>
      </w:tr>
      <w:tr w:rsidR="00050417" w:rsidRPr="008852EB" w14:paraId="54FBA87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28FBC20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F30CD0D" w14:textId="77777777" w:rsidR="00050417" w:rsidRPr="008852EB" w:rsidRDefault="00050417" w:rsidP="00B36C6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732C0" w14:textId="633DB19D" w:rsidR="00050417" w:rsidRPr="008852EB" w:rsidRDefault="00050417" w:rsidP="00B36C6C">
            <w:pPr>
              <w:pStyle w:val="Egyb0"/>
              <w:spacing w:after="0"/>
              <w:jc w:val="center"/>
            </w:pPr>
            <w:r w:rsidRPr="008852EB">
              <w:rPr>
                <w:b/>
                <w:bCs/>
              </w:rPr>
              <w:t>Ro</w:t>
            </w:r>
            <w:r w:rsidR="0088706B" w:rsidRPr="008852EB">
              <w:rPr>
                <w:b/>
                <w:bCs/>
              </w:rPr>
              <w:t>z</w:t>
            </w:r>
            <w:r w:rsidRPr="008852EB">
              <w:rPr>
                <w:b/>
                <w:bCs/>
              </w:rPr>
              <w:t>uvas</w:t>
            </w:r>
            <w:r w:rsidR="0088706B" w:rsidRPr="008852EB">
              <w:rPr>
                <w:b/>
                <w:bCs/>
              </w:rPr>
              <w:t>z</w:t>
            </w:r>
            <w:r w:rsidRPr="008852EB">
              <w:rPr>
                <w:b/>
                <w:bCs/>
              </w:rPr>
              <w:t>tatin*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A2F772" w14:textId="253FCE10" w:rsidR="00050417" w:rsidRPr="008852EB" w:rsidRDefault="00050417" w:rsidP="00B36C6C">
            <w:pPr>
              <w:pStyle w:val="Egyb0"/>
              <w:spacing w:after="0"/>
              <w:jc w:val="center"/>
            </w:pPr>
            <w:r w:rsidRPr="008852EB">
              <w:rPr>
                <w:b/>
                <w:bCs/>
              </w:rPr>
              <w:t>Acet</w:t>
            </w:r>
            <w:r w:rsidR="0088706B" w:rsidRPr="008852EB">
              <w:rPr>
                <w:b/>
                <w:bCs/>
              </w:rPr>
              <w:t>i</w:t>
            </w:r>
            <w:r w:rsidRPr="008852EB">
              <w:rPr>
                <w:b/>
                <w:bCs/>
              </w:rPr>
              <w:t>ls</w:t>
            </w:r>
            <w:r w:rsidR="00A94B10">
              <w:rPr>
                <w:b/>
                <w:bCs/>
              </w:rPr>
              <w:t>z</w:t>
            </w:r>
            <w:r w:rsidRPr="008852EB">
              <w:rPr>
                <w:b/>
                <w:bCs/>
              </w:rPr>
              <w:t>alic</w:t>
            </w:r>
            <w:r w:rsidR="0088706B" w:rsidRPr="008852EB">
              <w:rPr>
                <w:b/>
                <w:bCs/>
              </w:rPr>
              <w:t>i</w:t>
            </w:r>
            <w:r w:rsidRPr="008852EB">
              <w:rPr>
                <w:b/>
                <w:bCs/>
              </w:rPr>
              <w:t>l</w:t>
            </w:r>
            <w:r w:rsidR="0088706B" w:rsidRPr="008852EB">
              <w:rPr>
                <w:b/>
                <w:bCs/>
              </w:rPr>
              <w:t>sav</w:t>
            </w:r>
          </w:p>
        </w:tc>
      </w:tr>
      <w:tr w:rsidR="00050417" w:rsidRPr="008852EB" w14:paraId="4AF8096D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A5463" w14:textId="1B9F84A2" w:rsidR="00050417" w:rsidRPr="008852EB" w:rsidRDefault="00F21A6B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Vérképzőszervi és nyirokrendszeri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044988" w14:textId="5009E3AB" w:rsidR="00101875" w:rsidRPr="008852EB" w:rsidRDefault="00965F5A" w:rsidP="00472903">
            <w:pPr>
              <w:pStyle w:val="Egyb0"/>
              <w:spacing w:after="0"/>
            </w:pPr>
            <w:r w:rsidRPr="008852EB">
              <w:t xml:space="preserve">A véralvadási idő </w:t>
            </w:r>
            <w:r w:rsidR="00A94B10">
              <w:t>megnyúlása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85D201" w14:textId="309F6413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643E9" w14:textId="4F33958D" w:rsidR="00050417" w:rsidRPr="008852EB" w:rsidRDefault="00C96639" w:rsidP="008852EB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050417" w:rsidRPr="008852EB" w14:paraId="7B425A4B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88E74E3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26FD94" w14:textId="305EF4D3" w:rsidR="00050417" w:rsidRPr="008852EB" w:rsidRDefault="00965F5A" w:rsidP="008852EB">
            <w:pPr>
              <w:pStyle w:val="Egyb0"/>
              <w:spacing w:after="0"/>
            </w:pPr>
            <w:r w:rsidRPr="008852EB">
              <w:t>Koponya</w:t>
            </w:r>
            <w:r w:rsidR="00194A5D" w:rsidRPr="008852EB">
              <w:t>űri</w:t>
            </w:r>
            <w:r w:rsidRPr="008852EB">
              <w:t xml:space="preserve"> vérzés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B2427" w14:textId="228D709C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6E314" w14:textId="263C9C97" w:rsidR="00050417" w:rsidRPr="008852EB" w:rsidRDefault="00C96639" w:rsidP="008852EB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050417" w:rsidRPr="008852EB" w14:paraId="76DFDD6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B8EDBE5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96A25A" w14:textId="3CB5565B" w:rsidR="00FE4B62" w:rsidRPr="008852EB" w:rsidRDefault="007C4D13" w:rsidP="008852EB">
            <w:pPr>
              <w:pStyle w:val="Egyb0"/>
              <w:spacing w:after="0"/>
            </w:pPr>
            <w:r w:rsidRPr="008852EB">
              <w:t>Súlyos vérzés</w:t>
            </w:r>
            <w:r w:rsidR="00AB0D0E">
              <w:t>,</w:t>
            </w:r>
            <w:r w:rsidRPr="008852EB">
              <w:t xml:space="preserve"> mint pl</w:t>
            </w:r>
            <w:r w:rsidR="007972A1" w:rsidRPr="008852EB">
              <w:t>.</w:t>
            </w:r>
            <w:r w:rsidRPr="008852EB">
              <w:t xml:space="preserve"> cerebralis vérzés</w:t>
            </w:r>
            <w:r w:rsidR="00050417" w:rsidRPr="008852EB">
              <w:rPr>
                <w:vertAlign w:val="superscript"/>
              </w:rPr>
              <w:t>1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F3F73" w14:textId="19505724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91CFDA" w14:textId="44F9CBEB" w:rsidR="00050417" w:rsidRPr="008852EB" w:rsidRDefault="00050417" w:rsidP="008852EB">
            <w:pPr>
              <w:pStyle w:val="Egyb0"/>
              <w:spacing w:after="0"/>
            </w:pPr>
            <w:r w:rsidRPr="008852EB">
              <w:t>R</w:t>
            </w:r>
            <w:r w:rsidR="004571B6" w:rsidRPr="008852EB">
              <w:t>itka</w:t>
            </w:r>
          </w:p>
        </w:tc>
      </w:tr>
      <w:tr w:rsidR="00050417" w:rsidRPr="008852EB" w14:paraId="375EABE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53E6269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21875" w14:textId="13BEBC79" w:rsidR="007F5CC8" w:rsidRPr="008852EB" w:rsidRDefault="00050417" w:rsidP="00472903">
            <w:pPr>
              <w:pStyle w:val="Egyb0"/>
              <w:spacing w:after="0"/>
            </w:pPr>
            <w:r w:rsidRPr="008852EB">
              <w:t>Thrombocytopenia</w:t>
            </w:r>
            <w:r w:rsidR="007166BB" w:rsidRPr="008852EB">
              <w:t xml:space="preserve">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110D3" w14:textId="3A06C758" w:rsidR="00050417" w:rsidRPr="008852EB" w:rsidRDefault="00050417" w:rsidP="008852EB">
            <w:pPr>
              <w:pStyle w:val="Egyb0"/>
              <w:spacing w:after="0"/>
            </w:pPr>
            <w:r w:rsidRPr="008852EB">
              <w:t>R</w:t>
            </w:r>
            <w:r w:rsidR="00C96639" w:rsidRPr="008852EB">
              <w:t>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6F6410" w14:textId="21F1C92A" w:rsidR="00050417" w:rsidRPr="008852EB" w:rsidRDefault="006A318B" w:rsidP="008852EB">
            <w:pPr>
              <w:pStyle w:val="Egyb0"/>
              <w:spacing w:after="0"/>
            </w:pPr>
            <w:r w:rsidRPr="008852EB">
              <w:t>R</w:t>
            </w:r>
            <w:r w:rsidR="00241CA3" w:rsidRPr="008852EB">
              <w:t>itka</w:t>
            </w:r>
          </w:p>
        </w:tc>
      </w:tr>
      <w:tr w:rsidR="00B42A69" w:rsidRPr="008852EB" w14:paraId="3AE94E7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15A8FD1" w14:textId="77777777" w:rsidR="00B42A69" w:rsidRPr="008852EB" w:rsidRDefault="00B42A6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3FDFB" w14:textId="6EA14B79" w:rsidR="00101B5F" w:rsidRPr="000143C5" w:rsidRDefault="00101B5F" w:rsidP="00D96B72">
            <w:pPr>
              <w:pStyle w:val="Default"/>
              <w:rPr>
                <w:lang w:val="hu-HU"/>
              </w:rPr>
            </w:pPr>
            <w:r w:rsidRPr="00D96B72">
              <w:rPr>
                <w:sz w:val="22"/>
                <w:szCs w:val="22"/>
                <w:lang w:val="hu-HU"/>
              </w:rPr>
              <w:t>Posthaemorrhagiás anaemia</w:t>
            </w:r>
            <w:r w:rsidR="000C2C3E" w:rsidRPr="00D96B72">
              <w:rPr>
                <w:sz w:val="22"/>
                <w:szCs w:val="22"/>
                <w:vertAlign w:val="superscript"/>
                <w:lang w:val="hu-HU"/>
              </w:rPr>
              <w:t xml:space="preserve"> </w:t>
            </w:r>
            <w:r w:rsidR="000C2C3E" w:rsidRPr="00D96B72">
              <w:rPr>
                <w:sz w:val="22"/>
                <w:szCs w:val="22"/>
                <w:lang w:val="hu-HU"/>
              </w:rPr>
              <w:t>vérzéssel összefüggésben</w:t>
            </w:r>
            <w:r w:rsidR="003E634D">
              <w:rPr>
                <w:sz w:val="22"/>
                <w:szCs w:val="22"/>
                <w:lang w:val="hu-HU"/>
              </w:rPr>
              <w:t>:</w:t>
            </w:r>
          </w:p>
          <w:p w14:paraId="25734FEA" w14:textId="64BCA3D3" w:rsidR="00101B5F" w:rsidRPr="008852EB" w:rsidRDefault="003E634D" w:rsidP="008852EB">
            <w:pPr>
              <w:pStyle w:val="Egyb0"/>
              <w:spacing w:after="0"/>
            </w:pPr>
            <w:r>
              <w:t>v</w:t>
            </w:r>
            <w:r w:rsidR="00101B5F" w:rsidRPr="008852EB">
              <w:t>ashiányos anaemia</w:t>
            </w:r>
            <w:r w:rsidR="000C2C3E" w:rsidRPr="008852EB">
              <w:rPr>
                <w:vertAlign w:val="superscript"/>
              </w:rPr>
              <w:t xml:space="preserve"> </w:t>
            </w:r>
            <w:r w:rsidR="000C2C3E" w:rsidRPr="008852EB">
              <w:t xml:space="preserve">vérzéssel összefüggésben </w:t>
            </w:r>
            <w:r w:rsidR="00101B5F" w:rsidRPr="008852EB">
              <w:t>az ennek megfelelő laboratóriumi és klinikai tünetekkel</w:t>
            </w:r>
          </w:p>
          <w:p w14:paraId="6097FB96" w14:textId="7F672346" w:rsidR="007F5CC8" w:rsidRPr="008852EB" w:rsidRDefault="007F5CC8" w:rsidP="008852EB">
            <w:pPr>
              <w:pStyle w:val="Egyb0"/>
              <w:spacing w:after="0"/>
              <w:rPr>
                <w:bCs/>
                <w:i/>
              </w:rPr>
            </w:pPr>
            <w:r w:rsidRPr="008852EB">
              <w:rPr>
                <w:bCs/>
              </w:rPr>
              <w:t xml:space="preserve">Olyan elnyújtott vérzési idővel jelentkező haemorrhagiák, mint amilyen az epistaxis, vagy a gingiva vérzése. A </w:t>
            </w:r>
            <w:r w:rsidRPr="008852EB">
              <w:rPr>
                <w:bCs/>
              </w:rPr>
              <w:lastRenderedPageBreak/>
              <w:t>tünetek az acetilszalicilsav</w:t>
            </w:r>
            <w:r w:rsidRPr="008852EB">
              <w:rPr>
                <w:bCs/>
              </w:rPr>
              <w:noBreakHyphen/>
              <w:t>kezelés befejezése után még 4</w:t>
            </w:r>
            <w:r w:rsidRPr="008852EB">
              <w:rPr>
                <w:bCs/>
              </w:rPr>
              <w:noBreakHyphen/>
              <w:t>8 napig is fennmaradhatnak. Mindezek következtében sebészi beavatkozások során fokozott lehet a vérzések kockázata.</w:t>
            </w:r>
          </w:p>
          <w:p w14:paraId="7A4C0489" w14:textId="53BF2659" w:rsidR="00101B5F" w:rsidRPr="008852EB" w:rsidRDefault="007F5CC8" w:rsidP="008852EB">
            <w:pPr>
              <w:pStyle w:val="Egyb0"/>
              <w:spacing w:after="0"/>
            </w:pPr>
            <w:r w:rsidRPr="008852EB">
              <w:rPr>
                <w:bCs/>
              </w:rPr>
              <w:t xml:space="preserve">Meglévő (haematemesis, melaena) vagy okkult </w:t>
            </w:r>
            <w:r w:rsidR="00686D0F" w:rsidRPr="00D96B72">
              <w:rPr>
                <w:bCs/>
              </w:rPr>
              <w:t>gas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trointes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tin</w:t>
            </w:r>
            <w:r w:rsidR="00686D0F">
              <w:rPr>
                <w:bCs/>
              </w:rPr>
              <w:t>á</w:t>
            </w:r>
            <w:r w:rsidR="00686D0F" w:rsidRPr="00D96B72">
              <w:rPr>
                <w:bCs/>
              </w:rPr>
              <w:t>lis</w:t>
            </w:r>
            <w:r w:rsidRPr="008852EB">
              <w:rPr>
                <w:bCs/>
              </w:rPr>
              <w:t xml:space="preserve"> vérzés, ami vashiányhoz vagy anaemiához vezethet (</w:t>
            </w:r>
            <w:r w:rsidR="005548E3" w:rsidRPr="008852EB">
              <w:rPr>
                <w:bCs/>
              </w:rPr>
              <w:t>nagyo</w:t>
            </w:r>
            <w:r w:rsidRPr="008852EB">
              <w:rPr>
                <w:bCs/>
              </w:rPr>
              <w:t>bb dózisok esetében gyakoribb).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570423" w14:textId="54A215B3" w:rsidR="00B42A69" w:rsidRPr="008852EB" w:rsidRDefault="00396689" w:rsidP="008852EB">
            <w:pPr>
              <w:pStyle w:val="Egyb0"/>
              <w:spacing w:after="0"/>
            </w:pPr>
            <w:r>
              <w:lastRenderedPageBreak/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46A309" w14:textId="039B5FC2" w:rsidR="00B42A69" w:rsidRPr="008852EB" w:rsidRDefault="00480379" w:rsidP="008852EB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050417" w:rsidRPr="008852EB" w14:paraId="7847F84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5F69570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FCA92" w14:textId="458BABA8" w:rsidR="00050417" w:rsidRPr="008852EB" w:rsidRDefault="00050417" w:rsidP="008852EB">
            <w:pPr>
              <w:pStyle w:val="Egyb0"/>
              <w:spacing w:after="0"/>
            </w:pPr>
            <w:r w:rsidRPr="008852EB">
              <w:t xml:space="preserve">Hemolysis </w:t>
            </w:r>
            <w:r w:rsidR="00D96DCF">
              <w:t>és</w:t>
            </w:r>
            <w:r w:rsidRPr="008852EB">
              <w:t xml:space="preserve"> </w:t>
            </w:r>
            <w:bookmarkStart w:id="18" w:name="_Hlk48754138"/>
            <w:r w:rsidRPr="008852EB">
              <w:t>hemolyti</w:t>
            </w:r>
            <w:r w:rsidR="00D96DCF">
              <w:t>c</w:t>
            </w:r>
            <w:r w:rsidR="007C4D13" w:rsidRPr="008852EB">
              <w:t>us</w:t>
            </w:r>
            <w:r w:rsidRPr="008852EB">
              <w:t xml:space="preserve"> anaemia </w:t>
            </w:r>
            <w:r w:rsidR="007C4D13" w:rsidRPr="008852EB">
              <w:t>súlyos glükóz-6-foszfát</w:t>
            </w:r>
            <w:r w:rsidR="00472903">
              <w:t>-</w:t>
            </w:r>
            <w:r w:rsidR="00965F5A" w:rsidRPr="008852EB">
              <w:t>dehidrogenáz defektusban szenvedő betegeknél</w:t>
            </w:r>
            <w:bookmarkEnd w:id="18"/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B1790" w14:textId="0C95EECB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E39E98" w14:textId="772F59E9" w:rsidR="00050417" w:rsidRPr="008852EB" w:rsidRDefault="00C96639" w:rsidP="008852EB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DD5F01" w:rsidRPr="008852EB" w14:paraId="6CB9C713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D610F" w14:textId="14695054" w:rsidR="00DD5F01" w:rsidRPr="008852EB" w:rsidRDefault="00DD5F01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Immunrendszeri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6AEEF3" w14:textId="3D5EBB91" w:rsidR="00DD5F01" w:rsidRPr="008852EB" w:rsidRDefault="00DD5F01" w:rsidP="008852EB">
            <w:pPr>
              <w:pStyle w:val="Egyb0"/>
              <w:spacing w:after="0"/>
            </w:pPr>
            <w:r w:rsidRPr="008852EB">
              <w:t xml:space="preserve">A bőr, a légzőrendszer, az emésztési rendszer és a </w:t>
            </w:r>
            <w:r>
              <w:t>k</w:t>
            </w:r>
            <w:r w:rsidRPr="008852EB">
              <w:t>ardiovas</w:t>
            </w:r>
            <w:r>
              <w:t>z</w:t>
            </w:r>
            <w:r w:rsidRPr="008852EB">
              <w:t>kul</w:t>
            </w:r>
            <w:r>
              <w:t>á</w:t>
            </w:r>
            <w:r w:rsidRPr="008852EB">
              <w:t>ris rendszer túlérzékenységi reakciói, különösen as</w:t>
            </w:r>
            <w:r>
              <w:t>z</w:t>
            </w:r>
            <w:r w:rsidRPr="008852EB">
              <w:t>tmás betegeknél</w:t>
            </w:r>
            <w:r>
              <w:t>.</w:t>
            </w:r>
            <w:r w:rsidRPr="008852EB">
              <w:t xml:space="preserve"> </w:t>
            </w:r>
          </w:p>
          <w:p w14:paraId="28517A8E" w14:textId="1B9E5E69" w:rsidR="00DD5F01" w:rsidRPr="000143C5" w:rsidRDefault="00DD5F01" w:rsidP="00B36C6C">
            <w:pPr>
              <w:pStyle w:val="Default"/>
              <w:rPr>
                <w:lang w:val="hu-HU"/>
              </w:rPr>
            </w:pPr>
            <w:r w:rsidRPr="008852EB">
              <w:rPr>
                <w:sz w:val="22"/>
                <w:szCs w:val="22"/>
                <w:lang w:val="hu-HU"/>
              </w:rPr>
              <w:t>Lehetséges tünetek: csökkent vérnyomás, légzési nehézség, rhinitis, orrdugulás, anaphylaxiás s</w:t>
            </w:r>
            <w:r>
              <w:rPr>
                <w:sz w:val="22"/>
                <w:szCs w:val="22"/>
                <w:lang w:val="hu-HU"/>
              </w:rPr>
              <w:t>h</w:t>
            </w:r>
            <w:r w:rsidRPr="008852EB">
              <w:rPr>
                <w:sz w:val="22"/>
                <w:szCs w:val="22"/>
                <w:lang w:val="hu-HU"/>
              </w:rPr>
              <w:t>o</w:t>
            </w:r>
            <w:r>
              <w:rPr>
                <w:sz w:val="22"/>
                <w:szCs w:val="22"/>
                <w:lang w:val="hu-HU"/>
              </w:rPr>
              <w:t>c</w:t>
            </w:r>
            <w:r w:rsidRPr="008852EB">
              <w:rPr>
                <w:sz w:val="22"/>
                <w:szCs w:val="22"/>
                <w:lang w:val="hu-HU"/>
              </w:rPr>
              <w:t>k vagy Quincke-oedema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76809" w14:textId="77777777" w:rsidR="00DD5F01" w:rsidRPr="008852EB" w:rsidRDefault="00DD5F01" w:rsidP="008852EB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BF01ED" w14:textId="59D29F44" w:rsidR="00DD5F01" w:rsidRPr="008852EB" w:rsidRDefault="00DD5F01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DD5F01" w:rsidRPr="008852EB" w14:paraId="3A6C9C1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E1705E9" w14:textId="77777777" w:rsidR="00DD5F01" w:rsidRPr="008852EB" w:rsidRDefault="00DD5F01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A8599" w14:textId="2598AF06" w:rsidR="00DD5F01" w:rsidRPr="008852EB" w:rsidRDefault="00DD5F01" w:rsidP="00472903">
            <w:pPr>
              <w:pStyle w:val="Egyb0"/>
              <w:spacing w:after="0"/>
            </w:pPr>
            <w:r w:rsidRPr="008852EB">
              <w:t>Túlérzékenységi reakciók, beleértve az angioedemát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F42322" w14:textId="10C28CDC" w:rsidR="00DD5F01" w:rsidRPr="008852EB" w:rsidRDefault="00DD5F01" w:rsidP="008852EB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F4C66A" w14:textId="77777777" w:rsidR="00DD5F01" w:rsidRPr="008852EB" w:rsidRDefault="00DD5F01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DD5F01" w:rsidRPr="008852EB" w14:paraId="71B48F7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BA49AA4" w14:textId="77777777" w:rsidR="00DD5F01" w:rsidRPr="008852EB" w:rsidRDefault="00DD5F01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D72E7" w14:textId="6B49DB1F" w:rsidR="00DD5F01" w:rsidRPr="008852EB" w:rsidRDefault="00DD5F01" w:rsidP="00472903">
            <w:pPr>
              <w:pStyle w:val="Egyb0"/>
              <w:spacing w:after="0"/>
            </w:pPr>
            <w:r>
              <w:t>A</w:t>
            </w:r>
            <w:r w:rsidRPr="001C7920">
              <w:t>nafilaxiás reakció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BDBBFD" w14:textId="1B1AB527" w:rsidR="00DD5F01" w:rsidRPr="008852EB" w:rsidRDefault="00DD5F01" w:rsidP="008852EB">
            <w:pPr>
              <w:pStyle w:val="Egyb0"/>
              <w:spacing w:after="0"/>
            </w:pPr>
            <w:r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1E255" w14:textId="0CCE789D" w:rsidR="00DD5F01" w:rsidRPr="008852EB" w:rsidRDefault="00DD5F01" w:rsidP="008852EB">
            <w:pPr>
              <w:pStyle w:val="Egyb0"/>
              <w:spacing w:after="0"/>
            </w:pPr>
            <w:r>
              <w:t>-</w:t>
            </w:r>
          </w:p>
        </w:tc>
      </w:tr>
      <w:tr w:rsidR="004D1727" w:rsidRPr="008852EB" w14:paraId="54F0A6F0" w14:textId="77777777" w:rsidTr="00A209E4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ADC293" w14:textId="5A2BEF00" w:rsidR="004D1727" w:rsidRPr="008852EB" w:rsidRDefault="004D1727" w:rsidP="00B36C6C">
            <w:pPr>
              <w:pStyle w:val="Egyb0"/>
              <w:keepNext/>
              <w:spacing w:after="0"/>
              <w:rPr>
                <w:iCs/>
              </w:rPr>
            </w:pPr>
            <w:r w:rsidRPr="008852EB">
              <w:rPr>
                <w:iCs/>
              </w:rPr>
              <w:t>Anyagcsere- és táplálkozási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E6A86" w14:textId="44F7A2A6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Hypo</w:t>
            </w:r>
            <w:r>
              <w:t>glyk</w:t>
            </w:r>
            <w:r w:rsidRPr="008852EB">
              <w:t>aemia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990E4" w14:textId="77777777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83831" w14:textId="4738E3BE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Nagyon ritka</w:t>
            </w:r>
          </w:p>
        </w:tc>
      </w:tr>
      <w:tr w:rsidR="004D1727" w:rsidRPr="008852EB" w14:paraId="6C062C19" w14:textId="77777777" w:rsidTr="00A209E4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599DAB7" w14:textId="77777777" w:rsidR="004D1727" w:rsidRPr="008852EB" w:rsidRDefault="004D1727" w:rsidP="00B36C6C">
            <w:pPr>
              <w:pStyle w:val="Egyb0"/>
              <w:keepNext/>
              <w:spacing w:after="0"/>
              <w:rPr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68911F" w14:textId="3F25F412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rPr>
                <w:bCs/>
              </w:rPr>
              <w:t>Hyperuricaemia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428CF" w14:textId="184DFF8A" w:rsidR="004D1727" w:rsidRPr="008852EB" w:rsidRDefault="004D1727" w:rsidP="00B36C6C">
            <w:pPr>
              <w:pStyle w:val="Egyb0"/>
              <w:keepNext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EE38CF" w14:textId="265812F0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Nem ismert</w:t>
            </w:r>
          </w:p>
        </w:tc>
      </w:tr>
      <w:tr w:rsidR="004D1727" w:rsidRPr="008852EB" w14:paraId="2E65AE05" w14:textId="77777777" w:rsidTr="00A209E4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F412579" w14:textId="77777777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475617" w14:textId="6876A098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Csökkent húgysav-kiválasztás</w:t>
            </w:r>
            <w:r>
              <w:t>,</w:t>
            </w:r>
            <w:r w:rsidRPr="008852EB">
              <w:t xml:space="preserve"> </w:t>
            </w:r>
            <w:r>
              <w:t>k</w:t>
            </w:r>
            <w:r w:rsidRPr="008852EB">
              <w:t>öszvényre hajlamos betegeknél köszvényes rohamot kiváltva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EA6F7" w14:textId="09692210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184040" w14:textId="29FBD6A4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Nagyon ritka</w:t>
            </w:r>
          </w:p>
        </w:tc>
      </w:tr>
      <w:tr w:rsidR="004D1727" w:rsidRPr="008852EB" w14:paraId="13724D6E" w14:textId="77777777" w:rsidTr="00A209E4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5C38CE3" w14:textId="77777777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0A207" w14:textId="407DC6F7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rPr>
                <w:lang w:eastAsia="hu-HU"/>
              </w:rPr>
              <w:t>Sav-bázis-háztartás zavarai, nátrium- és vízretenció (oedema)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4BDE9" w14:textId="67206EE4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06658A" w14:textId="5536E940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Nem ismert</w:t>
            </w:r>
          </w:p>
        </w:tc>
      </w:tr>
      <w:tr w:rsidR="00050417" w:rsidRPr="008852EB" w14:paraId="1BCF1423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1B655" w14:textId="397A215A" w:rsidR="00050417" w:rsidRPr="008852EB" w:rsidRDefault="00F21A6B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Endokrin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C9D6A" w14:textId="77777777" w:rsidR="00050417" w:rsidRPr="008852EB" w:rsidRDefault="00050417" w:rsidP="008852EB">
            <w:pPr>
              <w:pStyle w:val="Egyb0"/>
              <w:spacing w:after="0"/>
            </w:pPr>
            <w:r w:rsidRPr="008852EB">
              <w:t>Diabetes mellitus</w:t>
            </w:r>
            <w:r w:rsidRPr="008852EB">
              <w:rPr>
                <w:vertAlign w:val="superscript"/>
              </w:rPr>
              <w:t>2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FD0BD" w14:textId="72949330" w:rsidR="00050417" w:rsidRPr="008852EB" w:rsidRDefault="00C96639" w:rsidP="008852EB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7A559" w14:textId="77777777" w:rsidR="00050417" w:rsidRPr="008852EB" w:rsidRDefault="00050417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050417" w:rsidRPr="008852EB" w14:paraId="2926EAE9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43D28" w14:textId="2FC8F9EA" w:rsidR="00050417" w:rsidRPr="008852EB" w:rsidRDefault="0088706B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Pszichiátriai kórképek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EB1B72" w14:textId="28047506" w:rsidR="00050417" w:rsidRPr="008852EB" w:rsidRDefault="00135B61" w:rsidP="008852EB">
            <w:pPr>
              <w:pStyle w:val="Egyb0"/>
              <w:spacing w:after="0"/>
            </w:pPr>
            <w:r w:rsidRPr="008852EB">
              <w:t>Alvászavarok</w:t>
            </w:r>
            <w:r w:rsidR="00050417" w:rsidRPr="008852EB">
              <w:t xml:space="preserve"> (</w:t>
            </w:r>
            <w:r w:rsidRPr="008852EB">
              <w:t>álmatlanság</w:t>
            </w:r>
            <w:r w:rsidR="00050417" w:rsidRPr="008852EB">
              <w:t xml:space="preserve">, </w:t>
            </w:r>
            <w:r w:rsidRPr="008852EB">
              <w:t>rémálmok</w:t>
            </w:r>
            <w:r w:rsidR="00050417" w:rsidRPr="008852EB">
              <w:t xml:space="preserve">)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88BE40" w14:textId="07308539" w:rsidR="00050417" w:rsidRPr="008852EB" w:rsidRDefault="00C96639" w:rsidP="008852EB">
            <w:pPr>
              <w:pStyle w:val="Egyb0"/>
              <w:spacing w:after="0"/>
            </w:pPr>
            <w:r w:rsidRPr="008852EB">
              <w:t>Nem ismert</w:t>
            </w:r>
            <w:r w:rsidR="00050417"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F7954A" w14:textId="2096B179" w:rsidR="00050417" w:rsidRPr="008852EB" w:rsidRDefault="00396689" w:rsidP="008852EB">
            <w:pPr>
              <w:pStyle w:val="Egyb0"/>
              <w:spacing w:after="0"/>
            </w:pPr>
            <w:r>
              <w:t>-</w:t>
            </w:r>
          </w:p>
        </w:tc>
      </w:tr>
      <w:tr w:rsidR="00050417" w:rsidRPr="008852EB" w14:paraId="2D5DD7B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50EBADE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3C8C4" w14:textId="66384B99" w:rsidR="00050417" w:rsidRPr="008852EB" w:rsidRDefault="00050417" w:rsidP="008852EB">
            <w:pPr>
              <w:pStyle w:val="Egyb0"/>
              <w:spacing w:after="0"/>
            </w:pPr>
            <w:r w:rsidRPr="008852EB">
              <w:t>Depress</w:t>
            </w:r>
            <w:r w:rsidR="00135B61" w:rsidRPr="008852EB">
              <w:t>zió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9D32E" w14:textId="4A5D1A5A" w:rsidR="00050417" w:rsidRPr="008852EB" w:rsidRDefault="00C96639" w:rsidP="008852EB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876C97" w14:textId="7BDA1459" w:rsidR="00050417" w:rsidRPr="008852EB" w:rsidRDefault="00396689" w:rsidP="008852EB">
            <w:pPr>
              <w:pStyle w:val="Egyb0"/>
              <w:spacing w:after="0"/>
            </w:pPr>
            <w:r>
              <w:t>-</w:t>
            </w:r>
          </w:p>
        </w:tc>
      </w:tr>
      <w:tr w:rsidR="00050417" w:rsidRPr="008852EB" w14:paraId="466E1189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42A434F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4D26A" w14:textId="364D9B02" w:rsidR="00050417" w:rsidRPr="008852EB" w:rsidRDefault="00135B61" w:rsidP="008852EB">
            <w:pPr>
              <w:pStyle w:val="Egyb0"/>
              <w:spacing w:after="0"/>
            </w:pPr>
            <w:r w:rsidRPr="008852EB">
              <w:t>Zavartság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E90680" w14:textId="77777777" w:rsidR="00050417" w:rsidRPr="008852EB" w:rsidRDefault="00050417" w:rsidP="008852EB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B15BF" w14:textId="086CF4C1" w:rsidR="00050417" w:rsidRPr="008852EB" w:rsidRDefault="00C96639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040E97" w:rsidRPr="008852EB" w14:paraId="2BA2838E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A383BF" w14:textId="31CDE22E" w:rsidR="00040E97" w:rsidRPr="008852EB" w:rsidRDefault="00040E97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Idegrendszeri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1FB19" w14:textId="054E3029" w:rsidR="00040E97" w:rsidRPr="008852EB" w:rsidRDefault="00040E97" w:rsidP="008852EB">
            <w:pPr>
              <w:pStyle w:val="Egyb0"/>
              <w:spacing w:after="0"/>
            </w:pPr>
            <w:r w:rsidRPr="008852EB">
              <w:t xml:space="preserve">Szédülés, fejfájás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AB737" w14:textId="41CAC189" w:rsidR="00040E97" w:rsidRPr="008852EB" w:rsidRDefault="00040E97" w:rsidP="008852EB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23773F" w14:textId="3F21A833" w:rsidR="00040E97" w:rsidRPr="008852EB" w:rsidRDefault="00040E97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040E97" w:rsidRPr="008852EB" w14:paraId="07DFA5CA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49DA5FF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F5DF15" w14:textId="382F7C7F" w:rsidR="00040E97" w:rsidRPr="008852EB" w:rsidRDefault="00040E97" w:rsidP="008852EB">
            <w:pPr>
              <w:pStyle w:val="Egyb0"/>
              <w:spacing w:after="0"/>
            </w:pPr>
            <w:r w:rsidRPr="008852EB">
              <w:t>Hallásromlás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C125A" w14:textId="66C8D542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8EBEC" w14:textId="3EB595D2" w:rsidR="00040E97" w:rsidRPr="008852EB" w:rsidRDefault="00040E97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040E97" w:rsidRPr="008852EB" w14:paraId="6DEF5D19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9E7DCD3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0F4519" w14:textId="1A367B8E" w:rsidR="00040E97" w:rsidRPr="008852EB" w:rsidRDefault="00040E97" w:rsidP="008852EB">
            <w:pPr>
              <w:pStyle w:val="Egyb0"/>
              <w:spacing w:after="0"/>
            </w:pPr>
            <w:r w:rsidRPr="008852EB">
              <w:t xml:space="preserve">Perifériás neuropathia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DA9DA2" w14:textId="60970EE4" w:rsidR="00040E97" w:rsidRPr="008852EB" w:rsidRDefault="00040E97" w:rsidP="008852EB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DE299E" w14:textId="77777777" w:rsidR="00040E97" w:rsidRPr="008852EB" w:rsidRDefault="00040E97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040E97" w:rsidRPr="008852EB" w14:paraId="65452A6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2D38BF5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D03DA" w14:textId="3D6608E0" w:rsidR="00040E97" w:rsidRPr="008852EB" w:rsidRDefault="00040E97" w:rsidP="008852EB">
            <w:pPr>
              <w:pStyle w:val="Egyb0"/>
              <w:spacing w:after="0"/>
            </w:pPr>
            <w:r w:rsidRPr="008852EB">
              <w:t xml:space="preserve">Polyneuropathia,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9B7D6" w14:textId="3446BF95" w:rsidR="00040E97" w:rsidRPr="008852EB" w:rsidRDefault="00040E97" w:rsidP="008852EB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E46F6" w14:textId="77777777" w:rsidR="00040E97" w:rsidRPr="008852EB" w:rsidRDefault="00040E97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DA5960" w:rsidRPr="008852EB" w14:paraId="2277527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F41ADAB" w14:textId="77777777" w:rsidR="00DA5960" w:rsidRPr="008852EB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B04433" w14:textId="6A0204C1" w:rsidR="00DA5960" w:rsidRPr="008852EB" w:rsidRDefault="00DA5960" w:rsidP="008852EB">
            <w:pPr>
              <w:pStyle w:val="Egyb0"/>
              <w:spacing w:after="0"/>
            </w:pPr>
            <w:r>
              <w:t>M</w:t>
            </w:r>
            <w:r w:rsidRPr="008852EB">
              <w:t>emóriavesztés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53284" w14:textId="1BA3C367" w:rsidR="00DA5960" w:rsidRPr="008852EB" w:rsidRDefault="00DA5960" w:rsidP="008852EB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FD190" w14:textId="48D6B32D" w:rsidR="00DA5960" w:rsidRPr="008852EB" w:rsidRDefault="00DA5960" w:rsidP="008852EB">
            <w:pPr>
              <w:pStyle w:val="Egyb0"/>
              <w:spacing w:after="0"/>
            </w:pPr>
            <w:r>
              <w:t>-</w:t>
            </w:r>
          </w:p>
        </w:tc>
      </w:tr>
      <w:tr w:rsidR="00040E97" w:rsidRPr="008852EB" w14:paraId="63670F7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3A0560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D1E80" w14:textId="1E973F08" w:rsidR="00040E97" w:rsidRPr="008852EB" w:rsidRDefault="00040E97" w:rsidP="008852EB">
            <w:pPr>
              <w:pStyle w:val="Egyb0"/>
              <w:spacing w:after="0"/>
            </w:pPr>
            <w:r w:rsidRPr="00040E97">
              <w:t>Myasthenia gravis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7DA42" w14:textId="14A0FD4E" w:rsidR="00040E97" w:rsidRPr="008852EB" w:rsidRDefault="00040E97" w:rsidP="008852EB">
            <w:pPr>
              <w:pStyle w:val="Egyb0"/>
              <w:spacing w:after="0"/>
            </w:pPr>
            <w:r w:rsidRPr="00040E97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3CF3EF" w14:textId="0BA84F03" w:rsidR="00040E97" w:rsidRPr="008852EB" w:rsidRDefault="00040E97" w:rsidP="008852EB">
            <w:pPr>
              <w:pStyle w:val="Egyb0"/>
              <w:spacing w:after="0"/>
            </w:pPr>
            <w:r>
              <w:t>-</w:t>
            </w:r>
          </w:p>
        </w:tc>
      </w:tr>
      <w:tr w:rsidR="00DA5960" w:rsidRPr="008852EB" w14:paraId="426CB725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A578B" w14:textId="314E1012" w:rsidR="00DA5960" w:rsidRPr="008852EB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D96B72">
              <w:rPr>
                <w:rFonts w:ascii="Times New Roman" w:hAnsi="Times New Roman" w:cs="Times New Roman"/>
                <w:bCs/>
                <w:iCs/>
              </w:rPr>
              <w:t>Érbetegségek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D3C72" w14:textId="1771F8F3" w:rsidR="00DA5960" w:rsidRPr="008852EB" w:rsidRDefault="00DA5960" w:rsidP="00B36C6C">
            <w:pPr>
              <w:pStyle w:val="Default"/>
              <w:rPr>
                <w:bCs/>
              </w:rPr>
            </w:pPr>
            <w:r w:rsidRPr="00D96B72">
              <w:rPr>
                <w:bCs/>
                <w:sz w:val="22"/>
                <w:szCs w:val="22"/>
                <w:lang w:val="hu-HU"/>
              </w:rPr>
              <w:t>Hemorrhagiás vasculitis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64D028" w14:textId="2E093073" w:rsidR="00DA5960" w:rsidRPr="008852EB" w:rsidRDefault="00DA5960" w:rsidP="008852EB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927A5A" w14:textId="00D2D8C3" w:rsidR="00DA5960" w:rsidRPr="008852EB" w:rsidRDefault="00DA5960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DA5960" w:rsidRPr="008852EB" w14:paraId="3351D9B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63539B9" w14:textId="77777777" w:rsidR="00DA5960" w:rsidRPr="00D96B72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F45024" w14:textId="511D550E" w:rsidR="00DA5960" w:rsidRPr="00D24B7D" w:rsidRDefault="00DA5960" w:rsidP="00B36C6C">
            <w:pPr>
              <w:spacing w:after="0" w:line="240" w:lineRule="auto"/>
            </w:pPr>
            <w:r w:rsidRPr="00D96B72">
              <w:rPr>
                <w:rFonts w:ascii="Times New Roman" w:hAnsi="Times New Roman" w:cs="Times New Roman"/>
              </w:rPr>
              <w:t>Perioperatív haemorrhagia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B33811" w14:textId="1D176088" w:rsidR="00DA5960" w:rsidRDefault="00DA5960" w:rsidP="008852EB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7AA67D" w14:textId="276FBEE2" w:rsidR="00DA5960" w:rsidRPr="008852EB" w:rsidRDefault="00DA5960" w:rsidP="008852EB">
            <w:pPr>
              <w:pStyle w:val="Egyb0"/>
              <w:spacing w:after="0"/>
            </w:pPr>
            <w:r w:rsidRPr="00897CE0">
              <w:t>Ritka</w:t>
            </w:r>
          </w:p>
        </w:tc>
      </w:tr>
      <w:tr w:rsidR="00DA5960" w:rsidRPr="008852EB" w14:paraId="0D949F7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D4259D" w14:textId="77777777" w:rsidR="00DA5960" w:rsidRPr="00D96B72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3BE19" w14:textId="667DC1EC" w:rsidR="00DA5960" w:rsidRPr="00D96B72" w:rsidRDefault="00DA5960" w:rsidP="008852EB">
            <w:pPr>
              <w:pStyle w:val="Default"/>
              <w:rPr>
                <w:bCs/>
                <w:sz w:val="22"/>
                <w:szCs w:val="22"/>
                <w:lang w:val="hu-HU"/>
              </w:rPr>
            </w:pPr>
            <w:r w:rsidRPr="008852EB">
              <w:t>Vérömleny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07231" w14:textId="0366BB6A" w:rsidR="00DA5960" w:rsidRDefault="00DA5960" w:rsidP="008852EB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9829D" w14:textId="2441D928" w:rsidR="00DA5960" w:rsidRPr="008852EB" w:rsidRDefault="00DA5960" w:rsidP="008852EB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26235D" w:rsidRPr="008852EB" w14:paraId="27B349D2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EE2AC" w14:textId="48CC5BF2" w:rsidR="0026235D" w:rsidRPr="00D96B72" w:rsidRDefault="0026235D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040E97">
              <w:rPr>
                <w:rFonts w:ascii="Times New Roman" w:hAnsi="Times New Roman" w:cs="Times New Roman"/>
                <w:bCs/>
                <w:iCs/>
              </w:rPr>
              <w:t>Szembetegségek és szemészeti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AAF75" w14:textId="62F0294E" w:rsidR="0026235D" w:rsidRPr="00D96B72" w:rsidRDefault="0026235D" w:rsidP="0026235D">
            <w:pPr>
              <w:pStyle w:val="Default"/>
              <w:rPr>
                <w:bCs/>
                <w:sz w:val="22"/>
                <w:szCs w:val="22"/>
                <w:lang w:val="hu-HU"/>
              </w:rPr>
            </w:pPr>
            <w:r w:rsidRPr="00040E97">
              <w:rPr>
                <w:bCs/>
                <w:sz w:val="22"/>
                <w:szCs w:val="22"/>
                <w:lang w:val="hu-HU"/>
              </w:rPr>
              <w:t>Ocularis myasthenia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A0693" w14:textId="326D7FBC" w:rsidR="0026235D" w:rsidRDefault="0026235D" w:rsidP="0026235D">
            <w:pPr>
              <w:pStyle w:val="Egyb0"/>
              <w:spacing w:after="0"/>
            </w:pPr>
            <w:r w:rsidRPr="00040E97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AB24E6" w14:textId="3F317A0B" w:rsidR="0026235D" w:rsidRPr="008852EB" w:rsidRDefault="0026235D" w:rsidP="0026235D">
            <w:pPr>
              <w:pStyle w:val="Egyb0"/>
              <w:spacing w:after="0"/>
            </w:pPr>
            <w:r>
              <w:t>-</w:t>
            </w:r>
          </w:p>
        </w:tc>
      </w:tr>
      <w:tr w:rsidR="00DE76F4" w:rsidRPr="008852EB" w14:paraId="1E6ED2D1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79678" w14:textId="357A7E52" w:rsidR="00DE76F4" w:rsidRPr="008852EB" w:rsidRDefault="00DE76F4" w:rsidP="0026235D">
            <w:pPr>
              <w:pStyle w:val="Egyb0"/>
              <w:spacing w:after="0"/>
              <w:rPr>
                <w:iCs/>
              </w:rPr>
            </w:pPr>
            <w:r w:rsidRPr="008852EB">
              <w:rPr>
                <w:iCs/>
              </w:rPr>
              <w:t>A fül és az egyensúly-érzékelő szerv betegségei és tünetei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43B27" w14:textId="292B8B6E" w:rsidR="00DE76F4" w:rsidRPr="008852EB" w:rsidRDefault="00DE76F4" w:rsidP="00472903">
            <w:pPr>
              <w:pStyle w:val="Egyb0"/>
              <w:spacing w:after="0"/>
            </w:pPr>
            <w:r w:rsidRPr="008852EB">
              <w:t>Fülzúgás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EE44E6" w14:textId="78C711AD" w:rsidR="00DE76F4" w:rsidRPr="008852EB" w:rsidRDefault="00DE76F4" w:rsidP="00472903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D5FD9B" w14:textId="3BEDB2EA" w:rsidR="00DE76F4" w:rsidRPr="008852EB" w:rsidRDefault="00DE76F4" w:rsidP="00472903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771613" w:rsidRPr="008852EB" w14:paraId="628B47E8" w14:textId="77777777" w:rsidTr="00362685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09EB92" w14:textId="22025DA8" w:rsidR="00771613" w:rsidRPr="008852EB" w:rsidRDefault="00771613" w:rsidP="0026235D">
            <w:pPr>
              <w:pStyle w:val="Egyb0"/>
              <w:spacing w:after="0"/>
              <w:rPr>
                <w:iCs/>
              </w:rPr>
            </w:pPr>
            <w:r w:rsidRPr="00D96B72">
              <w:t>Szívbetegségek és a szívvel kapcsolatos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9F0366" w14:textId="10C1A3DB" w:rsidR="00771613" w:rsidRPr="008852EB" w:rsidRDefault="00771613" w:rsidP="0026235D">
            <w:pPr>
              <w:pStyle w:val="Egyb0"/>
              <w:spacing w:after="0"/>
            </w:pPr>
            <w:r w:rsidRPr="008852EB">
              <w:t>Cardiorespiratoricus distress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24535" w14:textId="2458F8A4" w:rsidR="00771613" w:rsidRPr="008852EB" w:rsidRDefault="00771613" w:rsidP="0026235D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35E47C" w14:textId="6FB7D223" w:rsidR="00771613" w:rsidRPr="008852EB" w:rsidRDefault="00771613" w:rsidP="0026235D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771613" w:rsidRPr="008852EB" w14:paraId="3E083781" w14:textId="77777777" w:rsidTr="00362685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22A5EB" w14:textId="77777777" w:rsidR="00771613" w:rsidRPr="00D96B72" w:rsidRDefault="00771613" w:rsidP="0026235D">
            <w:pPr>
              <w:pStyle w:val="Egyb0"/>
              <w:spacing w:after="0"/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40E59" w14:textId="123F67BA" w:rsidR="00771613" w:rsidRPr="008852EB" w:rsidRDefault="00771613" w:rsidP="0026235D">
            <w:pPr>
              <w:pStyle w:val="Egyb0"/>
              <w:spacing w:after="0"/>
            </w:pPr>
            <w:r>
              <w:t>Kounis-szindróma</w:t>
            </w:r>
            <w:r>
              <w:rPr>
                <w:vertAlign w:val="superscript"/>
              </w:rPr>
              <w:t>3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E74E58" w14:textId="3D082A6F" w:rsidR="00771613" w:rsidRDefault="00771613" w:rsidP="0026235D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B52990" w14:textId="403A214D" w:rsidR="00771613" w:rsidRPr="008852EB" w:rsidRDefault="00771613" w:rsidP="0026235D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472903" w:rsidRPr="008852EB" w14:paraId="14F72AD9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4A89AF" w14:textId="6EB96241" w:rsidR="00472903" w:rsidRPr="008852EB" w:rsidRDefault="00472903" w:rsidP="0026235D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Légzőrendszeri, mellkasi és mediastinalis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9105F9" w14:textId="76560EA3" w:rsidR="00472903" w:rsidRPr="008852EB" w:rsidRDefault="00472903" w:rsidP="0026235D">
            <w:pPr>
              <w:pStyle w:val="Egyb0"/>
              <w:spacing w:after="0"/>
            </w:pPr>
            <w:r w:rsidRPr="008852EB">
              <w:t>Nehézlégzés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9EDDA1" w14:textId="6DADA9F8" w:rsidR="00472903" w:rsidRPr="008852EB" w:rsidRDefault="00472903" w:rsidP="0026235D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A9177E" w14:textId="77777777" w:rsidR="00472903" w:rsidRPr="008852EB" w:rsidRDefault="00472903" w:rsidP="0026235D">
            <w:pPr>
              <w:pStyle w:val="Egyb0"/>
              <w:spacing w:after="0"/>
            </w:pPr>
            <w:r w:rsidRPr="008852EB">
              <w:t>-</w:t>
            </w:r>
          </w:p>
        </w:tc>
      </w:tr>
      <w:tr w:rsidR="00472903" w:rsidRPr="008852EB" w14:paraId="58EB785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93373DD" w14:textId="77777777" w:rsidR="00472903" w:rsidRPr="008852EB" w:rsidRDefault="00472903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0C57D" w14:textId="43EA240A" w:rsidR="00472903" w:rsidRPr="008852EB" w:rsidRDefault="00472903" w:rsidP="0026235D">
            <w:pPr>
              <w:pStyle w:val="Egyb0"/>
              <w:spacing w:after="0"/>
            </w:pPr>
            <w:r w:rsidRPr="008852EB">
              <w:t>Rhinitis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5554E" w14:textId="77777777" w:rsidR="00472903" w:rsidRPr="008852EB" w:rsidRDefault="00472903" w:rsidP="0026235D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665C9" w14:textId="332922E7" w:rsidR="00472903" w:rsidRPr="008852EB" w:rsidRDefault="00472903" w:rsidP="0026235D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472903" w:rsidRPr="008852EB" w14:paraId="144CF29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C742414" w14:textId="77777777" w:rsidR="00472903" w:rsidRPr="008852EB" w:rsidRDefault="00472903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9903E1" w14:textId="05D411B9" w:rsidR="00472903" w:rsidRPr="008852EB" w:rsidRDefault="00472903" w:rsidP="0026235D">
            <w:pPr>
              <w:pStyle w:val="Egyb0"/>
              <w:spacing w:after="0"/>
            </w:pPr>
            <w:r w:rsidRPr="008852EB">
              <w:t>Köhögés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36CF29" w14:textId="602C1766" w:rsidR="00472903" w:rsidRPr="008852EB" w:rsidRDefault="00472903" w:rsidP="0026235D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664FB" w14:textId="77777777" w:rsidR="00472903" w:rsidRPr="008852EB" w:rsidRDefault="00472903" w:rsidP="0026235D">
            <w:pPr>
              <w:pStyle w:val="Egyb0"/>
              <w:spacing w:after="0"/>
            </w:pPr>
            <w:r w:rsidRPr="008852EB">
              <w:t>-</w:t>
            </w:r>
          </w:p>
        </w:tc>
      </w:tr>
      <w:tr w:rsidR="00472903" w:rsidRPr="008852EB" w14:paraId="2E62DB6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9FA853B" w14:textId="77777777" w:rsidR="00472903" w:rsidRPr="008852EB" w:rsidRDefault="00472903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D603ED" w14:textId="3DC4DAC3" w:rsidR="00472903" w:rsidRPr="008852EB" w:rsidRDefault="00472903" w:rsidP="0026235D">
            <w:pPr>
              <w:pStyle w:val="Egyb0"/>
              <w:spacing w:after="0"/>
            </w:pPr>
            <w:r w:rsidRPr="008852EB">
              <w:rPr>
                <w:bCs/>
              </w:rPr>
              <w:t>Bronchospasmus, asztmás rohamok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14641" w14:textId="50C658D9" w:rsidR="00472903" w:rsidRPr="008852EB" w:rsidRDefault="00472903" w:rsidP="0026235D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D11D6D" w14:textId="44093B8A" w:rsidR="00472903" w:rsidRPr="008852EB" w:rsidRDefault="00472903" w:rsidP="0026235D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472903" w:rsidRPr="008852EB" w14:paraId="5D95A6A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01AD5A8" w14:textId="77777777" w:rsidR="00472903" w:rsidRPr="008852EB" w:rsidRDefault="00472903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833CDC" w14:textId="3EC44D4C" w:rsidR="00472903" w:rsidRPr="008852EB" w:rsidRDefault="00472903" w:rsidP="00127251">
            <w:pPr>
              <w:pStyle w:val="Egyb0"/>
              <w:spacing w:after="0"/>
              <w:rPr>
                <w:bCs/>
              </w:rPr>
            </w:pPr>
            <w:r w:rsidRPr="008852EB">
              <w:t>Orrvérzés, orrdugulás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2B1EA" w14:textId="0927F94D" w:rsidR="00472903" w:rsidRDefault="00472903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3050B9" w14:textId="77F4B5D8" w:rsidR="00472903" w:rsidRPr="008852EB" w:rsidRDefault="00472903" w:rsidP="00127251">
            <w:pPr>
              <w:pStyle w:val="Egyb0"/>
              <w:spacing w:after="0"/>
            </w:pPr>
            <w:r w:rsidRPr="00127251">
              <w:t>Nem ismert</w:t>
            </w:r>
          </w:p>
        </w:tc>
      </w:tr>
      <w:tr w:rsidR="00127251" w:rsidRPr="008852EB" w14:paraId="6B2B3307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332A4" w14:textId="6C4CC44E" w:rsidR="00127251" w:rsidRPr="008852EB" w:rsidRDefault="00127251" w:rsidP="00127251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Emésztőrendszeri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AA8BB" w14:textId="4BF8A76D" w:rsidR="00127251" w:rsidRPr="008852EB" w:rsidRDefault="00127251" w:rsidP="00127251">
            <w:pPr>
              <w:pStyle w:val="Egyb0"/>
              <w:spacing w:after="0"/>
            </w:pPr>
            <w:r w:rsidRPr="008852EB">
              <w:t>Gyomorégés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7B7AC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7DFBA1" w14:textId="3EB65470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7C2804A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0341042" w14:textId="77777777" w:rsidR="00127251" w:rsidRPr="008852EB" w:rsidRDefault="00127251" w:rsidP="00127251">
            <w:pPr>
              <w:pStyle w:val="Egyb0"/>
              <w:spacing w:after="0"/>
              <w:rPr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08C52" w14:textId="313DE8A9" w:rsidR="00127251" w:rsidRPr="008852EB" w:rsidRDefault="00127251" w:rsidP="00127251">
            <w:pPr>
              <w:pStyle w:val="Egyb0"/>
              <w:spacing w:after="0"/>
            </w:pPr>
            <w:r w:rsidRPr="008852EB">
              <w:t>Dyspepsia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F3DF30" w14:textId="6C762AEE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C5ED29" w14:textId="2F1378D5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49AD362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3518C79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8704C1" w14:textId="62ABFDA0" w:rsidR="00127251" w:rsidRPr="008852EB" w:rsidRDefault="00127251" w:rsidP="00127251">
            <w:pPr>
              <w:pStyle w:val="Egyb0"/>
              <w:spacing w:after="0"/>
            </w:pPr>
            <w:r w:rsidRPr="008852EB">
              <w:t>Hányás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E3143" w14:textId="35A26272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44A651" w14:textId="5FD7DDD1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01A2DF5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502A5D9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1341A" w14:textId="40A00DF8" w:rsidR="00127251" w:rsidRPr="008852EB" w:rsidRDefault="00127251" w:rsidP="00127251">
            <w:pPr>
              <w:pStyle w:val="Egyb0"/>
              <w:spacing w:after="0"/>
            </w:pPr>
            <w:r w:rsidRPr="008852EB">
              <w:t>Hasi fájdalom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87AC0" w14:textId="0D84AF1D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9DF29" w14:textId="1EFEDE61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190DF34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05EF654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CD9AC" w14:textId="46E1E770" w:rsidR="00127251" w:rsidRPr="008852EB" w:rsidRDefault="00127251" w:rsidP="00127251">
            <w:pPr>
              <w:pStyle w:val="Egyb0"/>
              <w:spacing w:after="0"/>
            </w:pPr>
            <w:r w:rsidRPr="008852EB">
              <w:t>Émelygés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D762AB" w14:textId="247DEF8C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10306" w14:textId="68F900D7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4212385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73A5BBB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E0195" w14:textId="0A4B479F" w:rsidR="00127251" w:rsidRPr="008852EB" w:rsidRDefault="00127251" w:rsidP="00127251">
            <w:pPr>
              <w:pStyle w:val="Egyb0"/>
              <w:spacing w:after="0"/>
            </w:pPr>
            <w:r w:rsidRPr="008852EB">
              <w:t>Kismértékű vérveszteség a gas</w:t>
            </w:r>
            <w:r w:rsidR="00686D0F">
              <w:t>z</w:t>
            </w:r>
            <w:r w:rsidRPr="008852EB">
              <w:t>trointesztinális traktusból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EF7323" w14:textId="5640938B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2106E4" w14:textId="703D4D0B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1FD79AF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A815884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2DC7CC" w14:textId="617D3D36" w:rsidR="00127251" w:rsidRPr="008852EB" w:rsidRDefault="00127251" w:rsidP="00127251">
            <w:pPr>
              <w:pStyle w:val="Egyb0"/>
              <w:spacing w:after="0"/>
              <w:rPr>
                <w:bCs/>
                <w:i/>
              </w:rPr>
            </w:pPr>
            <w:r w:rsidRPr="008852EB">
              <w:rPr>
                <w:bCs/>
              </w:rPr>
              <w:t>Súlyos gastrointestinalis haemorrhagia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6C317" w14:textId="7468559B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8704FF" w14:textId="190F4A44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127251" w:rsidRPr="008852EB" w14:paraId="3F004E3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00911F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303D4" w14:textId="4DC8A285" w:rsidR="00127251" w:rsidRPr="008852EB" w:rsidRDefault="00127251" w:rsidP="00127251">
            <w:pPr>
              <w:pStyle w:val="Egyb0"/>
              <w:spacing w:after="0"/>
            </w:pPr>
            <w:r w:rsidRPr="008852EB">
              <w:t>Székrekedés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6A05A" w14:textId="6E3C5958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2695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1F8D07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9C4F6B0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38709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Pancreatitis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44229A" w14:textId="08CF6208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F04E4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D1D682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1614B2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8DEC2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Diarrhoea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A9F9E5" w14:textId="5E6D996D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4C318" w14:textId="57B9C725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57DB3F3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C308FE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0E8469" w14:textId="28F59453" w:rsidR="00127251" w:rsidRPr="008852EB" w:rsidRDefault="00127251" w:rsidP="00686D0F">
            <w:pPr>
              <w:pStyle w:val="Egyb0"/>
              <w:spacing w:after="0"/>
            </w:pPr>
            <w:r w:rsidRPr="008852EB">
              <w:t>Gas</w:t>
            </w:r>
            <w:r w:rsidR="00686D0F">
              <w:t>z</w:t>
            </w:r>
            <w:r w:rsidRPr="008852EB">
              <w:t>trointes</w:t>
            </w:r>
            <w:r w:rsidR="00686D0F">
              <w:t>z</w:t>
            </w:r>
            <w:r w:rsidRPr="008852EB">
              <w:t>tin</w:t>
            </w:r>
            <w:r w:rsidR="00686D0F">
              <w:t>á</w:t>
            </w:r>
            <w:r w:rsidRPr="008852EB">
              <w:t>lis fekély, ami nagyon ritka esetben perforációhoz vezethet.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FAA02A" w14:textId="0015CB6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F3403" w14:textId="43C607EB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127251" w:rsidRPr="008852EB" w14:paraId="5F46F47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115F36F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28AEDC" w14:textId="7DF7A7D5" w:rsidR="00127251" w:rsidRPr="008852EB" w:rsidRDefault="00686D0F" w:rsidP="00127251">
            <w:pPr>
              <w:pStyle w:val="Egyb0"/>
              <w:spacing w:after="0"/>
            </w:pPr>
            <w:r>
              <w:rPr>
                <w:bCs/>
              </w:rPr>
              <w:t>G</w:t>
            </w:r>
            <w:r w:rsidRPr="00D96B72">
              <w:rPr>
                <w:bCs/>
              </w:rPr>
              <w:t>as</w:t>
            </w:r>
            <w:r>
              <w:rPr>
                <w:bCs/>
              </w:rPr>
              <w:t>z</w:t>
            </w:r>
            <w:r w:rsidRPr="00D96B72">
              <w:rPr>
                <w:bCs/>
              </w:rPr>
              <w:t>trointes</w:t>
            </w:r>
            <w:r>
              <w:rPr>
                <w:bCs/>
              </w:rPr>
              <w:t>z</w:t>
            </w:r>
            <w:r w:rsidRPr="00D96B72">
              <w:rPr>
                <w:bCs/>
              </w:rPr>
              <w:t>tin</w:t>
            </w:r>
            <w:r>
              <w:rPr>
                <w:bCs/>
              </w:rPr>
              <w:t>á</w:t>
            </w:r>
            <w:r w:rsidRPr="00D96B72">
              <w:rPr>
                <w:bCs/>
              </w:rPr>
              <w:t>lis</w:t>
            </w:r>
            <w:r w:rsidR="00127251" w:rsidRPr="008852EB">
              <w:t xml:space="preserve"> vérzés</w:t>
            </w:r>
            <w:r w:rsidR="00771613">
              <w:rPr>
                <w:vertAlign w:val="superscript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C8F6FA" w14:textId="6E356980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B7B27B" w14:textId="42B45E66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127251" w:rsidRPr="008852EB" w14:paraId="639BAEA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01D8CF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B6A73E" w14:textId="1484BB05" w:rsidR="00127251" w:rsidRPr="008852EB" w:rsidRDefault="00127251" w:rsidP="00686D0F">
            <w:pPr>
              <w:pStyle w:val="Egyb0"/>
              <w:spacing w:after="0"/>
            </w:pPr>
            <w:r w:rsidRPr="008852EB">
              <w:t>G</w:t>
            </w:r>
            <w:r w:rsidR="00686D0F" w:rsidRPr="00D96B72">
              <w:rPr>
                <w:bCs/>
              </w:rPr>
              <w:t>as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trointes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tin</w:t>
            </w:r>
            <w:r w:rsidR="00686D0F">
              <w:rPr>
                <w:bCs/>
              </w:rPr>
              <w:t>á</w:t>
            </w:r>
            <w:r w:rsidR="00686D0F" w:rsidRPr="00D96B72">
              <w:rPr>
                <w:bCs/>
              </w:rPr>
              <w:t>lis</w:t>
            </w:r>
            <w:r w:rsidRPr="008852EB">
              <w:t xml:space="preserve"> gyulladás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3ACD7E" w14:textId="52466AE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A17B1" w14:textId="4C51EC8B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127251" w:rsidRPr="008852EB" w14:paraId="0DB8FFF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6871B58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30FC66" w14:textId="7B1EA4DB" w:rsidR="00127251" w:rsidRPr="008852EB" w:rsidRDefault="00127251" w:rsidP="00127251">
            <w:pPr>
              <w:pStyle w:val="Egyb0"/>
              <w:spacing w:after="0"/>
            </w:pPr>
            <w:r w:rsidRPr="008852EB">
              <w:t>Ínyvérzés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4FB171" w14:textId="3D1EDE0B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71478" w14:textId="7F3DC826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41AF9A6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2E2B20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391E1A" w14:textId="43077A92" w:rsidR="00127251" w:rsidRPr="008852EB" w:rsidRDefault="00166F0B" w:rsidP="00B36C6C">
            <w:pPr>
              <w:spacing w:after="0"/>
            </w:pPr>
            <w:r w:rsidRPr="00166F0B">
              <w:rPr>
                <w:rFonts w:ascii="Times New Roman" w:eastAsia="Times New Roman" w:hAnsi="Times New Roman" w:cs="Times New Roman"/>
              </w:rPr>
              <w:t xml:space="preserve">A bélnyálkahártya </w:t>
            </w:r>
            <w:r w:rsidR="00686D0F">
              <w:rPr>
                <w:rFonts w:ascii="Times New Roman" w:eastAsia="Times New Roman" w:hAnsi="Times New Roman" w:cs="Times New Roman"/>
              </w:rPr>
              <w:t xml:space="preserve">korábbi </w:t>
            </w:r>
            <w:r w:rsidRPr="00166F0B">
              <w:rPr>
                <w:rFonts w:ascii="Times New Roman" w:eastAsia="Times New Roman" w:hAnsi="Times New Roman" w:cs="Times New Roman"/>
              </w:rPr>
              <w:t>károsodása többszörös membrán kialakulásához vezethet a bél lumenében, ami később szűkületet okozhat.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449D1E" w14:textId="7051B924" w:rsidR="00127251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C784A" w14:textId="42418077" w:rsidR="00127251" w:rsidRPr="008852EB" w:rsidRDefault="00127251" w:rsidP="00127251">
            <w:pPr>
              <w:pStyle w:val="Egyb0"/>
              <w:spacing w:after="0"/>
            </w:pPr>
            <w:r>
              <w:t>Nem ismert</w:t>
            </w:r>
          </w:p>
        </w:tc>
      </w:tr>
      <w:tr w:rsidR="00127251" w:rsidRPr="008852EB" w14:paraId="510728A7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034F8" w14:textId="1FEF33AF" w:rsidR="00127251" w:rsidRPr="008852EB" w:rsidRDefault="00127251" w:rsidP="00B36C6C">
            <w:pPr>
              <w:pStyle w:val="Egyb0"/>
              <w:keepNext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Máj- és epebetegségek, illetve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3CD533" w14:textId="77777777" w:rsidR="00127251" w:rsidRPr="008852EB" w:rsidRDefault="00127251" w:rsidP="00B36C6C">
            <w:pPr>
              <w:pStyle w:val="Egyb0"/>
              <w:keepNext/>
              <w:spacing w:after="0"/>
            </w:pPr>
            <w:r w:rsidRPr="008852EB">
              <w:t>Hepatitis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CBEDD3" w14:textId="5F04D55C" w:rsidR="00127251" w:rsidRPr="008852EB" w:rsidRDefault="00127251" w:rsidP="00B36C6C">
            <w:pPr>
              <w:pStyle w:val="Egyb0"/>
              <w:keepNext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6FB1DC" w14:textId="77777777" w:rsidR="00127251" w:rsidRPr="008852EB" w:rsidRDefault="00127251" w:rsidP="00B36C6C">
            <w:pPr>
              <w:pStyle w:val="Egyb0"/>
              <w:keepNext/>
              <w:spacing w:after="0"/>
            </w:pPr>
            <w:r w:rsidRPr="008852EB">
              <w:t>-</w:t>
            </w:r>
          </w:p>
        </w:tc>
      </w:tr>
      <w:tr w:rsidR="00127251" w:rsidRPr="008852EB" w14:paraId="5BCF232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AAF5F71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ED448C" w14:textId="002B9C7F" w:rsidR="00127251" w:rsidRPr="008852EB" w:rsidRDefault="00127251" w:rsidP="00127251">
            <w:pPr>
              <w:pStyle w:val="Egyb0"/>
              <w:spacing w:after="0"/>
            </w:pPr>
            <w:r w:rsidRPr="008852EB">
              <w:t>Sárgaság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6B882D" w14:textId="4BF7C093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3ED9C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A03FDA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4858DA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990A41" w14:textId="4D748B4F" w:rsidR="00127251" w:rsidRPr="008852EB" w:rsidRDefault="00127251" w:rsidP="00127251">
            <w:pPr>
              <w:pStyle w:val="Egyb0"/>
              <w:spacing w:after="0"/>
            </w:pPr>
            <w:r w:rsidRPr="008852EB">
              <w:t>Megnövekedett máj transzamináz</w:t>
            </w:r>
            <w:r w:rsidR="00C85720">
              <w:t>-</w:t>
            </w:r>
            <w:r w:rsidRPr="008852EB">
              <w:t xml:space="preserve"> értékek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2B2260" w14:textId="34A28B79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290A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19FCDFE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625F4B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29C12F" w14:textId="7FAF2178" w:rsidR="00127251" w:rsidRPr="008852EB" w:rsidRDefault="00127251" w:rsidP="00127251">
            <w:pPr>
              <w:pStyle w:val="Egyb0"/>
              <w:spacing w:after="0"/>
            </w:pPr>
            <w:r w:rsidRPr="008852EB">
              <w:t>Megnövekedett májfunkciós értékek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E50477" w14:textId="39E29F4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8FB49" w14:textId="727358EF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</w:tr>
      <w:tr w:rsidR="00127251" w:rsidRPr="008852EB" w14:paraId="4682E90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C7054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234E6F" w14:textId="13044C61" w:rsidR="00127251" w:rsidRPr="00D96B72" w:rsidRDefault="00127251" w:rsidP="00127251">
            <w:pPr>
              <w:pStyle w:val="Egyb0"/>
              <w:spacing w:after="0"/>
              <w:rPr>
                <w:bCs/>
                <w:i/>
              </w:rPr>
            </w:pPr>
            <w:r w:rsidRPr="008852EB">
              <w:rPr>
                <w:bCs/>
              </w:rPr>
              <w:t>Májelégtelenség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84F502" w14:textId="6B37FCCC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80ACC" w14:textId="518BAFD0" w:rsidR="00127251" w:rsidRPr="008852EB" w:rsidRDefault="00127251" w:rsidP="00127251">
            <w:pPr>
              <w:pStyle w:val="Egyb0"/>
              <w:spacing w:after="0"/>
            </w:pPr>
            <w:r w:rsidRPr="00D96B72">
              <w:rPr>
                <w:bCs/>
              </w:rPr>
              <w:t>Nem ismert</w:t>
            </w:r>
          </w:p>
        </w:tc>
      </w:tr>
      <w:tr w:rsidR="00127251" w:rsidRPr="008852EB" w14:paraId="6465830F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25BC11" w14:textId="21A4E00C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A bőr és a bőr alatti szövet betegségei és tünetei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AC9F48" w14:textId="7402EAC5" w:rsidR="00127251" w:rsidRPr="008852EB" w:rsidRDefault="00127251" w:rsidP="00127251">
            <w:pPr>
              <w:pStyle w:val="Egyb0"/>
              <w:spacing w:after="0"/>
            </w:pPr>
            <w:r w:rsidRPr="008852EB">
              <w:t>Kiütés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677574" w14:textId="73EE7D6F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11DD59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0EBF26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561CD9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18C5FD" w14:textId="11733D92" w:rsidR="00127251" w:rsidRPr="008852EB" w:rsidRDefault="00127251" w:rsidP="00127251">
            <w:pPr>
              <w:pStyle w:val="Egyb0"/>
              <w:spacing w:after="0"/>
            </w:pPr>
            <w:r w:rsidRPr="008852EB">
              <w:t>Viszketés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70543A" w14:textId="357D172C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BFC54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8E0A6B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6BEB1E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BCDBD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Urticaria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4B9669" w14:textId="5409C548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60DE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358AF1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D67C89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871F18" w14:textId="03E86F82" w:rsidR="00127251" w:rsidRPr="008852EB" w:rsidRDefault="00127251" w:rsidP="00127251">
            <w:pPr>
              <w:pStyle w:val="Egyb0"/>
              <w:spacing w:after="0"/>
            </w:pPr>
            <w:r w:rsidRPr="008852EB">
              <w:t>Stevens–Johnson-szindróma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C0DE8B" w14:textId="72769B98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265A07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5742836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FD99F2C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BC2BD4" w14:textId="10F5FF05" w:rsidR="00127251" w:rsidRPr="008852EB" w:rsidRDefault="00127251" w:rsidP="00686D0F">
            <w:pPr>
              <w:pStyle w:val="Egyb0"/>
              <w:spacing w:after="0"/>
            </w:pPr>
            <w:r>
              <w:t>E</w:t>
            </w:r>
            <w:r w:rsidRPr="003717F6">
              <w:t>osinoph</w:t>
            </w:r>
            <w:r w:rsidR="00686D0F">
              <w:t>i</w:t>
            </w:r>
            <w:r w:rsidRPr="003717F6">
              <w:t>liával és szisztémás tünetekkel járó gyógyszerreakció (DRESS)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EA63D8" w14:textId="0E4465ED" w:rsidR="00127251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52AA9" w14:textId="1997B4F6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</w:tr>
      <w:tr w:rsidR="00127251" w:rsidRPr="008852EB" w14:paraId="6C81EF1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C41B23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FA081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Erythema exsudativum multiforme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9D669B" w14:textId="1A28F296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617F5" w14:textId="660A724A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</w:tr>
      <w:tr w:rsidR="00127251" w:rsidRPr="008852EB" w14:paraId="0C1F792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FBD2994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F0FAD8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Ecchymosis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D3EF6A" w14:textId="1287BB7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9458CD" w14:textId="57CE147A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3603DE8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4A788A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FF067F" w14:textId="1E8340C3" w:rsidR="00127251" w:rsidRPr="008852EB" w:rsidRDefault="00127251" w:rsidP="00686D0F">
            <w:pPr>
              <w:pStyle w:val="Egyb0"/>
              <w:spacing w:after="0"/>
            </w:pPr>
            <w:r w:rsidRPr="008852EB">
              <w:rPr>
                <w:bCs/>
              </w:rPr>
              <w:t>Lyell</w:t>
            </w:r>
            <w:r w:rsidRPr="008852EB">
              <w:rPr>
                <w:bCs/>
              </w:rPr>
              <w:noBreakHyphen/>
              <w:t>szindróma, purpura, erythema nodosum, erythema multiforme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A9111A" w14:textId="17B1E883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1D98D" w14:textId="070A8A66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127251" w:rsidRPr="008852EB" w14:paraId="4F07E77E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77AE5A" w14:textId="31F326B6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A csont- és izomrendszer, valamint a kötőszövet betegségei és tünetei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687CB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Myalgia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85B0BC" w14:textId="30528BE3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9C283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2B4C12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48A6AF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2F8693" w14:textId="0D1AEB39" w:rsidR="00127251" w:rsidRPr="008852EB" w:rsidRDefault="00127251" w:rsidP="00127251">
            <w:pPr>
              <w:pStyle w:val="Egyb0"/>
              <w:spacing w:after="0"/>
            </w:pPr>
            <w:r w:rsidRPr="008852EB">
              <w:t>Myopathia (beleértve myositist)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AB11C" w14:textId="58B4423F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954B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FEF60BB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62137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91751B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Rhabdomyolysis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463B1E" w14:textId="2AFEA015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6AB1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A1CAEE7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5EE70A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D21CE9" w14:textId="4E12EA51" w:rsidR="00127251" w:rsidRPr="008852EB" w:rsidRDefault="00127251" w:rsidP="00127251">
            <w:pPr>
              <w:pStyle w:val="Egyb0"/>
              <w:spacing w:after="0"/>
            </w:pPr>
            <w:r w:rsidRPr="008852EB">
              <w:t>Lupus-szerű tünetegyüttes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ABEBEB" w14:textId="0E163886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863E9B" w14:textId="77777777" w:rsidR="00127251" w:rsidRPr="008852EB" w:rsidRDefault="00127251" w:rsidP="00127251">
            <w:pPr>
              <w:pStyle w:val="Egyb0"/>
              <w:spacing w:after="0"/>
            </w:pPr>
          </w:p>
        </w:tc>
      </w:tr>
      <w:tr w:rsidR="00127251" w:rsidRPr="008852EB" w14:paraId="4A11CB0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EB1A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A2366D" w14:textId="41D7368A" w:rsidR="00127251" w:rsidRPr="008852EB" w:rsidRDefault="00127251" w:rsidP="00127251">
            <w:pPr>
              <w:pStyle w:val="Egyb0"/>
              <w:spacing w:after="0"/>
            </w:pPr>
            <w:r w:rsidRPr="008852EB">
              <w:rPr>
                <w:lang w:eastAsia="hu-HU"/>
              </w:rPr>
              <w:t>Izom ruptura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0EB6A9" w14:textId="3743137B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823AAD" w14:textId="77777777" w:rsidR="00127251" w:rsidRPr="008852EB" w:rsidRDefault="00127251" w:rsidP="00127251">
            <w:pPr>
              <w:pStyle w:val="Egyb0"/>
              <w:spacing w:after="0"/>
            </w:pPr>
          </w:p>
        </w:tc>
      </w:tr>
      <w:tr w:rsidR="00127251" w:rsidRPr="008852EB" w14:paraId="09EF3EF9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A7812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1256F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Arthralgia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9EF223" w14:textId="6678B31B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BE939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8A2F3E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4F9553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2053D7" w14:textId="3A6C1910" w:rsidR="00127251" w:rsidRPr="008852EB" w:rsidRDefault="00127251" w:rsidP="00127251">
            <w:pPr>
              <w:pStyle w:val="Egyb0"/>
              <w:spacing w:after="0"/>
            </w:pPr>
            <w:r w:rsidRPr="008852EB">
              <w:t>Immunmediált nekrotizáló myopathia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3D2BE8" w14:textId="185E8948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A441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981D60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73E51F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29A7EF" w14:textId="0E0FBBF0" w:rsidR="00127251" w:rsidRPr="008852EB" w:rsidRDefault="00127251" w:rsidP="00127251">
            <w:pPr>
              <w:pStyle w:val="Egyb0"/>
              <w:spacing w:after="0"/>
            </w:pPr>
            <w:r w:rsidRPr="008852EB">
              <w:t>Ínbetegségek, néha szövődményként rupturával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1C5536" w14:textId="15745D30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DED35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3549CE3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BD6B5" w14:textId="1275053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Vese- és húgyúti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689847" w14:textId="1A671658" w:rsidR="00127251" w:rsidRPr="008852EB" w:rsidRDefault="00127251" w:rsidP="00127251">
            <w:pPr>
              <w:pStyle w:val="Egyb0"/>
              <w:spacing w:after="0"/>
            </w:pPr>
            <w:r w:rsidRPr="008852EB">
              <w:t>Csökkent vesefunkció és akut vesekárosodás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A689F2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0704EB" w14:textId="0ACEAA18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635D866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013916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BEB7B9" w14:textId="0844D3FD" w:rsidR="00127251" w:rsidRPr="00D96B72" w:rsidRDefault="00127251" w:rsidP="00127251">
            <w:pPr>
              <w:pStyle w:val="Egyb0"/>
              <w:spacing w:after="0"/>
              <w:rPr>
                <w:vertAlign w:val="superscript"/>
              </w:rPr>
            </w:pPr>
            <w:r w:rsidRPr="008852EB">
              <w:t>Haematuria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9B05BB" w14:textId="2EFE1DA9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7A264" w14:textId="0E905CD9" w:rsidR="00127251" w:rsidRPr="008852EB" w:rsidRDefault="00127251" w:rsidP="00127251">
            <w:pPr>
              <w:pStyle w:val="Egyb0"/>
              <w:spacing w:after="0"/>
            </w:pPr>
            <w:r w:rsidRPr="00897CE0">
              <w:t>Nem gyakori</w:t>
            </w:r>
          </w:p>
        </w:tc>
      </w:tr>
      <w:tr w:rsidR="00127251" w:rsidRPr="008852EB" w14:paraId="77A23AD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AC4707C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1BF454" w14:textId="65553516" w:rsidR="00127251" w:rsidRPr="008852EB" w:rsidRDefault="00127251" w:rsidP="00127251">
            <w:pPr>
              <w:pStyle w:val="Egyb0"/>
              <w:spacing w:after="0"/>
            </w:pPr>
            <w:r w:rsidRPr="008852EB">
              <w:t>Urogenitalis haemorrhagia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790599" w14:textId="7F3D1B35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87235" w14:textId="00B55C34" w:rsidR="00127251" w:rsidRPr="00D96B72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1017437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4D36B05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BD7D4E" w14:textId="43F5C77C" w:rsidR="00127251" w:rsidRPr="008852EB" w:rsidRDefault="00127251" w:rsidP="00127251">
            <w:pPr>
              <w:pStyle w:val="Egyb0"/>
              <w:spacing w:after="0"/>
            </w:pPr>
            <w:r w:rsidRPr="004F007A">
              <w:t>Vesekárosodás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7CCEB0" w14:textId="5AFD949C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11F601" w14:textId="19D19FC9" w:rsidR="00127251" w:rsidRPr="00D96B72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74EA581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03308E9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E9C36A" w14:textId="13447803" w:rsidR="00127251" w:rsidRPr="008852EB" w:rsidRDefault="00127251" w:rsidP="00C85720">
            <w:pPr>
              <w:pStyle w:val="Egyb0"/>
              <w:spacing w:after="0"/>
            </w:pPr>
            <w:r w:rsidRPr="00990D4B">
              <w:t xml:space="preserve">Akut veseelégtelenség </w:t>
            </w:r>
            <w:r w:rsidRPr="005B0B8D">
              <w:t>már meglévő vesekároso</w:t>
            </w:r>
            <w:r w:rsidRPr="00990D4B">
              <w:t xml:space="preserve">dásban vagy károsodott </w:t>
            </w:r>
            <w:r w:rsidR="00C85720">
              <w:t>k</w:t>
            </w:r>
            <w:r w:rsidRPr="00990D4B">
              <w:t>ardiovas</w:t>
            </w:r>
            <w:r w:rsidR="00C85720">
              <w:t>zk</w:t>
            </w:r>
            <w:r w:rsidRPr="00990D4B">
              <w:t>ul</w:t>
            </w:r>
            <w:r w:rsidR="00C85720">
              <w:t>á</w:t>
            </w:r>
            <w:r w:rsidRPr="00990D4B">
              <w:t xml:space="preserve">ris keringéssel rendelkező </w:t>
            </w:r>
            <w:r w:rsidRPr="00990D4B">
              <w:lastRenderedPageBreak/>
              <w:t>betegnél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FA7B25" w14:textId="0309739C" w:rsidR="00127251" w:rsidRPr="008852EB" w:rsidRDefault="00127251" w:rsidP="00127251">
            <w:pPr>
              <w:pStyle w:val="Egyb0"/>
              <w:spacing w:after="0"/>
            </w:pPr>
            <w:r>
              <w:lastRenderedPageBreak/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318C7" w14:textId="4A650CD3" w:rsidR="00127251" w:rsidRPr="00D96B72" w:rsidRDefault="00127251" w:rsidP="00127251">
            <w:pPr>
              <w:pStyle w:val="Egyb0"/>
              <w:spacing w:after="0"/>
            </w:pPr>
            <w:r w:rsidRPr="00897CE0">
              <w:t>Nem ismert</w:t>
            </w:r>
          </w:p>
        </w:tc>
      </w:tr>
      <w:tr w:rsidR="00127251" w:rsidRPr="008852EB" w14:paraId="4A320DEE" w14:textId="77777777" w:rsidTr="00B36C6C">
        <w:trPr>
          <w:jc w:val="center"/>
        </w:trPr>
        <w:tc>
          <w:tcPr>
            <w:tcW w:w="1242" w:type="pct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15FB1B55" w14:textId="358A57E2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A nemi szervekkel és az emlőkkel kapcsolatos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543889" w14:textId="4AB7D33C" w:rsidR="00127251" w:rsidRPr="008852EB" w:rsidRDefault="00127251" w:rsidP="00127251">
            <w:pPr>
              <w:pStyle w:val="Default"/>
            </w:pPr>
            <w:r w:rsidRPr="008852EB">
              <w:t>Gynaecomastia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09C381" w14:textId="0034DC50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DD646" w14:textId="153AD09D" w:rsidR="00127251" w:rsidRPr="00D96B72" w:rsidRDefault="00127251" w:rsidP="00127251">
            <w:pPr>
              <w:pStyle w:val="Egyb0"/>
              <w:spacing w:after="0"/>
            </w:pPr>
            <w:r w:rsidRPr="00D96B72">
              <w:t>-</w:t>
            </w:r>
          </w:p>
        </w:tc>
      </w:tr>
      <w:tr w:rsidR="00127251" w:rsidRPr="008852EB" w14:paraId="05A60CF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D0AB40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468D78" w14:textId="4E43190B" w:rsidR="00127251" w:rsidRPr="008852EB" w:rsidRDefault="00127251" w:rsidP="00127251">
            <w:pPr>
              <w:pStyle w:val="Egyb0"/>
              <w:spacing w:after="0"/>
            </w:pPr>
            <w:r w:rsidRPr="008852EB">
              <w:t>Menorrhagia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ADF88F" w14:textId="581C1143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252FC3" w14:textId="65D957F6" w:rsidR="00127251" w:rsidRPr="00D96B72" w:rsidRDefault="00127251" w:rsidP="00127251">
            <w:pPr>
              <w:pStyle w:val="Egyb0"/>
              <w:spacing w:after="0"/>
            </w:pPr>
            <w:r w:rsidRPr="00D96B72">
              <w:t>Ritka</w:t>
            </w:r>
          </w:p>
        </w:tc>
      </w:tr>
      <w:tr w:rsidR="00127251" w:rsidRPr="008852EB" w14:paraId="6787CF1D" w14:textId="77777777" w:rsidTr="00B36C6C">
        <w:trPr>
          <w:jc w:val="center"/>
        </w:trPr>
        <w:tc>
          <w:tcPr>
            <w:tcW w:w="1242" w:type="pct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D4D2D69" w14:textId="5EAE20A3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Általános tünetek, az alkalmazás helyén fellépő reakciók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D42011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Asthenia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DED6A9" w14:textId="035F4F18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DDEADD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5E69C01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21798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4022C1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Oedema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8249D6" w14:textId="433B0CBF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77D2B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</w:tbl>
    <w:p w14:paraId="19FA707F" w14:textId="0C61CC76" w:rsidR="00050417" w:rsidRPr="008852EB" w:rsidRDefault="00050417" w:rsidP="00C85720">
      <w:pPr>
        <w:pStyle w:val="Tblzatfelirata0"/>
        <w:tabs>
          <w:tab w:val="left" w:pos="284"/>
        </w:tabs>
        <w:ind w:left="284" w:hanging="284"/>
      </w:pPr>
      <w:r w:rsidRPr="008852EB">
        <w:rPr>
          <w:vertAlign w:val="superscript"/>
        </w:rPr>
        <w:t>1</w:t>
      </w:r>
      <w:r w:rsidR="00C85720">
        <w:tab/>
      </w:r>
      <w:r w:rsidR="002C712D" w:rsidRPr="008852EB">
        <w:t xml:space="preserve">Különösen </w:t>
      </w:r>
      <w:r w:rsidR="00C4706E">
        <w:t xml:space="preserve">a </w:t>
      </w:r>
      <w:r w:rsidR="002C712D" w:rsidRPr="008852EB">
        <w:t xml:space="preserve">nem kezelt magas vérnyomásban szenvedő betegeknél és/vagy antikoagulánsokkal való egyidejű kezelés </w:t>
      </w:r>
      <w:r w:rsidR="007F21CD" w:rsidRPr="008852EB">
        <w:t>mellett, ami egyedi esetekben életveszélyes lehet</w:t>
      </w:r>
      <w:r w:rsidR="00396689">
        <w:t>.</w:t>
      </w:r>
    </w:p>
    <w:p w14:paraId="37BA7893" w14:textId="75743375" w:rsidR="00050417" w:rsidRPr="008852EB" w:rsidRDefault="00050417" w:rsidP="00C85720">
      <w:pPr>
        <w:pStyle w:val="Tblzatfelirata0"/>
        <w:tabs>
          <w:tab w:val="left" w:pos="284"/>
        </w:tabs>
        <w:ind w:left="284" w:hanging="284"/>
      </w:pPr>
      <w:r w:rsidRPr="008852EB">
        <w:rPr>
          <w:vertAlign w:val="superscript"/>
        </w:rPr>
        <w:t>2</w:t>
      </w:r>
      <w:r w:rsidR="00C85720">
        <w:tab/>
      </w:r>
      <w:r w:rsidR="002C712D" w:rsidRPr="008852EB">
        <w:t>A gyakoriság a rizikó</w:t>
      </w:r>
      <w:proofErr w:type="gramStart"/>
      <w:r w:rsidR="002C712D" w:rsidRPr="008852EB">
        <w:t>faktorok</w:t>
      </w:r>
      <w:proofErr w:type="gramEnd"/>
      <w:r w:rsidR="002C712D" w:rsidRPr="008852EB">
        <w:t xml:space="preserve"> meglététől vagy hiányától függ </w:t>
      </w:r>
      <w:r w:rsidRPr="008852EB">
        <w:t>(</w:t>
      </w:r>
      <w:r w:rsidR="002C712D" w:rsidRPr="008852EB">
        <w:t>éhomi vércukorszint</w:t>
      </w:r>
      <w:r w:rsidRPr="008852EB">
        <w:t>: 5</w:t>
      </w:r>
      <w:r w:rsidR="002C712D" w:rsidRPr="008852EB">
        <w:t>,</w:t>
      </w:r>
      <w:r w:rsidRPr="008852EB">
        <w:t>6</w:t>
      </w:r>
      <w:r w:rsidR="00964D99">
        <w:t> </w:t>
      </w:r>
      <w:r w:rsidRPr="008852EB">
        <w:t>mmol/</w:t>
      </w:r>
      <w:r w:rsidR="002C712D" w:rsidRPr="008852EB">
        <w:t>l</w:t>
      </w:r>
      <w:r w:rsidRPr="008852EB">
        <w:t>, BMI &gt;</w:t>
      </w:r>
      <w:r w:rsidR="00C85720">
        <w:t> </w:t>
      </w:r>
      <w:r w:rsidRPr="008852EB">
        <w:t>30 kg/m</w:t>
      </w:r>
      <w:r w:rsidRPr="008852EB">
        <w:rPr>
          <w:vertAlign w:val="superscript"/>
        </w:rPr>
        <w:t>2</w:t>
      </w:r>
      <w:r w:rsidRPr="008852EB">
        <w:t xml:space="preserve">, </w:t>
      </w:r>
      <w:r w:rsidR="002C712D" w:rsidRPr="008852EB">
        <w:t>megnövekedett t</w:t>
      </w:r>
      <w:r w:rsidRPr="008852EB">
        <w:t>rigl</w:t>
      </w:r>
      <w:r w:rsidR="00396689">
        <w:t>i</w:t>
      </w:r>
      <w:r w:rsidRPr="008852EB">
        <w:t>cerids</w:t>
      </w:r>
      <w:r w:rsidR="002C712D" w:rsidRPr="008852EB">
        <w:t>zint</w:t>
      </w:r>
      <w:r w:rsidRPr="008852EB">
        <w:t xml:space="preserve">, </w:t>
      </w:r>
      <w:r w:rsidR="002C712D" w:rsidRPr="008852EB">
        <w:t>magas vérnyomás a kórtörténetben</w:t>
      </w:r>
      <w:r w:rsidRPr="008852EB">
        <w:t>).</w:t>
      </w:r>
    </w:p>
    <w:p w14:paraId="4E69F239" w14:textId="77777777" w:rsidR="00771613" w:rsidRPr="00771613" w:rsidRDefault="00050417" w:rsidP="00C85720">
      <w:pPr>
        <w:widowControl w:val="0"/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vertAlign w:val="superscript"/>
        </w:rPr>
        <w:t>3</w:t>
      </w:r>
      <w:r w:rsidR="00C85720">
        <w:rPr>
          <w:rFonts w:ascii="Times New Roman" w:hAnsi="Times New Roman" w:cs="Times New Roman"/>
        </w:rPr>
        <w:tab/>
      </w:r>
      <w:r w:rsidR="00771613" w:rsidRPr="00D27A04">
        <w:rPr>
          <w:rFonts w:ascii="Times New Roman" w:hAnsi="Times New Roman" w:cs="Times New Roman"/>
        </w:rPr>
        <w:t xml:space="preserve">Túlérzékenységi reakció részeként fellépő akut miokardiális ischaemia, miokardiális infarktussal vagy </w:t>
      </w:r>
      <w:proofErr w:type="gramStart"/>
      <w:r w:rsidR="00771613" w:rsidRPr="00D27A04">
        <w:rPr>
          <w:rFonts w:ascii="Times New Roman" w:hAnsi="Times New Roman" w:cs="Times New Roman"/>
        </w:rPr>
        <w:t>anélkül</w:t>
      </w:r>
      <w:proofErr w:type="gramEnd"/>
      <w:r w:rsidR="00771613" w:rsidRPr="00D27A04">
        <w:rPr>
          <w:rFonts w:ascii="Times New Roman" w:hAnsi="Times New Roman" w:cs="Times New Roman"/>
        </w:rPr>
        <w:t xml:space="preserve"> (lásd 4.4 pont).</w:t>
      </w:r>
    </w:p>
    <w:p w14:paraId="195E833B" w14:textId="30767E5F" w:rsidR="00050417" w:rsidRPr="008852EB" w:rsidRDefault="00771613" w:rsidP="00C85720">
      <w:pPr>
        <w:widowControl w:val="0"/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4</w:t>
      </w:r>
      <w:r>
        <w:rPr>
          <w:rFonts w:ascii="Times New Roman" w:hAnsi="Times New Roman" w:cs="Times New Roman"/>
          <w:vertAlign w:val="superscript"/>
        </w:rPr>
        <w:tab/>
      </w:r>
      <w:r w:rsidR="0033181D" w:rsidRPr="008852EB">
        <w:rPr>
          <w:rFonts w:ascii="Times New Roman" w:hAnsi="Times New Roman" w:cs="Times New Roman"/>
        </w:rPr>
        <w:t xml:space="preserve">Vashiányos </w:t>
      </w:r>
      <w:proofErr w:type="gramStart"/>
      <w:r w:rsidR="0033181D" w:rsidRPr="008852EB">
        <w:rPr>
          <w:rFonts w:ascii="Times New Roman" w:hAnsi="Times New Roman" w:cs="Times New Roman"/>
        </w:rPr>
        <w:t>anémia</w:t>
      </w:r>
      <w:proofErr w:type="gramEnd"/>
      <w:r w:rsidR="0033181D" w:rsidRPr="008852EB">
        <w:rPr>
          <w:rFonts w:ascii="Times New Roman" w:hAnsi="Times New Roman" w:cs="Times New Roman"/>
        </w:rPr>
        <w:t xml:space="preserve"> a gasztrointesztinális traktusból való rejtett vérveszteségek következtében következhet be az acetilszalicilsav </w:t>
      </w:r>
      <w:r w:rsidR="00396689">
        <w:rPr>
          <w:rFonts w:ascii="Times New Roman" w:hAnsi="Times New Roman" w:cs="Times New Roman"/>
        </w:rPr>
        <w:t>tartós</w:t>
      </w:r>
      <w:r w:rsidR="0033181D" w:rsidRPr="008852EB">
        <w:rPr>
          <w:rFonts w:ascii="Times New Roman" w:hAnsi="Times New Roman" w:cs="Times New Roman"/>
        </w:rPr>
        <w:t xml:space="preserve"> alkalmazása során. A kezelő</w:t>
      </w:r>
      <w:r w:rsidR="002F6CA1" w:rsidRPr="008852EB">
        <w:rPr>
          <w:rFonts w:ascii="Times New Roman" w:hAnsi="Times New Roman" w:cs="Times New Roman"/>
        </w:rPr>
        <w:t>o</w:t>
      </w:r>
      <w:r w:rsidR="0033181D" w:rsidRPr="008852EB">
        <w:rPr>
          <w:rFonts w:ascii="Times New Roman" w:hAnsi="Times New Roman" w:cs="Times New Roman"/>
        </w:rPr>
        <w:t xml:space="preserve">rvost azonnal értesíteni kell, ha a </w:t>
      </w:r>
      <w:r w:rsidR="002C712D" w:rsidRPr="008852EB">
        <w:rPr>
          <w:rFonts w:ascii="Times New Roman" w:hAnsi="Times New Roman" w:cs="Times New Roman"/>
        </w:rPr>
        <w:t xml:space="preserve">beteg széklete </w:t>
      </w:r>
      <w:r w:rsidR="002F6CA1" w:rsidRPr="008852EB">
        <w:rPr>
          <w:rFonts w:ascii="Times New Roman" w:hAnsi="Times New Roman" w:cs="Times New Roman"/>
        </w:rPr>
        <w:t>szurok</w:t>
      </w:r>
      <w:r w:rsidR="002C712D" w:rsidRPr="008852EB">
        <w:rPr>
          <w:rFonts w:ascii="Times New Roman" w:hAnsi="Times New Roman" w:cs="Times New Roman"/>
        </w:rPr>
        <w:t>fekete színű, vagy vért hány (ezek súlyos gyomorvérzés jelei lehetnek).</w:t>
      </w:r>
    </w:p>
    <w:p w14:paraId="59DD30BE" w14:textId="7014C30D" w:rsidR="00050417" w:rsidRPr="008852EB" w:rsidRDefault="00C85720" w:rsidP="00C85720">
      <w:pPr>
        <w:pStyle w:val="Szvegtrzs1"/>
        <w:tabs>
          <w:tab w:val="left" w:pos="284"/>
        </w:tabs>
        <w:spacing w:after="0"/>
        <w:ind w:left="284" w:hanging="284"/>
      </w:pPr>
      <w:r w:rsidRPr="00C85720">
        <w:rPr>
          <w:b/>
          <w:bCs/>
        </w:rPr>
        <w:t>*</w:t>
      </w:r>
      <w:r>
        <w:rPr>
          <w:b/>
          <w:bCs/>
        </w:rPr>
        <w:tab/>
      </w:r>
      <w:r w:rsidR="00F835B0" w:rsidRPr="008852EB">
        <w:t>Egyéb HMG</w:t>
      </w:r>
      <w:r w:rsidR="00F835B0" w:rsidRPr="008852EB">
        <w:noBreakHyphen/>
        <w:t>CoA</w:t>
      </w:r>
      <w:r w:rsidR="00F835B0" w:rsidRPr="008852EB">
        <w:noBreakHyphen/>
        <w:t>reduktáz</w:t>
      </w:r>
      <w:r w:rsidR="00F835B0" w:rsidRPr="008852EB">
        <w:noBreakHyphen/>
      </w:r>
      <w:r w:rsidR="00686D0F">
        <w:t>gátlók</w:t>
      </w:r>
      <w:r w:rsidR="00F835B0" w:rsidRPr="008852EB">
        <w:t>hoz hasonlóan, a nemkívánatos gyógyszerreakciók</w:t>
      </w:r>
      <w:r w:rsidR="00F835B0" w:rsidRPr="008852EB" w:rsidDel="00FA00AD">
        <w:t xml:space="preserve"> </w:t>
      </w:r>
      <w:r w:rsidR="00F835B0" w:rsidRPr="008852EB">
        <w:t>incidenciája dózisfüggő tendenciát mutat</w:t>
      </w:r>
      <w:r w:rsidR="00050417" w:rsidRPr="008852EB">
        <w:t>.</w:t>
      </w:r>
    </w:p>
    <w:p w14:paraId="15A3DFB6" w14:textId="77777777" w:rsidR="00050417" w:rsidRPr="008852EB" w:rsidRDefault="00050417" w:rsidP="008852EB">
      <w:pPr>
        <w:pStyle w:val="Szvegtrzs1"/>
        <w:spacing w:after="0"/>
      </w:pPr>
    </w:p>
    <w:p w14:paraId="4ACA182B" w14:textId="6F88E4DC" w:rsidR="00050417" w:rsidRPr="008852EB" w:rsidRDefault="00F73841" w:rsidP="00B36C6C">
      <w:pPr>
        <w:pStyle w:val="Szvegtrzs1"/>
        <w:keepNext/>
        <w:widowControl/>
        <w:spacing w:after="0"/>
        <w:rPr>
          <w:u w:val="single"/>
        </w:rPr>
      </w:pPr>
      <w:r w:rsidRPr="008852EB">
        <w:rPr>
          <w:u w:val="single"/>
        </w:rPr>
        <w:t>Egyes mellékhatások leírása</w:t>
      </w:r>
    </w:p>
    <w:p w14:paraId="03DC66D0" w14:textId="27AC013F" w:rsidR="00CA512F" w:rsidRPr="00D96B72" w:rsidRDefault="00CA512F" w:rsidP="00B36C6C">
      <w:pPr>
        <w:pStyle w:val="Szvegtrzs1"/>
        <w:keepNext/>
        <w:widowControl/>
        <w:spacing w:after="0"/>
        <w:rPr>
          <w:i/>
          <w:iCs/>
          <w:u w:val="single"/>
        </w:rPr>
      </w:pPr>
      <w:r w:rsidRPr="00D96B72">
        <w:rPr>
          <w:i/>
          <w:iCs/>
          <w:u w:val="single"/>
        </w:rPr>
        <w:t>Rozuvasztatin</w:t>
      </w:r>
    </w:p>
    <w:p w14:paraId="460DF54C" w14:textId="24D864D9" w:rsidR="00050417" w:rsidRPr="008852EB" w:rsidRDefault="0033181D" w:rsidP="008852EB">
      <w:pPr>
        <w:pStyle w:val="Szvegtrzs1"/>
        <w:spacing w:after="0"/>
      </w:pPr>
      <w:r w:rsidRPr="0012562E">
        <w:rPr>
          <w:i/>
          <w:iCs/>
        </w:rPr>
        <w:t>A vese érintettsége:</w:t>
      </w:r>
      <w:r w:rsidRPr="0012562E">
        <w:t xml:space="preserve"> r</w:t>
      </w:r>
      <w:r w:rsidR="00AF4FA2" w:rsidRPr="00EF4019">
        <w:t>ozuvasztatinna</w:t>
      </w:r>
      <w:r w:rsidRPr="00EF4019">
        <w:t>l kezelt betegekn</w:t>
      </w:r>
      <w:r w:rsidR="00D861BC" w:rsidRPr="00EF4019">
        <w:t>él</w:t>
      </w:r>
      <w:r w:rsidRPr="00EF4019">
        <w:t xml:space="preserve"> tesztcsík</w:t>
      </w:r>
      <w:r w:rsidRPr="00EF4019">
        <w:noBreakHyphen/>
        <w:t>vizsgálattal kimutatott, főleg tubuláris</w:t>
      </w:r>
      <w:r w:rsidRPr="008852EB">
        <w:t xml:space="preserve"> eredetű proteinuriát figyeltek meg. A vizeletben megjelenő proteinmennyiség növekedését a nullától, illetve nyomokban előforduló értékről a kétkeresztes vagy ennél magasabb értékig, a 10 mg</w:t>
      </w:r>
      <w:r w:rsidRPr="008852EB">
        <w:noBreakHyphen/>
        <w:t>os és a 20 mg</w:t>
      </w:r>
      <w:r w:rsidRPr="008852EB">
        <w:noBreakHyphen/>
        <w:t xml:space="preserve">os </w:t>
      </w:r>
      <w:r w:rsidR="00D861BC" w:rsidRPr="008852EB">
        <w:t xml:space="preserve">dózissal </w:t>
      </w:r>
      <w:r w:rsidRPr="008852EB">
        <w:t>való kezelés során a betegek &lt; 1%</w:t>
      </w:r>
      <w:r w:rsidRPr="008852EB">
        <w:noBreakHyphen/>
      </w:r>
      <w:r w:rsidR="002F6CA1" w:rsidRPr="008852EB">
        <w:t>á</w:t>
      </w:r>
      <w:r w:rsidRPr="008852EB">
        <w:t>nál, a 40 mg</w:t>
      </w:r>
      <w:r w:rsidRPr="008852EB">
        <w:noBreakHyphen/>
        <w:t xml:space="preserve">os </w:t>
      </w:r>
      <w:r w:rsidR="00952734">
        <w:t>dóziss</w:t>
      </w:r>
      <w:r w:rsidR="00952734" w:rsidRPr="008852EB">
        <w:t xml:space="preserve">al </w:t>
      </w:r>
      <w:r w:rsidRPr="008852EB">
        <w:t xml:space="preserve">való kezelés </w:t>
      </w:r>
      <w:r w:rsidR="00EF4019">
        <w:t>esetén</w:t>
      </w:r>
      <w:r w:rsidRPr="008852EB">
        <w:t xml:space="preserve"> a betegek megközelítőleg 3%</w:t>
      </w:r>
      <w:r w:rsidRPr="008852EB">
        <w:noBreakHyphen/>
        <w:t>ánál figyelték meg. 20 mg</w:t>
      </w:r>
      <w:r w:rsidRPr="008852EB">
        <w:noBreakHyphen/>
        <w:t>os dózis alkalmazásakor a proteinérték nulláról illetve nyomokban előforduló értékről egy keresztre történő változása valamivel gyakrabban fordult elő. Az esetek többségében, a terápia folytatása mellett, a proteinuria spontán csökken vagy megszűnik. A klinikai vizsgálatok adatai, valamint az eddigi posztmarketing tapasztalatok alapján nem igazolódott ok</w:t>
      </w:r>
      <w:r w:rsidRPr="008852EB">
        <w:noBreakHyphen/>
        <w:t>okozati összefüggés a proteinuria és az akut vagy súlyosbodó vesebetegség kialakulása között.</w:t>
      </w:r>
    </w:p>
    <w:p w14:paraId="20884FFC" w14:textId="77777777" w:rsidR="00050417" w:rsidRPr="008852EB" w:rsidRDefault="00050417" w:rsidP="008852EB">
      <w:pPr>
        <w:pStyle w:val="Szvegtrzs1"/>
        <w:spacing w:after="0"/>
      </w:pPr>
    </w:p>
    <w:p w14:paraId="28713530" w14:textId="525FA4CE" w:rsidR="00050417" w:rsidRPr="008852EB" w:rsidRDefault="0033181D" w:rsidP="008852EB">
      <w:pPr>
        <w:pStyle w:val="Szvegtrzs1"/>
        <w:spacing w:after="0"/>
      </w:pPr>
      <w:r w:rsidRPr="008852EB">
        <w:t>Klinikai vizsgálati adatok alapján r</w:t>
      </w:r>
      <w:r w:rsidR="00AF4FA2" w:rsidRPr="008852EB">
        <w:t>ozuvasztatinn</w:t>
      </w:r>
      <w:r w:rsidRPr="008852EB">
        <w:t>al kezelt betegeknél nagyon ritkán haematuria kialakulását tapasztalták.</w:t>
      </w:r>
    </w:p>
    <w:p w14:paraId="1A124696" w14:textId="77777777" w:rsidR="00050417" w:rsidRPr="008852EB" w:rsidRDefault="00050417" w:rsidP="008852EB">
      <w:pPr>
        <w:pStyle w:val="Szvegtrzs1"/>
        <w:spacing w:after="0"/>
      </w:pPr>
    </w:p>
    <w:p w14:paraId="1F271C10" w14:textId="7FCBA787" w:rsidR="0033181D" w:rsidRPr="008852EB" w:rsidRDefault="0033181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EF4019">
        <w:rPr>
          <w:i/>
          <w:iCs/>
          <w:color w:val="auto"/>
          <w:sz w:val="22"/>
          <w:szCs w:val="22"/>
          <w:lang w:val="hu-HU"/>
        </w:rPr>
        <w:t>A vázizomzat érintettsége:</w:t>
      </w:r>
      <w:r w:rsidRPr="00EF4019">
        <w:rPr>
          <w:color w:val="auto"/>
          <w:sz w:val="22"/>
          <w:szCs w:val="22"/>
          <w:lang w:val="hu-HU"/>
        </w:rPr>
        <w:t xml:space="preserve"> A vázizmok érintettségéről, mint pl. myalgia, myopathia (beleértve a</w:t>
      </w:r>
      <w:r w:rsidRPr="008852EB">
        <w:rPr>
          <w:color w:val="auto"/>
          <w:sz w:val="22"/>
          <w:szCs w:val="22"/>
          <w:lang w:val="hu-HU"/>
        </w:rPr>
        <w:t xml:space="preserve"> myositist) és ritkán rhabdomyolysis</w:t>
      </w:r>
      <w:r w:rsidR="004F71AD">
        <w:rPr>
          <w:color w:val="auto"/>
          <w:sz w:val="22"/>
          <w:szCs w:val="22"/>
          <w:lang w:val="hu-HU"/>
        </w:rPr>
        <w:t xml:space="preserve"> </w:t>
      </w:r>
      <w:r w:rsidR="004F71AD" w:rsidRPr="00BB4A0D">
        <w:rPr>
          <w:sz w:val="22"/>
          <w:lang w:val="hu-HU"/>
        </w:rPr>
        <w:t>akut veseelégtelenséggel vagy anélkül</w:t>
      </w:r>
      <w:r w:rsidRPr="008852EB">
        <w:rPr>
          <w:color w:val="auto"/>
          <w:sz w:val="22"/>
          <w:szCs w:val="22"/>
          <w:lang w:val="hu-HU"/>
        </w:rPr>
        <w:t>, számoltak be r</w:t>
      </w:r>
      <w:r w:rsidR="00AF4FA2" w:rsidRPr="008852EB">
        <w:rPr>
          <w:color w:val="auto"/>
          <w:sz w:val="22"/>
          <w:szCs w:val="22"/>
          <w:lang w:val="hu-HU"/>
        </w:rPr>
        <w:t>ozuvasztatinn</w:t>
      </w:r>
      <w:r w:rsidRPr="008852EB">
        <w:rPr>
          <w:color w:val="auto"/>
          <w:sz w:val="22"/>
          <w:szCs w:val="22"/>
          <w:lang w:val="hu-HU"/>
        </w:rPr>
        <w:t>al kezelt betegek esetében, bármely dózis, de különösen 20 mg</w:t>
      </w:r>
      <w:r w:rsidRPr="008852EB">
        <w:rPr>
          <w:color w:val="auto"/>
          <w:sz w:val="22"/>
          <w:szCs w:val="22"/>
          <w:lang w:val="hu-HU"/>
        </w:rPr>
        <w:noBreakHyphen/>
        <w:t xml:space="preserve">nál nagyobb </w:t>
      </w:r>
      <w:r w:rsidR="007B2770" w:rsidRPr="008852EB">
        <w:rPr>
          <w:color w:val="auto"/>
          <w:sz w:val="22"/>
          <w:szCs w:val="22"/>
          <w:lang w:val="hu-HU"/>
        </w:rPr>
        <w:t xml:space="preserve">dózisok </w:t>
      </w:r>
      <w:r w:rsidRPr="008852EB">
        <w:rPr>
          <w:color w:val="auto"/>
          <w:sz w:val="22"/>
          <w:szCs w:val="22"/>
          <w:lang w:val="hu-HU"/>
        </w:rPr>
        <w:t>alkalmazásakor.</w:t>
      </w:r>
    </w:p>
    <w:p w14:paraId="5BFD6193" w14:textId="4DA0511B" w:rsidR="00050417" w:rsidRPr="008852EB" w:rsidRDefault="0033181D" w:rsidP="008852EB">
      <w:pPr>
        <w:pStyle w:val="Szvegtrzs1"/>
        <w:spacing w:after="0"/>
      </w:pPr>
      <w:r w:rsidRPr="008852EB">
        <w:t>A rozuvasztatin</w:t>
      </w:r>
      <w:r w:rsidRPr="008852EB">
        <w:noBreakHyphen/>
        <w:t>kezelésben részesülő betegeknél is megfigyelték a CK</w:t>
      </w:r>
      <w:r w:rsidRPr="008852EB">
        <w:noBreakHyphen/>
        <w:t>szintek dózisfüggő emelkedését, az esetek többségében ez enyhe, tünetmentes és átmeneti volt. Amennyiben a CK</w:t>
      </w:r>
      <w:r w:rsidRPr="008852EB">
        <w:noBreakHyphen/>
        <w:t>szintek megemelkednek (&gt; 5×ULN) a kezelést fel kell függeszteni (lásd 4.4 pont).</w:t>
      </w:r>
    </w:p>
    <w:p w14:paraId="1A5466A8" w14:textId="77777777" w:rsidR="0033181D" w:rsidRPr="008852EB" w:rsidRDefault="0033181D" w:rsidP="008852EB">
      <w:pPr>
        <w:pStyle w:val="Szvegtrzs1"/>
        <w:spacing w:after="0"/>
      </w:pPr>
    </w:p>
    <w:p w14:paraId="01EB10A2" w14:textId="005EF889" w:rsidR="0033181D" w:rsidRPr="008852EB" w:rsidRDefault="0033181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bookmarkStart w:id="19" w:name="bookmark86"/>
      <w:bookmarkStart w:id="20" w:name="bookmark87"/>
      <w:bookmarkEnd w:id="19"/>
      <w:bookmarkEnd w:id="20"/>
      <w:r w:rsidRPr="002D4DFF">
        <w:rPr>
          <w:i/>
          <w:iCs/>
          <w:color w:val="auto"/>
          <w:sz w:val="22"/>
          <w:szCs w:val="22"/>
          <w:lang w:val="hu-HU"/>
        </w:rPr>
        <w:t xml:space="preserve">A máj érintettsége: </w:t>
      </w:r>
      <w:r w:rsidRPr="002D4DFF">
        <w:rPr>
          <w:color w:val="auto"/>
          <w:sz w:val="22"/>
          <w:szCs w:val="22"/>
          <w:lang w:val="hu-HU"/>
        </w:rPr>
        <w:t>Mint egyéb HMG</w:t>
      </w:r>
      <w:r w:rsidRPr="002D4DFF">
        <w:rPr>
          <w:color w:val="auto"/>
          <w:sz w:val="22"/>
          <w:szCs w:val="22"/>
          <w:lang w:val="hu-HU"/>
        </w:rPr>
        <w:noBreakHyphen/>
        <w:t>CoA</w:t>
      </w:r>
      <w:r w:rsidRPr="002D4DFF">
        <w:rPr>
          <w:color w:val="auto"/>
          <w:sz w:val="22"/>
          <w:szCs w:val="22"/>
          <w:lang w:val="hu-HU"/>
        </w:rPr>
        <w:noBreakHyphen/>
        <w:t>reduktáz</w:t>
      </w:r>
      <w:r w:rsidRPr="002D4DFF">
        <w:rPr>
          <w:color w:val="auto"/>
          <w:sz w:val="22"/>
          <w:szCs w:val="22"/>
          <w:lang w:val="hu-HU"/>
        </w:rPr>
        <w:noBreakHyphen/>
        <w:t>gátlóknál, a rozuvasztatin</w:t>
      </w:r>
      <w:r w:rsidRPr="002D4DFF">
        <w:rPr>
          <w:color w:val="auto"/>
          <w:sz w:val="22"/>
          <w:szCs w:val="22"/>
          <w:lang w:val="hu-HU"/>
        </w:rPr>
        <w:noBreakHyphen/>
        <w:t>kezelésben részesülő</w:t>
      </w:r>
      <w:r w:rsidRPr="008852EB">
        <w:rPr>
          <w:color w:val="auto"/>
          <w:sz w:val="22"/>
          <w:szCs w:val="22"/>
          <w:lang w:val="hu-HU"/>
        </w:rPr>
        <w:t xml:space="preserve"> betegek kis csoportjában is megfigyelték a transzaminázok</w:t>
      </w:r>
      <w:r w:rsidR="007B2770" w:rsidRPr="008852EB">
        <w:rPr>
          <w:color w:val="auto"/>
          <w:sz w:val="22"/>
          <w:szCs w:val="22"/>
          <w:lang w:val="hu-HU"/>
        </w:rPr>
        <w:t xml:space="preserve"> szérumszintjének</w:t>
      </w:r>
      <w:r w:rsidRPr="008852EB">
        <w:rPr>
          <w:color w:val="auto"/>
          <w:sz w:val="22"/>
          <w:szCs w:val="22"/>
          <w:lang w:val="hu-HU"/>
        </w:rPr>
        <w:t xml:space="preserve"> dózisfüggő emelkedését. Az esetek nagy részében ez enyhe, tünetmentes és átmeneti volt.</w:t>
      </w:r>
    </w:p>
    <w:p w14:paraId="77C82702" w14:textId="77777777" w:rsidR="0024177B" w:rsidRPr="008852EB" w:rsidRDefault="0024177B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2039EAD" w14:textId="72C24E47" w:rsidR="0033181D" w:rsidRPr="008852EB" w:rsidRDefault="00C4706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36C6C">
        <w:rPr>
          <w:i/>
          <w:iCs/>
          <w:color w:val="auto"/>
          <w:sz w:val="22"/>
          <w:szCs w:val="22"/>
          <w:lang w:val="hu-HU"/>
        </w:rPr>
        <w:t>Egyebek</w:t>
      </w:r>
      <w:r>
        <w:rPr>
          <w:color w:val="auto"/>
          <w:sz w:val="22"/>
          <w:szCs w:val="22"/>
          <w:lang w:val="hu-HU"/>
        </w:rPr>
        <w:t xml:space="preserve">: </w:t>
      </w:r>
      <w:r w:rsidR="0033181D" w:rsidRPr="008852EB">
        <w:rPr>
          <w:color w:val="auto"/>
          <w:sz w:val="22"/>
          <w:szCs w:val="22"/>
          <w:lang w:val="hu-HU"/>
        </w:rPr>
        <w:t>Bizonyos sztatinok alkalmazása mellett az alábbi mellékhatásokról számoltak be:</w:t>
      </w:r>
    </w:p>
    <w:p w14:paraId="0FEB541A" w14:textId="521DE5E2" w:rsidR="0033181D" w:rsidRPr="008852EB" w:rsidRDefault="007B2770" w:rsidP="008852EB">
      <w:pPr>
        <w:pStyle w:val="Normal1"/>
        <w:numPr>
          <w:ilvl w:val="0"/>
          <w:numId w:val="6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s</w:t>
      </w:r>
      <w:r w:rsidR="0033181D" w:rsidRPr="008852EB">
        <w:rPr>
          <w:color w:val="auto"/>
          <w:sz w:val="22"/>
          <w:szCs w:val="22"/>
          <w:lang w:val="hu-HU"/>
        </w:rPr>
        <w:t>zexuális diszfunkció</w:t>
      </w:r>
      <w:r w:rsidRPr="008852EB">
        <w:rPr>
          <w:color w:val="auto"/>
          <w:sz w:val="22"/>
          <w:szCs w:val="22"/>
          <w:lang w:val="hu-HU"/>
        </w:rPr>
        <w:t>;</w:t>
      </w:r>
    </w:p>
    <w:p w14:paraId="520629A8" w14:textId="6008E4AB" w:rsidR="0033181D" w:rsidRPr="008852EB" w:rsidRDefault="007B2770" w:rsidP="008852EB">
      <w:pPr>
        <w:pStyle w:val="Normal1"/>
        <w:numPr>
          <w:ilvl w:val="0"/>
          <w:numId w:val="6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</w:t>
      </w:r>
      <w:r w:rsidR="0033181D" w:rsidRPr="008852EB">
        <w:rPr>
          <w:color w:val="auto"/>
          <w:sz w:val="22"/>
          <w:szCs w:val="22"/>
          <w:lang w:val="hu-HU"/>
        </w:rPr>
        <w:t>ivételes esetekben interstitialis tüdőbetegség, főleg hosszú távú terápia alkalmazásakor (lásd 4.4 pont).</w:t>
      </w:r>
    </w:p>
    <w:p w14:paraId="74F8BE28" w14:textId="07305F9F" w:rsidR="00050417" w:rsidRPr="008852EB" w:rsidRDefault="0033181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rhabdomyolysis esetek, a súlyos vesetünetek és a súlyos májtünetek (főként transzaminázszint</w:t>
      </w:r>
      <w:r w:rsidRPr="008852EB">
        <w:rPr>
          <w:color w:val="auto"/>
          <w:sz w:val="22"/>
          <w:szCs w:val="22"/>
          <w:lang w:val="hu-HU"/>
        </w:rPr>
        <w:noBreakHyphen/>
        <w:t>emelkedés) jelentési gyakorisága a 40 mg</w:t>
      </w:r>
      <w:r w:rsidRPr="008852EB">
        <w:rPr>
          <w:color w:val="auto"/>
          <w:sz w:val="22"/>
          <w:szCs w:val="22"/>
          <w:lang w:val="hu-HU"/>
        </w:rPr>
        <w:noBreakHyphen/>
        <w:t>os dózis alkalmazásakor magasabb.</w:t>
      </w:r>
    </w:p>
    <w:p w14:paraId="65D10D02" w14:textId="281CBAE5" w:rsidR="008753C3" w:rsidRPr="008852EB" w:rsidRDefault="008753C3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13AB636" w14:textId="41DA63B2" w:rsidR="005D0B99" w:rsidRPr="00D96B72" w:rsidRDefault="005D0B99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D96B72">
        <w:rPr>
          <w:color w:val="auto"/>
          <w:sz w:val="22"/>
          <w:szCs w:val="22"/>
          <w:u w:val="single"/>
          <w:lang w:val="hu-HU"/>
        </w:rPr>
        <w:t>Gyermekek és serdülők</w:t>
      </w:r>
    </w:p>
    <w:p w14:paraId="55D5E78B" w14:textId="50395E98" w:rsidR="005D0B99" w:rsidRPr="00D96B72" w:rsidRDefault="005D0B99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bCs/>
          <w:color w:val="auto"/>
          <w:sz w:val="22"/>
          <w:szCs w:val="22"/>
          <w:lang w:val="hu-HU"/>
        </w:rPr>
        <w:t xml:space="preserve">Kreatin-kináz-szintek emelkedését </w:t>
      </w:r>
      <w:r w:rsidR="002D4DFF">
        <w:rPr>
          <w:bCs/>
          <w:color w:val="auto"/>
          <w:sz w:val="22"/>
          <w:szCs w:val="22"/>
          <w:lang w:val="hu-HU"/>
        </w:rPr>
        <w:t>(</w:t>
      </w:r>
      <w:r w:rsidRPr="008852EB">
        <w:rPr>
          <w:color w:val="auto"/>
          <w:sz w:val="22"/>
          <w:szCs w:val="22"/>
          <w:lang w:val="hu-HU"/>
        </w:rPr>
        <w:t>&gt; 10×ULN</w:t>
      </w:r>
      <w:r w:rsidR="002D4DFF">
        <w:rPr>
          <w:color w:val="auto"/>
          <w:sz w:val="22"/>
          <w:szCs w:val="22"/>
          <w:lang w:val="hu-HU"/>
        </w:rPr>
        <w:t>)</w:t>
      </w:r>
      <w:r w:rsidRPr="008852EB">
        <w:rPr>
          <w:color w:val="auto"/>
          <w:sz w:val="22"/>
          <w:szCs w:val="22"/>
          <w:lang w:val="hu-HU"/>
        </w:rPr>
        <w:t xml:space="preserve"> és izomtünetek jelentkezését mozgás vagy fokozott fizikai aktivitást követően gyakrabban figyelték meg egy 52 hetes,</w:t>
      </w:r>
      <w:r w:rsidRPr="008852EB">
        <w:rPr>
          <w:b/>
          <w:bCs/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 xml:space="preserve">gyermekek és serdülők körében </w:t>
      </w:r>
      <w:r w:rsidRPr="008852EB">
        <w:rPr>
          <w:color w:val="auto"/>
          <w:sz w:val="22"/>
          <w:szCs w:val="22"/>
          <w:lang w:val="hu-HU"/>
        </w:rPr>
        <w:lastRenderedPageBreak/>
        <w:t>végzett klinikai vizsgálatban a felnőttekhez képest (lásd 4.4 pont). Más szempontból, a rozuvasztatin biztonságossági profilja gyermekek és serdülők esetében a felnőttekéhez hasonló volt.</w:t>
      </w:r>
    </w:p>
    <w:p w14:paraId="2FB94925" w14:textId="158833CE" w:rsidR="005D0B99" w:rsidRPr="008852EB" w:rsidRDefault="005D0B9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1F21C01" w14:textId="43EECB54" w:rsidR="00884315" w:rsidRPr="008852EB" w:rsidRDefault="00F24EF5" w:rsidP="008852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D96B72">
        <w:rPr>
          <w:rFonts w:ascii="Times New Roman" w:eastAsia="Times New Roman" w:hAnsi="Times New Roman" w:cs="Times New Roman"/>
          <w:i/>
          <w:iCs/>
          <w:u w:val="single"/>
          <w:lang w:eastAsia="hu-HU"/>
        </w:rPr>
        <w:t>Acetilszalicilsav</w:t>
      </w:r>
    </w:p>
    <w:p w14:paraId="431D6CCE" w14:textId="678BC727" w:rsidR="008753C3" w:rsidRPr="008852EB" w:rsidRDefault="008753C3" w:rsidP="008852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D96B72">
        <w:rPr>
          <w:rFonts w:ascii="Times New Roman" w:eastAsia="Times New Roman" w:hAnsi="Times New Roman" w:cs="Times New Roman"/>
          <w:lang w:eastAsia="hu-HU"/>
        </w:rPr>
        <w:t>Egyedi esetekben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 jelentettek vesefunkciós zavart, fejfájást, látási zavarokat, hosszú távú vagy </w:t>
      </w:r>
      <w:r w:rsidR="007B2770" w:rsidRPr="008852EB">
        <w:rPr>
          <w:rFonts w:ascii="Times New Roman" w:eastAsia="Times New Roman" w:hAnsi="Times New Roman" w:cs="Times New Roman"/>
          <w:lang w:eastAsia="hu-HU"/>
        </w:rPr>
        <w:t>tartós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 alkalmazás esetén somnolentiát, a sav-bázis-háztartás zavarait, nátrium- és vízretenciót (oedema), vérnyomásesést (s</w:t>
      </w:r>
      <w:r w:rsidR="00C85720">
        <w:rPr>
          <w:rFonts w:ascii="Times New Roman" w:eastAsia="Times New Roman" w:hAnsi="Times New Roman" w:cs="Times New Roman"/>
          <w:lang w:eastAsia="hu-HU"/>
        </w:rPr>
        <w:t>h</w:t>
      </w:r>
      <w:r w:rsidRPr="008852EB">
        <w:rPr>
          <w:rFonts w:ascii="Times New Roman" w:eastAsia="Times New Roman" w:hAnsi="Times New Roman" w:cs="Times New Roman"/>
          <w:lang w:eastAsia="hu-HU"/>
        </w:rPr>
        <w:t>o</w:t>
      </w:r>
      <w:r w:rsidR="00C85720">
        <w:rPr>
          <w:rFonts w:ascii="Times New Roman" w:eastAsia="Times New Roman" w:hAnsi="Times New Roman" w:cs="Times New Roman"/>
          <w:lang w:eastAsia="hu-HU"/>
        </w:rPr>
        <w:t>c</w:t>
      </w:r>
      <w:r w:rsidRPr="008852EB">
        <w:rPr>
          <w:rFonts w:ascii="Times New Roman" w:eastAsia="Times New Roman" w:hAnsi="Times New Roman" w:cs="Times New Roman"/>
          <w:lang w:eastAsia="hu-HU"/>
        </w:rPr>
        <w:t>k is előfordulhat), thrombocytopeniát, agranulocytosist, pancytopaeniát, aplasticus anaemiát.</w:t>
      </w:r>
    </w:p>
    <w:p w14:paraId="73C5A2A9" w14:textId="6D308DEC" w:rsidR="00A8679E" w:rsidRPr="008852EB" w:rsidRDefault="00A8679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EB83941" w14:textId="77777777" w:rsidR="00B56A54" w:rsidRPr="008852EB" w:rsidRDefault="00B56A54" w:rsidP="008852EB">
      <w:pPr>
        <w:widowControl w:val="0"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8852EB">
        <w:rPr>
          <w:rFonts w:ascii="Times New Roman" w:eastAsia="Times New Roman" w:hAnsi="Times New Roman" w:cs="Times New Roman"/>
          <w:u w:val="single"/>
          <w:lang w:eastAsia="hu-HU"/>
        </w:rPr>
        <w:t>Gyermekek és serdülők</w:t>
      </w:r>
    </w:p>
    <w:p w14:paraId="4C79262A" w14:textId="25996167" w:rsidR="00B56A54" w:rsidRPr="008852EB" w:rsidRDefault="00B56A54" w:rsidP="008852E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2EB">
        <w:rPr>
          <w:rFonts w:ascii="Times New Roman" w:eastAsia="Times New Roman" w:hAnsi="Times New Roman" w:cs="Times New Roman"/>
          <w:lang w:eastAsia="hu-HU"/>
        </w:rPr>
        <w:t xml:space="preserve">Az acetilszalicilsav biztonságosságát és hatásosságát </w:t>
      </w:r>
      <w:r w:rsidR="00C85720">
        <w:rPr>
          <w:rFonts w:ascii="Times New Roman" w:eastAsia="Times New Roman" w:hAnsi="Times New Roman" w:cs="Times New Roman"/>
          <w:lang w:eastAsia="hu-HU"/>
        </w:rPr>
        <w:t xml:space="preserve">betöltött 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18 éves kor alatti gyermekek és serdülők esetében nem igazolták. Nincsenek rendelkezésre álló adatok. Így az acetilszalicilsav alkalmazása </w:t>
      </w:r>
      <w:r w:rsidR="00C85720">
        <w:rPr>
          <w:rFonts w:ascii="Times New Roman" w:eastAsia="Times New Roman" w:hAnsi="Times New Roman" w:cs="Times New Roman"/>
          <w:lang w:eastAsia="hu-HU"/>
        </w:rPr>
        <w:t xml:space="preserve">betöltöt </w:t>
      </w:r>
      <w:r w:rsidRPr="008852EB">
        <w:rPr>
          <w:rFonts w:ascii="Times New Roman" w:eastAsia="Times New Roman" w:hAnsi="Times New Roman" w:cs="Times New Roman"/>
          <w:lang w:eastAsia="hu-HU"/>
        </w:rPr>
        <w:t>18 év alatti gyermekeknél és serdülőknél nem javasolt.</w:t>
      </w:r>
    </w:p>
    <w:p w14:paraId="5EB9F1E5" w14:textId="77777777" w:rsidR="00B56A54" w:rsidRPr="008852EB" w:rsidRDefault="00B56A54" w:rsidP="008852E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1E71B652" w14:textId="5590278F" w:rsidR="00A8679E" w:rsidRPr="008852EB" w:rsidRDefault="00B56A54" w:rsidP="00D96B72">
      <w:pPr>
        <w:pStyle w:val="Default"/>
        <w:rPr>
          <w:color w:val="auto"/>
          <w:sz w:val="22"/>
          <w:szCs w:val="22"/>
          <w:lang w:val="hu-HU"/>
        </w:rPr>
      </w:pPr>
      <w:r w:rsidRPr="00D96B72">
        <w:rPr>
          <w:rFonts w:eastAsia="Times New Roman"/>
          <w:sz w:val="22"/>
          <w:szCs w:val="22"/>
          <w:lang w:val="hu-HU" w:eastAsia="hu-HU"/>
        </w:rPr>
        <w:t>Gyermekek és serdülők lázzal járó, vagy láz nélküli vírusfertőzéseinek kezelésére acetilszalicilsavat tartalmazó gyógyszer nem adható a kezelőorvossal történő konzultáció nélkül. Bizonyos vírusfertőzések esetén (pl. influenza A</w:t>
      </w:r>
      <w:r w:rsidRPr="00D96B72">
        <w:rPr>
          <w:rFonts w:eastAsia="Times New Roman"/>
          <w:sz w:val="22"/>
          <w:szCs w:val="22"/>
          <w:lang w:val="hu-HU" w:eastAsia="hu-HU"/>
        </w:rPr>
        <w:noBreakHyphen/>
        <w:t xml:space="preserve">, vagy B- és varicella-fertőzések) fennáll a Reye-szindróma kialakulásának kockázata, mely egy nagyon ritka, de esetlegesen az életet veszélyeztető állapot, ami azonnali orvosi ellátást igényel. Az egyidejűleg adott acetilszalicilsav </w:t>
      </w:r>
      <w:r w:rsidR="006D1FF2" w:rsidRPr="008852EB">
        <w:rPr>
          <w:rFonts w:eastAsia="Times New Roman"/>
          <w:sz w:val="22"/>
          <w:szCs w:val="22"/>
          <w:lang w:val="hu-HU" w:eastAsia="hu-HU"/>
        </w:rPr>
        <w:t>növel</w:t>
      </w:r>
      <w:r w:rsidRPr="00D96B72">
        <w:rPr>
          <w:rFonts w:eastAsia="Times New Roman"/>
          <w:sz w:val="22"/>
          <w:szCs w:val="22"/>
          <w:lang w:val="hu-HU" w:eastAsia="hu-HU"/>
        </w:rPr>
        <w:t>heti a kockázatot, azonban az alkalmi összefüggés nem bizonyított. Amennyiben ezek a betegségek tartós hányással járnak, az a Reye-szindrómára utaló jel lehet</w:t>
      </w:r>
      <w:r w:rsidR="007B2770" w:rsidRPr="008852EB">
        <w:rPr>
          <w:rFonts w:eastAsia="Times New Roman"/>
          <w:sz w:val="22"/>
          <w:szCs w:val="22"/>
          <w:lang w:val="hu-HU" w:eastAsia="hu-HU"/>
        </w:rPr>
        <w:t>.</w:t>
      </w:r>
    </w:p>
    <w:p w14:paraId="2DA367DB" w14:textId="50FD5119" w:rsidR="009806F4" w:rsidRPr="008852EB" w:rsidRDefault="009806F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D75C4B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Feltételezett mellékhatások bejelentése</w:t>
      </w:r>
    </w:p>
    <w:p w14:paraId="7A08D355" w14:textId="4C529D69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Pr="00DD5F01">
          <w:rPr>
            <w:rStyle w:val="Hiperhivatkozs"/>
            <w:rFonts w:ascii="Times New Roman" w:hAnsi="Times New Roman" w:cs="Times New Roman"/>
            <w:highlight w:val="lightGray"/>
          </w:rPr>
          <w:t>V. függelékben</w:t>
        </w:r>
      </w:hyperlink>
      <w:r w:rsidRPr="008852EB">
        <w:rPr>
          <w:rFonts w:ascii="Times New Roman" w:hAnsi="Times New Roman" w:cs="Times New Roman"/>
          <w:color w:val="0000FF"/>
          <w:highlight w:val="lightGray"/>
        </w:rPr>
        <w:t xml:space="preserve"> </w:t>
      </w:r>
      <w:r w:rsidRPr="008852EB">
        <w:rPr>
          <w:rFonts w:ascii="Times New Roman" w:hAnsi="Times New Roman" w:cs="Times New Roman"/>
          <w:color w:val="000000"/>
          <w:highlight w:val="lightGray"/>
        </w:rPr>
        <w:t>található elérhetőségek valamelyikén keresztül</w:t>
      </w:r>
      <w:r w:rsidRPr="008852EB">
        <w:rPr>
          <w:rFonts w:ascii="Times New Roman" w:hAnsi="Times New Roman" w:cs="Times New Roman"/>
          <w:color w:val="000000"/>
        </w:rPr>
        <w:t>.</w:t>
      </w:r>
    </w:p>
    <w:p w14:paraId="3FA053D2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4BC878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4.9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Túladagolás</w:t>
      </w:r>
    </w:p>
    <w:p w14:paraId="4FA79FD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AB6FCA" w14:textId="6B79AF2D" w:rsidR="00755989" w:rsidRPr="008852EB" w:rsidRDefault="00AF4FA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Tünetek</w:t>
      </w:r>
    </w:p>
    <w:p w14:paraId="4B9B8B58" w14:textId="6C074DCB" w:rsidR="00AF4FA2" w:rsidRPr="008852EB" w:rsidRDefault="00AF4FA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Rozuvasztatin</w:t>
      </w:r>
    </w:p>
    <w:p w14:paraId="6F40445A" w14:textId="43855C8C" w:rsidR="00AF4FA2" w:rsidRPr="008852EB" w:rsidRDefault="0058311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Rozuvasztatin túladagolással kapcsolatosan korlátozott tapasztalatok állnak rendelkezésre.</w:t>
      </w:r>
    </w:p>
    <w:p w14:paraId="143EC558" w14:textId="28632610" w:rsidR="00EB2E75" w:rsidRPr="00D96B72" w:rsidRDefault="00EB2E75" w:rsidP="008852EB">
      <w:pPr>
        <w:pStyle w:val="Default"/>
        <w:rPr>
          <w:sz w:val="22"/>
          <w:szCs w:val="22"/>
          <w:lang w:val="hu-HU"/>
        </w:rPr>
      </w:pPr>
    </w:p>
    <w:p w14:paraId="70F14CE5" w14:textId="783C3FEE" w:rsidR="00583112" w:rsidRPr="008852EB" w:rsidRDefault="0058311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Acetilszalicilsav</w:t>
      </w:r>
    </w:p>
    <w:p w14:paraId="6C2361A7" w14:textId="19539D1A" w:rsidR="00326F84" w:rsidRPr="008852EB" w:rsidRDefault="00326F84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37BEACC9" w14:textId="0CB8851D" w:rsidR="00107C2F" w:rsidRPr="008852EB" w:rsidRDefault="00107C2F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Különbség van az acetilszalicilsav krónikus túladagolása</w:t>
      </w:r>
      <w:r w:rsidR="00731085" w:rsidRPr="008852EB">
        <w:rPr>
          <w:rFonts w:ascii="Times New Roman" w:hAnsi="Times New Roman" w:cs="Times New Roman"/>
          <w:snapToGrid w:val="0"/>
        </w:rPr>
        <w:t xml:space="preserve"> (&gt; 100 mg/ttkg/nap 2 napon keresztül szedve túladagoláshoz vezethet)</w:t>
      </w:r>
      <w:r w:rsidRPr="008852EB">
        <w:rPr>
          <w:rFonts w:ascii="Times New Roman" w:hAnsi="Times New Roman" w:cs="Times New Roman"/>
          <w:snapToGrid w:val="0"/>
        </w:rPr>
        <w:t>, ahol főleg a központi idegrendszeri zavarok dominálnak, mint például aluszékonyság, szédülés, zavartság, émelygés (s</w:t>
      </w:r>
      <w:r w:rsidR="00CA512F">
        <w:rPr>
          <w:rFonts w:ascii="Times New Roman" w:hAnsi="Times New Roman" w:cs="Times New Roman"/>
          <w:snapToGrid w:val="0"/>
        </w:rPr>
        <w:t>z</w:t>
      </w:r>
      <w:r w:rsidRPr="008852EB">
        <w:rPr>
          <w:rFonts w:ascii="Times New Roman" w:hAnsi="Times New Roman" w:cs="Times New Roman"/>
          <w:snapToGrid w:val="0"/>
        </w:rPr>
        <w:t>alicilizmus) és az akut</w:t>
      </w:r>
      <w:r w:rsidR="00672E14" w:rsidRPr="008852EB">
        <w:rPr>
          <w:rFonts w:ascii="Times New Roman" w:hAnsi="Times New Roman" w:cs="Times New Roman"/>
          <w:snapToGrid w:val="0"/>
        </w:rPr>
        <w:t>, lehetségesen életveszélyes mérgezés között, amely a gyermekek általi véletlen bevételtől a mérgezésig terjed.</w:t>
      </w:r>
    </w:p>
    <w:p w14:paraId="4054C2EE" w14:textId="77777777" w:rsidR="00107C2F" w:rsidRPr="008852EB" w:rsidRDefault="00107C2F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39B4D224" w14:textId="2F5582BE" w:rsidR="00DA245E" w:rsidRPr="008852EB" w:rsidRDefault="00583112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Az akut túladagolás fő jellemzője a sav-bázis-egyensúly súlyos eltolódása</w:t>
      </w:r>
      <w:r w:rsidR="00864438" w:rsidRPr="008852EB">
        <w:rPr>
          <w:rFonts w:ascii="Times New Roman" w:hAnsi="Times New Roman" w:cs="Times New Roman"/>
          <w:snapToGrid w:val="0"/>
        </w:rPr>
        <w:t xml:space="preserve">, </w:t>
      </w:r>
      <w:r w:rsidR="00160792" w:rsidRPr="008852EB">
        <w:rPr>
          <w:rFonts w:ascii="Times New Roman" w:hAnsi="Times New Roman" w:cs="Times New Roman"/>
          <w:snapToGrid w:val="0"/>
        </w:rPr>
        <w:t>amely a kornak és a túladagolás mértékének megfelelően változhat. A leggyakoribb megjelenési forma gyermekeknél a metabolikus acid</w:t>
      </w:r>
      <w:r w:rsidR="00C85720">
        <w:rPr>
          <w:rFonts w:ascii="Times New Roman" w:hAnsi="Times New Roman" w:cs="Times New Roman"/>
          <w:snapToGrid w:val="0"/>
        </w:rPr>
        <w:t>óz</w:t>
      </w:r>
      <w:r w:rsidR="00160792" w:rsidRPr="008852EB">
        <w:rPr>
          <w:rFonts w:ascii="Times New Roman" w:hAnsi="Times New Roman" w:cs="Times New Roman"/>
          <w:snapToGrid w:val="0"/>
        </w:rPr>
        <w:t xml:space="preserve">is. A mérgezés mértékét nem lehet egyedül a plazmakoncentrációból megállapítani. Az acetilszalicilsav abszorpcióját késleltetheti a csökkent gyomorürülés, </w:t>
      </w:r>
      <w:r w:rsidR="00FD7700" w:rsidRPr="008852EB">
        <w:rPr>
          <w:rFonts w:ascii="Times New Roman" w:hAnsi="Times New Roman" w:cs="Times New Roman"/>
          <w:snapToGrid w:val="0"/>
        </w:rPr>
        <w:t xml:space="preserve">vagy például </w:t>
      </w:r>
      <w:r w:rsidR="00160792" w:rsidRPr="008852EB">
        <w:rPr>
          <w:rFonts w:ascii="Times New Roman" w:hAnsi="Times New Roman" w:cs="Times New Roman"/>
          <w:snapToGrid w:val="0"/>
        </w:rPr>
        <w:t>kőképződés a gyomor-bélrendszer</w:t>
      </w:r>
      <w:r w:rsidR="00FD7700" w:rsidRPr="008852EB">
        <w:rPr>
          <w:rFonts w:ascii="Times New Roman" w:hAnsi="Times New Roman" w:cs="Times New Roman"/>
          <w:snapToGrid w:val="0"/>
        </w:rPr>
        <w:t>ben</w:t>
      </w:r>
      <w:r w:rsidR="00160792" w:rsidRPr="008852EB">
        <w:rPr>
          <w:rFonts w:ascii="Times New Roman" w:hAnsi="Times New Roman" w:cs="Times New Roman"/>
          <w:snapToGrid w:val="0"/>
        </w:rPr>
        <w:t>. Az acetilszalicilsav-túladagolás kezelését a túladagolás mértéke, fokozata és klinikai tünetei határozzák meg. A kezelést a standard előírásoknak megfelelően kell elvégezni: a legfontosabb lépések a gyógyszer gyorsított kiürülésének biztosítása, az elektrolit-háztartás és a sav</w:t>
      </w:r>
      <w:r w:rsidR="00C85720">
        <w:rPr>
          <w:rFonts w:ascii="Times New Roman" w:hAnsi="Times New Roman" w:cs="Times New Roman"/>
          <w:snapToGrid w:val="0"/>
        </w:rPr>
        <w:noBreakHyphen/>
      </w:r>
      <w:r w:rsidR="00160792" w:rsidRPr="008852EB">
        <w:rPr>
          <w:rFonts w:ascii="Times New Roman" w:hAnsi="Times New Roman" w:cs="Times New Roman"/>
          <w:snapToGrid w:val="0"/>
        </w:rPr>
        <w:t>bázis-egyensúly helyreállítása.</w:t>
      </w:r>
    </w:p>
    <w:p w14:paraId="2BF19FDA" w14:textId="412CC88C" w:rsidR="00177809" w:rsidRPr="008852EB" w:rsidRDefault="0005210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 xml:space="preserve">Még a terápiás dózison belül is bekövetkező </w:t>
      </w:r>
      <w:r w:rsidR="00F73841" w:rsidRPr="008852EB">
        <w:rPr>
          <w:rFonts w:ascii="Times New Roman" w:hAnsi="Times New Roman" w:cs="Times New Roman"/>
          <w:snapToGrid w:val="0"/>
        </w:rPr>
        <w:t xml:space="preserve">fokozott </w:t>
      </w:r>
      <w:r w:rsidRPr="008852EB">
        <w:rPr>
          <w:rFonts w:ascii="Times New Roman" w:hAnsi="Times New Roman" w:cs="Times New Roman"/>
          <w:snapToGrid w:val="0"/>
        </w:rPr>
        <w:t xml:space="preserve">légzés </w:t>
      </w:r>
      <w:r w:rsidR="00F73841" w:rsidRPr="008852EB">
        <w:rPr>
          <w:rFonts w:ascii="Times New Roman" w:hAnsi="Times New Roman" w:cs="Times New Roman"/>
          <w:snapToGrid w:val="0"/>
        </w:rPr>
        <w:t xml:space="preserve">respiratórikus </w:t>
      </w:r>
      <w:r w:rsidRPr="008852EB">
        <w:rPr>
          <w:rFonts w:ascii="Times New Roman" w:hAnsi="Times New Roman" w:cs="Times New Roman"/>
          <w:snapToGrid w:val="0"/>
        </w:rPr>
        <w:t>alkalózishoz vezethet. Ezt kompenzálja a vese által kiválasztott megnövek</w:t>
      </w:r>
      <w:r w:rsidR="002F6CA1" w:rsidRPr="008852EB">
        <w:rPr>
          <w:rFonts w:ascii="Times New Roman" w:hAnsi="Times New Roman" w:cs="Times New Roman"/>
          <w:snapToGrid w:val="0"/>
        </w:rPr>
        <w:t>e</w:t>
      </w:r>
      <w:r w:rsidRPr="008852EB">
        <w:rPr>
          <w:rFonts w:ascii="Times New Roman" w:hAnsi="Times New Roman" w:cs="Times New Roman"/>
          <w:snapToGrid w:val="0"/>
        </w:rPr>
        <w:t xml:space="preserve">dett bikarbonát, ami a vér normál pH-ját fenntartja. Toxikus dózisok esetén ez a kompenzáció már nem elegendő mértékű, </w:t>
      </w:r>
      <w:r w:rsidR="00177809" w:rsidRPr="008852EB">
        <w:rPr>
          <w:rFonts w:ascii="Times New Roman" w:hAnsi="Times New Roman" w:cs="Times New Roman"/>
          <w:snapToGrid w:val="0"/>
        </w:rPr>
        <w:t>és a vér pH- értéke, csakúgy</w:t>
      </w:r>
      <w:r w:rsidR="00C85720">
        <w:rPr>
          <w:rFonts w:ascii="Times New Roman" w:hAnsi="Times New Roman" w:cs="Times New Roman"/>
          <w:snapToGrid w:val="0"/>
        </w:rPr>
        <w:t>,</w:t>
      </w:r>
      <w:r w:rsidR="00177809" w:rsidRPr="008852EB">
        <w:rPr>
          <w:rFonts w:ascii="Times New Roman" w:hAnsi="Times New Roman" w:cs="Times New Roman"/>
          <w:snapToGrid w:val="0"/>
        </w:rPr>
        <w:t xml:space="preserve"> mint a bikarbonát koncentrációja, lecsökken. Időnként a plazma CO</w:t>
      </w:r>
      <w:r w:rsidR="00177809" w:rsidRPr="008852EB">
        <w:rPr>
          <w:rFonts w:ascii="Times New Roman" w:hAnsi="Times New Roman" w:cs="Times New Roman"/>
          <w:snapToGrid w:val="0"/>
          <w:vertAlign w:val="subscript"/>
        </w:rPr>
        <w:t>2</w:t>
      </w:r>
      <w:r w:rsidR="00C85720">
        <w:rPr>
          <w:rFonts w:ascii="Times New Roman" w:hAnsi="Times New Roman" w:cs="Times New Roman"/>
          <w:snapToGrid w:val="0"/>
        </w:rPr>
        <w:t>-</w:t>
      </w:r>
      <w:r w:rsidR="00177809" w:rsidRPr="008852EB">
        <w:rPr>
          <w:rFonts w:ascii="Times New Roman" w:hAnsi="Times New Roman" w:cs="Times New Roman"/>
          <w:snapToGrid w:val="0"/>
        </w:rPr>
        <w:t xml:space="preserve">szint értéke normális lehet. Az állapot </w:t>
      </w:r>
      <w:r w:rsidR="00583112" w:rsidRPr="008852EB">
        <w:rPr>
          <w:rFonts w:ascii="Times New Roman" w:hAnsi="Times New Roman" w:cs="Times New Roman"/>
          <w:snapToGrid w:val="0"/>
        </w:rPr>
        <w:t>a metabolikus acid</w:t>
      </w:r>
      <w:r w:rsidR="00C85720">
        <w:rPr>
          <w:rFonts w:ascii="Times New Roman" w:hAnsi="Times New Roman" w:cs="Times New Roman"/>
          <w:snapToGrid w:val="0"/>
        </w:rPr>
        <w:t>óz</w:t>
      </w:r>
      <w:r w:rsidR="00583112" w:rsidRPr="008852EB">
        <w:rPr>
          <w:rFonts w:ascii="Times New Roman" w:hAnsi="Times New Roman" w:cs="Times New Roman"/>
          <w:snapToGrid w:val="0"/>
        </w:rPr>
        <w:t>is</w:t>
      </w:r>
      <w:r w:rsidR="007E42C8" w:rsidRPr="008852EB">
        <w:rPr>
          <w:rFonts w:ascii="Times New Roman" w:hAnsi="Times New Roman" w:cs="Times New Roman"/>
          <w:snapToGrid w:val="0"/>
        </w:rPr>
        <w:t>nak tűnik</w:t>
      </w:r>
      <w:r w:rsidR="00583112" w:rsidRPr="008852EB">
        <w:rPr>
          <w:rFonts w:ascii="Times New Roman" w:hAnsi="Times New Roman" w:cs="Times New Roman"/>
          <w:snapToGrid w:val="0"/>
        </w:rPr>
        <w:t xml:space="preserve">. </w:t>
      </w:r>
      <w:r w:rsidR="00177809" w:rsidRPr="008852EB">
        <w:rPr>
          <w:rFonts w:ascii="Times New Roman" w:hAnsi="Times New Roman" w:cs="Times New Roman"/>
          <w:snapToGrid w:val="0"/>
        </w:rPr>
        <w:t xml:space="preserve">Valójában a </w:t>
      </w:r>
      <w:r w:rsidR="007E42C8" w:rsidRPr="008852EB">
        <w:rPr>
          <w:rFonts w:ascii="Times New Roman" w:hAnsi="Times New Roman" w:cs="Times New Roman"/>
          <w:snapToGrid w:val="0"/>
        </w:rPr>
        <w:t xml:space="preserve">respiratórikus és </w:t>
      </w:r>
      <w:r w:rsidR="00177809" w:rsidRPr="008852EB">
        <w:rPr>
          <w:rFonts w:ascii="Times New Roman" w:hAnsi="Times New Roman" w:cs="Times New Roman"/>
          <w:snapToGrid w:val="0"/>
        </w:rPr>
        <w:t>a m</w:t>
      </w:r>
      <w:r w:rsidR="002F6CA1" w:rsidRPr="008852EB">
        <w:rPr>
          <w:rFonts w:ascii="Times New Roman" w:hAnsi="Times New Roman" w:cs="Times New Roman"/>
          <w:snapToGrid w:val="0"/>
        </w:rPr>
        <w:t>e</w:t>
      </w:r>
      <w:r w:rsidR="00177809" w:rsidRPr="008852EB">
        <w:rPr>
          <w:rFonts w:ascii="Times New Roman" w:hAnsi="Times New Roman" w:cs="Times New Roman"/>
          <w:snapToGrid w:val="0"/>
        </w:rPr>
        <w:t>tabolikus acidózis kombinációja az, ami bekövetkezik. Ennek oka a légzés toxikus dózisok általi korlátozása, sav</w:t>
      </w:r>
      <w:r w:rsidR="00627F39" w:rsidRPr="008852EB">
        <w:rPr>
          <w:rFonts w:ascii="Times New Roman" w:hAnsi="Times New Roman" w:cs="Times New Roman"/>
          <w:snapToGrid w:val="0"/>
        </w:rPr>
        <w:t>ak</w:t>
      </w:r>
      <w:r w:rsidR="00177809" w:rsidRPr="008852EB">
        <w:rPr>
          <w:rFonts w:ascii="Times New Roman" w:hAnsi="Times New Roman" w:cs="Times New Roman"/>
          <w:snapToGrid w:val="0"/>
        </w:rPr>
        <w:t xml:space="preserve"> felhalmozódása, és részben a vese általi kiválasztás csökkenése (kénsav, foszforsav, szalicilsav, tejsav</w:t>
      </w:r>
      <w:r w:rsidR="00627F39" w:rsidRPr="008852EB">
        <w:rPr>
          <w:rFonts w:ascii="Times New Roman" w:hAnsi="Times New Roman" w:cs="Times New Roman"/>
          <w:snapToGrid w:val="0"/>
        </w:rPr>
        <w:t xml:space="preserve">, ecetsav stb.), ami a szénhidrát anyagcsere súlyos zavara miatt következik be. Ezen túlmenően a </w:t>
      </w:r>
      <w:r w:rsidR="00627F39" w:rsidRPr="008852EB">
        <w:rPr>
          <w:rFonts w:ascii="Times New Roman" w:hAnsi="Times New Roman" w:cs="Times New Roman"/>
          <w:snapToGrid w:val="0"/>
        </w:rPr>
        <w:lastRenderedPageBreak/>
        <w:t>szervezet elektrolit</w:t>
      </w:r>
      <w:r w:rsidR="00C85720">
        <w:rPr>
          <w:rFonts w:ascii="Times New Roman" w:hAnsi="Times New Roman" w:cs="Times New Roman"/>
          <w:snapToGrid w:val="0"/>
        </w:rPr>
        <w:t>-</w:t>
      </w:r>
      <w:r w:rsidR="00627F39" w:rsidRPr="008852EB">
        <w:rPr>
          <w:rFonts w:ascii="Times New Roman" w:hAnsi="Times New Roman" w:cs="Times New Roman"/>
          <w:snapToGrid w:val="0"/>
        </w:rPr>
        <w:t>egyensúlya is felborul, jelentős káliumvesztés figyelhető meg.</w:t>
      </w:r>
    </w:p>
    <w:p w14:paraId="523C8757" w14:textId="433AB8D4" w:rsidR="003A1960" w:rsidRPr="008852EB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36300288" w14:textId="77777777" w:rsidR="003A1960" w:rsidRPr="00D96B72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  <w:u w:val="single"/>
        </w:rPr>
      </w:pPr>
      <w:r w:rsidRPr="00D96B72">
        <w:rPr>
          <w:rFonts w:ascii="Times New Roman" w:hAnsi="Times New Roman" w:cs="Times New Roman"/>
          <w:snapToGrid w:val="0"/>
          <w:u w:val="single"/>
        </w:rPr>
        <w:t>Az akut mérgezés tünetei</w:t>
      </w:r>
    </w:p>
    <w:p w14:paraId="6ADDDC38" w14:textId="2696F266" w:rsidR="003A1960" w:rsidRPr="00D96B72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D96B72">
        <w:rPr>
          <w:rFonts w:ascii="Times New Roman" w:hAnsi="Times New Roman" w:cs="Times New Roman"/>
          <w:snapToGrid w:val="0"/>
        </w:rPr>
        <w:t>Az akut mérgezés enyhébb formáinak tünetei (200-400 mi</w:t>
      </w:r>
      <w:r w:rsidR="006E2412" w:rsidRPr="008852EB">
        <w:rPr>
          <w:rFonts w:ascii="Times New Roman" w:hAnsi="Times New Roman" w:cs="Times New Roman"/>
          <w:snapToGrid w:val="0"/>
        </w:rPr>
        <w:t>k</w:t>
      </w:r>
      <w:r w:rsidRPr="00D96B72">
        <w:rPr>
          <w:rFonts w:ascii="Times New Roman" w:hAnsi="Times New Roman" w:cs="Times New Roman"/>
          <w:snapToGrid w:val="0"/>
        </w:rPr>
        <w:t>rogram/ml): a sav-bázis</w:t>
      </w:r>
      <w:r w:rsidR="00C85720">
        <w:rPr>
          <w:rFonts w:ascii="Times New Roman" w:hAnsi="Times New Roman" w:cs="Times New Roman"/>
          <w:snapToGrid w:val="0"/>
        </w:rPr>
        <w:t>-</w:t>
      </w:r>
      <w:r w:rsidRPr="00D96B72">
        <w:rPr>
          <w:rFonts w:ascii="Times New Roman" w:hAnsi="Times New Roman" w:cs="Times New Roman"/>
          <w:snapToGrid w:val="0"/>
        </w:rPr>
        <w:t xml:space="preserve">egyensúly, az elektrolit-háztartás egyensúlyának a felborulásán (káliumvesztés), </w:t>
      </w:r>
      <w:r w:rsidRPr="00D96B72">
        <w:rPr>
          <w:rFonts w:ascii="Times New Roman" w:hAnsi="Times New Roman" w:cs="Times New Roman"/>
        </w:rPr>
        <w:t>hypogly</w:t>
      </w:r>
      <w:r w:rsidR="00952734">
        <w:rPr>
          <w:rFonts w:ascii="Times New Roman" w:hAnsi="Times New Roman" w:cs="Times New Roman"/>
        </w:rPr>
        <w:t>k</w:t>
      </w:r>
      <w:r w:rsidRPr="00D96B72">
        <w:rPr>
          <w:rFonts w:ascii="Times New Roman" w:hAnsi="Times New Roman" w:cs="Times New Roman"/>
        </w:rPr>
        <w:t xml:space="preserve">aemián, bőrkiütéseken, és 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Pr="00D96B72">
        <w:rPr>
          <w:rFonts w:ascii="Times New Roman" w:hAnsi="Times New Roman" w:cs="Times New Roman"/>
        </w:rPr>
        <w:t xml:space="preserve"> vérzésen túlmenően olyan tünetek is megfigyelhetők, mint a hyperventil</w:t>
      </w:r>
      <w:r w:rsidR="00C85720">
        <w:rPr>
          <w:rFonts w:ascii="Times New Roman" w:hAnsi="Times New Roman" w:cs="Times New Roman"/>
        </w:rPr>
        <w:t>at</w:t>
      </w:r>
      <w:r w:rsidRPr="00D96B72">
        <w:rPr>
          <w:rFonts w:ascii="Times New Roman" w:hAnsi="Times New Roman" w:cs="Times New Roman"/>
        </w:rPr>
        <w:t>i</w:t>
      </w:r>
      <w:r w:rsidR="00C85720">
        <w:rPr>
          <w:rFonts w:ascii="Times New Roman" w:hAnsi="Times New Roman" w:cs="Times New Roman"/>
        </w:rPr>
        <w:t>o</w:t>
      </w:r>
      <w:r w:rsidRPr="00D96B72">
        <w:rPr>
          <w:rFonts w:ascii="Times New Roman" w:hAnsi="Times New Roman" w:cs="Times New Roman"/>
        </w:rPr>
        <w:t>, fülcsengés, émelygés, hányás, a látás és a hallás zavarai, fejfájás, szédülés, dezorientáció.</w:t>
      </w:r>
    </w:p>
    <w:p w14:paraId="5C562EC1" w14:textId="6AD5AD19" w:rsidR="003A1960" w:rsidRPr="008852EB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D96B72">
        <w:rPr>
          <w:rFonts w:ascii="Times New Roman" w:hAnsi="Times New Roman" w:cs="Times New Roman"/>
          <w:snapToGrid w:val="0"/>
        </w:rPr>
        <w:t>Súlyos mérgezéskor (400 mi</w:t>
      </w:r>
      <w:r w:rsidR="00D153FE" w:rsidRPr="008852EB">
        <w:rPr>
          <w:rFonts w:ascii="Times New Roman" w:hAnsi="Times New Roman" w:cs="Times New Roman"/>
          <w:snapToGrid w:val="0"/>
        </w:rPr>
        <w:t>k</w:t>
      </w:r>
      <w:r w:rsidRPr="00D96B72">
        <w:rPr>
          <w:rFonts w:ascii="Times New Roman" w:hAnsi="Times New Roman" w:cs="Times New Roman"/>
          <w:snapToGrid w:val="0"/>
        </w:rPr>
        <w:t>rogram/ml felett) bekövetkezhet delírium, remegés, légzészavar,</w:t>
      </w:r>
      <w:r w:rsidRPr="008852EB">
        <w:rPr>
          <w:rFonts w:ascii="Times New Roman" w:hAnsi="Times New Roman" w:cs="Times New Roman"/>
          <w:snapToGrid w:val="0"/>
        </w:rPr>
        <w:t xml:space="preserve"> verejtékezés, dehidratáció, magas láz és kóma.</w:t>
      </w:r>
    </w:p>
    <w:p w14:paraId="714C76DB" w14:textId="26CA2BC0" w:rsidR="003A1960" w:rsidRPr="008852EB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 halálos mérgezések esetén a halál oka a légzési funkció összeomlása.</w:t>
      </w:r>
    </w:p>
    <w:p w14:paraId="34FD3B98" w14:textId="409D1086" w:rsidR="008E6924" w:rsidRPr="008852EB" w:rsidRDefault="008E6924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16EB85F0" w14:textId="1D30F1E1" w:rsidR="008E6924" w:rsidRPr="008852EB" w:rsidRDefault="008E6924" w:rsidP="00B36C6C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 krónikus szalicilát-túladagolást nehéz észrevenni, mert a tünetei nem specifikusak. Az enyhe krónikus szalicilát-túladagolás (szalicilizmus) általában csak nagy dózisok ismételt bevételét követően alakul ki. Ennek tünetei közé tartozik az aluszékonyság, szédülés, vertigo, fülcsengés, süketség, ver</w:t>
      </w:r>
      <w:r w:rsidR="00D153FE" w:rsidRPr="008852EB">
        <w:rPr>
          <w:rFonts w:ascii="Times New Roman" w:hAnsi="Times New Roman" w:cs="Times New Roman"/>
          <w:snapToGrid w:val="0"/>
        </w:rPr>
        <w:t>ej</w:t>
      </w:r>
      <w:r w:rsidRPr="008852EB">
        <w:rPr>
          <w:rFonts w:ascii="Times New Roman" w:hAnsi="Times New Roman" w:cs="Times New Roman"/>
          <w:snapToGrid w:val="0"/>
        </w:rPr>
        <w:t>tékezés, hányinger, hányás, fejfájás, confusio, amelyeket a dózis csökkentése enyhít. A fülcsengés 150</w:t>
      </w:r>
      <w:r w:rsidRPr="008852EB">
        <w:rPr>
          <w:rFonts w:ascii="Times New Roman" w:hAnsi="Times New Roman" w:cs="Times New Roman"/>
          <w:snapToGrid w:val="0"/>
        </w:rPr>
        <w:noBreakHyphen/>
        <w:t>300 mikrogramm/ml plazmakoncentrációnál jelentkezik. Súlyosabb mellékhatások 300 mikrogramm/ml feletti koncentrációknál jelentkeznek</w:t>
      </w:r>
      <w:r w:rsidR="007B32F7">
        <w:rPr>
          <w:rFonts w:ascii="Times New Roman" w:hAnsi="Times New Roman" w:cs="Times New Roman"/>
          <w:snapToGrid w:val="0"/>
        </w:rPr>
        <w:t>.</w:t>
      </w:r>
    </w:p>
    <w:p w14:paraId="76132E52" w14:textId="356EE00C" w:rsidR="00A42DA7" w:rsidRPr="008852EB" w:rsidRDefault="00A42DA7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2CF0C995" w14:textId="77777777" w:rsidR="00A42DA7" w:rsidRPr="008852EB" w:rsidRDefault="00A42DA7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 szalicilát-túladagolás komplex patofiziológiás hatásai és a tünetek az alábbiak lehetnek:</w:t>
      </w:r>
    </w:p>
    <w:p w14:paraId="2C72270E" w14:textId="77777777" w:rsidR="00A42DA7" w:rsidRPr="008852EB" w:rsidRDefault="00A42DA7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tbl>
      <w:tblPr>
        <w:tblW w:w="9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4"/>
        <w:gridCol w:w="3270"/>
        <w:gridCol w:w="3162"/>
      </w:tblGrid>
      <w:tr w:rsidR="00A42DA7" w:rsidRPr="008852EB" w14:paraId="592BEF92" w14:textId="77777777" w:rsidTr="00BB4A0D">
        <w:trPr>
          <w:cantSplit/>
          <w:trHeight w:val="57"/>
          <w:tblHeader/>
          <w:jc w:val="center"/>
        </w:trPr>
        <w:tc>
          <w:tcPr>
            <w:tcW w:w="2664" w:type="dxa"/>
            <w:vAlign w:val="center"/>
          </w:tcPr>
          <w:p w14:paraId="32511A54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i/>
                <w:snapToGrid w:val="0"/>
              </w:rPr>
              <w:t>Tünetek</w:t>
            </w:r>
          </w:p>
        </w:tc>
        <w:tc>
          <w:tcPr>
            <w:tcW w:w="3270" w:type="dxa"/>
            <w:vAlign w:val="center"/>
          </w:tcPr>
          <w:p w14:paraId="6C6BE4F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i/>
                <w:snapToGrid w:val="0"/>
              </w:rPr>
              <w:t>Laboratóriumi eltérések</w:t>
            </w:r>
          </w:p>
        </w:tc>
        <w:tc>
          <w:tcPr>
            <w:tcW w:w="3162" w:type="dxa"/>
            <w:vAlign w:val="center"/>
          </w:tcPr>
          <w:p w14:paraId="023C2A35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i/>
                <w:snapToGrid w:val="0"/>
              </w:rPr>
              <w:t>Terápia</w:t>
            </w:r>
          </w:p>
        </w:tc>
      </w:tr>
      <w:tr w:rsidR="00A42DA7" w:rsidRPr="008852EB" w14:paraId="20752C58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0592965A" w14:textId="77777777" w:rsidR="00A42DA7" w:rsidRPr="008852EB" w:rsidRDefault="00A42DA7" w:rsidP="00BB4A0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snapToGrid w:val="0"/>
              </w:rPr>
              <w:t>ENYHE-KÖZÉPSÚLYOS TÚLADAGOLÁS</w:t>
            </w:r>
          </w:p>
        </w:tc>
        <w:tc>
          <w:tcPr>
            <w:tcW w:w="3270" w:type="dxa"/>
          </w:tcPr>
          <w:p w14:paraId="639EAACC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590B457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Gyomormosás, aktív szén ismételt beadása, erőltetett </w:t>
            </w:r>
            <w:r w:rsidRPr="008852EB">
              <w:rPr>
                <w:rFonts w:ascii="Times New Roman" w:hAnsi="Times New Roman" w:cs="Times New Roman"/>
                <w:iCs/>
                <w:snapToGrid w:val="0"/>
              </w:rPr>
              <w:t>alkalikus diuresis</w:t>
            </w:r>
          </w:p>
        </w:tc>
      </w:tr>
      <w:tr w:rsidR="00A42DA7" w:rsidRPr="008852EB" w14:paraId="3E0C0398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4A32E956" w14:textId="4035F46E" w:rsidR="00A42DA7" w:rsidRPr="008852EB" w:rsidRDefault="00A42DA7" w:rsidP="004473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Tachypnoe, hyperventilatio, respiratori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us alkal</w:t>
            </w:r>
            <w:r w:rsidR="003C2310">
              <w:rPr>
                <w:rFonts w:ascii="Times New Roman" w:hAnsi="Times New Roman" w:cs="Times New Roman"/>
                <w:snapToGrid w:val="0"/>
              </w:rPr>
              <w:t>óz</w:t>
            </w:r>
            <w:r w:rsidRPr="008852EB">
              <w:rPr>
                <w:rFonts w:ascii="Times New Roman" w:hAnsi="Times New Roman" w:cs="Times New Roman"/>
                <w:snapToGrid w:val="0"/>
              </w:rPr>
              <w:t>is</w:t>
            </w:r>
          </w:p>
        </w:tc>
        <w:tc>
          <w:tcPr>
            <w:tcW w:w="3270" w:type="dxa"/>
          </w:tcPr>
          <w:p w14:paraId="1E2E5904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Alkalaemia, alkaluria</w:t>
            </w:r>
          </w:p>
        </w:tc>
        <w:tc>
          <w:tcPr>
            <w:tcW w:w="3162" w:type="dxa"/>
          </w:tcPr>
          <w:p w14:paraId="7319C0F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Folyadék- és elektrolit-egyensúly helyreállítása </w:t>
            </w:r>
          </w:p>
        </w:tc>
      </w:tr>
      <w:tr w:rsidR="00A42DA7" w:rsidRPr="008852EB" w14:paraId="522B9959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bottom w:val="single" w:sz="4" w:space="0" w:color="auto"/>
            </w:tcBorders>
          </w:tcPr>
          <w:p w14:paraId="6DF2A579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Izzadás</w:t>
            </w:r>
          </w:p>
        </w:tc>
        <w:tc>
          <w:tcPr>
            <w:tcW w:w="3270" w:type="dxa"/>
            <w:tcBorders>
              <w:bottom w:val="single" w:sz="4" w:space="0" w:color="auto"/>
            </w:tcBorders>
          </w:tcPr>
          <w:p w14:paraId="10C3093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  <w:tcBorders>
              <w:bottom w:val="single" w:sz="4" w:space="0" w:color="auto"/>
            </w:tcBorders>
          </w:tcPr>
          <w:p w14:paraId="25448EEB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0DC2E886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bottom w:val="single" w:sz="4" w:space="0" w:color="auto"/>
            </w:tcBorders>
          </w:tcPr>
          <w:p w14:paraId="6DA6CC36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Hányinger, hányás</w:t>
            </w:r>
          </w:p>
        </w:tc>
        <w:tc>
          <w:tcPr>
            <w:tcW w:w="3270" w:type="dxa"/>
            <w:tcBorders>
              <w:bottom w:val="single" w:sz="4" w:space="0" w:color="auto"/>
            </w:tcBorders>
          </w:tcPr>
          <w:p w14:paraId="32F52E80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  <w:tcBorders>
              <w:bottom w:val="single" w:sz="4" w:space="0" w:color="auto"/>
            </w:tcBorders>
          </w:tcPr>
          <w:p w14:paraId="0305BA26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3FA96939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top w:val="single" w:sz="4" w:space="0" w:color="auto"/>
            </w:tcBorders>
          </w:tcPr>
          <w:p w14:paraId="095F1050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snapToGrid w:val="0"/>
              </w:rPr>
              <w:t>KÖZÉPSÚLYOS-SÚLYOS TÚLADAGOLÁS</w:t>
            </w:r>
          </w:p>
        </w:tc>
        <w:tc>
          <w:tcPr>
            <w:tcW w:w="3270" w:type="dxa"/>
            <w:tcBorders>
              <w:top w:val="single" w:sz="4" w:space="0" w:color="auto"/>
            </w:tcBorders>
          </w:tcPr>
          <w:p w14:paraId="1F0176F3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  <w:tcBorders>
              <w:top w:val="single" w:sz="4" w:space="0" w:color="auto"/>
            </w:tcBorders>
          </w:tcPr>
          <w:p w14:paraId="163D105C" w14:textId="70EEFEBE" w:rsidR="00A42DA7" w:rsidRPr="008852EB" w:rsidRDefault="00A42DA7" w:rsidP="003C23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Gyomormosás, aktív szén ismételt beadása, erőltetett </w:t>
            </w:r>
            <w:r w:rsidRPr="008852EB">
              <w:rPr>
                <w:rFonts w:ascii="Times New Roman" w:hAnsi="Times New Roman" w:cs="Times New Roman"/>
                <w:iCs/>
                <w:snapToGrid w:val="0"/>
              </w:rPr>
              <w:t>alkalikus diuresis, súlyos esetekben hemodialysis</w:t>
            </w:r>
          </w:p>
        </w:tc>
      </w:tr>
      <w:tr w:rsidR="00A42DA7" w:rsidRPr="008852EB" w14:paraId="20BAA1F4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61367457" w14:textId="17A3F1FD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Respiratori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us alkal</w:t>
            </w:r>
            <w:r w:rsidR="003C2310">
              <w:rPr>
                <w:rFonts w:ascii="Times New Roman" w:hAnsi="Times New Roman" w:cs="Times New Roman"/>
                <w:snapToGrid w:val="0"/>
              </w:rPr>
              <w:t>óz</w:t>
            </w:r>
            <w:r w:rsidRPr="008852EB">
              <w:rPr>
                <w:rFonts w:ascii="Times New Roman" w:hAnsi="Times New Roman" w:cs="Times New Roman"/>
                <w:snapToGrid w:val="0"/>
              </w:rPr>
              <w:t>is kompenzatórikus metabolikus acid</w:t>
            </w:r>
            <w:r w:rsidR="003C2310">
              <w:rPr>
                <w:rFonts w:ascii="Times New Roman" w:hAnsi="Times New Roman" w:cs="Times New Roman"/>
                <w:snapToGrid w:val="0"/>
              </w:rPr>
              <w:t>óz</w:t>
            </w:r>
            <w:r w:rsidRPr="008852EB">
              <w:rPr>
                <w:rFonts w:ascii="Times New Roman" w:hAnsi="Times New Roman" w:cs="Times New Roman"/>
                <w:snapToGrid w:val="0"/>
              </w:rPr>
              <w:t>issal</w:t>
            </w:r>
          </w:p>
        </w:tc>
        <w:tc>
          <w:tcPr>
            <w:tcW w:w="3270" w:type="dxa"/>
          </w:tcPr>
          <w:p w14:paraId="011A162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Acidaemia, aciduria</w:t>
            </w:r>
          </w:p>
        </w:tc>
        <w:tc>
          <w:tcPr>
            <w:tcW w:w="3162" w:type="dxa"/>
          </w:tcPr>
          <w:p w14:paraId="60CFD8BD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elektrolit-egyensúly helyreállítása</w:t>
            </w:r>
          </w:p>
        </w:tc>
      </w:tr>
      <w:tr w:rsidR="00A42DA7" w:rsidRPr="008852EB" w14:paraId="58236FC0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32E3E409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Magas láz (</w:t>
            </w:r>
            <w:r w:rsidRPr="008852EB">
              <w:rPr>
                <w:rFonts w:ascii="Times New Roman" w:hAnsi="Times New Roman" w:cs="Times New Roman"/>
                <w:snapToGrid w:val="0"/>
              </w:rPr>
              <w:sym w:font="Symbol" w:char="F03E"/>
            </w:r>
            <w:r w:rsidRPr="008852EB">
              <w:rPr>
                <w:rFonts w:ascii="Times New Roman" w:hAnsi="Times New Roman" w:cs="Times New Roman"/>
                <w:snapToGrid w:val="0"/>
              </w:rPr>
              <w:t> 41°C)</w:t>
            </w:r>
          </w:p>
        </w:tc>
        <w:tc>
          <w:tcPr>
            <w:tcW w:w="3270" w:type="dxa"/>
          </w:tcPr>
          <w:p w14:paraId="6BAFF14D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57C9147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elektrolit-egyensúly helyreállítása</w:t>
            </w:r>
          </w:p>
        </w:tc>
      </w:tr>
      <w:tr w:rsidR="00A42DA7" w:rsidRPr="008852EB" w14:paraId="5560E467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6282F403" w14:textId="3CFA8776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Változatos légzőrendszeri tünetek: hyperventilatio, nem 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ardiog</w:t>
            </w:r>
            <w:r w:rsidR="003C2310">
              <w:rPr>
                <w:rFonts w:ascii="Times New Roman" w:hAnsi="Times New Roman" w:cs="Times New Roman"/>
                <w:snapToGrid w:val="0"/>
              </w:rPr>
              <w:t>é</w:t>
            </w:r>
            <w:r w:rsidRPr="008852EB">
              <w:rPr>
                <w:rFonts w:ascii="Times New Roman" w:hAnsi="Times New Roman" w:cs="Times New Roman"/>
                <w:snapToGrid w:val="0"/>
              </w:rPr>
              <w:t xml:space="preserve">n </w:t>
            </w:r>
            <w:r w:rsidR="003C2310">
              <w:rPr>
                <w:rFonts w:ascii="Times New Roman" w:hAnsi="Times New Roman" w:cs="Times New Roman"/>
                <w:snapToGrid w:val="0"/>
              </w:rPr>
              <w:t xml:space="preserve">eredetű </w:t>
            </w:r>
            <w:r w:rsidRPr="008852EB">
              <w:rPr>
                <w:rFonts w:ascii="Times New Roman" w:hAnsi="Times New Roman" w:cs="Times New Roman"/>
                <w:snapToGrid w:val="0"/>
              </w:rPr>
              <w:t>pulmonalis oedema, légzésleállás, fulladás</w:t>
            </w:r>
          </w:p>
        </w:tc>
        <w:tc>
          <w:tcPr>
            <w:tcW w:w="3270" w:type="dxa"/>
          </w:tcPr>
          <w:p w14:paraId="54D7FA1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7CA15C5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6780DDFF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01271911" w14:textId="3059BD3A" w:rsidR="00A42DA7" w:rsidRPr="008852EB" w:rsidRDefault="00A42DA7" w:rsidP="003C23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Változatos 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ardiovas</w:t>
            </w:r>
            <w:r w:rsidR="003C2310">
              <w:rPr>
                <w:rFonts w:ascii="Times New Roman" w:hAnsi="Times New Roman" w:cs="Times New Roman"/>
                <w:snapToGrid w:val="0"/>
              </w:rPr>
              <w:t>zk</w:t>
            </w:r>
            <w:r w:rsidRPr="008852EB">
              <w:rPr>
                <w:rFonts w:ascii="Times New Roman" w:hAnsi="Times New Roman" w:cs="Times New Roman"/>
                <w:snapToGrid w:val="0"/>
              </w:rPr>
              <w:t>ul</w:t>
            </w:r>
            <w:r w:rsidR="003C2310">
              <w:rPr>
                <w:rFonts w:ascii="Times New Roman" w:hAnsi="Times New Roman" w:cs="Times New Roman"/>
                <w:snapToGrid w:val="0"/>
              </w:rPr>
              <w:t>á</w:t>
            </w:r>
            <w:r w:rsidRPr="008852EB">
              <w:rPr>
                <w:rFonts w:ascii="Times New Roman" w:hAnsi="Times New Roman" w:cs="Times New Roman"/>
                <w:snapToGrid w:val="0"/>
              </w:rPr>
              <w:t>ris tünetek: szívritmuszavar, hypotensio, szívleállás</w:t>
            </w:r>
          </w:p>
        </w:tc>
        <w:tc>
          <w:tcPr>
            <w:tcW w:w="3270" w:type="dxa"/>
          </w:tcPr>
          <w:p w14:paraId="53F945E4" w14:textId="3D41EFBA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pl. vérnyomás-változás, E</w:t>
            </w:r>
            <w:r w:rsidR="00D153FE" w:rsidRPr="008852EB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G</w:t>
            </w:r>
            <w:r w:rsidRPr="008852EB">
              <w:rPr>
                <w:rFonts w:ascii="Times New Roman" w:hAnsi="Times New Roman" w:cs="Times New Roman"/>
                <w:snapToGrid w:val="0"/>
              </w:rPr>
              <w:noBreakHyphen/>
              <w:t>változás</w:t>
            </w:r>
          </w:p>
        </w:tc>
        <w:tc>
          <w:tcPr>
            <w:tcW w:w="3162" w:type="dxa"/>
          </w:tcPr>
          <w:p w14:paraId="1CFB15D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41DFD595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55D16F21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elektrolit-veszteség: dehidratio, oliguria, veseelégtelenség</w:t>
            </w:r>
          </w:p>
        </w:tc>
        <w:tc>
          <w:tcPr>
            <w:tcW w:w="3270" w:type="dxa"/>
          </w:tcPr>
          <w:p w14:paraId="5EA1299E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pl. hypokalaemia, hypernatraemia, hyponatraemia, megváltozott vesefunkció</w:t>
            </w:r>
          </w:p>
        </w:tc>
        <w:tc>
          <w:tcPr>
            <w:tcW w:w="3162" w:type="dxa"/>
          </w:tcPr>
          <w:p w14:paraId="67C66A10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elektrolit-egyensúly helyreállítása</w:t>
            </w:r>
          </w:p>
        </w:tc>
      </w:tr>
      <w:tr w:rsidR="00A42DA7" w:rsidRPr="008852EB" w14:paraId="6C7C65B9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top w:val="single" w:sz="4" w:space="0" w:color="auto"/>
            </w:tcBorders>
          </w:tcPr>
          <w:p w14:paraId="431192F0" w14:textId="7DBD2931" w:rsidR="00A42DA7" w:rsidRPr="008852EB" w:rsidRDefault="00A42DA7" w:rsidP="003C23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Károsodott glükóz</w:t>
            </w:r>
            <w:r w:rsidR="003C2310">
              <w:rPr>
                <w:rFonts w:ascii="Times New Roman" w:hAnsi="Times New Roman" w:cs="Times New Roman"/>
                <w:snapToGrid w:val="0"/>
              </w:rPr>
              <w:t>-</w:t>
            </w:r>
            <w:r w:rsidRPr="008852EB">
              <w:rPr>
                <w:rFonts w:ascii="Times New Roman" w:hAnsi="Times New Roman" w:cs="Times New Roman"/>
                <w:snapToGrid w:val="0"/>
              </w:rPr>
              <w:t>metabolizmus, ketózis</w:t>
            </w:r>
          </w:p>
        </w:tc>
        <w:tc>
          <w:tcPr>
            <w:tcW w:w="3270" w:type="dxa"/>
            <w:tcBorders>
              <w:top w:val="single" w:sz="4" w:space="0" w:color="auto"/>
            </w:tcBorders>
          </w:tcPr>
          <w:p w14:paraId="143EEAEA" w14:textId="6D372D86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Hyper</w:t>
            </w:r>
            <w:r w:rsidR="00983C42">
              <w:rPr>
                <w:rFonts w:ascii="Times New Roman" w:hAnsi="Times New Roman" w:cs="Times New Roman"/>
                <w:snapToGrid w:val="0"/>
              </w:rPr>
              <w:t>glyk</w:t>
            </w:r>
            <w:r w:rsidRPr="008852EB">
              <w:rPr>
                <w:rFonts w:ascii="Times New Roman" w:hAnsi="Times New Roman" w:cs="Times New Roman"/>
                <w:snapToGrid w:val="0"/>
              </w:rPr>
              <w:t>aemia, hypo</w:t>
            </w:r>
            <w:r w:rsidR="00983C42">
              <w:rPr>
                <w:rFonts w:ascii="Times New Roman" w:hAnsi="Times New Roman" w:cs="Times New Roman"/>
                <w:snapToGrid w:val="0"/>
              </w:rPr>
              <w:t>glyk</w:t>
            </w:r>
            <w:r w:rsidRPr="008852EB">
              <w:rPr>
                <w:rFonts w:ascii="Times New Roman" w:hAnsi="Times New Roman" w:cs="Times New Roman"/>
                <w:snapToGrid w:val="0"/>
              </w:rPr>
              <w:t>aemia (főleg gyermekeknél)</w:t>
            </w:r>
          </w:p>
          <w:p w14:paraId="4CC6D1CC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Megemelkedett ketonszint</w:t>
            </w:r>
          </w:p>
        </w:tc>
        <w:tc>
          <w:tcPr>
            <w:tcW w:w="3162" w:type="dxa"/>
            <w:tcBorders>
              <w:top w:val="single" w:sz="4" w:space="0" w:color="auto"/>
            </w:tcBorders>
          </w:tcPr>
          <w:p w14:paraId="026B613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729E5DFB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7B574AA4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Fülcsengés, süketség</w:t>
            </w:r>
          </w:p>
        </w:tc>
        <w:tc>
          <w:tcPr>
            <w:tcW w:w="3270" w:type="dxa"/>
          </w:tcPr>
          <w:p w14:paraId="5ED75DA7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0730B50D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760B03D6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4088511B" w14:textId="78DA5A06" w:rsidR="00A42DA7" w:rsidRPr="008852EB" w:rsidRDefault="00686D0F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bCs/>
              </w:rPr>
              <w:t>G</w:t>
            </w:r>
            <w:r w:rsidRPr="00D96B72">
              <w:rPr>
                <w:rFonts w:ascii="Times New Roman" w:hAnsi="Times New Roman" w:cs="Times New Roman"/>
                <w:bCs/>
              </w:rPr>
              <w:t>as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D96B72">
              <w:rPr>
                <w:rFonts w:ascii="Times New Roman" w:hAnsi="Times New Roman" w:cs="Times New Roman"/>
                <w:bCs/>
              </w:rPr>
              <w:t>trointes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D96B72">
              <w:rPr>
                <w:rFonts w:ascii="Times New Roman" w:hAnsi="Times New Roman" w:cs="Times New Roman"/>
                <w:bCs/>
              </w:rPr>
              <w:t>tin</w:t>
            </w:r>
            <w:r>
              <w:rPr>
                <w:rFonts w:ascii="Times New Roman" w:hAnsi="Times New Roman" w:cs="Times New Roman"/>
                <w:bCs/>
              </w:rPr>
              <w:t>á</w:t>
            </w:r>
            <w:r w:rsidRPr="00D96B72">
              <w:rPr>
                <w:rFonts w:ascii="Times New Roman" w:hAnsi="Times New Roman" w:cs="Times New Roman"/>
                <w:bCs/>
              </w:rPr>
              <w:t>lis</w:t>
            </w:r>
            <w:r w:rsidR="00A42DA7" w:rsidRPr="008852EB">
              <w:rPr>
                <w:rFonts w:ascii="Times New Roman" w:hAnsi="Times New Roman" w:cs="Times New Roman"/>
                <w:snapToGrid w:val="0"/>
              </w:rPr>
              <w:t xml:space="preserve"> vérzés</w:t>
            </w:r>
          </w:p>
        </w:tc>
        <w:tc>
          <w:tcPr>
            <w:tcW w:w="3270" w:type="dxa"/>
          </w:tcPr>
          <w:p w14:paraId="489C5A71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31466E87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7EEA0A84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1F9F1DEF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lastRenderedPageBreak/>
              <w:t>Hematológiai: vérlemezke-aggregáció gátlása, coagulopathia</w:t>
            </w:r>
          </w:p>
        </w:tc>
        <w:tc>
          <w:tcPr>
            <w:tcW w:w="3270" w:type="dxa"/>
          </w:tcPr>
          <w:p w14:paraId="364C1099" w14:textId="6BBC8B31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pl. protrombinidő megnyúlása, hypoprothrombineamia</w:t>
            </w:r>
          </w:p>
        </w:tc>
        <w:tc>
          <w:tcPr>
            <w:tcW w:w="3162" w:type="dxa"/>
          </w:tcPr>
          <w:p w14:paraId="1F258EF5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30A3CB6F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73A26F06" w14:textId="46DACE01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Neurológiai: Toxi</w:t>
            </w:r>
            <w:r w:rsidR="003C2310">
              <w:rPr>
                <w:rFonts w:ascii="Times New Roman" w:hAnsi="Times New Roman" w:cs="Times New Roman"/>
                <w:snapToGrid w:val="0"/>
              </w:rPr>
              <w:t>c</w:t>
            </w:r>
            <w:r w:rsidRPr="008852EB">
              <w:rPr>
                <w:rFonts w:ascii="Times New Roman" w:hAnsi="Times New Roman" w:cs="Times New Roman"/>
                <w:snapToGrid w:val="0"/>
              </w:rPr>
              <w:t xml:space="preserve">us encephalopathia, központi idegrendszeri depresszió, amely letargiában, </w:t>
            </w:r>
            <w:r w:rsidR="003C2310">
              <w:rPr>
                <w:rFonts w:ascii="Times New Roman" w:hAnsi="Times New Roman" w:cs="Times New Roman"/>
                <w:snapToGrid w:val="0"/>
              </w:rPr>
              <w:t>zavartság</w:t>
            </w:r>
            <w:r w:rsidRPr="008852EB">
              <w:rPr>
                <w:rFonts w:ascii="Times New Roman" w:hAnsi="Times New Roman" w:cs="Times New Roman"/>
                <w:snapToGrid w:val="0"/>
              </w:rPr>
              <w:t xml:space="preserve">ban, 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omában vagy görcsökben is megnyilvánulhat</w:t>
            </w:r>
          </w:p>
        </w:tc>
        <w:tc>
          <w:tcPr>
            <w:tcW w:w="3270" w:type="dxa"/>
          </w:tcPr>
          <w:p w14:paraId="398A29CC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04725141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</w:tbl>
    <w:p w14:paraId="518E801E" w14:textId="77777777" w:rsidR="00162D09" w:rsidRPr="008852EB" w:rsidRDefault="00162D09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43893E12" w14:textId="7B8AC63A" w:rsidR="00162D09" w:rsidRPr="008852EB" w:rsidRDefault="00162D09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  <w:u w:val="single"/>
        </w:rPr>
      </w:pPr>
      <w:r w:rsidRPr="008852EB">
        <w:rPr>
          <w:rFonts w:ascii="Times New Roman" w:hAnsi="Times New Roman" w:cs="Times New Roman"/>
          <w:snapToGrid w:val="0"/>
          <w:u w:val="single"/>
        </w:rPr>
        <w:t>Kezelés</w:t>
      </w:r>
    </w:p>
    <w:p w14:paraId="32404471" w14:textId="492EBC99" w:rsidR="00162D09" w:rsidRPr="008852EB" w:rsidRDefault="00394684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snapToGrid w:val="0"/>
        </w:rPr>
        <w:t xml:space="preserve">Túladagolás esetén a </w:t>
      </w:r>
      <w:r w:rsidR="00F67181" w:rsidRPr="008852EB">
        <w:rPr>
          <w:rFonts w:ascii="Times New Roman" w:hAnsi="Times New Roman" w:cs="Times New Roman"/>
          <w:snapToGrid w:val="0"/>
        </w:rPr>
        <w:t>XeterDuo</w:t>
      </w:r>
      <w:r w:rsidR="00D153FE" w:rsidRPr="008852EB">
        <w:rPr>
          <w:rFonts w:ascii="Times New Roman" w:hAnsi="Times New Roman" w:cs="Times New Roman"/>
          <w:snapToGrid w:val="0"/>
        </w:rPr>
        <w:t>-</w:t>
      </w:r>
      <w:r w:rsidRPr="008852EB">
        <w:rPr>
          <w:rFonts w:ascii="Times New Roman" w:hAnsi="Times New Roman" w:cs="Times New Roman"/>
          <w:snapToGrid w:val="0"/>
        </w:rPr>
        <w:t xml:space="preserve">kezelést abba kell hagyni, és </w:t>
      </w:r>
      <w:r w:rsidRPr="008852EB">
        <w:rPr>
          <w:rFonts w:ascii="Times New Roman" w:hAnsi="Times New Roman" w:cs="Times New Roman"/>
        </w:rPr>
        <w:t>a beteget támogató terápiában illetve tüneti kezelésben kell részesíteni.</w:t>
      </w:r>
    </w:p>
    <w:p w14:paraId="7EC81D22" w14:textId="3BD36975" w:rsidR="00162D09" w:rsidRPr="008852EB" w:rsidRDefault="00394684" w:rsidP="00D96B72">
      <w:pPr>
        <w:widowControl w:val="0"/>
        <w:tabs>
          <w:tab w:val="left" w:pos="5730"/>
        </w:tabs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</w:rPr>
        <w:t xml:space="preserve">Mérgezés esetén a beteget kórházba kell szállítani. </w:t>
      </w:r>
      <w:r w:rsidR="003C2310">
        <w:rPr>
          <w:rFonts w:ascii="Times New Roman" w:hAnsi="Times New Roman" w:cs="Times New Roman"/>
        </w:rPr>
        <w:t>Közepesen súlyos</w:t>
      </w:r>
      <w:r w:rsidRPr="008852EB">
        <w:rPr>
          <w:rFonts w:ascii="Times New Roman" w:hAnsi="Times New Roman" w:cs="Times New Roman"/>
        </w:rPr>
        <w:t xml:space="preserve"> mérgezés esetén meg lehet kísérelni a beteget hánytatni, ha ez nem sikerü</w:t>
      </w:r>
      <w:r w:rsidR="002F6CA1" w:rsidRPr="008852EB">
        <w:rPr>
          <w:rFonts w:ascii="Times New Roman" w:hAnsi="Times New Roman" w:cs="Times New Roman"/>
        </w:rPr>
        <w:t>l</w:t>
      </w:r>
      <w:r w:rsidRPr="008852EB">
        <w:rPr>
          <w:rFonts w:ascii="Times New Roman" w:hAnsi="Times New Roman" w:cs="Times New Roman"/>
        </w:rPr>
        <w:t xml:space="preserve">, akkor </w:t>
      </w:r>
      <w:r w:rsidR="00483E75" w:rsidRPr="008852EB">
        <w:rPr>
          <w:rFonts w:ascii="Times New Roman" w:hAnsi="Times New Roman" w:cs="Times New Roman"/>
        </w:rPr>
        <w:t>gyomormosás javasolt</w:t>
      </w:r>
      <w:r w:rsidR="008C63F6" w:rsidRPr="008852EB">
        <w:rPr>
          <w:rFonts w:ascii="Times New Roman" w:hAnsi="Times New Roman" w:cs="Times New Roman"/>
        </w:rPr>
        <w:t xml:space="preserve"> </w:t>
      </w:r>
      <w:r w:rsidR="008C63F6" w:rsidRPr="008852EB">
        <w:rPr>
          <w:rFonts w:ascii="Times New Roman" w:hAnsi="Times New Roman" w:cs="Times New Roman"/>
          <w:bCs/>
        </w:rPr>
        <w:t>a jelentős mennyiségű gyógyszer bevételét követő egy órán belül</w:t>
      </w:r>
      <w:r w:rsidR="00483E75" w:rsidRPr="008852EB">
        <w:rPr>
          <w:rFonts w:ascii="Times New Roman" w:hAnsi="Times New Roman" w:cs="Times New Roman"/>
        </w:rPr>
        <w:t>. Ezt követően adszorbensként aktív szenet és hashajtóként nátrium</w:t>
      </w:r>
      <w:r w:rsidR="003C2310">
        <w:rPr>
          <w:rFonts w:ascii="Times New Roman" w:hAnsi="Times New Roman" w:cs="Times New Roman"/>
        </w:rPr>
        <w:noBreakHyphen/>
      </w:r>
      <w:r w:rsidR="00483E75" w:rsidRPr="008852EB">
        <w:rPr>
          <w:rFonts w:ascii="Times New Roman" w:hAnsi="Times New Roman" w:cs="Times New Roman"/>
        </w:rPr>
        <w:t xml:space="preserve">szulfátot adnak. </w:t>
      </w:r>
      <w:r w:rsidR="00E830B3" w:rsidRPr="008852EB">
        <w:rPr>
          <w:rFonts w:ascii="Times New Roman" w:hAnsi="Times New Roman" w:cs="Times New Roman"/>
          <w:bCs/>
        </w:rPr>
        <w:t>Az aktív szén egyszeri (felnőttek esetében 50 g</w:t>
      </w:r>
      <w:r w:rsidR="00E830B3" w:rsidRPr="008852EB">
        <w:rPr>
          <w:rFonts w:ascii="Times New Roman" w:hAnsi="Times New Roman" w:cs="Times New Roman"/>
          <w:bCs/>
        </w:rPr>
        <w:noBreakHyphen/>
        <w:t xml:space="preserve">os, legfeljebb 12 éves gyermekeknél 1 g/ttkg) </w:t>
      </w:r>
      <w:r w:rsidR="00952734">
        <w:rPr>
          <w:rFonts w:ascii="Times New Roman" w:hAnsi="Times New Roman" w:cs="Times New Roman"/>
          <w:bCs/>
        </w:rPr>
        <w:t>dózis</w:t>
      </w:r>
      <w:r w:rsidR="00E830B3" w:rsidRPr="008852EB">
        <w:rPr>
          <w:rFonts w:ascii="Times New Roman" w:hAnsi="Times New Roman" w:cs="Times New Roman"/>
          <w:bCs/>
        </w:rPr>
        <w:t>okban adható.</w:t>
      </w:r>
      <w:r w:rsidR="002C7106" w:rsidRPr="008852EB">
        <w:rPr>
          <w:rFonts w:ascii="Times New Roman" w:hAnsi="Times New Roman" w:cs="Times New Roman"/>
          <w:bCs/>
        </w:rPr>
        <w:t xml:space="preserve"> </w:t>
      </w:r>
      <w:r w:rsidR="00483E75" w:rsidRPr="008852EB">
        <w:rPr>
          <w:rFonts w:ascii="Times New Roman" w:hAnsi="Times New Roman" w:cs="Times New Roman"/>
        </w:rPr>
        <w:t>A terápia a hidr</w:t>
      </w:r>
      <w:r w:rsidR="003C2310">
        <w:rPr>
          <w:rFonts w:ascii="Times New Roman" w:hAnsi="Times New Roman" w:cs="Times New Roman"/>
        </w:rPr>
        <w:t>áltság</w:t>
      </w:r>
      <w:r w:rsidR="00483E75" w:rsidRPr="008852EB">
        <w:rPr>
          <w:rFonts w:ascii="Times New Roman" w:hAnsi="Times New Roman" w:cs="Times New Roman"/>
        </w:rPr>
        <w:t xml:space="preserve"> és az elektrolit</w:t>
      </w:r>
      <w:r w:rsidR="003C2310">
        <w:rPr>
          <w:rFonts w:ascii="Times New Roman" w:hAnsi="Times New Roman" w:cs="Times New Roman"/>
        </w:rPr>
        <w:t>-</w:t>
      </w:r>
      <w:r w:rsidR="00483E75" w:rsidRPr="008852EB">
        <w:rPr>
          <w:rFonts w:ascii="Times New Roman" w:hAnsi="Times New Roman" w:cs="Times New Roman"/>
        </w:rPr>
        <w:t xml:space="preserve">háztartás helyreállítására, valamint a szervezet felborult hőszabályozásának és légzési funkciójának az ellenőrzésére irányul. </w:t>
      </w:r>
      <w:r w:rsidR="003F0F10" w:rsidRPr="008852EB">
        <w:rPr>
          <w:rFonts w:ascii="Times New Roman" w:hAnsi="Times New Roman" w:cs="Times New Roman"/>
        </w:rPr>
        <w:t xml:space="preserve">Ezen túlmenően nátrium-bikarbonát és kálium-klorid infúziót, vízhajtókat alkalmaznak. </w:t>
      </w:r>
      <w:r w:rsidR="002C7106" w:rsidRPr="008852EB">
        <w:rPr>
          <w:rFonts w:ascii="Times New Roman" w:hAnsi="Times New Roman" w:cs="Times New Roman"/>
          <w:bCs/>
        </w:rPr>
        <w:t>A vizelet alkalizációja szükséges (250 mmol NaHCO</w:t>
      </w:r>
      <w:r w:rsidR="002C7106" w:rsidRPr="008852EB">
        <w:rPr>
          <w:rFonts w:ascii="Times New Roman" w:hAnsi="Times New Roman" w:cs="Times New Roman"/>
          <w:bCs/>
          <w:vertAlign w:val="subscript"/>
        </w:rPr>
        <w:t>3</w:t>
      </w:r>
      <w:r w:rsidR="002C7106" w:rsidRPr="008852EB">
        <w:rPr>
          <w:rFonts w:ascii="Times New Roman" w:hAnsi="Times New Roman" w:cs="Times New Roman"/>
          <w:bCs/>
        </w:rPr>
        <w:t>, három órán keresztül) a vizelet pH szintjének ellenőrzése mellett</w:t>
      </w:r>
      <w:r w:rsidR="002C7106" w:rsidRPr="008852EB">
        <w:rPr>
          <w:rFonts w:ascii="Times New Roman" w:hAnsi="Times New Roman" w:cs="Times New Roman"/>
          <w:snapToGrid w:val="0"/>
        </w:rPr>
        <w:t xml:space="preserve">. </w:t>
      </w:r>
      <w:r w:rsidR="003F0F10" w:rsidRPr="008852EB">
        <w:rPr>
          <w:rFonts w:ascii="Times New Roman" w:hAnsi="Times New Roman" w:cs="Times New Roman"/>
          <w:snapToGrid w:val="0"/>
        </w:rPr>
        <w:t>Súlyos acetilszalicilsav</w:t>
      </w:r>
      <w:r w:rsidR="00D153FE" w:rsidRPr="008852EB">
        <w:rPr>
          <w:rFonts w:ascii="Times New Roman" w:hAnsi="Times New Roman" w:cs="Times New Roman"/>
          <w:snapToGrid w:val="0"/>
        </w:rPr>
        <w:t>-</w:t>
      </w:r>
      <w:r w:rsidR="003F0F10" w:rsidRPr="008852EB">
        <w:rPr>
          <w:rFonts w:ascii="Times New Roman" w:hAnsi="Times New Roman" w:cs="Times New Roman"/>
          <w:snapToGrid w:val="0"/>
        </w:rPr>
        <w:t>mérgezés esetén</w:t>
      </w:r>
      <w:r w:rsidR="00162D09" w:rsidRPr="008852EB">
        <w:rPr>
          <w:rFonts w:ascii="Times New Roman" w:hAnsi="Times New Roman" w:cs="Times New Roman"/>
        </w:rPr>
        <w:t xml:space="preserve"> a hemodialízis </w:t>
      </w:r>
      <w:r w:rsidR="003F0F10" w:rsidRPr="008852EB">
        <w:rPr>
          <w:rFonts w:ascii="Times New Roman" w:hAnsi="Times New Roman" w:cs="Times New Roman"/>
        </w:rPr>
        <w:t>az előnyben részesített kezelési mód.</w:t>
      </w:r>
    </w:p>
    <w:p w14:paraId="1B1633DF" w14:textId="77777777" w:rsidR="00D03372" w:rsidRPr="008852EB" w:rsidRDefault="00D03372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20E3BF4A" w14:textId="4C0B8046" w:rsidR="003F0F10" w:rsidRPr="008852EB" w:rsidRDefault="003F0F10" w:rsidP="00D96B72">
      <w:pPr>
        <w:widowControl w:val="0"/>
        <w:tabs>
          <w:tab w:val="left" w:pos="5730"/>
        </w:tabs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májfunkciós enzimeket és a CK értékeket ellenőrizni kell.</w:t>
      </w:r>
    </w:p>
    <w:p w14:paraId="29DB8512" w14:textId="25E6C922" w:rsidR="00A97B9E" w:rsidRPr="008852EB" w:rsidRDefault="00A97B9E" w:rsidP="00D96B72">
      <w:pPr>
        <w:widowControl w:val="0"/>
        <w:tabs>
          <w:tab w:val="left" w:pos="5730"/>
        </w:tabs>
        <w:spacing w:after="0" w:line="240" w:lineRule="auto"/>
        <w:rPr>
          <w:rFonts w:ascii="Times New Roman" w:hAnsi="Times New Roman" w:cs="Times New Roman"/>
        </w:rPr>
      </w:pPr>
    </w:p>
    <w:p w14:paraId="251D8F90" w14:textId="77777777" w:rsidR="00AF4FA2" w:rsidRPr="008852EB" w:rsidRDefault="00AF4FA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7EC882E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FARMAKOLÓGIAI TULAJDONSÁGOK</w:t>
      </w:r>
    </w:p>
    <w:p w14:paraId="1831007D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AEC829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5.1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Farmakodinámiás tulajdonságok</w:t>
      </w:r>
    </w:p>
    <w:p w14:paraId="4E5ACA2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C08FD5A" w14:textId="3ECB00E5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Farmakoterápiás csoport: </w:t>
      </w:r>
      <w:r w:rsidR="00483E75" w:rsidRPr="008852EB">
        <w:rPr>
          <w:rFonts w:ascii="Times New Roman" w:hAnsi="Times New Roman" w:cs="Times New Roman"/>
        </w:rPr>
        <w:t>HMG</w:t>
      </w:r>
      <w:r w:rsidR="003C2310">
        <w:rPr>
          <w:rFonts w:ascii="Times New Roman" w:hAnsi="Times New Roman" w:cs="Times New Roman"/>
        </w:rPr>
        <w:t>-</w:t>
      </w:r>
      <w:r w:rsidR="00483E75" w:rsidRPr="008852EB">
        <w:rPr>
          <w:rFonts w:ascii="Times New Roman" w:hAnsi="Times New Roman" w:cs="Times New Roman"/>
        </w:rPr>
        <w:t>CoA</w:t>
      </w:r>
      <w:r w:rsidR="003C2310">
        <w:rPr>
          <w:rFonts w:ascii="Times New Roman" w:hAnsi="Times New Roman" w:cs="Times New Roman"/>
        </w:rPr>
        <w:t>-</w:t>
      </w:r>
      <w:r w:rsidR="00483E75" w:rsidRPr="008852EB">
        <w:rPr>
          <w:rFonts w:ascii="Times New Roman" w:hAnsi="Times New Roman" w:cs="Times New Roman"/>
        </w:rPr>
        <w:t>redu</w:t>
      </w:r>
      <w:r w:rsidR="00DC35DD" w:rsidRPr="008852EB">
        <w:rPr>
          <w:rFonts w:ascii="Times New Roman" w:hAnsi="Times New Roman" w:cs="Times New Roman"/>
        </w:rPr>
        <w:t>ktáz</w:t>
      </w:r>
      <w:r w:rsidR="003C2310">
        <w:rPr>
          <w:rFonts w:ascii="Times New Roman" w:hAnsi="Times New Roman" w:cs="Times New Roman"/>
        </w:rPr>
        <w:t>-gátló</w:t>
      </w:r>
      <w:r w:rsidR="00DC35DD" w:rsidRPr="008852EB">
        <w:rPr>
          <w:rFonts w:ascii="Times New Roman" w:hAnsi="Times New Roman" w:cs="Times New Roman"/>
        </w:rPr>
        <w:t>k</w:t>
      </w:r>
      <w:r w:rsidR="00483E75" w:rsidRPr="008852EB">
        <w:rPr>
          <w:rFonts w:ascii="Times New Roman" w:hAnsi="Times New Roman" w:cs="Times New Roman"/>
        </w:rPr>
        <w:t xml:space="preserve">, </w:t>
      </w:r>
      <w:r w:rsidR="00DC35DD" w:rsidRPr="008852EB">
        <w:rPr>
          <w:rFonts w:ascii="Times New Roman" w:hAnsi="Times New Roman" w:cs="Times New Roman"/>
        </w:rPr>
        <w:t>egyéb kombináció</w:t>
      </w:r>
      <w:r w:rsidR="003F0F10" w:rsidRPr="008852EB">
        <w:rPr>
          <w:rFonts w:ascii="Times New Roman" w:hAnsi="Times New Roman" w:cs="Times New Roman"/>
        </w:rPr>
        <w:t>,</w:t>
      </w:r>
      <w:r w:rsidR="00483E75" w:rsidRPr="008852EB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 xml:space="preserve">ATC kód: </w:t>
      </w:r>
      <w:r w:rsidR="00DC35DD" w:rsidRPr="008852EB">
        <w:rPr>
          <w:rFonts w:ascii="Times New Roman" w:hAnsi="Times New Roman" w:cs="Times New Roman"/>
        </w:rPr>
        <w:t>C10BX05</w:t>
      </w:r>
    </w:p>
    <w:p w14:paraId="6C6CAD78" w14:textId="1449C08D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6C9705" w14:textId="664FD8F8" w:rsidR="00DC35DD" w:rsidRPr="008852EB" w:rsidRDefault="00DC35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bookmarkStart w:id="21" w:name="_Hlk50496564"/>
      <w:r w:rsidRPr="008852EB">
        <w:rPr>
          <w:rFonts w:ascii="Times New Roman" w:hAnsi="Times New Roman" w:cs="Times New Roman"/>
          <w:color w:val="000000"/>
          <w:u w:val="single"/>
        </w:rPr>
        <w:t>Rozuvasztatin</w:t>
      </w:r>
    </w:p>
    <w:bookmarkEnd w:id="21"/>
    <w:p w14:paraId="5B716967" w14:textId="77777777" w:rsidR="00DC35DD" w:rsidRPr="008852EB" w:rsidRDefault="00DC35D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a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 szelektív és kompetitív gátlója. Ez az enzim felelős a 3</w:t>
      </w:r>
      <w:r w:rsidRPr="008852EB">
        <w:rPr>
          <w:color w:val="auto"/>
          <w:sz w:val="22"/>
          <w:szCs w:val="22"/>
          <w:lang w:val="hu-HU"/>
        </w:rPr>
        <w:noBreakHyphen/>
        <w:t>hidroxi</w:t>
      </w:r>
      <w:r w:rsidRPr="008852EB">
        <w:rPr>
          <w:color w:val="auto"/>
          <w:sz w:val="22"/>
          <w:szCs w:val="22"/>
          <w:lang w:val="hu-HU"/>
        </w:rPr>
        <w:noBreakHyphen/>
        <w:t>3</w:t>
      </w:r>
      <w:r w:rsidRPr="008852EB">
        <w:rPr>
          <w:color w:val="auto"/>
          <w:sz w:val="22"/>
          <w:szCs w:val="22"/>
          <w:lang w:val="hu-HU"/>
        </w:rPr>
        <w:noBreakHyphen/>
        <w:t>metil</w:t>
      </w:r>
      <w:r w:rsidRPr="008852EB">
        <w:rPr>
          <w:color w:val="auto"/>
          <w:sz w:val="22"/>
          <w:szCs w:val="22"/>
          <w:lang w:val="hu-HU"/>
        </w:rPr>
        <w:noBreakHyphen/>
        <w:t>glutaril</w:t>
      </w:r>
      <w:r w:rsidRPr="008852EB">
        <w:rPr>
          <w:color w:val="auto"/>
          <w:sz w:val="22"/>
          <w:szCs w:val="22"/>
          <w:lang w:val="hu-HU"/>
        </w:rPr>
        <w:noBreakHyphen/>
        <w:t>koenzim</w:t>
      </w:r>
      <w:r w:rsidRPr="008852EB">
        <w:rPr>
          <w:color w:val="auto"/>
          <w:sz w:val="22"/>
          <w:szCs w:val="22"/>
          <w:lang w:val="hu-HU"/>
        </w:rPr>
        <w:noBreakHyphen/>
        <w:t>A mevalonáttá, azaz a koleszterin előanyagává történő átalakulásáért, és meghatározza annak mértékét. A rozuvasztatin hatását elsősorban a májban, a koleszterinszint</w:t>
      </w:r>
      <w:r w:rsidRPr="008852EB">
        <w:rPr>
          <w:color w:val="auto"/>
          <w:sz w:val="22"/>
          <w:szCs w:val="22"/>
          <w:lang w:val="hu-HU"/>
        </w:rPr>
        <w:noBreakHyphen/>
        <w:t>csökkentés célszervében fejti ki.</w:t>
      </w:r>
    </w:p>
    <w:p w14:paraId="1B2989A2" w14:textId="54B6A917" w:rsidR="00E83F4E" w:rsidRPr="00D96B72" w:rsidRDefault="00DC35D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a májban megnöveli a sejtek felszínén található LDL</w:t>
      </w:r>
      <w:r w:rsidRPr="008852EB">
        <w:rPr>
          <w:color w:val="auto"/>
          <w:sz w:val="22"/>
          <w:szCs w:val="22"/>
          <w:lang w:val="hu-HU"/>
        </w:rPr>
        <w:noBreakHyphen/>
        <w:t>receptorok számát, fokozva így az LDL</w:t>
      </w:r>
      <w:r w:rsidRPr="008852EB">
        <w:rPr>
          <w:color w:val="auto"/>
          <w:sz w:val="22"/>
          <w:szCs w:val="22"/>
          <w:lang w:val="hu-HU"/>
        </w:rPr>
        <w:noBreakHyphen/>
        <w:t>koleszterin</w:t>
      </w:r>
      <w:r w:rsidRPr="008852EB">
        <w:rPr>
          <w:color w:val="auto"/>
          <w:sz w:val="22"/>
          <w:szCs w:val="22"/>
          <w:lang w:val="hu-HU"/>
        </w:rPr>
        <w:noBreakHyphen/>
        <w:t>felvételt és -katabolizmust, továbbá csökkenti a VLDL</w:t>
      </w:r>
      <w:r w:rsidRPr="008852EB">
        <w:rPr>
          <w:color w:val="auto"/>
          <w:sz w:val="22"/>
          <w:szCs w:val="22"/>
          <w:lang w:val="hu-HU"/>
        </w:rPr>
        <w:noBreakHyphen/>
        <w:t>koleszterin májban történő szintézisét, ily módon csökkenti az össz</w:t>
      </w:r>
      <w:r w:rsidRPr="008852EB">
        <w:rPr>
          <w:color w:val="auto"/>
          <w:sz w:val="22"/>
          <w:szCs w:val="22"/>
          <w:lang w:val="hu-HU"/>
        </w:rPr>
        <w:noBreakHyphen/>
        <w:t xml:space="preserve">VLDL és </w:t>
      </w:r>
      <w:r w:rsidRPr="008852EB">
        <w:rPr>
          <w:color w:val="auto"/>
          <w:sz w:val="22"/>
          <w:szCs w:val="22"/>
          <w:lang w:val="hu-HU"/>
        </w:rPr>
        <w:noBreakHyphen/>
        <w:t>LDL részecskék mennyiségét.</w:t>
      </w:r>
    </w:p>
    <w:p w14:paraId="2043932A" w14:textId="09680279" w:rsidR="00DC35DD" w:rsidRPr="008852EB" w:rsidRDefault="00DC35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33962C" w14:textId="0A027BBB" w:rsidR="00DC35DD" w:rsidRPr="008852EB" w:rsidRDefault="00DC35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Acetilszalicilsav</w:t>
      </w:r>
    </w:p>
    <w:p w14:paraId="72D3C290" w14:textId="7044E0DB" w:rsidR="002E360D" w:rsidRPr="008852EB" w:rsidRDefault="002E360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Az acetilszalicilsav a savas nem-szteroid analgetikumok/gyulladáscsökkentők csoportjába tartozik. Az acetilszalicilsav a szalicilsav egyik észtere, fájdalom-, láz- és gyulladáscsökkentő hatással rendelkező vegyület.</w:t>
      </w:r>
    </w:p>
    <w:p w14:paraId="743919D7" w14:textId="77777777" w:rsidR="002E360D" w:rsidRPr="008852EB" w:rsidRDefault="002E360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7C7B368" w14:textId="2B3D540B" w:rsidR="0040699A" w:rsidRPr="008852EB" w:rsidRDefault="00D24D8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Az acetilszalicilsav irreverz</w:t>
      </w:r>
      <w:r w:rsidR="006164AA" w:rsidRPr="008852EB">
        <w:rPr>
          <w:rFonts w:ascii="Times New Roman" w:hAnsi="Times New Roman" w:cs="Times New Roman"/>
        </w:rPr>
        <w:t>i</w:t>
      </w:r>
      <w:r w:rsidRPr="008852EB">
        <w:rPr>
          <w:rFonts w:ascii="Times New Roman" w:hAnsi="Times New Roman" w:cs="Times New Roman"/>
        </w:rPr>
        <w:t>bilis</w:t>
      </w:r>
      <w:r w:rsidR="00D153FE" w:rsidRPr="008852EB">
        <w:rPr>
          <w:rFonts w:ascii="Times New Roman" w:hAnsi="Times New Roman" w:cs="Times New Roman"/>
        </w:rPr>
        <w:t>en</w:t>
      </w:r>
      <w:r w:rsidRPr="008852EB">
        <w:rPr>
          <w:rFonts w:ascii="Times New Roman" w:hAnsi="Times New Roman" w:cs="Times New Roman"/>
        </w:rPr>
        <w:t xml:space="preserve"> gátolja a thrombocytaaggreg</w:t>
      </w:r>
      <w:r w:rsidR="006164AA" w:rsidRPr="008852EB">
        <w:rPr>
          <w:rFonts w:ascii="Times New Roman" w:hAnsi="Times New Roman" w:cs="Times New Roman"/>
        </w:rPr>
        <w:t>áció</w:t>
      </w:r>
      <w:r w:rsidRPr="008852EB">
        <w:rPr>
          <w:rFonts w:ascii="Times New Roman" w:hAnsi="Times New Roman" w:cs="Times New Roman"/>
        </w:rPr>
        <w:t xml:space="preserve">t. </w:t>
      </w:r>
      <w:r w:rsidR="00F734A7" w:rsidRPr="008852EB">
        <w:rPr>
          <w:rFonts w:ascii="Times New Roman" w:hAnsi="Times New Roman" w:cs="Times New Roman"/>
        </w:rPr>
        <w:t>Ez a thrombocytákra gyakorolt hatás a ciklooxigenáz</w:t>
      </w:r>
      <w:r w:rsidR="00397DE6" w:rsidRPr="008852EB">
        <w:rPr>
          <w:rFonts w:ascii="Times New Roman" w:hAnsi="Times New Roman" w:cs="Times New Roman"/>
        </w:rPr>
        <w:t xml:space="preserve"> </w:t>
      </w:r>
      <w:r w:rsidR="00F734A7" w:rsidRPr="008852EB">
        <w:rPr>
          <w:rFonts w:ascii="Times New Roman" w:hAnsi="Times New Roman" w:cs="Times New Roman"/>
        </w:rPr>
        <w:t>acetilezés</w:t>
      </w:r>
      <w:r w:rsidR="00C97108">
        <w:rPr>
          <w:rFonts w:ascii="Times New Roman" w:hAnsi="Times New Roman" w:cs="Times New Roman"/>
        </w:rPr>
        <w:t>é</w:t>
      </w:r>
      <w:r w:rsidR="00F734A7" w:rsidRPr="008852EB">
        <w:rPr>
          <w:rFonts w:ascii="Times New Roman" w:hAnsi="Times New Roman" w:cs="Times New Roman"/>
        </w:rPr>
        <w:t xml:space="preserve">nek következménye. </w:t>
      </w:r>
      <w:r w:rsidRPr="008852EB">
        <w:rPr>
          <w:rFonts w:ascii="Times New Roman" w:hAnsi="Times New Roman" w:cs="Times New Roman"/>
        </w:rPr>
        <w:t>A thrombocytákban irreverz</w:t>
      </w:r>
      <w:r w:rsidR="00F734A7" w:rsidRPr="008852EB">
        <w:rPr>
          <w:rFonts w:ascii="Times New Roman" w:hAnsi="Times New Roman" w:cs="Times New Roman"/>
        </w:rPr>
        <w:t>i</w:t>
      </w:r>
      <w:r w:rsidRPr="008852EB">
        <w:rPr>
          <w:rFonts w:ascii="Times New Roman" w:hAnsi="Times New Roman" w:cs="Times New Roman"/>
        </w:rPr>
        <w:t>bilisen gátolja a tromboxán</w:t>
      </w:r>
      <w:r w:rsidRPr="008852EB">
        <w:rPr>
          <w:rFonts w:ascii="Times New Roman" w:hAnsi="Times New Roman" w:cs="Times New Roman"/>
        </w:rPr>
        <w:noBreakHyphen/>
        <w:t>A</w:t>
      </w:r>
      <w:r w:rsidRPr="008852EB">
        <w:rPr>
          <w:rFonts w:ascii="Times New Roman" w:hAnsi="Times New Roman" w:cs="Times New Roman"/>
          <w:vertAlign w:val="subscript"/>
        </w:rPr>
        <w:t>2</w:t>
      </w:r>
      <w:r w:rsidRPr="008852EB">
        <w:rPr>
          <w:rFonts w:ascii="Times New Roman" w:hAnsi="Times New Roman" w:cs="Times New Roman"/>
        </w:rPr>
        <w:t xml:space="preserve"> képzését, ami a </w:t>
      </w:r>
      <w:r w:rsidR="0040699A" w:rsidRPr="008852EB">
        <w:rPr>
          <w:rFonts w:ascii="Times New Roman" w:hAnsi="Times New Roman" w:cs="Times New Roman"/>
        </w:rPr>
        <w:t>vérlemezke</w:t>
      </w:r>
      <w:r w:rsidR="00D153FE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 xml:space="preserve">aggregációt elősegítő, valamint </w:t>
      </w:r>
      <w:r w:rsidR="0040699A" w:rsidRPr="008852EB">
        <w:rPr>
          <w:rFonts w:ascii="Times New Roman" w:hAnsi="Times New Roman" w:cs="Times New Roman"/>
        </w:rPr>
        <w:t>vazokonstriktor prosztaglandin</w:t>
      </w:r>
      <w:r w:rsidRPr="008852EB">
        <w:rPr>
          <w:rFonts w:ascii="Times New Roman" w:hAnsi="Times New Roman" w:cs="Times New Roman"/>
        </w:rPr>
        <w:t xml:space="preserve">. </w:t>
      </w:r>
      <w:r w:rsidR="0040699A" w:rsidRPr="008852EB">
        <w:rPr>
          <w:rFonts w:ascii="Times New Roman" w:hAnsi="Times New Roman" w:cs="Times New Roman"/>
        </w:rPr>
        <w:t>Ez egy állandó hatás, és a vérlemezke 8</w:t>
      </w:r>
      <w:r w:rsidR="00397DE6" w:rsidRPr="008852EB">
        <w:rPr>
          <w:rFonts w:ascii="Times New Roman" w:hAnsi="Times New Roman" w:cs="Times New Roman"/>
        </w:rPr>
        <w:t xml:space="preserve"> </w:t>
      </w:r>
      <w:r w:rsidR="0040699A" w:rsidRPr="008852EB">
        <w:rPr>
          <w:rFonts w:ascii="Times New Roman" w:hAnsi="Times New Roman" w:cs="Times New Roman"/>
        </w:rPr>
        <w:t>nap</w:t>
      </w:r>
      <w:r w:rsidR="00B336FE" w:rsidRPr="008852EB">
        <w:rPr>
          <w:rFonts w:ascii="Times New Roman" w:hAnsi="Times New Roman" w:cs="Times New Roman"/>
        </w:rPr>
        <w:t>o</w:t>
      </w:r>
      <w:r w:rsidR="0040699A" w:rsidRPr="008852EB">
        <w:rPr>
          <w:rFonts w:ascii="Times New Roman" w:hAnsi="Times New Roman" w:cs="Times New Roman"/>
        </w:rPr>
        <w:t>s életciklusán át végig tart.</w:t>
      </w:r>
    </w:p>
    <w:p w14:paraId="7E46A600" w14:textId="0CEE251D" w:rsidR="0040699A" w:rsidRPr="008852EB" w:rsidRDefault="0040699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Paradox módon az acetilszalicilsav egyúttal gátolja a prosztaciklin </w:t>
      </w:r>
      <w:r w:rsidR="00F734A7" w:rsidRPr="008852EB">
        <w:rPr>
          <w:rFonts w:ascii="Times New Roman" w:hAnsi="Times New Roman" w:cs="Times New Roman"/>
        </w:rPr>
        <w:t>(egy vérlemezke</w:t>
      </w:r>
      <w:r w:rsidR="00D153FE" w:rsidRPr="008852EB">
        <w:rPr>
          <w:rFonts w:ascii="Times New Roman" w:hAnsi="Times New Roman" w:cs="Times New Roman"/>
        </w:rPr>
        <w:t>-</w:t>
      </w:r>
      <w:r w:rsidR="00F734A7" w:rsidRPr="008852EB">
        <w:rPr>
          <w:rFonts w:ascii="Times New Roman" w:hAnsi="Times New Roman" w:cs="Times New Roman"/>
        </w:rPr>
        <w:t xml:space="preserve">aggregációt gátló prosztaglandin, de vazodilatorikus hatással bír) </w:t>
      </w:r>
      <w:r w:rsidRPr="008852EB">
        <w:rPr>
          <w:rFonts w:ascii="Times New Roman" w:hAnsi="Times New Roman" w:cs="Times New Roman"/>
        </w:rPr>
        <w:t>szintézisét a vérerek endotheli</w:t>
      </w:r>
      <w:r w:rsidR="003C2310">
        <w:rPr>
          <w:rFonts w:ascii="Times New Roman" w:hAnsi="Times New Roman" w:cs="Times New Roman"/>
        </w:rPr>
        <w:t>a</w:t>
      </w:r>
      <w:r w:rsidRPr="008852EB">
        <w:rPr>
          <w:rFonts w:ascii="Times New Roman" w:hAnsi="Times New Roman" w:cs="Times New Roman"/>
        </w:rPr>
        <w:t>lis sejtjeiben. Ez a hatás átmeneti.</w:t>
      </w:r>
    </w:p>
    <w:p w14:paraId="1C517C91" w14:textId="27128DCC" w:rsidR="00DC35DD" w:rsidRPr="008852EB" w:rsidRDefault="0040699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Amint az acetilszalicilsav </w:t>
      </w:r>
      <w:r w:rsidR="00B336FE" w:rsidRPr="008852EB">
        <w:rPr>
          <w:rFonts w:ascii="Times New Roman" w:hAnsi="Times New Roman" w:cs="Times New Roman"/>
          <w:color w:val="000000"/>
        </w:rPr>
        <w:t xml:space="preserve">eliminálódik a vérből, az endothel sejtek újból szintetizálni kezdik a </w:t>
      </w:r>
      <w:r w:rsidR="00B336FE" w:rsidRPr="008852EB">
        <w:rPr>
          <w:rFonts w:ascii="Times New Roman" w:hAnsi="Times New Roman" w:cs="Times New Roman"/>
          <w:color w:val="000000"/>
        </w:rPr>
        <w:lastRenderedPageBreak/>
        <w:t>prosztaciklint.</w:t>
      </w:r>
    </w:p>
    <w:p w14:paraId="46B9507E" w14:textId="11B70463" w:rsidR="000426C4" w:rsidRPr="008852EB" w:rsidRDefault="00B336F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color w:val="000000"/>
        </w:rPr>
        <w:t xml:space="preserve">Ennek eredményeképpen az acetilszalicilsav </w:t>
      </w:r>
      <w:r w:rsidR="00397DE6" w:rsidRPr="008852EB">
        <w:rPr>
          <w:rFonts w:ascii="Times New Roman" w:hAnsi="Times New Roman" w:cs="Times New Roman"/>
          <w:color w:val="000000"/>
        </w:rPr>
        <w:t xml:space="preserve">kis </w:t>
      </w:r>
      <w:r w:rsidRPr="008852EB">
        <w:rPr>
          <w:rFonts w:ascii="Times New Roman" w:hAnsi="Times New Roman" w:cs="Times New Roman"/>
          <w:color w:val="000000"/>
        </w:rPr>
        <w:t xml:space="preserve">dózisa (napi 100 mg-nál kisebb dózis) gátolja </w:t>
      </w:r>
      <w:r w:rsidR="003C2310">
        <w:rPr>
          <w:rFonts w:ascii="Times New Roman" w:hAnsi="Times New Roman" w:cs="Times New Roman"/>
          <w:color w:val="000000"/>
        </w:rPr>
        <w:t xml:space="preserve">a </w:t>
      </w:r>
      <w:r w:rsidRPr="008852EB">
        <w:rPr>
          <w:rFonts w:ascii="Times New Roman" w:hAnsi="Times New Roman" w:cs="Times New Roman"/>
        </w:rPr>
        <w:t>tromboxán</w:t>
      </w:r>
      <w:r w:rsidRPr="008852EB">
        <w:rPr>
          <w:rFonts w:ascii="Times New Roman" w:hAnsi="Times New Roman" w:cs="Times New Roman"/>
        </w:rPr>
        <w:noBreakHyphen/>
        <w:t>A</w:t>
      </w:r>
      <w:r w:rsidRPr="008852EB">
        <w:rPr>
          <w:rFonts w:ascii="Times New Roman" w:hAnsi="Times New Roman" w:cs="Times New Roman"/>
          <w:vertAlign w:val="subscript"/>
        </w:rPr>
        <w:t>2</w:t>
      </w:r>
      <w:r w:rsidRPr="008852EB">
        <w:rPr>
          <w:rFonts w:ascii="Times New Roman" w:hAnsi="Times New Roman" w:cs="Times New Roman"/>
        </w:rPr>
        <w:t xml:space="preserve"> képzését a vérlemezkében, anélkül, hogy a prosztaciklin szintézisét </w:t>
      </w:r>
      <w:r w:rsidR="00375C0C" w:rsidRPr="008852EB">
        <w:rPr>
          <w:rFonts w:ascii="Times New Roman" w:hAnsi="Times New Roman" w:cs="Times New Roman"/>
        </w:rPr>
        <w:t xml:space="preserve">jelentősen </w:t>
      </w:r>
      <w:r w:rsidRPr="008852EB">
        <w:rPr>
          <w:rFonts w:ascii="Times New Roman" w:hAnsi="Times New Roman" w:cs="Times New Roman"/>
        </w:rPr>
        <w:t>befolyásolná.</w:t>
      </w:r>
    </w:p>
    <w:p w14:paraId="52022E43" w14:textId="77777777" w:rsidR="008861DD" w:rsidRPr="008852EB" w:rsidRDefault="008861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B530540" w14:textId="7B7D92BC" w:rsidR="000426C4" w:rsidRPr="008852EB" w:rsidRDefault="000426C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Vizsgálati adatok alapján feltételezik, hogy együttadáskor az ibuprofén gátolha</w:t>
      </w:r>
      <w:r w:rsidR="00147D8F" w:rsidRPr="008852EB">
        <w:rPr>
          <w:rFonts w:ascii="Times New Roman" w:hAnsi="Times New Roman" w:cs="Times New Roman"/>
          <w:color w:val="000000"/>
        </w:rPr>
        <w:t xml:space="preserve">tja a kis dózisú acetilszalicilsav </w:t>
      </w:r>
      <w:r w:rsidRPr="008852EB">
        <w:rPr>
          <w:rFonts w:ascii="Times New Roman" w:hAnsi="Times New Roman" w:cs="Times New Roman"/>
          <w:color w:val="000000"/>
        </w:rPr>
        <w:t xml:space="preserve">thrombocytaaggregatiót gátló hatását. Egy vizsgálatban egyszeri 400 mg dózisú ibuprofént adtak a </w:t>
      </w:r>
      <w:r w:rsidR="00147D8F" w:rsidRPr="008852EB">
        <w:rPr>
          <w:rFonts w:ascii="Times New Roman" w:hAnsi="Times New Roman" w:cs="Times New Roman"/>
          <w:color w:val="000000"/>
        </w:rPr>
        <w:t>81 mg azonnal oldódó acetilszalicilsavval együtt (az acetilszalicilsav</w:t>
      </w:r>
      <w:r w:rsidRPr="008852EB">
        <w:rPr>
          <w:rFonts w:ascii="Times New Roman" w:hAnsi="Times New Roman" w:cs="Times New Roman"/>
          <w:color w:val="000000"/>
        </w:rPr>
        <w:t xml:space="preserve"> adása előtt 8 órán belül illetve után, 30 percen belül). Azt találták, hogy csökkent az acetilszalicilsav tromboxán</w:t>
      </w:r>
      <w:r w:rsidR="003C2310">
        <w:rPr>
          <w:rFonts w:ascii="Times New Roman" w:hAnsi="Times New Roman" w:cs="Times New Roman"/>
          <w:color w:val="000000"/>
        </w:rPr>
        <w:noBreakHyphen/>
      </w:r>
      <w:r w:rsidRPr="008852EB">
        <w:rPr>
          <w:rFonts w:ascii="Times New Roman" w:hAnsi="Times New Roman" w:cs="Times New Roman"/>
          <w:color w:val="000000"/>
        </w:rPr>
        <w:t xml:space="preserve">képződést, illetve thrombocytaaggregatiót gátló hatása. Azonban ezen adatok korlátai és az </w:t>
      </w:r>
      <w:r w:rsidRPr="008852EB">
        <w:rPr>
          <w:rFonts w:ascii="Times New Roman" w:hAnsi="Times New Roman" w:cs="Times New Roman"/>
          <w:i/>
          <w:color w:val="000000"/>
        </w:rPr>
        <w:t>ex vivo</w:t>
      </w:r>
      <w:r w:rsidRPr="008852EB">
        <w:rPr>
          <w:rFonts w:ascii="Times New Roman" w:hAnsi="Times New Roman" w:cs="Times New Roman"/>
          <w:color w:val="000000"/>
        </w:rPr>
        <w:t xml:space="preserve"> adatok klinikai körülményekre történő bizonytalan extrapolálhatóságának köszönhetően nem lehet határozott következtetéseket levonni rendszeres ibuprofén</w:t>
      </w:r>
      <w:r w:rsidR="003C2310">
        <w:rPr>
          <w:rFonts w:ascii="Times New Roman" w:hAnsi="Times New Roman" w:cs="Times New Roman"/>
          <w:color w:val="000000"/>
        </w:rPr>
        <w:t>-</w:t>
      </w:r>
      <w:r w:rsidR="00397DE6" w:rsidRPr="008852EB">
        <w:rPr>
          <w:rFonts w:ascii="Times New Roman" w:hAnsi="Times New Roman" w:cs="Times New Roman"/>
          <w:color w:val="000000"/>
        </w:rPr>
        <w:t>alkalmazás</w:t>
      </w:r>
      <w:r w:rsidRPr="008852EB">
        <w:rPr>
          <w:rFonts w:ascii="Times New Roman" w:hAnsi="Times New Roman" w:cs="Times New Roman"/>
          <w:color w:val="000000"/>
        </w:rPr>
        <w:t xml:space="preserve"> esetére, klinikailag releváns hatás pedig nem valószínűsíthető alkalomszerű alkalmazás esetén</w:t>
      </w:r>
      <w:r w:rsidR="00397DE6" w:rsidRPr="008852EB">
        <w:rPr>
          <w:rFonts w:ascii="Times New Roman" w:hAnsi="Times New Roman" w:cs="Times New Roman"/>
          <w:color w:val="000000"/>
        </w:rPr>
        <w:t>.</w:t>
      </w:r>
    </w:p>
    <w:p w14:paraId="6DAEB54C" w14:textId="77777777" w:rsidR="00F302B2" w:rsidRPr="008852EB" w:rsidRDefault="00F302B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047C9B5" w14:textId="77777777" w:rsidR="00755989" w:rsidRPr="008852EB" w:rsidRDefault="00755989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5.2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Farmakokinetikai tulajdonságok</w:t>
      </w:r>
    </w:p>
    <w:p w14:paraId="754F1C03" w14:textId="77777777" w:rsidR="00DC35DD" w:rsidRPr="008852EB" w:rsidRDefault="00DC35DD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F6CAA94" w14:textId="6D07D46D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Felszívódás</w:t>
      </w:r>
      <w:r w:rsidR="00426CF8" w:rsidRPr="008852EB">
        <w:rPr>
          <w:rFonts w:ascii="Times New Roman" w:hAnsi="Times New Roman" w:cs="Times New Roman"/>
          <w:color w:val="000000"/>
          <w:u w:val="single"/>
        </w:rPr>
        <w:t>, e</w:t>
      </w:r>
      <w:r w:rsidRPr="008852EB">
        <w:rPr>
          <w:rFonts w:ascii="Times New Roman" w:hAnsi="Times New Roman" w:cs="Times New Roman"/>
          <w:color w:val="000000"/>
          <w:u w:val="single"/>
        </w:rPr>
        <w:t>loszlás</w:t>
      </w:r>
    </w:p>
    <w:p w14:paraId="25605C20" w14:textId="77777777" w:rsidR="00A03C1C" w:rsidRPr="008852EB" w:rsidRDefault="00A03C1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Rozuvasztatin</w:t>
      </w:r>
    </w:p>
    <w:p w14:paraId="63710AB6" w14:textId="69F36F1F" w:rsidR="00D71978" w:rsidRPr="008852EB" w:rsidRDefault="00D7197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color w:val="auto"/>
          <w:sz w:val="22"/>
          <w:szCs w:val="22"/>
          <w:lang w:val="hu-HU"/>
        </w:rPr>
        <w:t>Per os</w:t>
      </w:r>
      <w:r w:rsidRPr="008852EB">
        <w:rPr>
          <w:color w:val="auto"/>
          <w:sz w:val="22"/>
          <w:szCs w:val="22"/>
          <w:lang w:val="hu-HU"/>
        </w:rPr>
        <w:t xml:space="preserve"> adagolást követően megközelítőleg 5 óra múlva alakul ki a rozuvasztatin maximális plazmakoncentrációja. A teljes biohasznosulás megközelítőleg 20%. A rozuvasztatint nagymértékben a máj veszi fel, ami a koleszterin</w:t>
      </w:r>
      <w:r w:rsidRPr="008852EB">
        <w:rPr>
          <w:color w:val="auto"/>
          <w:sz w:val="22"/>
          <w:szCs w:val="22"/>
          <w:lang w:val="hu-HU"/>
        </w:rPr>
        <w:noBreakHyphen/>
        <w:t>szintézis és az LDL</w:t>
      </w:r>
      <w:r w:rsidRPr="008852EB">
        <w:rPr>
          <w:color w:val="auto"/>
          <w:sz w:val="22"/>
          <w:szCs w:val="22"/>
          <w:lang w:val="hu-HU"/>
        </w:rPr>
        <w:noBreakHyphen/>
        <w:t>koleszterin</w:t>
      </w:r>
      <w:r w:rsidRPr="008852EB">
        <w:rPr>
          <w:color w:val="auto"/>
          <w:sz w:val="22"/>
          <w:szCs w:val="22"/>
          <w:lang w:val="hu-HU"/>
        </w:rPr>
        <w:noBreakHyphen/>
        <w:t>ürülés elsődleges színtere. A rozuvasztatin eloszlási térfogata megközelítőleg 134 l.</w:t>
      </w:r>
    </w:p>
    <w:p w14:paraId="02B4C136" w14:textId="4CB650D1" w:rsidR="00D71978" w:rsidRPr="008852EB" w:rsidRDefault="00D7197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körülbelül 90%</w:t>
      </w:r>
      <w:r w:rsidRPr="008852EB">
        <w:rPr>
          <w:color w:val="auto"/>
          <w:sz w:val="22"/>
          <w:szCs w:val="22"/>
          <w:lang w:val="hu-HU"/>
        </w:rPr>
        <w:noBreakHyphen/>
        <w:t>a kötődik a plazmafehérjékhez, főleg az albuminhoz.</w:t>
      </w:r>
    </w:p>
    <w:p w14:paraId="76D8C2DC" w14:textId="7CBB0F10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F3DD80B" w14:textId="5F002F5D" w:rsidR="00A03C1C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Acetilszalicilsav</w:t>
      </w:r>
    </w:p>
    <w:p w14:paraId="1BFAD4E7" w14:textId="1B733215" w:rsidR="00D71978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</w:rPr>
        <w:t>Per os</w:t>
      </w:r>
      <w:r w:rsidRPr="008852EB">
        <w:rPr>
          <w:rFonts w:ascii="Times New Roman" w:hAnsi="Times New Roman" w:cs="Times New Roman"/>
        </w:rPr>
        <w:t xml:space="preserve"> adagoláskor az acetilszalicilsav felszívódása a gyógyszerformától függően gyors és teljes.</w:t>
      </w:r>
      <w:r w:rsidR="00B5258A" w:rsidRPr="008852EB">
        <w:rPr>
          <w:rFonts w:ascii="Times New Roman" w:hAnsi="Times New Roman" w:cs="Times New Roman"/>
        </w:rPr>
        <w:t xml:space="preserve"> Az acetilszalicilsavból származó acetil maradvány hidrolízise </w:t>
      </w:r>
      <w:r w:rsidR="00691EAD" w:rsidRPr="008852EB">
        <w:rPr>
          <w:rFonts w:ascii="Times New Roman" w:hAnsi="Times New Roman" w:cs="Times New Roman"/>
        </w:rPr>
        <w:t xml:space="preserve">a 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="00691EAD" w:rsidRPr="008852EB">
        <w:rPr>
          <w:rFonts w:ascii="Times New Roman" w:hAnsi="Times New Roman" w:cs="Times New Roman"/>
        </w:rPr>
        <w:t xml:space="preserve"> nyálkahártyán áthaladva történik meg bizonyos </w:t>
      </w:r>
      <w:r w:rsidR="00375C0C" w:rsidRPr="008852EB">
        <w:rPr>
          <w:rFonts w:ascii="Times New Roman" w:hAnsi="Times New Roman" w:cs="Times New Roman"/>
        </w:rPr>
        <w:t>mérték</w:t>
      </w:r>
      <w:r w:rsidR="00691EAD" w:rsidRPr="008852EB">
        <w:rPr>
          <w:rFonts w:ascii="Times New Roman" w:hAnsi="Times New Roman" w:cs="Times New Roman"/>
        </w:rPr>
        <w:t>ben.</w:t>
      </w:r>
    </w:p>
    <w:p w14:paraId="00C6515A" w14:textId="7D43310D" w:rsidR="00D71978" w:rsidRPr="008852EB" w:rsidRDefault="00B5258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</w:t>
      </w:r>
      <w:r w:rsidR="00D71978" w:rsidRPr="008852EB">
        <w:rPr>
          <w:rFonts w:ascii="Times New Roman" w:hAnsi="Times New Roman" w:cs="Times New Roman"/>
        </w:rPr>
        <w:t xml:space="preserve"> maximális plazmakoncentrációt </w:t>
      </w:r>
      <w:r w:rsidR="00691EAD" w:rsidRPr="008852EB">
        <w:rPr>
          <w:rFonts w:ascii="Times New Roman" w:hAnsi="Times New Roman" w:cs="Times New Roman"/>
        </w:rPr>
        <w:t xml:space="preserve">10-20 perc (acetilszalicilsav) vagy </w:t>
      </w:r>
      <w:r w:rsidR="00D71978" w:rsidRPr="008852EB">
        <w:rPr>
          <w:rFonts w:ascii="Times New Roman" w:hAnsi="Times New Roman" w:cs="Times New Roman"/>
        </w:rPr>
        <w:t>0,3</w:t>
      </w:r>
      <w:r w:rsidR="00D71978" w:rsidRPr="008852EB">
        <w:rPr>
          <w:rFonts w:ascii="Times New Roman" w:hAnsi="Times New Roman" w:cs="Times New Roman"/>
        </w:rPr>
        <w:noBreakHyphen/>
        <w:t>2 óra (teljes szalicilát) alatt éri el.</w:t>
      </w:r>
    </w:p>
    <w:p w14:paraId="60F20F3C" w14:textId="29E92ABF" w:rsidR="00D71978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Plazmafehérjéhez való kötődése koncentrációfüggő</w:t>
      </w:r>
      <w:r w:rsidR="00375C0C" w:rsidRPr="008852EB">
        <w:rPr>
          <w:rFonts w:ascii="Times New Roman" w:hAnsi="Times New Roman" w:cs="Times New Roman"/>
        </w:rPr>
        <w:t>;</w:t>
      </w:r>
      <w:r w:rsidRPr="008852EB">
        <w:rPr>
          <w:rFonts w:ascii="Times New Roman" w:hAnsi="Times New Roman" w:cs="Times New Roman"/>
        </w:rPr>
        <w:t xml:space="preserve"> </w:t>
      </w:r>
      <w:r w:rsidR="00375C0C" w:rsidRPr="008852EB">
        <w:rPr>
          <w:rFonts w:ascii="Times New Roman" w:hAnsi="Times New Roman" w:cs="Times New Roman"/>
        </w:rPr>
        <w:t xml:space="preserve">az acetilszalicilsav esetében </w:t>
      </w:r>
      <w:r w:rsidR="00691EAD" w:rsidRPr="008852EB">
        <w:rPr>
          <w:rFonts w:ascii="Times New Roman" w:hAnsi="Times New Roman" w:cs="Times New Roman"/>
        </w:rPr>
        <w:t>49%-tól 70%-</w:t>
      </w:r>
      <w:r w:rsidR="00375C0C" w:rsidRPr="008852EB">
        <w:rPr>
          <w:rFonts w:ascii="Times New Roman" w:hAnsi="Times New Roman" w:cs="Times New Roman"/>
        </w:rPr>
        <w:t>ot meghaladó,</w:t>
      </w:r>
      <w:r w:rsidR="00691EAD" w:rsidRPr="008852EB">
        <w:rPr>
          <w:rFonts w:ascii="Times New Roman" w:hAnsi="Times New Roman" w:cs="Times New Roman"/>
        </w:rPr>
        <w:t xml:space="preserve"> </w:t>
      </w:r>
      <w:r w:rsidR="00375C0C" w:rsidRPr="008852EB">
        <w:rPr>
          <w:rFonts w:ascii="Times New Roman" w:hAnsi="Times New Roman" w:cs="Times New Roman"/>
        </w:rPr>
        <w:t xml:space="preserve">a szalicilsav esetében pedig </w:t>
      </w:r>
      <w:r w:rsidR="00691EAD" w:rsidRPr="008852EB">
        <w:rPr>
          <w:rFonts w:ascii="Times New Roman" w:hAnsi="Times New Roman" w:cs="Times New Roman"/>
        </w:rPr>
        <w:t xml:space="preserve">66-98% </w:t>
      </w:r>
      <w:r w:rsidR="00CF7DC9" w:rsidRPr="008852EB">
        <w:rPr>
          <w:rFonts w:ascii="Times New Roman" w:hAnsi="Times New Roman" w:cs="Times New Roman"/>
        </w:rPr>
        <w:t>értékeket jelentettek</w:t>
      </w:r>
      <w:r w:rsidRPr="008852EB">
        <w:rPr>
          <w:rFonts w:ascii="Times New Roman" w:hAnsi="Times New Roman" w:cs="Times New Roman"/>
        </w:rPr>
        <w:t>.</w:t>
      </w:r>
    </w:p>
    <w:p w14:paraId="7CF17968" w14:textId="16F2D328" w:rsidR="0019501D" w:rsidRPr="008852EB" w:rsidRDefault="0019501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25FAAC" w14:textId="7119B827" w:rsidR="00D71978" w:rsidRPr="008852EB" w:rsidRDefault="00375C0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</w:t>
      </w:r>
      <w:r w:rsidR="00D71978" w:rsidRPr="008852EB">
        <w:rPr>
          <w:rFonts w:ascii="Times New Roman" w:hAnsi="Times New Roman" w:cs="Times New Roman"/>
        </w:rPr>
        <w:t xml:space="preserve">z acetilszalicilsav </w:t>
      </w:r>
      <w:r w:rsidRPr="008852EB">
        <w:rPr>
          <w:rFonts w:ascii="Times New Roman" w:hAnsi="Times New Roman" w:cs="Times New Roman"/>
        </w:rPr>
        <w:t>adagolása után a s</w:t>
      </w:r>
      <w:r w:rsidR="00397DE6" w:rsidRPr="008852EB">
        <w:rPr>
          <w:rFonts w:ascii="Times New Roman" w:hAnsi="Times New Roman" w:cs="Times New Roman"/>
        </w:rPr>
        <w:t>z</w:t>
      </w:r>
      <w:r w:rsidRPr="008852EB">
        <w:rPr>
          <w:rFonts w:ascii="Times New Roman" w:hAnsi="Times New Roman" w:cs="Times New Roman"/>
        </w:rPr>
        <w:t xml:space="preserve">alicilsav </w:t>
      </w:r>
      <w:r w:rsidR="00D71978" w:rsidRPr="008852EB">
        <w:rPr>
          <w:rFonts w:ascii="Times New Roman" w:hAnsi="Times New Roman" w:cs="Times New Roman"/>
        </w:rPr>
        <w:t xml:space="preserve">kimutatható a </w:t>
      </w:r>
      <w:r w:rsidRPr="008852EB">
        <w:rPr>
          <w:rFonts w:ascii="Times New Roman" w:hAnsi="Times New Roman" w:cs="Times New Roman"/>
        </w:rPr>
        <w:t xml:space="preserve">liquorban </w:t>
      </w:r>
      <w:r w:rsidR="00D71978" w:rsidRPr="008852EB">
        <w:rPr>
          <w:rFonts w:ascii="Times New Roman" w:hAnsi="Times New Roman" w:cs="Times New Roman"/>
        </w:rPr>
        <w:t xml:space="preserve">és </w:t>
      </w:r>
      <w:r w:rsidRPr="008852EB">
        <w:rPr>
          <w:rFonts w:ascii="Times New Roman" w:hAnsi="Times New Roman" w:cs="Times New Roman"/>
        </w:rPr>
        <w:t xml:space="preserve">a </w:t>
      </w:r>
      <w:r w:rsidR="00D71978" w:rsidRPr="008852EB">
        <w:rPr>
          <w:rFonts w:ascii="Times New Roman" w:hAnsi="Times New Roman" w:cs="Times New Roman"/>
        </w:rPr>
        <w:t>synovialis folyadékban. A szalicilsav át</w:t>
      </w:r>
      <w:r w:rsidR="00397DE6" w:rsidRPr="008852EB">
        <w:rPr>
          <w:rFonts w:ascii="Times New Roman" w:hAnsi="Times New Roman" w:cs="Times New Roman"/>
        </w:rPr>
        <w:t>jut</w:t>
      </w:r>
      <w:r w:rsidR="00D71978" w:rsidRPr="008852EB">
        <w:rPr>
          <w:rFonts w:ascii="Times New Roman" w:hAnsi="Times New Roman" w:cs="Times New Roman"/>
        </w:rPr>
        <w:t xml:space="preserve"> a placentán és kimutatható az anyatejben.</w:t>
      </w:r>
    </w:p>
    <w:p w14:paraId="7B0A442D" w14:textId="77777777" w:rsidR="00A03C1C" w:rsidRPr="008852EB" w:rsidRDefault="00A03C1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BD71174" w14:textId="2EE5632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Biotranszformáció</w:t>
      </w:r>
      <w:r w:rsidR="00BA7166" w:rsidRPr="008852EB">
        <w:rPr>
          <w:rFonts w:ascii="Times New Roman" w:hAnsi="Times New Roman" w:cs="Times New Roman"/>
          <w:color w:val="000000"/>
          <w:u w:val="single"/>
        </w:rPr>
        <w:t>, e</w:t>
      </w:r>
      <w:r w:rsidRPr="008852EB">
        <w:rPr>
          <w:rFonts w:ascii="Times New Roman" w:hAnsi="Times New Roman" w:cs="Times New Roman"/>
          <w:color w:val="000000"/>
          <w:u w:val="single"/>
        </w:rPr>
        <w:t>limináció</w:t>
      </w:r>
    </w:p>
    <w:p w14:paraId="75F3285D" w14:textId="77777777" w:rsidR="00D71978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Rozuvasztatin</w:t>
      </w:r>
    </w:p>
    <w:p w14:paraId="353C2B16" w14:textId="55EF25E6" w:rsidR="00D71978" w:rsidRPr="008852EB" w:rsidRDefault="00D7197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rozuvasztatin kismértékű metabolizmuson megy keresztül (körülbelül 10%). Emberi májsejteken végzett </w:t>
      </w:r>
      <w:r w:rsidRPr="008852EB">
        <w:rPr>
          <w:i/>
          <w:iCs/>
          <w:color w:val="auto"/>
          <w:sz w:val="22"/>
          <w:szCs w:val="22"/>
          <w:lang w:val="hu-HU"/>
        </w:rPr>
        <w:t>in vitro</w:t>
      </w:r>
      <w:r w:rsidRPr="008852EB">
        <w:rPr>
          <w:color w:val="auto"/>
          <w:sz w:val="22"/>
          <w:szCs w:val="22"/>
          <w:lang w:val="hu-HU"/>
        </w:rPr>
        <w:t xml:space="preserve"> metabolit</w:t>
      </w:r>
      <w:r w:rsidRPr="008852EB">
        <w:rPr>
          <w:color w:val="auto"/>
          <w:sz w:val="22"/>
          <w:szCs w:val="22"/>
          <w:lang w:val="hu-HU"/>
        </w:rPr>
        <w:noBreakHyphen/>
        <w:t>vizsgálatok szerint a rozuvasztatin a citokróm P450</w:t>
      </w:r>
      <w:r w:rsidRPr="008852EB">
        <w:rPr>
          <w:color w:val="auto"/>
          <w:sz w:val="22"/>
          <w:szCs w:val="22"/>
          <w:lang w:val="hu-HU"/>
        </w:rPr>
        <w:noBreakHyphen/>
        <w:t>en alapuló metabolizmus gyenge szubsztrátja. A folyamatban főleg a CYP2C9 izoenzim játszott szerepet, míg a 2C19, 3A4 és 2D6 kevésbé. Fő metabolitokként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 xml:space="preserve"> és a lakton</w:t>
      </w:r>
      <w:r w:rsidRPr="008852EB">
        <w:rPr>
          <w:color w:val="auto"/>
          <w:sz w:val="22"/>
          <w:szCs w:val="22"/>
          <w:lang w:val="hu-HU"/>
        </w:rPr>
        <w:noBreakHyphen/>
        <w:t>metabolitokat azonosították.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>metabolit megközelítőleg 50%</w:t>
      </w:r>
      <w:r w:rsidRPr="008852EB">
        <w:rPr>
          <w:color w:val="auto"/>
          <w:sz w:val="22"/>
          <w:szCs w:val="22"/>
          <w:lang w:val="hu-HU"/>
        </w:rPr>
        <w:noBreakHyphen/>
        <w:t>kal kevésbé aktív, mint a rozuvasztatin, a lakton</w:t>
      </w:r>
      <w:r w:rsidRPr="008852EB">
        <w:rPr>
          <w:color w:val="auto"/>
          <w:sz w:val="22"/>
          <w:szCs w:val="22"/>
          <w:lang w:val="hu-HU"/>
        </w:rPr>
        <w:noBreakHyphen/>
        <w:t>metabolit pedig klinikai szempontból inaktív. A keringésben lévő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inhibitor</w:t>
      </w:r>
      <w:r w:rsidRPr="008852EB">
        <w:rPr>
          <w:color w:val="auto"/>
          <w:sz w:val="22"/>
          <w:szCs w:val="22"/>
          <w:lang w:val="hu-HU"/>
        </w:rPr>
        <w:noBreakHyphen/>
        <w:t>aktivitás több mint 90%</w:t>
      </w:r>
      <w:r w:rsidRPr="008852EB">
        <w:rPr>
          <w:color w:val="auto"/>
          <w:sz w:val="22"/>
          <w:szCs w:val="22"/>
          <w:lang w:val="hu-HU"/>
        </w:rPr>
        <w:noBreakHyphen/>
        <w:t>ban a rozuvasztatinnak tulajdonítható.</w:t>
      </w:r>
    </w:p>
    <w:p w14:paraId="7E967D1E" w14:textId="77777777" w:rsidR="00CE0CC9" w:rsidRPr="008852EB" w:rsidRDefault="00CE0CC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körülbelül 90%</w:t>
      </w:r>
      <w:r w:rsidRPr="008852EB">
        <w:rPr>
          <w:color w:val="auto"/>
          <w:sz w:val="22"/>
          <w:szCs w:val="22"/>
          <w:lang w:val="hu-HU"/>
        </w:rPr>
        <w:noBreakHyphen/>
        <w:t>a választódik ki változatlan formában a széklettel (felszívódott és fel nem szívódott hatóanyag), a fennmaradó rész pedig a vizelettel távozik.</w:t>
      </w:r>
    </w:p>
    <w:p w14:paraId="6E4AF43D" w14:textId="2B567E62" w:rsidR="00CE0CC9" w:rsidRPr="008852EB" w:rsidRDefault="00CE0CC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vizelettel megközelítőleg 5% választódik ki változatlan formában. A plazmaeliminációs f</w:t>
      </w:r>
      <w:r w:rsidR="00397DE6" w:rsidRPr="008852EB">
        <w:rPr>
          <w:color w:val="auto"/>
          <w:sz w:val="22"/>
          <w:szCs w:val="22"/>
          <w:lang w:val="hu-HU"/>
        </w:rPr>
        <w:t>e</w:t>
      </w:r>
      <w:r w:rsidRPr="008852EB">
        <w:rPr>
          <w:color w:val="auto"/>
          <w:sz w:val="22"/>
          <w:szCs w:val="22"/>
          <w:lang w:val="hu-HU"/>
        </w:rPr>
        <w:t>l</w:t>
      </w:r>
      <w:r w:rsidR="00397DE6" w:rsidRPr="008852EB">
        <w:rPr>
          <w:color w:val="auto"/>
          <w:sz w:val="22"/>
          <w:szCs w:val="22"/>
          <w:lang w:val="hu-HU"/>
        </w:rPr>
        <w:t xml:space="preserve">ezési </w:t>
      </w:r>
      <w:r w:rsidRPr="008852EB">
        <w:rPr>
          <w:color w:val="auto"/>
          <w:sz w:val="22"/>
          <w:szCs w:val="22"/>
          <w:lang w:val="hu-HU"/>
        </w:rPr>
        <w:t>idő megközelítőleg</w:t>
      </w:r>
      <w:r w:rsidR="00E946A1" w:rsidRPr="008852EB">
        <w:rPr>
          <w:color w:val="auto"/>
          <w:sz w:val="22"/>
          <w:szCs w:val="22"/>
          <w:lang w:val="hu-HU"/>
        </w:rPr>
        <w:t xml:space="preserve"> </w:t>
      </w:r>
      <w:r w:rsidR="00375C0C" w:rsidRPr="008852EB">
        <w:rPr>
          <w:color w:val="auto"/>
          <w:sz w:val="22"/>
          <w:szCs w:val="22"/>
          <w:lang w:val="hu-HU"/>
        </w:rPr>
        <w:t>20</w:t>
      </w:r>
      <w:r w:rsidRPr="008852EB">
        <w:rPr>
          <w:color w:val="auto"/>
          <w:sz w:val="22"/>
          <w:szCs w:val="22"/>
          <w:lang w:val="hu-HU"/>
        </w:rPr>
        <w:t> óra. Az eliminációs f</w:t>
      </w:r>
      <w:r w:rsidR="00397DE6" w:rsidRPr="008852EB">
        <w:rPr>
          <w:color w:val="auto"/>
          <w:sz w:val="22"/>
          <w:szCs w:val="22"/>
          <w:lang w:val="hu-HU"/>
        </w:rPr>
        <w:t>e</w:t>
      </w:r>
      <w:r w:rsidRPr="008852EB">
        <w:rPr>
          <w:color w:val="auto"/>
          <w:sz w:val="22"/>
          <w:szCs w:val="22"/>
          <w:lang w:val="hu-HU"/>
        </w:rPr>
        <w:t>l</w:t>
      </w:r>
      <w:r w:rsidR="00397DE6" w:rsidRPr="008852EB">
        <w:rPr>
          <w:color w:val="auto"/>
          <w:sz w:val="22"/>
          <w:szCs w:val="22"/>
          <w:lang w:val="hu-HU"/>
        </w:rPr>
        <w:t>ez</w:t>
      </w:r>
      <w:r w:rsidRPr="008852EB">
        <w:rPr>
          <w:color w:val="auto"/>
          <w:sz w:val="22"/>
          <w:szCs w:val="22"/>
          <w:lang w:val="hu-HU"/>
        </w:rPr>
        <w:t>é</w:t>
      </w:r>
      <w:r w:rsidR="00397DE6" w:rsidRPr="008852EB">
        <w:rPr>
          <w:color w:val="auto"/>
          <w:sz w:val="22"/>
          <w:szCs w:val="22"/>
          <w:lang w:val="hu-HU"/>
        </w:rPr>
        <w:t xml:space="preserve">si </w:t>
      </w:r>
      <w:r w:rsidRPr="008852EB">
        <w:rPr>
          <w:color w:val="auto"/>
          <w:sz w:val="22"/>
          <w:szCs w:val="22"/>
          <w:lang w:val="hu-HU"/>
        </w:rPr>
        <w:t xml:space="preserve">idő </w:t>
      </w:r>
      <w:r w:rsidR="00397DE6" w:rsidRPr="008852EB">
        <w:rPr>
          <w:color w:val="auto"/>
          <w:sz w:val="22"/>
          <w:szCs w:val="22"/>
          <w:lang w:val="hu-HU"/>
        </w:rPr>
        <w:t xml:space="preserve">nagyobb </w:t>
      </w:r>
      <w:r w:rsidRPr="008852EB">
        <w:rPr>
          <w:color w:val="auto"/>
          <w:sz w:val="22"/>
          <w:szCs w:val="22"/>
          <w:lang w:val="hu-HU"/>
        </w:rPr>
        <w:t>dózis esetén sem növekszik. A plazmaclearance mértani középértéke megközelítőleg 50 l/óra (variációs koefficiens 21,7%). Hasonlóan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gátlókhoz, az OATP</w:t>
      </w:r>
      <w:r w:rsidRPr="008852EB">
        <w:rPr>
          <w:color w:val="auto"/>
          <w:sz w:val="22"/>
          <w:szCs w:val="22"/>
          <w:lang w:val="hu-HU"/>
        </w:rPr>
        <w:noBreakHyphen/>
        <w:t>C membrántranszporter részt vesz a rozuvasztatin májba történő felvételében. Ez a transzporter fontos szerepet játszik a rozuvasztatin eliminációjában.</w:t>
      </w:r>
    </w:p>
    <w:p w14:paraId="14C56BE8" w14:textId="0CFA1EB9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63863B" w14:textId="77777777" w:rsidR="00CE0CC9" w:rsidRPr="008852EB" w:rsidRDefault="00CE0CC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Acetilszalicilsav</w:t>
      </w:r>
    </w:p>
    <w:p w14:paraId="294B6B92" w14:textId="6972ACA0" w:rsidR="00CE0CC9" w:rsidRPr="008852EB" w:rsidRDefault="00CE0CC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Az acetilszalicilsav a felszívódás alatt és után fő metabolitjává, szalicilsavvá alakul át. </w:t>
      </w:r>
      <w:r w:rsidR="00EC3FBC" w:rsidRPr="008852EB">
        <w:rPr>
          <w:rFonts w:ascii="Times New Roman" w:hAnsi="Times New Roman" w:cs="Times New Roman"/>
        </w:rPr>
        <w:t xml:space="preserve">A metabolitjai főként a </w:t>
      </w:r>
      <w:r w:rsidR="0094182B" w:rsidRPr="008852EB">
        <w:rPr>
          <w:rFonts w:ascii="Times New Roman" w:hAnsi="Times New Roman" w:cs="Times New Roman"/>
        </w:rPr>
        <w:t>vesén keresztül választódnak ki</w:t>
      </w:r>
      <w:r w:rsidR="00EC3FBC" w:rsidRPr="008852EB">
        <w:rPr>
          <w:rFonts w:ascii="Times New Roman" w:hAnsi="Times New Roman" w:cs="Times New Roman"/>
        </w:rPr>
        <w:t>.</w:t>
      </w:r>
      <w:r w:rsidR="00DC3AEA" w:rsidRPr="008852EB">
        <w:rPr>
          <w:rFonts w:ascii="Times New Roman" w:hAnsi="Times New Roman" w:cs="Times New Roman"/>
        </w:rPr>
        <w:t xml:space="preserve"> </w:t>
      </w:r>
      <w:r w:rsidR="008C44F2" w:rsidRPr="00D96B72">
        <w:rPr>
          <w:rFonts w:ascii="Times New Roman" w:hAnsi="Times New Roman" w:cs="Times New Roman"/>
        </w:rPr>
        <w:t>Felezési ideje rövid, körülbelül 15-20</w:t>
      </w:r>
      <w:r w:rsidR="0044734A">
        <w:rPr>
          <w:rFonts w:ascii="Times New Roman" w:hAnsi="Times New Roman" w:cs="Times New Roman"/>
        </w:rPr>
        <w:t> </w:t>
      </w:r>
      <w:r w:rsidR="008C44F2" w:rsidRPr="00D96B72">
        <w:rPr>
          <w:rFonts w:ascii="Times New Roman" w:hAnsi="Times New Roman" w:cs="Times New Roman"/>
        </w:rPr>
        <w:t>perc</w:t>
      </w:r>
      <w:r w:rsidR="00DC3AEA" w:rsidRPr="00D96B72">
        <w:rPr>
          <w:rFonts w:ascii="Times New Roman" w:hAnsi="Times New Roman" w:cs="Times New Roman"/>
        </w:rPr>
        <w:t>.</w:t>
      </w:r>
    </w:p>
    <w:p w14:paraId="4D6A930F" w14:textId="6AE05A82" w:rsidR="00CE0CC9" w:rsidRPr="008852EB" w:rsidRDefault="0094182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lastRenderedPageBreak/>
        <w:t>A szalicilsavon kívül a</w:t>
      </w:r>
      <w:r w:rsidR="00CE0CC9" w:rsidRPr="008852EB">
        <w:rPr>
          <w:rFonts w:ascii="Times New Roman" w:hAnsi="Times New Roman" w:cs="Times New Roman"/>
        </w:rPr>
        <w:t xml:space="preserve"> fő metabolit</w:t>
      </w:r>
      <w:r w:rsidRPr="008852EB">
        <w:rPr>
          <w:rFonts w:ascii="Times New Roman" w:hAnsi="Times New Roman" w:cs="Times New Roman"/>
        </w:rPr>
        <w:t>ok</w:t>
      </w:r>
      <w:r w:rsidR="00CE0CC9" w:rsidRPr="008852EB">
        <w:rPr>
          <w:rFonts w:ascii="Times New Roman" w:hAnsi="Times New Roman" w:cs="Times New Roman"/>
        </w:rPr>
        <w:t xml:space="preserve"> a szalicilsav glicin konjugátuma</w:t>
      </w:r>
      <w:r w:rsidR="00EC3FBC" w:rsidRPr="008852EB">
        <w:rPr>
          <w:rFonts w:ascii="Times New Roman" w:hAnsi="Times New Roman" w:cs="Times New Roman"/>
        </w:rPr>
        <w:t xml:space="preserve"> (szalicil</w:t>
      </w:r>
      <w:r w:rsidR="00B12038" w:rsidRPr="008852EB">
        <w:rPr>
          <w:rFonts w:ascii="Times New Roman" w:hAnsi="Times New Roman" w:cs="Times New Roman"/>
        </w:rPr>
        <w:t>ur</w:t>
      </w:r>
      <w:r w:rsidR="00EC3FBC" w:rsidRPr="008852EB">
        <w:rPr>
          <w:rFonts w:ascii="Times New Roman" w:hAnsi="Times New Roman" w:cs="Times New Roman"/>
        </w:rPr>
        <w:t>sav)</w:t>
      </w:r>
      <w:r w:rsidR="00CE0CC9" w:rsidRPr="008852EB">
        <w:rPr>
          <w:rFonts w:ascii="Times New Roman" w:hAnsi="Times New Roman" w:cs="Times New Roman"/>
        </w:rPr>
        <w:t>, a szalicilsav éteres és észteres gl</w:t>
      </w:r>
      <w:r w:rsidR="00B12038" w:rsidRPr="008852EB">
        <w:rPr>
          <w:rFonts w:ascii="Times New Roman" w:hAnsi="Times New Roman" w:cs="Times New Roman"/>
        </w:rPr>
        <w:t>ü</w:t>
      </w:r>
      <w:r w:rsidR="00CE0CC9" w:rsidRPr="008852EB">
        <w:rPr>
          <w:rFonts w:ascii="Times New Roman" w:hAnsi="Times New Roman" w:cs="Times New Roman"/>
        </w:rPr>
        <w:t>k</w:t>
      </w:r>
      <w:r w:rsidR="00B12038" w:rsidRPr="008852EB">
        <w:rPr>
          <w:rFonts w:ascii="Times New Roman" w:hAnsi="Times New Roman" w:cs="Times New Roman"/>
        </w:rPr>
        <w:t>u</w:t>
      </w:r>
      <w:r w:rsidR="00CE0CC9" w:rsidRPr="008852EB">
        <w:rPr>
          <w:rFonts w:ascii="Times New Roman" w:hAnsi="Times New Roman" w:cs="Times New Roman"/>
        </w:rPr>
        <w:t xml:space="preserve">ronidjai </w:t>
      </w:r>
      <w:r w:rsidRPr="008852EB">
        <w:rPr>
          <w:rFonts w:ascii="Times New Roman" w:hAnsi="Times New Roman" w:cs="Times New Roman"/>
        </w:rPr>
        <w:t>(s</w:t>
      </w:r>
      <w:r w:rsidR="00397DE6" w:rsidRPr="008852EB">
        <w:rPr>
          <w:rFonts w:ascii="Times New Roman" w:hAnsi="Times New Roman" w:cs="Times New Roman"/>
        </w:rPr>
        <w:t>z</w:t>
      </w:r>
      <w:r w:rsidRPr="008852EB">
        <w:rPr>
          <w:rFonts w:ascii="Times New Roman" w:hAnsi="Times New Roman" w:cs="Times New Roman"/>
        </w:rPr>
        <w:t>alicil-</w:t>
      </w:r>
      <w:r w:rsidR="00397DE6" w:rsidRPr="008852EB">
        <w:rPr>
          <w:rFonts w:ascii="Times New Roman" w:hAnsi="Times New Roman" w:cs="Times New Roman"/>
        </w:rPr>
        <w:t>f</w:t>
      </w:r>
      <w:r w:rsidRPr="008852EB">
        <w:rPr>
          <w:rFonts w:ascii="Times New Roman" w:hAnsi="Times New Roman" w:cs="Times New Roman"/>
        </w:rPr>
        <w:t>enol-gl</w:t>
      </w:r>
      <w:r w:rsidR="00397DE6" w:rsidRPr="008852EB">
        <w:rPr>
          <w:rFonts w:ascii="Times New Roman" w:hAnsi="Times New Roman" w:cs="Times New Roman"/>
        </w:rPr>
        <w:t>ük</w:t>
      </w:r>
      <w:r w:rsidRPr="008852EB">
        <w:rPr>
          <w:rFonts w:ascii="Times New Roman" w:hAnsi="Times New Roman" w:cs="Times New Roman"/>
        </w:rPr>
        <w:t>uronid és s</w:t>
      </w:r>
      <w:r w:rsidR="00397DE6" w:rsidRPr="008852EB">
        <w:rPr>
          <w:rFonts w:ascii="Times New Roman" w:hAnsi="Times New Roman" w:cs="Times New Roman"/>
        </w:rPr>
        <w:t>z</w:t>
      </w:r>
      <w:r w:rsidRPr="008852EB">
        <w:rPr>
          <w:rFonts w:ascii="Times New Roman" w:hAnsi="Times New Roman" w:cs="Times New Roman"/>
        </w:rPr>
        <w:t>alicil-acil-gl</w:t>
      </w:r>
      <w:r w:rsidR="00397DE6" w:rsidRPr="008852EB">
        <w:rPr>
          <w:rFonts w:ascii="Times New Roman" w:hAnsi="Times New Roman" w:cs="Times New Roman"/>
        </w:rPr>
        <w:t>ük</w:t>
      </w:r>
      <w:r w:rsidRPr="008852EB">
        <w:rPr>
          <w:rFonts w:ascii="Times New Roman" w:hAnsi="Times New Roman" w:cs="Times New Roman"/>
        </w:rPr>
        <w:t xml:space="preserve">uronid) </w:t>
      </w:r>
      <w:r w:rsidR="00CE0CC9" w:rsidRPr="008852EB">
        <w:rPr>
          <w:rFonts w:ascii="Times New Roman" w:hAnsi="Times New Roman" w:cs="Times New Roman"/>
        </w:rPr>
        <w:t>és a gentizinsav</w:t>
      </w:r>
      <w:r w:rsidR="00E946A1" w:rsidRPr="008852EB">
        <w:rPr>
          <w:rFonts w:ascii="Times New Roman" w:hAnsi="Times New Roman" w:cs="Times New Roman"/>
        </w:rPr>
        <w:t xml:space="preserve">, ami a szalicilsav oxidációjával jön létre, </w:t>
      </w:r>
      <w:r w:rsidR="00CE0CC9" w:rsidRPr="008852EB">
        <w:rPr>
          <w:rFonts w:ascii="Times New Roman" w:hAnsi="Times New Roman" w:cs="Times New Roman"/>
        </w:rPr>
        <w:t>és annak glicin konjugátuma.</w:t>
      </w:r>
    </w:p>
    <w:p w14:paraId="55C79129" w14:textId="7812C5BE" w:rsidR="00CE0CC9" w:rsidRPr="008852EB" w:rsidRDefault="0094182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 szalicilsav eliminációs kinetikája nagyban függ a dózistól, mivel a szalicilsav metabolizációs kapacitása </w:t>
      </w:r>
      <w:r w:rsidR="00397DE6" w:rsidRPr="008852EB">
        <w:rPr>
          <w:rFonts w:ascii="Times New Roman" w:hAnsi="Times New Roman" w:cs="Times New Roman"/>
        </w:rPr>
        <w:t xml:space="preserve">korlátozott </w:t>
      </w:r>
      <w:r w:rsidR="00E946A1" w:rsidRPr="008852EB">
        <w:rPr>
          <w:rFonts w:ascii="Times New Roman" w:hAnsi="Times New Roman" w:cs="Times New Roman"/>
        </w:rPr>
        <w:t>(a</w:t>
      </w:r>
      <w:r w:rsidR="00CE0CC9" w:rsidRPr="008852EB">
        <w:rPr>
          <w:rFonts w:ascii="Times New Roman" w:hAnsi="Times New Roman" w:cs="Times New Roman"/>
        </w:rPr>
        <w:t>z eliminációs felezési idő 2</w:t>
      </w:r>
      <w:r w:rsidR="00CE0CC9" w:rsidRPr="008852EB">
        <w:rPr>
          <w:rFonts w:ascii="Times New Roman" w:hAnsi="Times New Roman" w:cs="Times New Roman"/>
        </w:rPr>
        <w:noBreakHyphen/>
        <w:t>3</w:t>
      </w:r>
      <w:r w:rsidRPr="008852EB">
        <w:rPr>
          <w:rFonts w:ascii="Times New Roman" w:hAnsi="Times New Roman" w:cs="Times New Roman"/>
        </w:rPr>
        <w:t>0</w:t>
      </w:r>
      <w:r w:rsidR="00CE0CC9" w:rsidRPr="008852EB">
        <w:rPr>
          <w:rFonts w:ascii="Times New Roman" w:hAnsi="Times New Roman" w:cs="Times New Roman"/>
        </w:rPr>
        <w:t> óra között változhat</w:t>
      </w:r>
      <w:r w:rsidR="00E946A1" w:rsidRPr="008852EB">
        <w:rPr>
          <w:rFonts w:ascii="Times New Roman" w:hAnsi="Times New Roman" w:cs="Times New Roman"/>
        </w:rPr>
        <w:t>)</w:t>
      </w:r>
      <w:r w:rsidR="00CE0CC9" w:rsidRPr="008852EB">
        <w:rPr>
          <w:rFonts w:ascii="Times New Roman" w:hAnsi="Times New Roman" w:cs="Times New Roman"/>
        </w:rPr>
        <w:t>.</w:t>
      </w:r>
    </w:p>
    <w:p w14:paraId="725B5533" w14:textId="2A5F28FB" w:rsidR="00FB6673" w:rsidRPr="008852EB" w:rsidRDefault="00CE0CC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Az acetilszalicilsav </w:t>
      </w:r>
      <w:r w:rsidR="00FB6673" w:rsidRPr="008852EB">
        <w:rPr>
          <w:rFonts w:ascii="Times New Roman" w:hAnsi="Times New Roman" w:cs="Times New Roman"/>
        </w:rPr>
        <w:t>eliminációs felezési ideje csak pár perc, a szalicilsav eliminációs felezési ideje a beadás után 2 órával 0,5 g acetilszalicilsav, 4 órával az 1 g beadása után és 5 g beadása után 20 órára emelkedik</w:t>
      </w:r>
      <w:r w:rsidR="00E946A1" w:rsidRPr="008852EB">
        <w:rPr>
          <w:rFonts w:ascii="Times New Roman" w:hAnsi="Times New Roman" w:cs="Times New Roman"/>
        </w:rPr>
        <w:t>.</w:t>
      </w:r>
    </w:p>
    <w:p w14:paraId="403589EA" w14:textId="77777777" w:rsidR="005C768D" w:rsidRPr="008852EB" w:rsidRDefault="005C768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</w:p>
    <w:p w14:paraId="74C951CF" w14:textId="3E024820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Linearitás/nem-linearitás</w:t>
      </w:r>
    </w:p>
    <w:p w14:paraId="277CB076" w14:textId="1BB9CC63" w:rsidR="000660A6" w:rsidRPr="008852EB" w:rsidRDefault="0073068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</w:rPr>
        <w:t>A rozuvasztatin szisztémás expozíciója a dózis nagyságával arányosan nő. A farmakokinetikai paraméterekben nincs változás napi többszöri dózis alkalmazása után.</w:t>
      </w:r>
    </w:p>
    <w:p w14:paraId="5C0A9C13" w14:textId="77777777" w:rsidR="000660A6" w:rsidRPr="008852EB" w:rsidRDefault="000660A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38D9869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Különleges betegcsoportok</w:t>
      </w:r>
    </w:p>
    <w:p w14:paraId="2A1CD002" w14:textId="3F527EDC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6876508" w14:textId="5FEFEEDA" w:rsidR="00E946A1" w:rsidRPr="008852EB" w:rsidRDefault="001D499F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  <w:iCs/>
        </w:rPr>
        <w:t>Kor és nem</w:t>
      </w:r>
    </w:p>
    <w:p w14:paraId="32D87789" w14:textId="262ED473" w:rsidR="001D499F" w:rsidRPr="008852EB" w:rsidRDefault="001D499F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Felnőttek esetében a kornak és a nemnek a rozuvasztatin farmakokinetikájára nem volt klinikai szempontból jelentős hatása. Heterozygota familiaris hypercholesterinaemiában szenvedő gyermekeknél és serdülőknél </w:t>
      </w:r>
      <w:r w:rsidR="00167CDB" w:rsidRPr="008852EB">
        <w:rPr>
          <w:rFonts w:ascii="Times New Roman" w:hAnsi="Times New Roman" w:cs="Times New Roman"/>
        </w:rPr>
        <w:t>rozuvasztatin farmakokinetikája hasonló volt a felnőtt önkéntesekéhez</w:t>
      </w:r>
      <w:r w:rsidRPr="008852EB">
        <w:rPr>
          <w:rFonts w:ascii="Times New Roman" w:hAnsi="Times New Roman" w:cs="Times New Roman"/>
        </w:rPr>
        <w:t>.</w:t>
      </w:r>
    </w:p>
    <w:p w14:paraId="356EA3BA" w14:textId="77777777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70FD1F9" w14:textId="5B06E58A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Népcsoportok</w:t>
      </w:r>
    </w:p>
    <w:p w14:paraId="708BF20E" w14:textId="46521C2D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Farmakokinetikai vizsgálatok során, ázsiai (japán, kínai, filippínó, vietnámi és koreai) személyeknél</w:t>
      </w:r>
      <w:r w:rsidRPr="008852EB" w:rsidDel="000B7A1E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kb. kétszeres medián AUC- és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Pr="008852EB">
        <w:rPr>
          <w:color w:val="auto"/>
          <w:sz w:val="22"/>
          <w:szCs w:val="22"/>
          <w:lang w:val="hu-HU"/>
        </w:rPr>
        <w:noBreakHyphen/>
        <w:t>emelkedést tapasztaltak a kaukázusiakkal összehasonlítva. Ázsiai-indiaiaknál kb. 1,3</w:t>
      </w:r>
      <w:r w:rsidRPr="008852EB">
        <w:rPr>
          <w:color w:val="auto"/>
          <w:sz w:val="22"/>
          <w:szCs w:val="22"/>
          <w:lang w:val="hu-HU"/>
        </w:rPr>
        <w:noBreakHyphen/>
        <w:t>szoros medián AUC- és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Pr="008852EB">
        <w:rPr>
          <w:color w:val="auto"/>
          <w:sz w:val="22"/>
          <w:szCs w:val="22"/>
          <w:lang w:val="hu-HU"/>
        </w:rPr>
        <w:noBreakHyphen/>
        <w:t>emelkedést tapasztaltak. Egy népességi farmakokinetikai analízis nem mutatott ki klinikai szempontból jelentős farmakokinetikai különbségeket kaukázusi és fekete bőrű népcsoportok között.</w:t>
      </w:r>
    </w:p>
    <w:p w14:paraId="43D1FAF9" w14:textId="77777777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7792271" w14:textId="5ED5ECBC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Vesekárosodás</w:t>
      </w:r>
    </w:p>
    <w:p w14:paraId="6995EDE8" w14:textId="14F71F51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Különböző súlyosságú vesekárosodásban szenvedő betegeknél végzett vizsgálatokban, az enyhe és közepesen súlyos vesebetegség nem befolyásolta a rozuvasztatin vagy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>metabolit plazmakoncentráció értékét. Súlyos vesekárosodásban (kreatinin</w:t>
      </w:r>
      <w:r w:rsidRPr="008852EB">
        <w:rPr>
          <w:color w:val="auto"/>
          <w:sz w:val="22"/>
          <w:szCs w:val="22"/>
          <w:lang w:val="hu-HU"/>
        </w:rPr>
        <w:noBreakHyphen/>
        <w:t>clearance &lt; 30 ml/perc) szenvedő betegeknél a rozuvasztatin plazmakoncentrációja háromszor,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 xml:space="preserve">metabolit plazmakoncentrációja kilencszer volt magasabb, mint az egészséges önkénteseknél. Hemodialízis alatt álló betegeknél a rozuvasztatin </w:t>
      </w:r>
      <w:r w:rsidRPr="008852EB">
        <w:rPr>
          <w:i/>
          <w:color w:val="auto"/>
          <w:sz w:val="22"/>
          <w:szCs w:val="22"/>
          <w:lang w:val="hu-HU"/>
        </w:rPr>
        <w:t>steady</w:t>
      </w:r>
      <w:r w:rsidRPr="008852EB">
        <w:rPr>
          <w:i/>
          <w:color w:val="auto"/>
          <w:sz w:val="22"/>
          <w:szCs w:val="22"/>
          <w:lang w:val="hu-HU"/>
        </w:rPr>
        <w:noBreakHyphen/>
        <w:t>state</w:t>
      </w:r>
      <w:r w:rsidRPr="008852EB">
        <w:rPr>
          <w:color w:val="auto"/>
          <w:sz w:val="22"/>
          <w:szCs w:val="22"/>
          <w:lang w:val="hu-HU"/>
        </w:rPr>
        <w:t xml:space="preserve"> plazmakoncentrációja az egészséges önkéntesekhez viszonyítva 50%</w:t>
      </w:r>
      <w:r w:rsidRPr="008852EB">
        <w:rPr>
          <w:color w:val="auto"/>
          <w:sz w:val="22"/>
          <w:szCs w:val="22"/>
          <w:lang w:val="hu-HU"/>
        </w:rPr>
        <w:noBreakHyphen/>
        <w:t>kal volt magasabb.</w:t>
      </w:r>
    </w:p>
    <w:p w14:paraId="37D4DA1D" w14:textId="77777777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DBD95C7" w14:textId="0AB057A3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Májkárosodás</w:t>
      </w:r>
    </w:p>
    <w:p w14:paraId="7BC05589" w14:textId="2D2B35D9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Különböző súlyosságú májkárosodásban szenvedő betegeknél végzett vizsgálatokban, Child</w:t>
      </w:r>
      <w:r w:rsidRPr="008852EB">
        <w:rPr>
          <w:color w:val="auto"/>
          <w:sz w:val="22"/>
          <w:szCs w:val="22"/>
          <w:lang w:val="hu-HU"/>
        </w:rPr>
        <w:noBreakHyphen/>
        <w:t>Pugh 7 érték mellett, vagy ez alatt nem mértek emelkedett rozuvasztatin</w:t>
      </w:r>
      <w:r w:rsidRPr="008852EB">
        <w:rPr>
          <w:color w:val="auto"/>
          <w:sz w:val="22"/>
          <w:szCs w:val="22"/>
          <w:lang w:val="hu-HU"/>
        </w:rPr>
        <w:noBreakHyphen/>
        <w:t>expozíciót. Azonban két betegnél, akiknek Child</w:t>
      </w:r>
      <w:r w:rsidRPr="008852EB">
        <w:rPr>
          <w:color w:val="auto"/>
          <w:sz w:val="22"/>
          <w:szCs w:val="22"/>
          <w:lang w:val="hu-HU"/>
        </w:rPr>
        <w:noBreakHyphen/>
        <w:t>Pugh értéke 8 és 9 volt, a szisztémás expozíció emelkedése legalább kétszeres volt az alacsonyabb Child</w:t>
      </w:r>
      <w:r w:rsidRPr="008852EB">
        <w:rPr>
          <w:color w:val="auto"/>
          <w:sz w:val="22"/>
          <w:szCs w:val="22"/>
          <w:lang w:val="hu-HU"/>
        </w:rPr>
        <w:noBreakHyphen/>
        <w:t>Pugh pontszámú betegekéhez képest. Nincs tapasztalat olyan betegekkel, akiknek a Child</w:t>
      </w:r>
      <w:r w:rsidRPr="008852EB">
        <w:rPr>
          <w:color w:val="auto"/>
          <w:sz w:val="22"/>
          <w:szCs w:val="22"/>
          <w:lang w:val="hu-HU"/>
        </w:rPr>
        <w:noBreakHyphen/>
        <w:t>Pugh értéke 9 felett van.</w:t>
      </w:r>
    </w:p>
    <w:p w14:paraId="1C9E6228" w14:textId="77777777" w:rsidR="001D499F" w:rsidRPr="008852EB" w:rsidRDefault="001D499F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1F9E4D81" w14:textId="7A71CBAE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bCs/>
          <w:i/>
          <w:iCs/>
          <w:color w:val="auto"/>
          <w:sz w:val="22"/>
          <w:szCs w:val="22"/>
          <w:lang w:val="hu-HU"/>
        </w:rPr>
        <w:t>Genetikai polimorfizmusok</w:t>
      </w:r>
    </w:p>
    <w:p w14:paraId="5AD99703" w14:textId="7940CE41" w:rsidR="0073068D" w:rsidRPr="008852EB" w:rsidRDefault="001D499F" w:rsidP="008852EB">
      <w:pPr>
        <w:pStyle w:val="Normal1"/>
        <w:suppressAutoHyphens w:val="0"/>
        <w:rPr>
          <w:b/>
          <w:bCs/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inhibitorok, beleértve a rozuvasztatint is, eltávolításában szerepet játszanak az OATP1B1 és a BCRP transzportfehérjék</w:t>
      </w:r>
      <w:r w:rsidR="00F30AC2">
        <w:rPr>
          <w:color w:val="auto"/>
          <w:sz w:val="22"/>
          <w:szCs w:val="22"/>
          <w:lang w:val="hu-HU"/>
        </w:rPr>
        <w:t>, melyeket a</w:t>
      </w:r>
      <w:r w:rsidR="0091709B">
        <w:rPr>
          <w:color w:val="auto"/>
          <w:sz w:val="22"/>
          <w:szCs w:val="22"/>
          <w:lang w:val="hu-HU"/>
        </w:rPr>
        <w:t>z</w:t>
      </w:r>
      <w:r w:rsidRPr="008852EB">
        <w:rPr>
          <w:color w:val="auto"/>
          <w:sz w:val="22"/>
          <w:szCs w:val="22"/>
          <w:lang w:val="hu-HU"/>
        </w:rPr>
        <w:t xml:space="preserve"> SLCO1B1 (OATP1B1) és ABCG2 (BCRP)</w:t>
      </w:r>
      <w:r w:rsidR="00F30AC2" w:rsidRPr="00BB4A0D">
        <w:rPr>
          <w:bCs/>
          <w:sz w:val="22"/>
          <w:lang w:val="hu-HU"/>
        </w:rPr>
        <w:t>gének kódolják. Ezen gének bizonyos variánsai, mint például az SLCO1B1 c.521CC és az ABCG2 c.421AA körülbelül 1,6-szor nagyobb rozuvasztatin-expozícióval (AUC), illetve 2,4-szer nagyobb expozícióval járnak az SLCO1B1 c.521TT vagy az ABCG2 c.421CC genotípusokhoz képest. Azon betegek esetében, akiknél ismertek ezek a genotípusok (SLCO1B1 c.521CC vagy ABCG2 c.421AA), alacsonyabb napi rozuvasztatin dózis ajánlott</w:t>
      </w:r>
      <w:r w:rsidRPr="008852EB">
        <w:rPr>
          <w:color w:val="auto"/>
          <w:sz w:val="22"/>
          <w:szCs w:val="22"/>
          <w:lang w:val="hu-HU"/>
        </w:rPr>
        <w:t>.</w:t>
      </w:r>
    </w:p>
    <w:p w14:paraId="0A748914" w14:textId="77777777" w:rsidR="0073068D" w:rsidRPr="008852EB" w:rsidRDefault="0073068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64AAB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5.3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preklinikai biztonságossági vizsgálatok eredményei</w:t>
      </w:r>
    </w:p>
    <w:p w14:paraId="66F67EC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E109ED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Rozuvasztatin</w:t>
      </w:r>
    </w:p>
    <w:p w14:paraId="4F7FD6E4" w14:textId="5D201842" w:rsidR="00571226" w:rsidRPr="008852EB" w:rsidRDefault="0057122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hagyományos farmakológiai biztonságossági, genotoxicitási és karcinogenitási vizsgálatokból származó nem</w:t>
      </w:r>
      <w:r w:rsidRPr="008852EB">
        <w:rPr>
          <w:color w:val="auto"/>
          <w:sz w:val="22"/>
          <w:szCs w:val="22"/>
          <w:lang w:val="hu-HU"/>
        </w:rPr>
        <w:noBreakHyphen/>
        <w:t xml:space="preserve">klinikai jellegű adatok azt igazolták, hogy a készítmény alkalmazásakor humán </w:t>
      </w:r>
      <w:r w:rsidRPr="008852EB">
        <w:rPr>
          <w:color w:val="auto"/>
          <w:sz w:val="22"/>
          <w:szCs w:val="22"/>
          <w:lang w:val="hu-HU"/>
        </w:rPr>
        <w:lastRenderedPageBreak/>
        <w:t>vonatkozásban különleges kockázat nem várható. A hERG</w:t>
      </w:r>
      <w:r w:rsidRPr="008852EB">
        <w:rPr>
          <w:color w:val="auto"/>
          <w:sz w:val="22"/>
          <w:szCs w:val="22"/>
          <w:lang w:val="hu-HU"/>
        </w:rPr>
        <w:noBreakHyphen/>
        <w:t xml:space="preserve">re </w:t>
      </w:r>
      <w:r w:rsidRPr="008852EB">
        <w:rPr>
          <w:rFonts w:eastAsia="Times New Roman"/>
          <w:color w:val="auto"/>
          <w:sz w:val="22"/>
          <w:szCs w:val="22"/>
          <w:lang w:val="hu-HU"/>
        </w:rPr>
        <w:t>(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t>human Ether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à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 Related Gene) kifejtett hatást vizsgáló specifikus teszteket nem értékelték.</w:t>
      </w:r>
      <w:r w:rsidRPr="008852EB">
        <w:rPr>
          <w:color w:val="auto"/>
          <w:sz w:val="22"/>
          <w:szCs w:val="22"/>
          <w:lang w:val="hu-HU"/>
        </w:rPr>
        <w:t xml:space="preserve"> A következő mellékhatásokat klinikai vizsgálatokban nem tapasztalták, állatkísértekben viszont igen a klinikai expozíciós szintekhez hasonló expozíciós szintek mellett: egerekben és patkányokban az ismételt dózisú toxicitási vizsgálatokban, valószínűleg a rozuvasztatin farmakológiai hatásának tulajdonítható patológiás szöveti elváltozásokat észleltek a májban, kutyákban kisebb mértékben az epehólyag érintettségét figyelték meg, majmokban azonban hasonlót nem tapasztaltak. Továbbá nagyobb dózisok mellett, majmokban és kutyákban a herékre kifejtett toxikus hatást tapasztaltak. Patkányokban a reproduktív toxicitás egyértelműen megmutatkozott az egy alomban született kölykök csökkent számában, a kisebb születési súlyokban, valamint az életképesség csökkenésében. Ezt a hatást az anyaállatra nézve toxikus dózisok mellett figyelték meg, amikor is a szisztémás expozíciók a terápiás expozíciós szintet többszörösen meghaladták.</w:t>
      </w:r>
    </w:p>
    <w:p w14:paraId="196A9700" w14:textId="41E2B22E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A5DA192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Acetilszalicilsav</w:t>
      </w:r>
    </w:p>
    <w:p w14:paraId="4E9EE084" w14:textId="39DE2AB8" w:rsidR="00721919" w:rsidRPr="008852EB" w:rsidRDefault="0072191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Az acetilszalicilsav nem klinikai biztonsági profilja jól dokumentált. Állatkísérletes vizsgálatokban a szalicilátok a vesekárosodáson kívül nem mutattak egyéb szervkárosító hatást.</w:t>
      </w:r>
      <w:r w:rsidR="00FC68F0" w:rsidRPr="008852EB">
        <w:rPr>
          <w:rFonts w:ascii="Times New Roman" w:eastAsia="Times New Roman" w:hAnsi="Times New Roman" w:cs="Times New Roman"/>
          <w:lang w:eastAsia="hu-HU"/>
        </w:rPr>
        <w:t xml:space="preserve"> </w:t>
      </w:r>
      <w:r w:rsidR="00FC68F0" w:rsidRPr="008852EB">
        <w:rPr>
          <w:rFonts w:ascii="Times New Roman" w:hAnsi="Times New Roman" w:cs="Times New Roman"/>
        </w:rPr>
        <w:t>Állatkísérletekben a szalicilátok nagy dózisú adagolása során vesekárosodást észleltek</w:t>
      </w:r>
      <w:r w:rsidR="006D68A7" w:rsidRPr="008852EB">
        <w:rPr>
          <w:rFonts w:ascii="Times New Roman" w:hAnsi="Times New Roman" w:cs="Times New Roman"/>
        </w:rPr>
        <w:t>.</w:t>
      </w:r>
    </w:p>
    <w:p w14:paraId="117ED461" w14:textId="02A35274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Az acetilszalicilsav mutagenitását és karcinogenitását széles körben vizsgálták, és mutagén vagy karcinogén hatásra utaló bizonyítékot nem találtak.</w:t>
      </w:r>
    </w:p>
    <w:p w14:paraId="30DA72BE" w14:textId="0DF11BDD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Több állatfaj esetében is megfigyelték a szalicilátok teratogén hatását</w:t>
      </w:r>
      <w:r w:rsidR="00B35B74" w:rsidRPr="008852EB">
        <w:rPr>
          <w:rFonts w:ascii="Times New Roman" w:hAnsi="Times New Roman" w:cs="Times New Roman"/>
        </w:rPr>
        <w:t xml:space="preserve"> (mint a szív és csontváz fejlődési rendellenességek</w:t>
      </w:r>
      <w:r w:rsidR="00226C0A" w:rsidRPr="008852EB">
        <w:rPr>
          <w:rFonts w:ascii="Times New Roman" w:hAnsi="Times New Roman" w:cs="Times New Roman"/>
        </w:rPr>
        <w:t>, hasfalzáródási zavarok). I</w:t>
      </w:r>
      <w:r w:rsidRPr="008852EB">
        <w:rPr>
          <w:rFonts w:ascii="Times New Roman" w:hAnsi="Times New Roman" w:cs="Times New Roman"/>
        </w:rPr>
        <w:t>mplantációs zavarok</w:t>
      </w:r>
      <w:r w:rsidR="00721919" w:rsidRPr="008852EB">
        <w:rPr>
          <w:rFonts w:ascii="Times New Roman" w:hAnsi="Times New Roman" w:cs="Times New Roman"/>
        </w:rPr>
        <w:t>at</w:t>
      </w:r>
      <w:r w:rsidRPr="008852EB">
        <w:rPr>
          <w:rFonts w:ascii="Times New Roman" w:hAnsi="Times New Roman" w:cs="Times New Roman"/>
        </w:rPr>
        <w:t>, embryotoxicus és foetotoxicus hatások</w:t>
      </w:r>
      <w:r w:rsidR="00721919" w:rsidRPr="008852EB">
        <w:rPr>
          <w:rFonts w:ascii="Times New Roman" w:hAnsi="Times New Roman" w:cs="Times New Roman"/>
        </w:rPr>
        <w:t>at</w:t>
      </w:r>
      <w:r w:rsidRPr="008852EB">
        <w:rPr>
          <w:rFonts w:ascii="Times New Roman" w:hAnsi="Times New Roman" w:cs="Times New Roman"/>
        </w:rPr>
        <w:t xml:space="preserve">, </w:t>
      </w:r>
      <w:r w:rsidR="00721919" w:rsidRPr="008852EB">
        <w:rPr>
          <w:rFonts w:ascii="Times New Roman" w:hAnsi="Times New Roman" w:cs="Times New Roman"/>
        </w:rPr>
        <w:t xml:space="preserve">valamint </w:t>
      </w:r>
      <w:r w:rsidR="00792FD9" w:rsidRPr="008852EB">
        <w:rPr>
          <w:rFonts w:ascii="Times New Roman" w:hAnsi="Times New Roman" w:cs="Times New Roman"/>
        </w:rPr>
        <w:t xml:space="preserve">prenatalis gyógyszerterápia esetén az utód </w:t>
      </w:r>
      <w:r w:rsidRPr="008852EB">
        <w:rPr>
          <w:rFonts w:ascii="Times New Roman" w:hAnsi="Times New Roman" w:cs="Times New Roman"/>
        </w:rPr>
        <w:t>tanulási képességek csökkenés</w:t>
      </w:r>
      <w:r w:rsidR="00721919" w:rsidRPr="008852EB">
        <w:rPr>
          <w:rFonts w:ascii="Times New Roman" w:hAnsi="Times New Roman" w:cs="Times New Roman"/>
        </w:rPr>
        <w:t xml:space="preserve">ét írták le a </w:t>
      </w:r>
      <w:r w:rsidR="0044734A">
        <w:rPr>
          <w:rFonts w:ascii="Times New Roman" w:hAnsi="Times New Roman" w:cs="Times New Roman"/>
        </w:rPr>
        <w:t>vem</w:t>
      </w:r>
      <w:r w:rsidR="0044734A" w:rsidRPr="008852EB">
        <w:rPr>
          <w:rFonts w:ascii="Times New Roman" w:hAnsi="Times New Roman" w:cs="Times New Roman"/>
        </w:rPr>
        <w:t xml:space="preserve">hesség </w:t>
      </w:r>
      <w:r w:rsidR="00721919" w:rsidRPr="008852EB">
        <w:rPr>
          <w:rFonts w:ascii="Times New Roman" w:hAnsi="Times New Roman" w:cs="Times New Roman"/>
        </w:rPr>
        <w:t>alatti gyógyszerterápia esetén az utódoknál</w:t>
      </w:r>
      <w:r w:rsidRPr="008852EB">
        <w:rPr>
          <w:rFonts w:ascii="Times New Roman" w:hAnsi="Times New Roman" w:cs="Times New Roman"/>
        </w:rPr>
        <w:t>.</w:t>
      </w:r>
    </w:p>
    <w:p w14:paraId="1B64327C" w14:textId="0AEAD024" w:rsidR="00AC43D2" w:rsidRPr="008852EB" w:rsidRDefault="00AC43D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8852EB">
        <w:rPr>
          <w:rFonts w:ascii="Times New Roman" w:hAnsi="Times New Roman" w:cs="Times New Roman"/>
          <w:bCs/>
          <w:color w:val="000000"/>
        </w:rPr>
        <w:t>Patkányokkal végzett vizsgálatokban foetotoxicitást és teratogén hatásokat figyeltek meg az anyára nézve toxikus dózisban adott acetilszalicilsav esetében. A klinikai relevancia nem ismert, mivel a nem</w:t>
      </w:r>
      <w:r w:rsidRPr="008852EB">
        <w:rPr>
          <w:rFonts w:ascii="Times New Roman" w:hAnsi="Times New Roman" w:cs="Times New Roman"/>
          <w:bCs/>
          <w:color w:val="000000"/>
        </w:rPr>
        <w:noBreakHyphen/>
        <w:t>klinikai vizsgálatokban alkalmazott dózisok sokkal (legalább 7</w:t>
      </w:r>
      <w:r w:rsidRPr="008852EB">
        <w:rPr>
          <w:rFonts w:ascii="Times New Roman" w:hAnsi="Times New Roman" w:cs="Times New Roman"/>
          <w:bCs/>
          <w:color w:val="000000"/>
        </w:rPr>
        <w:noBreakHyphen/>
        <w:t xml:space="preserve">szer) </w:t>
      </w:r>
      <w:r w:rsidR="0044734A">
        <w:rPr>
          <w:rFonts w:ascii="Times New Roman" w:hAnsi="Times New Roman" w:cs="Times New Roman"/>
          <w:bCs/>
          <w:color w:val="000000"/>
        </w:rPr>
        <w:t>nagyo</w:t>
      </w:r>
      <w:r w:rsidRPr="008852EB">
        <w:rPr>
          <w:rFonts w:ascii="Times New Roman" w:hAnsi="Times New Roman" w:cs="Times New Roman"/>
          <w:bCs/>
          <w:color w:val="000000"/>
        </w:rPr>
        <w:t xml:space="preserve">bbak a </w:t>
      </w:r>
      <w:r w:rsidR="002B001C">
        <w:rPr>
          <w:rFonts w:ascii="Times New Roman" w:hAnsi="Times New Roman" w:cs="Times New Roman"/>
          <w:bCs/>
          <w:color w:val="000000"/>
        </w:rPr>
        <w:t>k</w:t>
      </w:r>
      <w:r w:rsidRPr="008852EB">
        <w:rPr>
          <w:rFonts w:ascii="Times New Roman" w:hAnsi="Times New Roman" w:cs="Times New Roman"/>
          <w:bCs/>
          <w:color w:val="000000"/>
        </w:rPr>
        <w:t>ardiovas</w:t>
      </w:r>
      <w:r w:rsidR="002B001C">
        <w:rPr>
          <w:rFonts w:ascii="Times New Roman" w:hAnsi="Times New Roman" w:cs="Times New Roman"/>
          <w:bCs/>
          <w:color w:val="000000"/>
        </w:rPr>
        <w:t>zk</w:t>
      </w:r>
      <w:r w:rsidRPr="008852EB">
        <w:rPr>
          <w:rFonts w:ascii="Times New Roman" w:hAnsi="Times New Roman" w:cs="Times New Roman"/>
          <w:bCs/>
          <w:color w:val="000000"/>
        </w:rPr>
        <w:t>ul</w:t>
      </w:r>
      <w:r w:rsidR="002B001C">
        <w:rPr>
          <w:rFonts w:ascii="Times New Roman" w:hAnsi="Times New Roman" w:cs="Times New Roman"/>
          <w:bCs/>
          <w:color w:val="000000"/>
        </w:rPr>
        <w:t>á</w:t>
      </w:r>
      <w:r w:rsidRPr="008852EB">
        <w:rPr>
          <w:rFonts w:ascii="Times New Roman" w:hAnsi="Times New Roman" w:cs="Times New Roman"/>
          <w:bCs/>
          <w:color w:val="000000"/>
        </w:rPr>
        <w:t xml:space="preserve">ris indikációban ajánlott maximális </w:t>
      </w:r>
      <w:r w:rsidR="006D68A7" w:rsidRPr="008852EB">
        <w:rPr>
          <w:rFonts w:ascii="Times New Roman" w:hAnsi="Times New Roman" w:cs="Times New Roman"/>
          <w:bCs/>
          <w:color w:val="000000"/>
        </w:rPr>
        <w:t>dózis</w:t>
      </w:r>
      <w:r w:rsidRPr="008852EB">
        <w:rPr>
          <w:rFonts w:ascii="Times New Roman" w:hAnsi="Times New Roman" w:cs="Times New Roman"/>
          <w:bCs/>
          <w:color w:val="000000"/>
        </w:rPr>
        <w:t>oknál.</w:t>
      </w:r>
    </w:p>
    <w:p w14:paraId="6C3B6B46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81BFDB6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2F946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GYÓGYSZERÉSZETI JELLEMZŐK</w:t>
      </w:r>
    </w:p>
    <w:p w14:paraId="215CC5C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1C2A0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6.1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Segédanyagok felsorolása</w:t>
      </w:r>
    </w:p>
    <w:p w14:paraId="2C08CAD4" w14:textId="77777777" w:rsidR="00DB50CF" w:rsidRPr="008852EB" w:rsidRDefault="00DB50C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52CA8F4" w14:textId="5F2396A2" w:rsidR="00272CBA" w:rsidRPr="008852EB" w:rsidRDefault="006D4A9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u w:val="single"/>
        </w:rPr>
        <w:t>Rozuvasztatin</w:t>
      </w:r>
      <w:r w:rsidR="00BE57EA" w:rsidRPr="008852EB">
        <w:rPr>
          <w:rFonts w:ascii="Times New Roman" w:hAnsi="Times New Roman" w:cs="Times New Roman"/>
          <w:u w:val="single"/>
        </w:rPr>
        <w:t>t</w:t>
      </w:r>
      <w:r w:rsidRPr="008852EB">
        <w:rPr>
          <w:rFonts w:ascii="Times New Roman" w:hAnsi="Times New Roman" w:cs="Times New Roman"/>
          <w:u w:val="single"/>
        </w:rPr>
        <w:t xml:space="preserve"> tartalm</w:t>
      </w:r>
      <w:r w:rsidR="00BE57EA" w:rsidRPr="008852EB">
        <w:rPr>
          <w:rFonts w:ascii="Times New Roman" w:hAnsi="Times New Roman" w:cs="Times New Roman"/>
          <w:u w:val="single"/>
        </w:rPr>
        <w:t>azó filmtabletta:</w:t>
      </w:r>
    </w:p>
    <w:p w14:paraId="01DB2AE0" w14:textId="34FE4F32" w:rsidR="00272CBA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l</w:t>
      </w:r>
      <w:r w:rsidR="00BE57EA" w:rsidRPr="008852EB">
        <w:rPr>
          <w:rFonts w:ascii="Times New Roman" w:hAnsi="Times New Roman" w:cs="Times New Roman"/>
        </w:rPr>
        <w:t>aktóz</w:t>
      </w:r>
      <w:r w:rsidR="00BE57EA" w:rsidRPr="008852EB">
        <w:rPr>
          <w:rFonts w:ascii="Times New Roman" w:hAnsi="Times New Roman" w:cs="Times New Roman"/>
        </w:rPr>
        <w:noBreakHyphen/>
        <w:t>monohidrát</w:t>
      </w:r>
      <w:r w:rsidR="00EA2EB1" w:rsidRPr="008852EB">
        <w:rPr>
          <w:rFonts w:ascii="Times New Roman" w:hAnsi="Times New Roman" w:cs="Times New Roman"/>
        </w:rPr>
        <w:t xml:space="preserve"> (100</w:t>
      </w:r>
      <w:r w:rsidR="00DB62BE">
        <w:rPr>
          <w:rFonts w:ascii="Times New Roman" w:hAnsi="Times New Roman" w:cs="Times New Roman"/>
        </w:rPr>
        <w:t>-as</w:t>
      </w:r>
      <w:r w:rsidR="00EA2EB1" w:rsidRPr="008852EB">
        <w:rPr>
          <w:rFonts w:ascii="Times New Roman" w:hAnsi="Times New Roman" w:cs="Times New Roman"/>
        </w:rPr>
        <w:t xml:space="preserve"> típusú)</w:t>
      </w:r>
      <w:r w:rsidR="00BE57EA" w:rsidRPr="008852EB">
        <w:rPr>
          <w:rFonts w:ascii="Times New Roman" w:hAnsi="Times New Roman" w:cs="Times New Roman"/>
        </w:rPr>
        <w:t>,</w:t>
      </w:r>
    </w:p>
    <w:p w14:paraId="138591F2" w14:textId="55E66D9B" w:rsidR="00BE57EA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color w:val="000000"/>
        </w:rPr>
        <w:t>m</w:t>
      </w:r>
      <w:r w:rsidR="00EA2EB1" w:rsidRPr="008852EB">
        <w:rPr>
          <w:rFonts w:ascii="Times New Roman" w:hAnsi="Times New Roman" w:cs="Times New Roman"/>
          <w:color w:val="000000"/>
        </w:rPr>
        <w:t>ikrokristályos cellulóz</w:t>
      </w:r>
      <w:r w:rsidR="00272CBA" w:rsidRPr="008852EB">
        <w:rPr>
          <w:rFonts w:ascii="Times New Roman" w:hAnsi="Times New Roman" w:cs="Times New Roman"/>
          <w:color w:val="000000"/>
        </w:rPr>
        <w:t xml:space="preserve"> </w:t>
      </w:r>
      <w:r w:rsidR="00DF3A92" w:rsidRPr="008852EB">
        <w:rPr>
          <w:rFonts w:ascii="Times New Roman" w:hAnsi="Times New Roman" w:cs="Times New Roman"/>
        </w:rPr>
        <w:t>(102</w:t>
      </w:r>
      <w:r w:rsidR="00DB62BE">
        <w:rPr>
          <w:rFonts w:ascii="Times New Roman" w:hAnsi="Times New Roman" w:cs="Times New Roman"/>
        </w:rPr>
        <w:t>-es</w:t>
      </w:r>
      <w:r w:rsidR="00DF3A92" w:rsidRPr="008852EB">
        <w:rPr>
          <w:rFonts w:ascii="Times New Roman" w:hAnsi="Times New Roman" w:cs="Times New Roman"/>
        </w:rPr>
        <w:t xml:space="preserve"> és 112</w:t>
      </w:r>
      <w:r w:rsidR="00DB62BE">
        <w:rPr>
          <w:rFonts w:ascii="Times New Roman" w:hAnsi="Times New Roman" w:cs="Times New Roman"/>
        </w:rPr>
        <w:t>-es</w:t>
      </w:r>
      <w:r w:rsidR="00DF3A92" w:rsidRPr="008852EB">
        <w:rPr>
          <w:rFonts w:ascii="Times New Roman" w:hAnsi="Times New Roman" w:cs="Times New Roman"/>
        </w:rPr>
        <w:t xml:space="preserve"> típusú)</w:t>
      </w:r>
      <w:r w:rsidR="00792331" w:rsidRPr="008852EB">
        <w:rPr>
          <w:rFonts w:ascii="Times New Roman" w:hAnsi="Times New Roman" w:cs="Times New Roman"/>
        </w:rPr>
        <w:t>,</w:t>
      </w:r>
    </w:p>
    <w:p w14:paraId="1101D4D6" w14:textId="0407AE6D" w:rsidR="00272CBA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m</w:t>
      </w:r>
      <w:r w:rsidR="001A12D4" w:rsidRPr="008852EB">
        <w:rPr>
          <w:rFonts w:ascii="Times New Roman" w:hAnsi="Times New Roman" w:cs="Times New Roman"/>
        </w:rPr>
        <w:t>agnézium-oxid</w:t>
      </w:r>
      <w:r w:rsidR="00792331" w:rsidRPr="008852EB">
        <w:rPr>
          <w:rFonts w:ascii="Times New Roman" w:hAnsi="Times New Roman" w:cs="Times New Roman"/>
        </w:rPr>
        <w:t>,</w:t>
      </w:r>
    </w:p>
    <w:p w14:paraId="6BE55944" w14:textId="35BB3A47" w:rsidR="001A12D4" w:rsidRPr="008852EB" w:rsidRDefault="006D68A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</w:t>
      </w:r>
      <w:r w:rsidR="001A12D4" w:rsidRPr="008852EB">
        <w:rPr>
          <w:color w:val="auto"/>
          <w:sz w:val="22"/>
          <w:szCs w:val="22"/>
          <w:lang w:val="hu-HU"/>
        </w:rPr>
        <w:t>roszpovidon (A típusú)</w:t>
      </w:r>
      <w:r w:rsidR="00792331" w:rsidRPr="008852EB">
        <w:rPr>
          <w:color w:val="auto"/>
          <w:sz w:val="22"/>
          <w:szCs w:val="22"/>
          <w:lang w:val="hu-HU"/>
        </w:rPr>
        <w:t>,</w:t>
      </w:r>
    </w:p>
    <w:p w14:paraId="2E8AF61C" w14:textId="1FFCA0CB" w:rsidR="006C47C8" w:rsidRPr="008852EB" w:rsidRDefault="006D68A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v</w:t>
      </w:r>
      <w:r w:rsidR="00A34DAC" w:rsidRPr="008852EB">
        <w:rPr>
          <w:color w:val="auto"/>
          <w:sz w:val="22"/>
          <w:szCs w:val="22"/>
          <w:lang w:val="hu-HU"/>
        </w:rPr>
        <w:t>ízmentes</w:t>
      </w:r>
      <w:r w:rsidRPr="008852EB">
        <w:rPr>
          <w:color w:val="auto"/>
          <w:sz w:val="22"/>
          <w:szCs w:val="22"/>
          <w:lang w:val="hu-HU"/>
        </w:rPr>
        <w:t>,</w:t>
      </w:r>
      <w:r w:rsidR="00A34DAC" w:rsidRPr="008852EB">
        <w:rPr>
          <w:color w:val="auto"/>
          <w:sz w:val="22"/>
          <w:szCs w:val="22"/>
          <w:lang w:val="hu-HU"/>
        </w:rPr>
        <w:t xml:space="preserve"> kolloid szil</w:t>
      </w:r>
      <w:r w:rsidRPr="008852EB">
        <w:rPr>
          <w:color w:val="auto"/>
          <w:sz w:val="22"/>
          <w:szCs w:val="22"/>
          <w:lang w:val="hu-HU"/>
        </w:rPr>
        <w:t>í</w:t>
      </w:r>
      <w:r w:rsidR="00A34DAC" w:rsidRPr="008852EB">
        <w:rPr>
          <w:color w:val="auto"/>
          <w:sz w:val="22"/>
          <w:szCs w:val="22"/>
          <w:lang w:val="hu-HU"/>
        </w:rPr>
        <w:t>cium-dioxid</w:t>
      </w:r>
      <w:r w:rsidR="00792331" w:rsidRPr="008852EB">
        <w:rPr>
          <w:color w:val="auto"/>
          <w:sz w:val="22"/>
          <w:szCs w:val="22"/>
          <w:lang w:val="hu-HU"/>
        </w:rPr>
        <w:t>,</w:t>
      </w:r>
    </w:p>
    <w:p w14:paraId="0F9DDD3D" w14:textId="603D9A98" w:rsidR="009D22D9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m</w:t>
      </w:r>
      <w:r w:rsidR="006C47C8" w:rsidRPr="008852EB">
        <w:rPr>
          <w:rFonts w:ascii="Times New Roman" w:hAnsi="Times New Roman" w:cs="Times New Roman"/>
          <w:color w:val="000000"/>
        </w:rPr>
        <w:t>agnézium-sztearát</w:t>
      </w:r>
      <w:r w:rsidRPr="008852EB">
        <w:rPr>
          <w:rFonts w:ascii="Times New Roman" w:hAnsi="Times New Roman" w:cs="Times New Roman"/>
          <w:color w:val="000000"/>
        </w:rPr>
        <w:t>.</w:t>
      </w:r>
    </w:p>
    <w:p w14:paraId="64BA809F" w14:textId="08C14F90" w:rsidR="009D22D9" w:rsidRPr="009C0AA6" w:rsidRDefault="009D22D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53E5F">
        <w:rPr>
          <w:rFonts w:ascii="Times New Roman" w:hAnsi="Times New Roman" w:cs="Times New Roman"/>
          <w:color w:val="000000"/>
        </w:rPr>
        <w:t>Filmbevonat</w:t>
      </w:r>
      <w:r w:rsidR="006D68A7" w:rsidRPr="00753E5F">
        <w:rPr>
          <w:rFonts w:ascii="Times New Roman" w:hAnsi="Times New Roman" w:cs="Times New Roman"/>
          <w:color w:val="000000"/>
        </w:rPr>
        <w:t>:</w:t>
      </w:r>
      <w:r w:rsidR="00753E5F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>részlegesen hidrolizált poli(vinil-alkohol), titán-dioxid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8852EB">
        <w:rPr>
          <w:rFonts w:ascii="Times New Roman" w:hAnsi="Times New Roman" w:cs="Times New Roman"/>
          <w:color w:val="000000"/>
        </w:rPr>
        <w:t>171), talkum (E</w:t>
      </w:r>
      <w:r w:rsidR="00F774AE">
        <w:rPr>
          <w:rFonts w:ascii="Times New Roman" w:hAnsi="Times New Roman" w:cs="Times New Roman"/>
          <w:color w:val="000000"/>
        </w:rPr>
        <w:t> </w:t>
      </w:r>
      <w:r w:rsidRPr="008852EB">
        <w:rPr>
          <w:rFonts w:ascii="Times New Roman" w:hAnsi="Times New Roman" w:cs="Times New Roman"/>
          <w:color w:val="000000"/>
        </w:rPr>
        <w:t>553b)</w:t>
      </w:r>
      <w:r w:rsidRPr="009C0AA6">
        <w:rPr>
          <w:rFonts w:ascii="Times New Roman" w:hAnsi="Times New Roman" w:cs="Times New Roman"/>
          <w:color w:val="000000"/>
        </w:rPr>
        <w:t>, sárga vas-oxid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172), lecitin (szója), vörös vas-oxid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172), xantángumi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415), fekete vas</w:t>
      </w:r>
      <w:r w:rsidR="003D1C82" w:rsidRPr="009C0AA6">
        <w:rPr>
          <w:rFonts w:ascii="Times New Roman" w:hAnsi="Times New Roman" w:cs="Times New Roman"/>
          <w:color w:val="000000"/>
        </w:rPr>
        <w:t>-</w:t>
      </w:r>
      <w:r w:rsidRPr="009C0AA6">
        <w:rPr>
          <w:rFonts w:ascii="Times New Roman" w:hAnsi="Times New Roman" w:cs="Times New Roman"/>
          <w:color w:val="000000"/>
        </w:rPr>
        <w:t>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172).</w:t>
      </w:r>
    </w:p>
    <w:p w14:paraId="01618BA1" w14:textId="063CB255" w:rsidR="006D4A97" w:rsidRPr="008852EB" w:rsidRDefault="006D4A97" w:rsidP="008852EB">
      <w:pPr>
        <w:pStyle w:val="Szvegtrzs1"/>
        <w:spacing w:after="0"/>
      </w:pPr>
    </w:p>
    <w:p w14:paraId="573A944A" w14:textId="7A2B6FAB" w:rsidR="00494789" w:rsidRPr="008852EB" w:rsidRDefault="00515888" w:rsidP="008852EB">
      <w:pPr>
        <w:pStyle w:val="Szvegtrzs1"/>
        <w:spacing w:after="0"/>
        <w:rPr>
          <w:u w:val="single"/>
        </w:rPr>
      </w:pPr>
      <w:r w:rsidRPr="008852EB">
        <w:rPr>
          <w:u w:val="single"/>
        </w:rPr>
        <w:t>Acetilszalicilsavat tartalmazó tabletta:</w:t>
      </w:r>
    </w:p>
    <w:p w14:paraId="27989CA1" w14:textId="60FA4BEE" w:rsidR="004F5EBB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color w:val="000000"/>
        </w:rPr>
        <w:t>m</w:t>
      </w:r>
      <w:r w:rsidR="004F5EBB" w:rsidRPr="008852EB">
        <w:rPr>
          <w:rFonts w:ascii="Times New Roman" w:hAnsi="Times New Roman" w:cs="Times New Roman"/>
          <w:color w:val="000000"/>
        </w:rPr>
        <w:t xml:space="preserve">ikrokristályos cellulóz </w:t>
      </w:r>
      <w:r w:rsidR="004F5EBB" w:rsidRPr="008852EB">
        <w:rPr>
          <w:rFonts w:ascii="Times New Roman" w:hAnsi="Times New Roman" w:cs="Times New Roman"/>
        </w:rPr>
        <w:t>(102</w:t>
      </w:r>
      <w:r w:rsidR="00DB62BE">
        <w:rPr>
          <w:rFonts w:ascii="Times New Roman" w:hAnsi="Times New Roman" w:cs="Times New Roman"/>
        </w:rPr>
        <w:t>-es</w:t>
      </w:r>
      <w:r w:rsidR="004F5EBB" w:rsidRPr="008852EB">
        <w:rPr>
          <w:rFonts w:ascii="Times New Roman" w:hAnsi="Times New Roman" w:cs="Times New Roman"/>
        </w:rPr>
        <w:t xml:space="preserve"> típusú)</w:t>
      </w:r>
      <w:r w:rsidR="00D07BB8" w:rsidRPr="008852EB">
        <w:rPr>
          <w:rFonts w:ascii="Times New Roman" w:hAnsi="Times New Roman" w:cs="Times New Roman"/>
        </w:rPr>
        <w:t>,</w:t>
      </w:r>
    </w:p>
    <w:p w14:paraId="0E21224A" w14:textId="5EC0F23C" w:rsidR="00792331" w:rsidRPr="008852EB" w:rsidRDefault="006D68A7" w:rsidP="008852EB">
      <w:pPr>
        <w:pStyle w:val="Szvegtrzs1"/>
        <w:spacing w:after="0"/>
      </w:pPr>
      <w:r w:rsidRPr="008852EB">
        <w:t>k</w:t>
      </w:r>
      <w:r w:rsidR="00792331" w:rsidRPr="008852EB">
        <w:t>ukoricakeményítő,</w:t>
      </w:r>
    </w:p>
    <w:p w14:paraId="2F6345A6" w14:textId="4663DEE8" w:rsidR="00617D5A" w:rsidRPr="008852EB" w:rsidRDefault="006D68A7" w:rsidP="008852EB">
      <w:pPr>
        <w:pStyle w:val="Szvegtrzs1"/>
        <w:spacing w:after="0"/>
      </w:pPr>
      <w:r w:rsidRPr="008852EB">
        <w:t>v</w:t>
      </w:r>
      <w:r w:rsidR="00792331" w:rsidRPr="008852EB">
        <w:t>ízmentes</w:t>
      </w:r>
      <w:r w:rsidR="00870FF9" w:rsidRPr="008852EB">
        <w:t>,</w:t>
      </w:r>
      <w:r w:rsidR="00792331" w:rsidRPr="008852EB">
        <w:t xml:space="preserve"> kolloid </w:t>
      </w:r>
      <w:r w:rsidR="00870FF9" w:rsidRPr="008852EB">
        <w:t>szilícium-dioxid</w:t>
      </w:r>
      <w:r w:rsidR="00792331" w:rsidRPr="008852EB">
        <w:t xml:space="preserve">, </w:t>
      </w:r>
    </w:p>
    <w:p w14:paraId="37203AEE" w14:textId="389D3172" w:rsidR="00515888" w:rsidRPr="008852EB" w:rsidRDefault="006D68A7" w:rsidP="008852EB">
      <w:pPr>
        <w:pStyle w:val="Szvegtrzs1"/>
        <w:spacing w:after="0"/>
        <w:rPr>
          <w:highlight w:val="yellow"/>
        </w:rPr>
      </w:pPr>
      <w:r w:rsidRPr="008852EB">
        <w:t>s</w:t>
      </w:r>
      <w:r w:rsidR="00792331" w:rsidRPr="008852EB">
        <w:t>ztearinsav (50</w:t>
      </w:r>
      <w:r w:rsidR="00DB62BE">
        <w:t>-es</w:t>
      </w:r>
      <w:r w:rsidR="00792331" w:rsidRPr="008852EB">
        <w:t xml:space="preserve"> típus</w:t>
      </w:r>
      <w:r w:rsidR="00617D5A" w:rsidRPr="008852EB">
        <w:t>ú</w:t>
      </w:r>
      <w:r w:rsidR="00792331" w:rsidRPr="008852EB">
        <w:t>).</w:t>
      </w:r>
    </w:p>
    <w:p w14:paraId="2849F40E" w14:textId="3AA82B2B" w:rsidR="00494789" w:rsidRPr="008852EB" w:rsidRDefault="00494789" w:rsidP="008852EB">
      <w:pPr>
        <w:pStyle w:val="Szvegtrzs1"/>
        <w:spacing w:after="0"/>
        <w:rPr>
          <w:highlight w:val="yellow"/>
        </w:rPr>
      </w:pPr>
    </w:p>
    <w:p w14:paraId="0C2AFA26" w14:textId="77777777" w:rsidR="00FB741D" w:rsidRPr="008852EB" w:rsidRDefault="0090483E" w:rsidP="008852EB">
      <w:pPr>
        <w:pStyle w:val="Szvegtrzs1"/>
        <w:spacing w:after="0"/>
        <w:rPr>
          <w:u w:val="single"/>
        </w:rPr>
      </w:pPr>
      <w:r w:rsidRPr="008852EB">
        <w:rPr>
          <w:u w:val="single"/>
        </w:rPr>
        <w:t>Kapszulahéj:</w:t>
      </w:r>
    </w:p>
    <w:p w14:paraId="373E288E" w14:textId="017EA255" w:rsidR="00FB741D" w:rsidRPr="008852EB" w:rsidRDefault="006D68A7" w:rsidP="008852EB">
      <w:pPr>
        <w:pStyle w:val="Szvegtrzs1"/>
        <w:spacing w:after="0"/>
      </w:pPr>
      <w:r w:rsidRPr="008852EB">
        <w:t>z</w:t>
      </w:r>
      <w:r w:rsidR="00FB741D" w:rsidRPr="008852EB">
        <w:t>selatin,</w:t>
      </w:r>
    </w:p>
    <w:p w14:paraId="2A113268" w14:textId="50013205" w:rsidR="00FB741D" w:rsidRPr="008852EB" w:rsidRDefault="006D68A7" w:rsidP="008852EB">
      <w:pPr>
        <w:pStyle w:val="Szvegtrzs1"/>
        <w:spacing w:after="0"/>
      </w:pPr>
      <w:r w:rsidRPr="008852EB">
        <w:t>t</w:t>
      </w:r>
      <w:r w:rsidR="00FB741D" w:rsidRPr="008852EB">
        <w:t>itán-dioxid (E</w:t>
      </w:r>
      <w:r w:rsidR="00F774AE">
        <w:t> </w:t>
      </w:r>
      <w:r w:rsidR="00FB741D" w:rsidRPr="008852EB">
        <w:t>171),</w:t>
      </w:r>
    </w:p>
    <w:p w14:paraId="4145A805" w14:textId="6757A82E" w:rsidR="00FB741D" w:rsidRPr="008852EB" w:rsidRDefault="006D68A7" w:rsidP="008852EB">
      <w:pPr>
        <w:pStyle w:val="Szvegtrzs1"/>
        <w:spacing w:after="0"/>
      </w:pPr>
      <w:r w:rsidRPr="008852EB">
        <w:t>i</w:t>
      </w:r>
      <w:r w:rsidR="00FB741D" w:rsidRPr="008852EB">
        <w:t>ndigotin</w:t>
      </w:r>
      <w:r w:rsidR="00870FF9" w:rsidRPr="008852EB">
        <w:t xml:space="preserve"> </w:t>
      </w:r>
      <w:r w:rsidR="00FB741D" w:rsidRPr="008852EB">
        <w:t>(E</w:t>
      </w:r>
      <w:r w:rsidR="00F774AE">
        <w:t> </w:t>
      </w:r>
      <w:r w:rsidR="00FB741D" w:rsidRPr="008852EB">
        <w:t>132),</w:t>
      </w:r>
    </w:p>
    <w:p w14:paraId="21745A16" w14:textId="21359D12" w:rsidR="00FB741D" w:rsidRPr="00753E5F" w:rsidRDefault="006D68A7" w:rsidP="008852EB">
      <w:pPr>
        <w:pStyle w:val="Szvegtrzs1"/>
        <w:spacing w:after="0"/>
      </w:pPr>
      <w:r w:rsidRPr="00753E5F">
        <w:t>s</w:t>
      </w:r>
      <w:r w:rsidR="00FB741D" w:rsidRPr="00753E5F">
        <w:t>árga vas-oxid (E</w:t>
      </w:r>
      <w:r w:rsidR="00F774AE">
        <w:t> </w:t>
      </w:r>
      <w:r w:rsidR="00FB741D" w:rsidRPr="00753E5F">
        <w:t>172).</w:t>
      </w:r>
    </w:p>
    <w:p w14:paraId="7DA5FCCE" w14:textId="77777777" w:rsidR="00FB741D" w:rsidRPr="008852EB" w:rsidRDefault="00FB741D" w:rsidP="008852EB">
      <w:pPr>
        <w:pStyle w:val="Szvegtrzs1"/>
        <w:spacing w:after="0"/>
      </w:pPr>
    </w:p>
    <w:p w14:paraId="6456EC67" w14:textId="078AEDC2" w:rsidR="005D7AD6" w:rsidRPr="008852EB" w:rsidRDefault="00CB4515" w:rsidP="008852EB">
      <w:pPr>
        <w:pStyle w:val="Szvegtrzs1"/>
        <w:spacing w:after="0"/>
      </w:pPr>
      <w:r>
        <w:rPr>
          <w:u w:val="single"/>
        </w:rPr>
        <w:t>Jelölőfesték</w:t>
      </w:r>
      <w:r w:rsidR="00FB741D" w:rsidRPr="008852EB">
        <w:rPr>
          <w:u w:val="single"/>
        </w:rPr>
        <w:t>:</w:t>
      </w:r>
    </w:p>
    <w:p w14:paraId="65B9CCD2" w14:textId="6DEBFC08" w:rsidR="00B52721" w:rsidRPr="00CB4515" w:rsidRDefault="006D68A7" w:rsidP="008852EB">
      <w:pPr>
        <w:pStyle w:val="Szvegtrzs1"/>
        <w:spacing w:after="0"/>
      </w:pPr>
      <w:r w:rsidRPr="00CB4515">
        <w:t>s</w:t>
      </w:r>
      <w:r w:rsidR="00FB741D" w:rsidRPr="00CB4515">
        <w:t>ellak (E</w:t>
      </w:r>
      <w:r w:rsidR="00F774AE">
        <w:t> </w:t>
      </w:r>
      <w:r w:rsidR="00FB741D" w:rsidRPr="00CB4515">
        <w:t>904),</w:t>
      </w:r>
    </w:p>
    <w:p w14:paraId="01CB4FC1" w14:textId="73E423E5" w:rsidR="00B52721" w:rsidRPr="00CB4515" w:rsidRDefault="00F44004" w:rsidP="008852EB">
      <w:pPr>
        <w:pStyle w:val="Szvegtrzs1"/>
        <w:spacing w:after="0"/>
      </w:pPr>
      <w:r w:rsidRPr="00CB4515">
        <w:lastRenderedPageBreak/>
        <w:t>p</w:t>
      </w:r>
      <w:r w:rsidR="00FB741D" w:rsidRPr="00CB4515">
        <w:t>ropilénglikol (E</w:t>
      </w:r>
      <w:r w:rsidR="00F774AE">
        <w:t> </w:t>
      </w:r>
      <w:r w:rsidR="00FB741D" w:rsidRPr="00CB4515">
        <w:t>1520)</w:t>
      </w:r>
      <w:r w:rsidR="00CB4515">
        <w:t>,</w:t>
      </w:r>
    </w:p>
    <w:p w14:paraId="7958FE8A" w14:textId="3BF72D04" w:rsidR="00B52721" w:rsidRPr="00CB4515" w:rsidRDefault="00870FF9" w:rsidP="008852EB">
      <w:pPr>
        <w:pStyle w:val="Szvegtrzs1"/>
        <w:spacing w:after="0"/>
      </w:pPr>
      <w:r w:rsidRPr="00CB4515">
        <w:t>tömény</w:t>
      </w:r>
      <w:r w:rsidR="00FB741D" w:rsidRPr="00CB4515">
        <w:t xml:space="preserve"> ammónia</w:t>
      </w:r>
      <w:r w:rsidRPr="00CB4515">
        <w:t>-</w:t>
      </w:r>
      <w:r w:rsidR="00FB741D" w:rsidRPr="00CB4515">
        <w:t>oldat (E</w:t>
      </w:r>
      <w:r w:rsidR="00F774AE">
        <w:t> </w:t>
      </w:r>
      <w:r w:rsidR="00FB741D" w:rsidRPr="00CB4515">
        <w:t>527),</w:t>
      </w:r>
    </w:p>
    <w:p w14:paraId="1630F604" w14:textId="7C366476" w:rsidR="00B52721" w:rsidRPr="00CB4515" w:rsidRDefault="006D68A7" w:rsidP="008852EB">
      <w:pPr>
        <w:pStyle w:val="Szvegtrzs1"/>
        <w:spacing w:after="0"/>
      </w:pPr>
      <w:r w:rsidRPr="00CB4515">
        <w:t>f</w:t>
      </w:r>
      <w:r w:rsidR="00FB741D" w:rsidRPr="00CB4515">
        <w:t>ekete vas-oxid (E</w:t>
      </w:r>
      <w:r w:rsidR="00F774AE">
        <w:t> </w:t>
      </w:r>
      <w:r w:rsidR="00FB741D" w:rsidRPr="00CB4515">
        <w:t>172),</w:t>
      </w:r>
    </w:p>
    <w:p w14:paraId="210316A8" w14:textId="44C50292" w:rsidR="00FB741D" w:rsidRPr="00D96B72" w:rsidRDefault="006D68A7" w:rsidP="008852EB">
      <w:pPr>
        <w:pStyle w:val="Szvegtrzs1"/>
        <w:spacing w:after="0"/>
      </w:pPr>
      <w:r w:rsidRPr="00CB4515">
        <w:t>k</w:t>
      </w:r>
      <w:r w:rsidR="00FB741D" w:rsidRPr="00CB4515">
        <w:t>álium-hidroxid (E</w:t>
      </w:r>
      <w:r w:rsidR="00F774AE">
        <w:t> </w:t>
      </w:r>
      <w:r w:rsidR="00FB741D" w:rsidRPr="00CB4515">
        <w:t>525).</w:t>
      </w:r>
    </w:p>
    <w:p w14:paraId="522C60D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B8B69F4" w14:textId="77777777" w:rsidR="00755989" w:rsidRPr="008852EB" w:rsidRDefault="00755989" w:rsidP="00A12781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6.2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Inkompatibilitások</w:t>
      </w:r>
    </w:p>
    <w:p w14:paraId="7E6C6D4F" w14:textId="77777777" w:rsidR="00755989" w:rsidRPr="008852EB" w:rsidRDefault="00755989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0AA6E55" w14:textId="77777777" w:rsidR="00755989" w:rsidRPr="008852EB" w:rsidRDefault="00755989" w:rsidP="00BB4A0D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Nem értelmezhető.</w:t>
      </w:r>
    </w:p>
    <w:p w14:paraId="4557657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4DC044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6.3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Felhasználhatósági időtartam</w:t>
      </w:r>
    </w:p>
    <w:p w14:paraId="479D22A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24690F1" w14:textId="24776574" w:rsidR="00755989" w:rsidRPr="008852EB" w:rsidRDefault="00383CC1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3</w:t>
      </w:r>
      <w:r w:rsidR="00DF4118" w:rsidRPr="008852EB">
        <w:rPr>
          <w:rFonts w:ascii="Times New Roman" w:hAnsi="Times New Roman" w:cs="Times New Roman"/>
          <w:color w:val="000000"/>
        </w:rPr>
        <w:t> </w:t>
      </w:r>
      <w:r w:rsidRPr="008852EB">
        <w:rPr>
          <w:rFonts w:ascii="Times New Roman" w:hAnsi="Times New Roman" w:cs="Times New Roman"/>
          <w:color w:val="000000"/>
        </w:rPr>
        <w:t>év</w:t>
      </w:r>
    </w:p>
    <w:p w14:paraId="18336391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67F687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6.4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Különleges tárolási előírások</w:t>
      </w:r>
    </w:p>
    <w:p w14:paraId="60D6D52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236F69F" w14:textId="6D5A1D8C" w:rsidR="00792DA1" w:rsidRPr="008852EB" w:rsidRDefault="0044050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Legfeljebb </w:t>
      </w:r>
      <w:r w:rsidR="001D581E">
        <w:rPr>
          <w:rFonts w:ascii="Times New Roman" w:hAnsi="Times New Roman" w:cs="Times New Roman"/>
          <w:color w:val="000000"/>
        </w:rPr>
        <w:t>25</w:t>
      </w:r>
      <w:r w:rsidR="009E0C2B" w:rsidRPr="008852EB">
        <w:rPr>
          <w:rFonts w:ascii="Times New Roman" w:hAnsi="Times New Roman" w:cs="Times New Roman"/>
          <w:color w:val="000000"/>
        </w:rPr>
        <w:t> </w:t>
      </w:r>
      <w:r w:rsidR="00792DA1" w:rsidRPr="008852EB">
        <w:rPr>
          <w:rFonts w:ascii="Times New Roman" w:hAnsi="Times New Roman" w:cs="Times New Roman"/>
          <w:color w:val="000000"/>
        </w:rPr>
        <w:t>°C</w:t>
      </w:r>
      <w:r w:rsidRPr="008852EB">
        <w:rPr>
          <w:rFonts w:ascii="Times New Roman" w:hAnsi="Times New Roman" w:cs="Times New Roman"/>
          <w:color w:val="000000"/>
        </w:rPr>
        <w:t xml:space="preserve">-on </w:t>
      </w:r>
      <w:r w:rsidR="00792DA1" w:rsidRPr="008852EB">
        <w:rPr>
          <w:rFonts w:ascii="Times New Roman" w:hAnsi="Times New Roman" w:cs="Times New Roman"/>
          <w:color w:val="000000"/>
        </w:rPr>
        <w:t>tárolandó.</w:t>
      </w:r>
    </w:p>
    <w:p w14:paraId="2CBBF6B0" w14:textId="0EB99FDF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A nedvességtől való védelem érdekében az eredeti csomagolásban tárolandó.</w:t>
      </w:r>
    </w:p>
    <w:p w14:paraId="08AABDF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479FD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6.5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Csomagolás típusa és kiszerelése</w:t>
      </w:r>
    </w:p>
    <w:p w14:paraId="6BCC3B3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7D5178A" w14:textId="680C3A4E" w:rsidR="005B0F77" w:rsidRPr="008852EB" w:rsidRDefault="004F17A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30 kapszula</w:t>
      </w:r>
      <w:r w:rsidR="00D67DA8" w:rsidRPr="008852EB">
        <w:rPr>
          <w:rFonts w:ascii="Times New Roman" w:hAnsi="Times New Roman" w:cs="Times New Roman"/>
          <w:color w:val="000000"/>
        </w:rPr>
        <w:t xml:space="preserve"> </w:t>
      </w:r>
      <w:r w:rsidR="00DB62BE">
        <w:rPr>
          <w:rFonts w:ascii="Times New Roman" w:hAnsi="Times New Roman" w:cs="Times New Roman"/>
          <w:color w:val="000000"/>
        </w:rPr>
        <w:t>O</w:t>
      </w:r>
      <w:r w:rsidR="00E64791" w:rsidRPr="008852EB">
        <w:rPr>
          <w:rFonts w:ascii="Times New Roman" w:hAnsi="Times New Roman" w:cs="Times New Roman"/>
          <w:color w:val="000000"/>
        </w:rPr>
        <w:t xml:space="preserve">PA/Al/PVC//Al </w:t>
      </w:r>
      <w:r w:rsidR="005B0F77" w:rsidRPr="008852EB">
        <w:rPr>
          <w:rFonts w:ascii="Times New Roman" w:hAnsi="Times New Roman" w:cs="Times New Roman"/>
          <w:color w:val="000000"/>
        </w:rPr>
        <w:t>buborékcsomagolásban és dobozban</w:t>
      </w:r>
      <w:r w:rsidR="00712855" w:rsidRPr="008852EB">
        <w:rPr>
          <w:rFonts w:ascii="Times New Roman" w:hAnsi="Times New Roman" w:cs="Times New Roman"/>
          <w:color w:val="000000"/>
        </w:rPr>
        <w:t>.</w:t>
      </w:r>
    </w:p>
    <w:p w14:paraId="147CE08B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BEDE16" w14:textId="5D768DD9" w:rsidR="00755989" w:rsidRPr="008852EB" w:rsidRDefault="00755989" w:rsidP="002B001C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6.6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megsemmisítésre vonatkozó különleges óvintézkedések</w:t>
      </w:r>
      <w:r w:rsidR="009E0C2B" w:rsidRPr="008852EB">
        <w:rPr>
          <w:rFonts w:ascii="Times New Roman" w:hAnsi="Times New Roman" w:cs="Times New Roman"/>
          <w:b/>
          <w:bCs/>
          <w:color w:val="000000"/>
        </w:rPr>
        <w:t xml:space="preserve"> és egyéb, a készítmény kezelésére vonatkozó információk</w:t>
      </w:r>
    </w:p>
    <w:p w14:paraId="565A9E3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35D34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Bármilyen fel nem használt gyógyszer, illetve hulladékanyag megsemmisítését a gyógyszerekre vonatkozó előírások szerint kell végrehajtani.</w:t>
      </w:r>
    </w:p>
    <w:p w14:paraId="40F712E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19BEB2C" w14:textId="07EA2A87" w:rsidR="00755989" w:rsidRPr="008852EB" w:rsidRDefault="00755989" w:rsidP="008852EB">
      <w:pPr>
        <w:widowControl w:val="0"/>
        <w:spacing w:after="0" w:line="240" w:lineRule="auto"/>
        <w:ind w:left="1"/>
        <w:rPr>
          <w:rFonts w:ascii="Times New Roman" w:hAnsi="Times New Roman" w:cs="Times New Roman"/>
          <w:lang w:eastAsia="ar-SA"/>
        </w:rPr>
      </w:pPr>
      <w:r w:rsidRPr="008852EB">
        <w:rPr>
          <w:rFonts w:ascii="Times New Roman" w:hAnsi="Times New Roman" w:cs="Times New Roman"/>
          <w:b/>
          <w:lang w:eastAsia="ar-SA"/>
        </w:rPr>
        <w:t>Megjegyzés:</w:t>
      </w:r>
      <w:r w:rsidRPr="008852EB">
        <w:rPr>
          <w:rFonts w:ascii="Times New Roman" w:hAnsi="Times New Roman" w:cs="Times New Roman"/>
          <w:lang w:eastAsia="ar-SA"/>
        </w:rPr>
        <w:t xml:space="preserve"> </w:t>
      </w:r>
      <w:r w:rsidR="0048586A" w:rsidRPr="008852EB">
        <w:rPr>
          <w:rFonts w:ascii="Times New Roman" w:hAnsi="Times New Roman" w:cs="Times New Roman"/>
          <w:b/>
        </w:rPr>
        <w:sym w:font="Wingdings" w:char="F058"/>
      </w:r>
      <w:r w:rsidR="0048586A" w:rsidRPr="008852EB">
        <w:rPr>
          <w:rFonts w:ascii="Times New Roman" w:hAnsi="Times New Roman" w:cs="Times New Roman"/>
        </w:rPr>
        <w:t xml:space="preserve"> </w:t>
      </w:r>
      <w:r w:rsidRPr="008852EB">
        <w:rPr>
          <w:rFonts w:ascii="Times New Roman" w:hAnsi="Times New Roman" w:cs="Times New Roman"/>
          <w:lang w:eastAsia="ar-SA"/>
        </w:rPr>
        <w:t>(egy keresztes)</w:t>
      </w:r>
    </w:p>
    <w:p w14:paraId="3599E1FC" w14:textId="09FD9DE5" w:rsidR="00755989" w:rsidRPr="008852EB" w:rsidRDefault="00755989" w:rsidP="008852EB">
      <w:pPr>
        <w:widowControl w:val="0"/>
        <w:spacing w:after="0" w:line="240" w:lineRule="auto"/>
        <w:ind w:left="1"/>
        <w:rPr>
          <w:rFonts w:ascii="Times New Roman" w:hAnsi="Times New Roman" w:cs="Times New Roman"/>
          <w:b/>
          <w:lang w:eastAsia="ar-SA"/>
        </w:rPr>
      </w:pPr>
      <w:r w:rsidRPr="008852EB">
        <w:rPr>
          <w:rFonts w:ascii="Times New Roman" w:hAnsi="Times New Roman" w:cs="Times New Roman"/>
          <w:lang w:eastAsia="ar-SA"/>
        </w:rPr>
        <w:t xml:space="preserve">Osztályozás: </w:t>
      </w:r>
      <w:r w:rsidRPr="008852EB">
        <w:rPr>
          <w:rFonts w:ascii="Times New Roman" w:hAnsi="Times New Roman" w:cs="Times New Roman"/>
          <w:b/>
          <w:lang w:eastAsia="ar-SA"/>
        </w:rPr>
        <w:t>II. csoport</w:t>
      </w:r>
    </w:p>
    <w:p w14:paraId="6B7F42B5" w14:textId="619F0C2B" w:rsidR="00755989" w:rsidRPr="008852EB" w:rsidRDefault="00755989" w:rsidP="008852EB">
      <w:pPr>
        <w:widowControl w:val="0"/>
        <w:spacing w:after="0" w:line="240" w:lineRule="auto"/>
        <w:ind w:left="1"/>
        <w:rPr>
          <w:rFonts w:ascii="Times New Roman" w:hAnsi="Times New Roman" w:cs="Times New Roman"/>
          <w:lang w:eastAsia="ar-SA"/>
        </w:rPr>
      </w:pPr>
      <w:r w:rsidRPr="008852EB">
        <w:rPr>
          <w:rFonts w:ascii="Times New Roman" w:hAnsi="Times New Roman" w:cs="Times New Roman"/>
          <w:lang w:eastAsia="ar-SA"/>
        </w:rPr>
        <w:t>Kizárólag orvosi rendelvényhez kötött gyógyszer (V).</w:t>
      </w:r>
    </w:p>
    <w:p w14:paraId="0C2F0282" w14:textId="2DA2AD62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27FE64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B3173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7.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FORGALOMBA HOZATALI ENGEDÉLY JOGOSULTJA</w:t>
      </w:r>
    </w:p>
    <w:p w14:paraId="148DE9B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34B77A2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Richter Gedeon Nyrt.</w:t>
      </w:r>
    </w:p>
    <w:p w14:paraId="21394224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H-1103 Budapest</w:t>
      </w:r>
    </w:p>
    <w:p w14:paraId="2CAB3313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Gyömrői út 19-21.</w:t>
      </w:r>
    </w:p>
    <w:p w14:paraId="3ED32B21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Magyarország</w:t>
      </w:r>
    </w:p>
    <w:p w14:paraId="462A78E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66D805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1E2B4C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8.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FORGALOMBA HOZATALI ENGEDÉLY SZÁMA(I)</w:t>
      </w:r>
    </w:p>
    <w:p w14:paraId="413DD7D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A1AA207" w14:textId="76A47F7D" w:rsidR="00BF066B" w:rsidRPr="00BF066B" w:rsidRDefault="00BF066B" w:rsidP="00BF066B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XeterDuo 10 </w:t>
      </w:r>
      <w:r w:rsidRPr="00BF066B">
        <w:rPr>
          <w:rFonts w:ascii="Times New Roman" w:hAnsi="Times New Roman" w:cs="Times New Roman"/>
          <w:u w:val="single"/>
        </w:rPr>
        <w:t>mg/100</w:t>
      </w:r>
      <w:r>
        <w:rPr>
          <w:rFonts w:ascii="Times New Roman" w:hAnsi="Times New Roman" w:cs="Times New Roman"/>
          <w:u w:val="single"/>
        </w:rPr>
        <w:t>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19F5F95C" w14:textId="42CDEA5F" w:rsidR="00BF066B" w:rsidRPr="00BF066B" w:rsidRDefault="00BF066B" w:rsidP="00BF06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666127F9" w14:textId="31F166E7" w:rsidR="00755989" w:rsidRPr="00BF066B" w:rsidRDefault="00755989" w:rsidP="00BF06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057A25" w14:textId="0DB138EA" w:rsidR="00BF066B" w:rsidRPr="00BF066B" w:rsidRDefault="00BF066B" w:rsidP="00BF06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BF066B">
        <w:rPr>
          <w:rFonts w:ascii="Times New Roman" w:hAnsi="Times New Roman" w:cs="Times New Roman"/>
          <w:u w:val="single"/>
        </w:rPr>
        <w:t>XeterDuo 20</w:t>
      </w:r>
      <w:r>
        <w:rPr>
          <w:rFonts w:ascii="Times New Roman" w:hAnsi="Times New Roman" w:cs="Times New Roman"/>
          <w:u w:val="single"/>
        </w:rPr>
        <w:t> mg/100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126B0626" w14:textId="674BE828" w:rsidR="00BF066B" w:rsidRPr="00BF066B" w:rsidRDefault="00BF066B" w:rsidP="00BF06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018999D3" w14:textId="77777777" w:rsidR="00BF066B" w:rsidRPr="008852EB" w:rsidRDefault="00BF066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84763A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5C7FD7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9.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FORGALOMBA HOZATALI ENGEDÉLY ELSŐ KIADÁSÁNAK/ MEGÚJÍTÁSÁNAK DÁTUMA</w:t>
      </w:r>
    </w:p>
    <w:p w14:paraId="04530C8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040C98" w14:textId="515797C1" w:rsidR="00755989" w:rsidRPr="008852EB" w:rsidRDefault="00DE4E1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forgalomba hozatali engedély első kiadásának dátuma:</w:t>
      </w:r>
      <w:r w:rsidR="00952FCB" w:rsidRPr="008852EB">
        <w:rPr>
          <w:rFonts w:ascii="Times New Roman" w:hAnsi="Times New Roman" w:cs="Times New Roman"/>
        </w:rPr>
        <w:t xml:space="preserve"> </w:t>
      </w:r>
      <w:r w:rsidR="00BF066B">
        <w:rPr>
          <w:rFonts w:ascii="Times New Roman" w:hAnsi="Times New Roman" w:cs="Times New Roman"/>
        </w:rPr>
        <w:t>2022. november 18.</w:t>
      </w:r>
    </w:p>
    <w:p w14:paraId="3BE69259" w14:textId="77777777" w:rsidR="00DE4E16" w:rsidRPr="008852EB" w:rsidRDefault="00DE4E1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63EA6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02445D3" w14:textId="77777777" w:rsidR="00755989" w:rsidRPr="008852EB" w:rsidRDefault="00755989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lastRenderedPageBreak/>
        <w:t>10.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SZÖVEG ELLENŐRZÉSÉNEK DÁTUMA</w:t>
      </w:r>
    </w:p>
    <w:p w14:paraId="1A978E24" w14:textId="77777777" w:rsidR="00755989" w:rsidRPr="008852EB" w:rsidRDefault="00755989" w:rsidP="00B36C6C">
      <w:pPr>
        <w:keepNext/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5E2C7A2" w14:textId="79A10011" w:rsidR="00CD694C" w:rsidRPr="008852EB" w:rsidRDefault="00DD5F01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2026. </w:t>
      </w:r>
      <w:r w:rsidR="00771613">
        <w:rPr>
          <w:rFonts w:ascii="Times New Roman" w:hAnsi="Times New Roman" w:cs="Times New Roman"/>
        </w:rPr>
        <w:t>szeptember 13</w:t>
      </w:r>
      <w:r>
        <w:rPr>
          <w:rFonts w:ascii="Times New Roman" w:hAnsi="Times New Roman" w:cs="Times New Roman"/>
        </w:rPr>
        <w:t>.</w:t>
      </w:r>
    </w:p>
    <w:sectPr w:rsidR="00CD694C" w:rsidRPr="008852EB" w:rsidSect="00D27A04">
      <w:headerReference w:type="default" r:id="rId12"/>
      <w:footerReference w:type="first" r:id="rId13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D1F0A" w14:textId="77777777" w:rsidR="00A209E4" w:rsidRDefault="00A209E4">
      <w:pPr>
        <w:spacing w:after="0" w:line="240" w:lineRule="auto"/>
      </w:pPr>
      <w:r>
        <w:separator/>
      </w:r>
    </w:p>
  </w:endnote>
  <w:endnote w:type="continuationSeparator" w:id="0">
    <w:p w14:paraId="4DA17440" w14:textId="77777777" w:rsidR="00A209E4" w:rsidRDefault="00A2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E9F7B" w14:textId="77777777" w:rsidR="00A209E4" w:rsidRDefault="00A209E4">
    <w:pPr>
      <w:pStyle w:val="llb"/>
      <w:rPr>
        <w:rFonts w:ascii="Times New Roman" w:hAnsi="Times New Roman" w:cs="Times New Roman"/>
        <w:sz w:val="18"/>
        <w:szCs w:val="18"/>
      </w:rPr>
    </w:pPr>
    <w:r w:rsidRPr="00A209E4">
      <w:rPr>
        <w:rFonts w:ascii="Times New Roman" w:hAnsi="Times New Roman" w:cs="Times New Roman"/>
        <w:sz w:val="18"/>
        <w:szCs w:val="18"/>
      </w:rPr>
      <w:t>NNGYK/ETGY/20120/2026</w:t>
    </w:r>
  </w:p>
  <w:p w14:paraId="69929987" w14:textId="6538E16A" w:rsidR="00A209E4" w:rsidRPr="00B2366F" w:rsidRDefault="00A209E4" w:rsidP="00A209E4">
    <w:pPr>
      <w:pStyle w:val="llb"/>
      <w:rPr>
        <w:rFonts w:ascii="Times New Roman" w:hAnsi="Times New Roman" w:cs="Times New Roman"/>
        <w:sz w:val="18"/>
        <w:szCs w:val="18"/>
      </w:rPr>
    </w:pPr>
    <w:r w:rsidRPr="00A209E4">
      <w:rPr>
        <w:rFonts w:ascii="Times New Roman" w:hAnsi="Times New Roman" w:cs="Times New Roman"/>
        <w:sz w:val="18"/>
        <w:szCs w:val="18"/>
      </w:rPr>
      <w:t>NNGYK/ETGY/2012</w:t>
    </w:r>
    <w:r>
      <w:rPr>
        <w:rFonts w:ascii="Times New Roman" w:hAnsi="Times New Roman" w:cs="Times New Roman"/>
        <w:sz w:val="18"/>
        <w:szCs w:val="18"/>
      </w:rPr>
      <w:t>1</w:t>
    </w:r>
    <w:r w:rsidRPr="00A209E4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74475" w14:textId="77777777" w:rsidR="00A209E4" w:rsidRDefault="00A209E4">
      <w:pPr>
        <w:spacing w:after="0" w:line="240" w:lineRule="auto"/>
      </w:pPr>
      <w:r>
        <w:separator/>
      </w:r>
    </w:p>
  </w:footnote>
  <w:footnote w:type="continuationSeparator" w:id="0">
    <w:p w14:paraId="540904B3" w14:textId="77777777" w:rsidR="00A209E4" w:rsidRDefault="00A2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3138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E332E2D" w14:textId="562123C2" w:rsidR="00A209E4" w:rsidRPr="00B2366F" w:rsidRDefault="00A209E4" w:rsidP="00CD694C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B2366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2366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B2366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D27A04">
          <w:rPr>
            <w:rFonts w:ascii="Times New Roman" w:hAnsi="Times New Roman" w:cs="Times New Roman"/>
            <w:noProof/>
            <w:sz w:val="18"/>
            <w:szCs w:val="18"/>
          </w:rPr>
          <w:t>26</w:t>
        </w:r>
        <w:r w:rsidRPr="00B2366F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338"/>
    <w:multiLevelType w:val="hybridMultilevel"/>
    <w:tmpl w:val="BA96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27E8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962B1"/>
    <w:multiLevelType w:val="multilevel"/>
    <w:tmpl w:val="7D602B96"/>
    <w:lvl w:ilvl="0">
      <w:start w:val="1"/>
      <w:numFmt w:val="bullet"/>
      <w:pStyle w:val="List-Level1-Dash"/>
      <w:lvlText w:val="−"/>
      <w:lvlJc w:val="left"/>
      <w:pPr>
        <w:ind w:left="567" w:hanging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List-Level2-Bullet"/>
      <w:lvlText w:val="o"/>
      <w:lvlJc w:val="left"/>
      <w:pPr>
        <w:ind w:left="1134" w:hanging="567"/>
      </w:pPr>
      <w:rPr>
        <w:rFonts w:ascii="Courier New" w:hAnsi="Courier New" w:hint="default"/>
      </w:rPr>
    </w:lvl>
    <w:lvl w:ilvl="2">
      <w:start w:val="1"/>
      <w:numFmt w:val="bullet"/>
      <w:pStyle w:val="List-Level3-Ball"/>
      <w:lvlText w:val=""/>
      <w:lvlJc w:val="left"/>
      <w:pPr>
        <w:ind w:left="1701" w:hanging="56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56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56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02" w:hanging="56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567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103" w:hanging="567"/>
      </w:pPr>
      <w:rPr>
        <w:rFonts w:ascii="Wingdings" w:hAnsi="Wingdings" w:hint="default"/>
      </w:rPr>
    </w:lvl>
  </w:abstractNum>
  <w:abstractNum w:abstractNumId="2" w15:restartNumberingAfterBreak="0">
    <w:nsid w:val="1BBE6EFC"/>
    <w:multiLevelType w:val="hybridMultilevel"/>
    <w:tmpl w:val="223227AC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80613"/>
    <w:multiLevelType w:val="hybridMultilevel"/>
    <w:tmpl w:val="860ACD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60327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C18DF"/>
    <w:multiLevelType w:val="hybridMultilevel"/>
    <w:tmpl w:val="948890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B3441"/>
    <w:multiLevelType w:val="hybridMultilevel"/>
    <w:tmpl w:val="C972A09C"/>
    <w:lvl w:ilvl="0" w:tplc="77CAEF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C42BF"/>
    <w:multiLevelType w:val="hybridMultilevel"/>
    <w:tmpl w:val="94BC840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F1726"/>
    <w:multiLevelType w:val="hybridMultilevel"/>
    <w:tmpl w:val="7D5E20C6"/>
    <w:lvl w:ilvl="0" w:tplc="9E06DA6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B14DC"/>
    <w:multiLevelType w:val="multilevel"/>
    <w:tmpl w:val="FC7833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567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89"/>
    <w:rsid w:val="000054A2"/>
    <w:rsid w:val="000107AD"/>
    <w:rsid w:val="000109D5"/>
    <w:rsid w:val="000143C5"/>
    <w:rsid w:val="00014A60"/>
    <w:rsid w:val="0001585E"/>
    <w:rsid w:val="00015F52"/>
    <w:rsid w:val="00022668"/>
    <w:rsid w:val="000305C7"/>
    <w:rsid w:val="00030913"/>
    <w:rsid w:val="0003115D"/>
    <w:rsid w:val="00032615"/>
    <w:rsid w:val="0003298C"/>
    <w:rsid w:val="00036172"/>
    <w:rsid w:val="00040E97"/>
    <w:rsid w:val="000421D5"/>
    <w:rsid w:val="00042442"/>
    <w:rsid w:val="000426C4"/>
    <w:rsid w:val="00044EB2"/>
    <w:rsid w:val="00045A5D"/>
    <w:rsid w:val="00050417"/>
    <w:rsid w:val="000504AF"/>
    <w:rsid w:val="000507E9"/>
    <w:rsid w:val="000513F0"/>
    <w:rsid w:val="00052100"/>
    <w:rsid w:val="0005211C"/>
    <w:rsid w:val="000528AF"/>
    <w:rsid w:val="00053BB7"/>
    <w:rsid w:val="000610D3"/>
    <w:rsid w:val="000622FA"/>
    <w:rsid w:val="00063B29"/>
    <w:rsid w:val="000643AE"/>
    <w:rsid w:val="0006489F"/>
    <w:rsid w:val="0006593F"/>
    <w:rsid w:val="000660A6"/>
    <w:rsid w:val="00074D35"/>
    <w:rsid w:val="000811A9"/>
    <w:rsid w:val="00081DE7"/>
    <w:rsid w:val="00082903"/>
    <w:rsid w:val="00083036"/>
    <w:rsid w:val="00085EB8"/>
    <w:rsid w:val="00090530"/>
    <w:rsid w:val="000909A4"/>
    <w:rsid w:val="00090B3C"/>
    <w:rsid w:val="000917C7"/>
    <w:rsid w:val="00092D36"/>
    <w:rsid w:val="00092E5A"/>
    <w:rsid w:val="00094E63"/>
    <w:rsid w:val="000A38A7"/>
    <w:rsid w:val="000B4A6F"/>
    <w:rsid w:val="000B4BD2"/>
    <w:rsid w:val="000B5AA1"/>
    <w:rsid w:val="000C04C1"/>
    <w:rsid w:val="000C2C3E"/>
    <w:rsid w:val="000C43A9"/>
    <w:rsid w:val="000C4FB8"/>
    <w:rsid w:val="000D0D5D"/>
    <w:rsid w:val="000D38FC"/>
    <w:rsid w:val="000D4E0D"/>
    <w:rsid w:val="000D6652"/>
    <w:rsid w:val="000D7A5A"/>
    <w:rsid w:val="000E2FD9"/>
    <w:rsid w:val="000E55C6"/>
    <w:rsid w:val="000E5706"/>
    <w:rsid w:val="000E7CE0"/>
    <w:rsid w:val="000F24E5"/>
    <w:rsid w:val="000F74F9"/>
    <w:rsid w:val="000F771B"/>
    <w:rsid w:val="00100E83"/>
    <w:rsid w:val="00101875"/>
    <w:rsid w:val="00101B5F"/>
    <w:rsid w:val="00104B98"/>
    <w:rsid w:val="00107C2F"/>
    <w:rsid w:val="001169E4"/>
    <w:rsid w:val="00116D97"/>
    <w:rsid w:val="001174EB"/>
    <w:rsid w:val="00122488"/>
    <w:rsid w:val="001225C6"/>
    <w:rsid w:val="00123F98"/>
    <w:rsid w:val="0012562E"/>
    <w:rsid w:val="00125F41"/>
    <w:rsid w:val="00126AB6"/>
    <w:rsid w:val="00127251"/>
    <w:rsid w:val="00127375"/>
    <w:rsid w:val="00127C2D"/>
    <w:rsid w:val="00135B61"/>
    <w:rsid w:val="00137BC4"/>
    <w:rsid w:val="001426E4"/>
    <w:rsid w:val="0014399D"/>
    <w:rsid w:val="00143DCA"/>
    <w:rsid w:val="0014564E"/>
    <w:rsid w:val="00147156"/>
    <w:rsid w:val="00147B90"/>
    <w:rsid w:val="00147D8F"/>
    <w:rsid w:val="001532A3"/>
    <w:rsid w:val="0015622C"/>
    <w:rsid w:val="00160792"/>
    <w:rsid w:val="0016200F"/>
    <w:rsid w:val="00162D09"/>
    <w:rsid w:val="00163C31"/>
    <w:rsid w:val="00166F0B"/>
    <w:rsid w:val="00167CDB"/>
    <w:rsid w:val="00171CE1"/>
    <w:rsid w:val="001736A0"/>
    <w:rsid w:val="00176A53"/>
    <w:rsid w:val="00177785"/>
    <w:rsid w:val="00177809"/>
    <w:rsid w:val="00180B71"/>
    <w:rsid w:val="00184017"/>
    <w:rsid w:val="00184B90"/>
    <w:rsid w:val="00184FAA"/>
    <w:rsid w:val="00185D83"/>
    <w:rsid w:val="00192223"/>
    <w:rsid w:val="00192439"/>
    <w:rsid w:val="00194A5D"/>
    <w:rsid w:val="0019501D"/>
    <w:rsid w:val="001A100C"/>
    <w:rsid w:val="001A12D4"/>
    <w:rsid w:val="001A514B"/>
    <w:rsid w:val="001A53CC"/>
    <w:rsid w:val="001A5CEB"/>
    <w:rsid w:val="001B190E"/>
    <w:rsid w:val="001B1A8E"/>
    <w:rsid w:val="001B3E0C"/>
    <w:rsid w:val="001B4DCD"/>
    <w:rsid w:val="001B5FA0"/>
    <w:rsid w:val="001B7DDB"/>
    <w:rsid w:val="001B7FE1"/>
    <w:rsid w:val="001C1079"/>
    <w:rsid w:val="001C2CC5"/>
    <w:rsid w:val="001C3504"/>
    <w:rsid w:val="001C7920"/>
    <w:rsid w:val="001D0CAA"/>
    <w:rsid w:val="001D11DA"/>
    <w:rsid w:val="001D13E6"/>
    <w:rsid w:val="001D3658"/>
    <w:rsid w:val="001D3C93"/>
    <w:rsid w:val="001D41AF"/>
    <w:rsid w:val="001D499F"/>
    <w:rsid w:val="001D57BD"/>
    <w:rsid w:val="001D581E"/>
    <w:rsid w:val="001E0390"/>
    <w:rsid w:val="001E0DDA"/>
    <w:rsid w:val="001E37E8"/>
    <w:rsid w:val="001E3D03"/>
    <w:rsid w:val="001F214D"/>
    <w:rsid w:val="001F71AD"/>
    <w:rsid w:val="00205EBC"/>
    <w:rsid w:val="00206C02"/>
    <w:rsid w:val="00210197"/>
    <w:rsid w:val="00210E7B"/>
    <w:rsid w:val="00212242"/>
    <w:rsid w:val="00213AC1"/>
    <w:rsid w:val="00214A6A"/>
    <w:rsid w:val="002201F0"/>
    <w:rsid w:val="00220AA2"/>
    <w:rsid w:val="002210F1"/>
    <w:rsid w:val="0022304A"/>
    <w:rsid w:val="0022425A"/>
    <w:rsid w:val="00225473"/>
    <w:rsid w:val="0022674B"/>
    <w:rsid w:val="00226C0A"/>
    <w:rsid w:val="00227C3C"/>
    <w:rsid w:val="00236297"/>
    <w:rsid w:val="00240AA9"/>
    <w:rsid w:val="0024177B"/>
    <w:rsid w:val="00241CA3"/>
    <w:rsid w:val="00242ED4"/>
    <w:rsid w:val="00246FC8"/>
    <w:rsid w:val="00251E7E"/>
    <w:rsid w:val="00254DB9"/>
    <w:rsid w:val="00255D26"/>
    <w:rsid w:val="002561A6"/>
    <w:rsid w:val="0026235D"/>
    <w:rsid w:val="00264007"/>
    <w:rsid w:val="0026407F"/>
    <w:rsid w:val="00272A49"/>
    <w:rsid w:val="00272CBA"/>
    <w:rsid w:val="002754A5"/>
    <w:rsid w:val="002801BA"/>
    <w:rsid w:val="0028153F"/>
    <w:rsid w:val="00282AA7"/>
    <w:rsid w:val="00282D87"/>
    <w:rsid w:val="00283AC9"/>
    <w:rsid w:val="00284510"/>
    <w:rsid w:val="00290C01"/>
    <w:rsid w:val="00293616"/>
    <w:rsid w:val="0029361A"/>
    <w:rsid w:val="00294457"/>
    <w:rsid w:val="0029522D"/>
    <w:rsid w:val="00296547"/>
    <w:rsid w:val="002A0056"/>
    <w:rsid w:val="002A14B1"/>
    <w:rsid w:val="002A1B16"/>
    <w:rsid w:val="002A4B52"/>
    <w:rsid w:val="002A54C3"/>
    <w:rsid w:val="002A6652"/>
    <w:rsid w:val="002A6913"/>
    <w:rsid w:val="002A7B1F"/>
    <w:rsid w:val="002B001C"/>
    <w:rsid w:val="002B20DD"/>
    <w:rsid w:val="002B23AF"/>
    <w:rsid w:val="002C2F79"/>
    <w:rsid w:val="002C3FC1"/>
    <w:rsid w:val="002C4B0D"/>
    <w:rsid w:val="002C5193"/>
    <w:rsid w:val="002C7106"/>
    <w:rsid w:val="002C712D"/>
    <w:rsid w:val="002C7BBC"/>
    <w:rsid w:val="002D0A0C"/>
    <w:rsid w:val="002D4574"/>
    <w:rsid w:val="002D4DFF"/>
    <w:rsid w:val="002D5B37"/>
    <w:rsid w:val="002D7013"/>
    <w:rsid w:val="002D7718"/>
    <w:rsid w:val="002E1C6E"/>
    <w:rsid w:val="002E1D83"/>
    <w:rsid w:val="002E21A8"/>
    <w:rsid w:val="002E360D"/>
    <w:rsid w:val="002E7D26"/>
    <w:rsid w:val="002F3FA5"/>
    <w:rsid w:val="002F6CA1"/>
    <w:rsid w:val="002F75AC"/>
    <w:rsid w:val="003047E2"/>
    <w:rsid w:val="0030483C"/>
    <w:rsid w:val="003059E1"/>
    <w:rsid w:val="00314629"/>
    <w:rsid w:val="0031597A"/>
    <w:rsid w:val="00316D98"/>
    <w:rsid w:val="003214A7"/>
    <w:rsid w:val="00322430"/>
    <w:rsid w:val="0032243E"/>
    <w:rsid w:val="00324E01"/>
    <w:rsid w:val="00325143"/>
    <w:rsid w:val="003259FB"/>
    <w:rsid w:val="00326F84"/>
    <w:rsid w:val="0033181D"/>
    <w:rsid w:val="00331B6A"/>
    <w:rsid w:val="00333B17"/>
    <w:rsid w:val="00333B9F"/>
    <w:rsid w:val="0033624F"/>
    <w:rsid w:val="0034505C"/>
    <w:rsid w:val="003450DB"/>
    <w:rsid w:val="00345774"/>
    <w:rsid w:val="003458C5"/>
    <w:rsid w:val="00355F06"/>
    <w:rsid w:val="00364EE9"/>
    <w:rsid w:val="0036507D"/>
    <w:rsid w:val="00370F41"/>
    <w:rsid w:val="003717F6"/>
    <w:rsid w:val="00372217"/>
    <w:rsid w:val="00372DA2"/>
    <w:rsid w:val="00372EF6"/>
    <w:rsid w:val="00375288"/>
    <w:rsid w:val="00375BFB"/>
    <w:rsid w:val="00375C0C"/>
    <w:rsid w:val="00381113"/>
    <w:rsid w:val="00383CC1"/>
    <w:rsid w:val="003844EF"/>
    <w:rsid w:val="0038477D"/>
    <w:rsid w:val="00384AA3"/>
    <w:rsid w:val="00384BBD"/>
    <w:rsid w:val="00386A14"/>
    <w:rsid w:val="00390654"/>
    <w:rsid w:val="00392FDD"/>
    <w:rsid w:val="003943FF"/>
    <w:rsid w:val="00394684"/>
    <w:rsid w:val="0039553E"/>
    <w:rsid w:val="00396377"/>
    <w:rsid w:val="00396595"/>
    <w:rsid w:val="00396689"/>
    <w:rsid w:val="003966FF"/>
    <w:rsid w:val="00397DE6"/>
    <w:rsid w:val="003A1960"/>
    <w:rsid w:val="003A2858"/>
    <w:rsid w:val="003A2866"/>
    <w:rsid w:val="003A30C5"/>
    <w:rsid w:val="003A34CA"/>
    <w:rsid w:val="003A42FB"/>
    <w:rsid w:val="003A5FF9"/>
    <w:rsid w:val="003A74CC"/>
    <w:rsid w:val="003B1E53"/>
    <w:rsid w:val="003B2B73"/>
    <w:rsid w:val="003B339C"/>
    <w:rsid w:val="003B4D7C"/>
    <w:rsid w:val="003B5750"/>
    <w:rsid w:val="003B68E5"/>
    <w:rsid w:val="003C02B1"/>
    <w:rsid w:val="003C2310"/>
    <w:rsid w:val="003C559F"/>
    <w:rsid w:val="003C7923"/>
    <w:rsid w:val="003D04F4"/>
    <w:rsid w:val="003D1C82"/>
    <w:rsid w:val="003D3F8D"/>
    <w:rsid w:val="003D535D"/>
    <w:rsid w:val="003D6D11"/>
    <w:rsid w:val="003D79CE"/>
    <w:rsid w:val="003E1369"/>
    <w:rsid w:val="003E36D8"/>
    <w:rsid w:val="003E634D"/>
    <w:rsid w:val="003F0F10"/>
    <w:rsid w:val="003F1443"/>
    <w:rsid w:val="003F3F56"/>
    <w:rsid w:val="003F76C0"/>
    <w:rsid w:val="00403A2E"/>
    <w:rsid w:val="0040699A"/>
    <w:rsid w:val="00407A6C"/>
    <w:rsid w:val="00424100"/>
    <w:rsid w:val="00425586"/>
    <w:rsid w:val="00425D0F"/>
    <w:rsid w:val="00426CF8"/>
    <w:rsid w:val="00427A79"/>
    <w:rsid w:val="00431842"/>
    <w:rsid w:val="004336E0"/>
    <w:rsid w:val="00436EC8"/>
    <w:rsid w:val="004373ED"/>
    <w:rsid w:val="004404A4"/>
    <w:rsid w:val="004404B0"/>
    <w:rsid w:val="00440503"/>
    <w:rsid w:val="00441CC3"/>
    <w:rsid w:val="00442F26"/>
    <w:rsid w:val="00443A75"/>
    <w:rsid w:val="0044734A"/>
    <w:rsid w:val="00451A82"/>
    <w:rsid w:val="004545F0"/>
    <w:rsid w:val="00455505"/>
    <w:rsid w:val="004571B6"/>
    <w:rsid w:val="0046077C"/>
    <w:rsid w:val="0046367E"/>
    <w:rsid w:val="004651A4"/>
    <w:rsid w:val="004726F9"/>
    <w:rsid w:val="00472903"/>
    <w:rsid w:val="00475582"/>
    <w:rsid w:val="00480379"/>
    <w:rsid w:val="004817C0"/>
    <w:rsid w:val="00483E75"/>
    <w:rsid w:val="00484342"/>
    <w:rsid w:val="004848D7"/>
    <w:rsid w:val="0048586A"/>
    <w:rsid w:val="0049467D"/>
    <w:rsid w:val="00494789"/>
    <w:rsid w:val="004A373D"/>
    <w:rsid w:val="004B0C46"/>
    <w:rsid w:val="004C0FD1"/>
    <w:rsid w:val="004C28E6"/>
    <w:rsid w:val="004C32B3"/>
    <w:rsid w:val="004C50B7"/>
    <w:rsid w:val="004D1727"/>
    <w:rsid w:val="004D5F82"/>
    <w:rsid w:val="004E3C1D"/>
    <w:rsid w:val="004E5D4C"/>
    <w:rsid w:val="004E69AF"/>
    <w:rsid w:val="004F007A"/>
    <w:rsid w:val="004F015F"/>
    <w:rsid w:val="004F02AE"/>
    <w:rsid w:val="004F17AB"/>
    <w:rsid w:val="004F4335"/>
    <w:rsid w:val="004F5A2B"/>
    <w:rsid w:val="004F5EBB"/>
    <w:rsid w:val="004F706B"/>
    <w:rsid w:val="004F71AD"/>
    <w:rsid w:val="005078F9"/>
    <w:rsid w:val="00515888"/>
    <w:rsid w:val="005236D6"/>
    <w:rsid w:val="005246A7"/>
    <w:rsid w:val="00524850"/>
    <w:rsid w:val="0052490A"/>
    <w:rsid w:val="0052580B"/>
    <w:rsid w:val="0052740E"/>
    <w:rsid w:val="00527733"/>
    <w:rsid w:val="005327B6"/>
    <w:rsid w:val="00532959"/>
    <w:rsid w:val="00532D47"/>
    <w:rsid w:val="00533B8A"/>
    <w:rsid w:val="00535D8C"/>
    <w:rsid w:val="00536EA8"/>
    <w:rsid w:val="00537EA0"/>
    <w:rsid w:val="00543446"/>
    <w:rsid w:val="00546558"/>
    <w:rsid w:val="005505DD"/>
    <w:rsid w:val="00551DBB"/>
    <w:rsid w:val="00553D0E"/>
    <w:rsid w:val="005548E3"/>
    <w:rsid w:val="00556E08"/>
    <w:rsid w:val="00557461"/>
    <w:rsid w:val="005579B2"/>
    <w:rsid w:val="00560085"/>
    <w:rsid w:val="00560793"/>
    <w:rsid w:val="005638E8"/>
    <w:rsid w:val="00563D13"/>
    <w:rsid w:val="005668FB"/>
    <w:rsid w:val="00567AC2"/>
    <w:rsid w:val="0057092B"/>
    <w:rsid w:val="00570B64"/>
    <w:rsid w:val="00570F63"/>
    <w:rsid w:val="00571226"/>
    <w:rsid w:val="00571A9C"/>
    <w:rsid w:val="00573336"/>
    <w:rsid w:val="0057344B"/>
    <w:rsid w:val="00575C01"/>
    <w:rsid w:val="00576215"/>
    <w:rsid w:val="005766F3"/>
    <w:rsid w:val="0057670B"/>
    <w:rsid w:val="0058154F"/>
    <w:rsid w:val="00583112"/>
    <w:rsid w:val="00590139"/>
    <w:rsid w:val="00596699"/>
    <w:rsid w:val="005A04B8"/>
    <w:rsid w:val="005A086D"/>
    <w:rsid w:val="005A21CA"/>
    <w:rsid w:val="005A2282"/>
    <w:rsid w:val="005A4049"/>
    <w:rsid w:val="005B0B8D"/>
    <w:rsid w:val="005B0F77"/>
    <w:rsid w:val="005B1663"/>
    <w:rsid w:val="005B4162"/>
    <w:rsid w:val="005B669E"/>
    <w:rsid w:val="005C1222"/>
    <w:rsid w:val="005C3325"/>
    <w:rsid w:val="005C5FCF"/>
    <w:rsid w:val="005C64EB"/>
    <w:rsid w:val="005C768D"/>
    <w:rsid w:val="005D0383"/>
    <w:rsid w:val="005D08D9"/>
    <w:rsid w:val="005D0B99"/>
    <w:rsid w:val="005D0F8D"/>
    <w:rsid w:val="005D24EA"/>
    <w:rsid w:val="005D532C"/>
    <w:rsid w:val="005D7AD6"/>
    <w:rsid w:val="005E08E5"/>
    <w:rsid w:val="005E2ACD"/>
    <w:rsid w:val="005E327A"/>
    <w:rsid w:val="005E3A9D"/>
    <w:rsid w:val="005E3AB9"/>
    <w:rsid w:val="005E3C95"/>
    <w:rsid w:val="005E4BD1"/>
    <w:rsid w:val="005E6C5B"/>
    <w:rsid w:val="005F4E5E"/>
    <w:rsid w:val="005F71AF"/>
    <w:rsid w:val="005F784B"/>
    <w:rsid w:val="00600B6B"/>
    <w:rsid w:val="00601291"/>
    <w:rsid w:val="0060227E"/>
    <w:rsid w:val="00604326"/>
    <w:rsid w:val="006046DE"/>
    <w:rsid w:val="00610F10"/>
    <w:rsid w:val="00611574"/>
    <w:rsid w:val="006160EC"/>
    <w:rsid w:val="006164AA"/>
    <w:rsid w:val="0061757B"/>
    <w:rsid w:val="00617D5A"/>
    <w:rsid w:val="00624B92"/>
    <w:rsid w:val="00626F3A"/>
    <w:rsid w:val="00627F39"/>
    <w:rsid w:val="006338F7"/>
    <w:rsid w:val="00634786"/>
    <w:rsid w:val="006356EE"/>
    <w:rsid w:val="00636BD7"/>
    <w:rsid w:val="0064209F"/>
    <w:rsid w:val="00642D8C"/>
    <w:rsid w:val="0064363B"/>
    <w:rsid w:val="006449F1"/>
    <w:rsid w:val="0065053E"/>
    <w:rsid w:val="00651650"/>
    <w:rsid w:val="00654EB4"/>
    <w:rsid w:val="0066021E"/>
    <w:rsid w:val="00663E07"/>
    <w:rsid w:val="00672E14"/>
    <w:rsid w:val="0067498A"/>
    <w:rsid w:val="00676D2E"/>
    <w:rsid w:val="00677EB7"/>
    <w:rsid w:val="00681AB3"/>
    <w:rsid w:val="00682033"/>
    <w:rsid w:val="006850B3"/>
    <w:rsid w:val="00686D0F"/>
    <w:rsid w:val="00687641"/>
    <w:rsid w:val="006900AD"/>
    <w:rsid w:val="00691EAD"/>
    <w:rsid w:val="00694241"/>
    <w:rsid w:val="00696739"/>
    <w:rsid w:val="00697380"/>
    <w:rsid w:val="00697392"/>
    <w:rsid w:val="006A0175"/>
    <w:rsid w:val="006A085C"/>
    <w:rsid w:val="006A2BA5"/>
    <w:rsid w:val="006A318B"/>
    <w:rsid w:val="006A7DD3"/>
    <w:rsid w:val="006B1018"/>
    <w:rsid w:val="006B706C"/>
    <w:rsid w:val="006B76CC"/>
    <w:rsid w:val="006B79E1"/>
    <w:rsid w:val="006B7D10"/>
    <w:rsid w:val="006C0A86"/>
    <w:rsid w:val="006C27BE"/>
    <w:rsid w:val="006C2A3B"/>
    <w:rsid w:val="006C2B5E"/>
    <w:rsid w:val="006C2BD6"/>
    <w:rsid w:val="006C3AC4"/>
    <w:rsid w:val="006C40DA"/>
    <w:rsid w:val="006C47C8"/>
    <w:rsid w:val="006C59E8"/>
    <w:rsid w:val="006D1469"/>
    <w:rsid w:val="006D192F"/>
    <w:rsid w:val="006D1FF2"/>
    <w:rsid w:val="006D3FD3"/>
    <w:rsid w:val="006D4A97"/>
    <w:rsid w:val="006D68A7"/>
    <w:rsid w:val="006D6F48"/>
    <w:rsid w:val="006E2412"/>
    <w:rsid w:val="006E7BE4"/>
    <w:rsid w:val="006E7FAB"/>
    <w:rsid w:val="006F1EBA"/>
    <w:rsid w:val="006F30F8"/>
    <w:rsid w:val="006F6C17"/>
    <w:rsid w:val="006F6DDC"/>
    <w:rsid w:val="006F76FA"/>
    <w:rsid w:val="006F7B45"/>
    <w:rsid w:val="00704177"/>
    <w:rsid w:val="00704281"/>
    <w:rsid w:val="00705A09"/>
    <w:rsid w:val="00712855"/>
    <w:rsid w:val="007132BE"/>
    <w:rsid w:val="0071508A"/>
    <w:rsid w:val="007166BB"/>
    <w:rsid w:val="00721919"/>
    <w:rsid w:val="0073068D"/>
    <w:rsid w:val="00731085"/>
    <w:rsid w:val="00732FD1"/>
    <w:rsid w:val="00733FFC"/>
    <w:rsid w:val="00735AB5"/>
    <w:rsid w:val="0073622C"/>
    <w:rsid w:val="0073733C"/>
    <w:rsid w:val="007422AF"/>
    <w:rsid w:val="00743970"/>
    <w:rsid w:val="00745BB2"/>
    <w:rsid w:val="00746194"/>
    <w:rsid w:val="0075174F"/>
    <w:rsid w:val="0075248D"/>
    <w:rsid w:val="00753470"/>
    <w:rsid w:val="00753E5F"/>
    <w:rsid w:val="007550FB"/>
    <w:rsid w:val="00755989"/>
    <w:rsid w:val="00757DE3"/>
    <w:rsid w:val="00760C27"/>
    <w:rsid w:val="00761318"/>
    <w:rsid w:val="007635AA"/>
    <w:rsid w:val="00770AB7"/>
    <w:rsid w:val="00771613"/>
    <w:rsid w:val="0077314D"/>
    <w:rsid w:val="00773D2C"/>
    <w:rsid w:val="00780B1F"/>
    <w:rsid w:val="00783561"/>
    <w:rsid w:val="00784261"/>
    <w:rsid w:val="007852BB"/>
    <w:rsid w:val="00792331"/>
    <w:rsid w:val="00792DA1"/>
    <w:rsid w:val="00792E17"/>
    <w:rsid w:val="00792FD9"/>
    <w:rsid w:val="007972A1"/>
    <w:rsid w:val="007A0423"/>
    <w:rsid w:val="007A30AB"/>
    <w:rsid w:val="007A6D84"/>
    <w:rsid w:val="007A7A26"/>
    <w:rsid w:val="007B2770"/>
    <w:rsid w:val="007B32F7"/>
    <w:rsid w:val="007B337D"/>
    <w:rsid w:val="007B761A"/>
    <w:rsid w:val="007C1837"/>
    <w:rsid w:val="007C1A14"/>
    <w:rsid w:val="007C2D46"/>
    <w:rsid w:val="007C4D13"/>
    <w:rsid w:val="007C5653"/>
    <w:rsid w:val="007C7C91"/>
    <w:rsid w:val="007C7D4E"/>
    <w:rsid w:val="007D14F2"/>
    <w:rsid w:val="007D2CC4"/>
    <w:rsid w:val="007D320C"/>
    <w:rsid w:val="007D4154"/>
    <w:rsid w:val="007D464D"/>
    <w:rsid w:val="007D6D8E"/>
    <w:rsid w:val="007E1F91"/>
    <w:rsid w:val="007E42C8"/>
    <w:rsid w:val="007E5166"/>
    <w:rsid w:val="007E6E24"/>
    <w:rsid w:val="007F21CD"/>
    <w:rsid w:val="007F572F"/>
    <w:rsid w:val="007F5CC8"/>
    <w:rsid w:val="007F6AED"/>
    <w:rsid w:val="00801CFC"/>
    <w:rsid w:val="00804456"/>
    <w:rsid w:val="008113A5"/>
    <w:rsid w:val="00812AFB"/>
    <w:rsid w:val="008132C2"/>
    <w:rsid w:val="00814C31"/>
    <w:rsid w:val="00814D9D"/>
    <w:rsid w:val="00820C50"/>
    <w:rsid w:val="00824D96"/>
    <w:rsid w:val="00827DD3"/>
    <w:rsid w:val="0083389B"/>
    <w:rsid w:val="00833E72"/>
    <w:rsid w:val="00833F9F"/>
    <w:rsid w:val="00834204"/>
    <w:rsid w:val="00834826"/>
    <w:rsid w:val="008352EA"/>
    <w:rsid w:val="0084050A"/>
    <w:rsid w:val="00841F92"/>
    <w:rsid w:val="00843EA0"/>
    <w:rsid w:val="00844B3F"/>
    <w:rsid w:val="0084536B"/>
    <w:rsid w:val="008518A3"/>
    <w:rsid w:val="00851A59"/>
    <w:rsid w:val="00856754"/>
    <w:rsid w:val="0086171B"/>
    <w:rsid w:val="00864132"/>
    <w:rsid w:val="00864438"/>
    <w:rsid w:val="00867CE6"/>
    <w:rsid w:val="00870FF9"/>
    <w:rsid w:val="00872A72"/>
    <w:rsid w:val="00874229"/>
    <w:rsid w:val="008753C3"/>
    <w:rsid w:val="00884315"/>
    <w:rsid w:val="00884924"/>
    <w:rsid w:val="00884E3F"/>
    <w:rsid w:val="008852EB"/>
    <w:rsid w:val="008861DD"/>
    <w:rsid w:val="0088666D"/>
    <w:rsid w:val="0088706B"/>
    <w:rsid w:val="00890AA6"/>
    <w:rsid w:val="008921E4"/>
    <w:rsid w:val="008944E6"/>
    <w:rsid w:val="008962F3"/>
    <w:rsid w:val="00896FF1"/>
    <w:rsid w:val="00897B62"/>
    <w:rsid w:val="00897CE0"/>
    <w:rsid w:val="008A08DC"/>
    <w:rsid w:val="008A0F28"/>
    <w:rsid w:val="008A2D9D"/>
    <w:rsid w:val="008A6691"/>
    <w:rsid w:val="008A6C75"/>
    <w:rsid w:val="008B086C"/>
    <w:rsid w:val="008B11D0"/>
    <w:rsid w:val="008B24BF"/>
    <w:rsid w:val="008B3DF7"/>
    <w:rsid w:val="008B60D6"/>
    <w:rsid w:val="008B7C1B"/>
    <w:rsid w:val="008C3081"/>
    <w:rsid w:val="008C44F2"/>
    <w:rsid w:val="008C502C"/>
    <w:rsid w:val="008C63F6"/>
    <w:rsid w:val="008C66E6"/>
    <w:rsid w:val="008D0B26"/>
    <w:rsid w:val="008D0B60"/>
    <w:rsid w:val="008D1F56"/>
    <w:rsid w:val="008D7D45"/>
    <w:rsid w:val="008E2DA3"/>
    <w:rsid w:val="008E3539"/>
    <w:rsid w:val="008E3812"/>
    <w:rsid w:val="008E5E64"/>
    <w:rsid w:val="008E657E"/>
    <w:rsid w:val="008E6924"/>
    <w:rsid w:val="008F0017"/>
    <w:rsid w:val="008F1819"/>
    <w:rsid w:val="008F1953"/>
    <w:rsid w:val="008F3A1B"/>
    <w:rsid w:val="008F425D"/>
    <w:rsid w:val="008F4A7E"/>
    <w:rsid w:val="008F5407"/>
    <w:rsid w:val="008F6103"/>
    <w:rsid w:val="00901B7A"/>
    <w:rsid w:val="0090483E"/>
    <w:rsid w:val="00906E75"/>
    <w:rsid w:val="00910208"/>
    <w:rsid w:val="00914C0B"/>
    <w:rsid w:val="0091709B"/>
    <w:rsid w:val="00920CCA"/>
    <w:rsid w:val="00920E85"/>
    <w:rsid w:val="009212C9"/>
    <w:rsid w:val="00922020"/>
    <w:rsid w:val="00922CD0"/>
    <w:rsid w:val="0092389A"/>
    <w:rsid w:val="00924136"/>
    <w:rsid w:val="00924D5B"/>
    <w:rsid w:val="009265DC"/>
    <w:rsid w:val="00927D24"/>
    <w:rsid w:val="00935A65"/>
    <w:rsid w:val="009408D8"/>
    <w:rsid w:val="00940D78"/>
    <w:rsid w:val="0094182B"/>
    <w:rsid w:val="00943AF7"/>
    <w:rsid w:val="00944D1C"/>
    <w:rsid w:val="00945D12"/>
    <w:rsid w:val="00947014"/>
    <w:rsid w:val="009509A4"/>
    <w:rsid w:val="0095120E"/>
    <w:rsid w:val="00952734"/>
    <w:rsid w:val="00952BA8"/>
    <w:rsid w:val="00952FCB"/>
    <w:rsid w:val="00955059"/>
    <w:rsid w:val="00956C5C"/>
    <w:rsid w:val="009618C3"/>
    <w:rsid w:val="00963385"/>
    <w:rsid w:val="0096384F"/>
    <w:rsid w:val="00964D99"/>
    <w:rsid w:val="00965F5A"/>
    <w:rsid w:val="009679B4"/>
    <w:rsid w:val="009711C1"/>
    <w:rsid w:val="00971647"/>
    <w:rsid w:val="00971DDE"/>
    <w:rsid w:val="00972642"/>
    <w:rsid w:val="00972717"/>
    <w:rsid w:val="009757D9"/>
    <w:rsid w:val="00976150"/>
    <w:rsid w:val="0098027F"/>
    <w:rsid w:val="009806F4"/>
    <w:rsid w:val="00980F7F"/>
    <w:rsid w:val="00981190"/>
    <w:rsid w:val="00983C42"/>
    <w:rsid w:val="009840D9"/>
    <w:rsid w:val="00985374"/>
    <w:rsid w:val="00987094"/>
    <w:rsid w:val="00987D03"/>
    <w:rsid w:val="009905E1"/>
    <w:rsid w:val="00990D4B"/>
    <w:rsid w:val="0099138B"/>
    <w:rsid w:val="00995120"/>
    <w:rsid w:val="009955BF"/>
    <w:rsid w:val="009A1F20"/>
    <w:rsid w:val="009A56AA"/>
    <w:rsid w:val="009B17B9"/>
    <w:rsid w:val="009B1939"/>
    <w:rsid w:val="009B53F9"/>
    <w:rsid w:val="009B6A03"/>
    <w:rsid w:val="009C0AA6"/>
    <w:rsid w:val="009C3185"/>
    <w:rsid w:val="009C3BD0"/>
    <w:rsid w:val="009C6D08"/>
    <w:rsid w:val="009D0DD9"/>
    <w:rsid w:val="009D2086"/>
    <w:rsid w:val="009D2182"/>
    <w:rsid w:val="009D22D9"/>
    <w:rsid w:val="009D3F6A"/>
    <w:rsid w:val="009D470A"/>
    <w:rsid w:val="009D62C8"/>
    <w:rsid w:val="009E0C2B"/>
    <w:rsid w:val="009E27DE"/>
    <w:rsid w:val="009E315F"/>
    <w:rsid w:val="009E629E"/>
    <w:rsid w:val="009E6786"/>
    <w:rsid w:val="009E6BD6"/>
    <w:rsid w:val="009E7EDE"/>
    <w:rsid w:val="009F2937"/>
    <w:rsid w:val="009F2C68"/>
    <w:rsid w:val="009F4218"/>
    <w:rsid w:val="009F527B"/>
    <w:rsid w:val="00A0077E"/>
    <w:rsid w:val="00A0095F"/>
    <w:rsid w:val="00A01ADE"/>
    <w:rsid w:val="00A034E9"/>
    <w:rsid w:val="00A03C1C"/>
    <w:rsid w:val="00A0494F"/>
    <w:rsid w:val="00A053BF"/>
    <w:rsid w:val="00A05D4E"/>
    <w:rsid w:val="00A10A1D"/>
    <w:rsid w:val="00A12781"/>
    <w:rsid w:val="00A15C4A"/>
    <w:rsid w:val="00A15DC1"/>
    <w:rsid w:val="00A16396"/>
    <w:rsid w:val="00A16F35"/>
    <w:rsid w:val="00A209E4"/>
    <w:rsid w:val="00A24EA2"/>
    <w:rsid w:val="00A3096F"/>
    <w:rsid w:val="00A34DAC"/>
    <w:rsid w:val="00A35547"/>
    <w:rsid w:val="00A42B92"/>
    <w:rsid w:val="00A42DA7"/>
    <w:rsid w:val="00A43D44"/>
    <w:rsid w:val="00A43D51"/>
    <w:rsid w:val="00A43E52"/>
    <w:rsid w:val="00A4400B"/>
    <w:rsid w:val="00A453A9"/>
    <w:rsid w:val="00A45822"/>
    <w:rsid w:val="00A5124B"/>
    <w:rsid w:val="00A554DB"/>
    <w:rsid w:val="00A55816"/>
    <w:rsid w:val="00A5664E"/>
    <w:rsid w:val="00A60D11"/>
    <w:rsid w:val="00A6426C"/>
    <w:rsid w:val="00A742C7"/>
    <w:rsid w:val="00A74807"/>
    <w:rsid w:val="00A75605"/>
    <w:rsid w:val="00A75CF9"/>
    <w:rsid w:val="00A8124D"/>
    <w:rsid w:val="00A82820"/>
    <w:rsid w:val="00A82E85"/>
    <w:rsid w:val="00A839D3"/>
    <w:rsid w:val="00A8420C"/>
    <w:rsid w:val="00A84DA9"/>
    <w:rsid w:val="00A8679E"/>
    <w:rsid w:val="00A91125"/>
    <w:rsid w:val="00A94B10"/>
    <w:rsid w:val="00A97B9E"/>
    <w:rsid w:val="00AA0261"/>
    <w:rsid w:val="00AA2FCB"/>
    <w:rsid w:val="00AA3883"/>
    <w:rsid w:val="00AA50B1"/>
    <w:rsid w:val="00AA5235"/>
    <w:rsid w:val="00AA6DED"/>
    <w:rsid w:val="00AB0D0E"/>
    <w:rsid w:val="00AB55D5"/>
    <w:rsid w:val="00AB5AD8"/>
    <w:rsid w:val="00AB7A80"/>
    <w:rsid w:val="00AC0104"/>
    <w:rsid w:val="00AC0733"/>
    <w:rsid w:val="00AC09D2"/>
    <w:rsid w:val="00AC43D2"/>
    <w:rsid w:val="00AC58D7"/>
    <w:rsid w:val="00AD007B"/>
    <w:rsid w:val="00AD05E2"/>
    <w:rsid w:val="00AD370C"/>
    <w:rsid w:val="00AD72D8"/>
    <w:rsid w:val="00AE184D"/>
    <w:rsid w:val="00AE1D08"/>
    <w:rsid w:val="00AE1E32"/>
    <w:rsid w:val="00AE3815"/>
    <w:rsid w:val="00AE599C"/>
    <w:rsid w:val="00AF050B"/>
    <w:rsid w:val="00AF3653"/>
    <w:rsid w:val="00AF4FA2"/>
    <w:rsid w:val="00B0019A"/>
    <w:rsid w:val="00B00C4D"/>
    <w:rsid w:val="00B03363"/>
    <w:rsid w:val="00B0523D"/>
    <w:rsid w:val="00B07D52"/>
    <w:rsid w:val="00B12038"/>
    <w:rsid w:val="00B13504"/>
    <w:rsid w:val="00B1381E"/>
    <w:rsid w:val="00B138BD"/>
    <w:rsid w:val="00B15946"/>
    <w:rsid w:val="00B159A3"/>
    <w:rsid w:val="00B15AFE"/>
    <w:rsid w:val="00B17CE3"/>
    <w:rsid w:val="00B26738"/>
    <w:rsid w:val="00B270D3"/>
    <w:rsid w:val="00B30748"/>
    <w:rsid w:val="00B30DF3"/>
    <w:rsid w:val="00B31A1C"/>
    <w:rsid w:val="00B322C6"/>
    <w:rsid w:val="00B32410"/>
    <w:rsid w:val="00B336FE"/>
    <w:rsid w:val="00B35B74"/>
    <w:rsid w:val="00B36C6C"/>
    <w:rsid w:val="00B37835"/>
    <w:rsid w:val="00B42A69"/>
    <w:rsid w:val="00B4516E"/>
    <w:rsid w:val="00B47A49"/>
    <w:rsid w:val="00B47E44"/>
    <w:rsid w:val="00B50725"/>
    <w:rsid w:val="00B50DDC"/>
    <w:rsid w:val="00B5166D"/>
    <w:rsid w:val="00B5258A"/>
    <w:rsid w:val="00B52713"/>
    <w:rsid w:val="00B52721"/>
    <w:rsid w:val="00B53058"/>
    <w:rsid w:val="00B53630"/>
    <w:rsid w:val="00B5458D"/>
    <w:rsid w:val="00B555BE"/>
    <w:rsid w:val="00B56A54"/>
    <w:rsid w:val="00B5706B"/>
    <w:rsid w:val="00B57237"/>
    <w:rsid w:val="00B5797E"/>
    <w:rsid w:val="00B64D0F"/>
    <w:rsid w:val="00B714EC"/>
    <w:rsid w:val="00B75F3A"/>
    <w:rsid w:val="00B7628A"/>
    <w:rsid w:val="00B77A8B"/>
    <w:rsid w:val="00B8300C"/>
    <w:rsid w:val="00B85959"/>
    <w:rsid w:val="00B85B99"/>
    <w:rsid w:val="00B92E5C"/>
    <w:rsid w:val="00B93B8C"/>
    <w:rsid w:val="00BA1CD5"/>
    <w:rsid w:val="00BA3085"/>
    <w:rsid w:val="00BA3A77"/>
    <w:rsid w:val="00BA3DAC"/>
    <w:rsid w:val="00BA4EB7"/>
    <w:rsid w:val="00BA557D"/>
    <w:rsid w:val="00BA5DDA"/>
    <w:rsid w:val="00BA7166"/>
    <w:rsid w:val="00BA7AA0"/>
    <w:rsid w:val="00BB33F8"/>
    <w:rsid w:val="00BB3833"/>
    <w:rsid w:val="00BB4A0D"/>
    <w:rsid w:val="00BC18B3"/>
    <w:rsid w:val="00BD0278"/>
    <w:rsid w:val="00BD262B"/>
    <w:rsid w:val="00BD763C"/>
    <w:rsid w:val="00BE0172"/>
    <w:rsid w:val="00BE0CCB"/>
    <w:rsid w:val="00BE1677"/>
    <w:rsid w:val="00BE3066"/>
    <w:rsid w:val="00BE3417"/>
    <w:rsid w:val="00BE3E3B"/>
    <w:rsid w:val="00BE4C52"/>
    <w:rsid w:val="00BE562B"/>
    <w:rsid w:val="00BE57EA"/>
    <w:rsid w:val="00BF066B"/>
    <w:rsid w:val="00BF3141"/>
    <w:rsid w:val="00BF4040"/>
    <w:rsid w:val="00BF72A6"/>
    <w:rsid w:val="00BF749E"/>
    <w:rsid w:val="00C000E3"/>
    <w:rsid w:val="00C00EBD"/>
    <w:rsid w:val="00C046B3"/>
    <w:rsid w:val="00C0694E"/>
    <w:rsid w:val="00C11A2C"/>
    <w:rsid w:val="00C126B5"/>
    <w:rsid w:val="00C15052"/>
    <w:rsid w:val="00C152D3"/>
    <w:rsid w:val="00C21E21"/>
    <w:rsid w:val="00C22B62"/>
    <w:rsid w:val="00C23439"/>
    <w:rsid w:val="00C24CBA"/>
    <w:rsid w:val="00C252C4"/>
    <w:rsid w:val="00C25501"/>
    <w:rsid w:val="00C27484"/>
    <w:rsid w:val="00C31B5E"/>
    <w:rsid w:val="00C327E9"/>
    <w:rsid w:val="00C33DB6"/>
    <w:rsid w:val="00C40F6E"/>
    <w:rsid w:val="00C40F7B"/>
    <w:rsid w:val="00C43838"/>
    <w:rsid w:val="00C43AA4"/>
    <w:rsid w:val="00C46C32"/>
    <w:rsid w:val="00C4706E"/>
    <w:rsid w:val="00C47AC0"/>
    <w:rsid w:val="00C50F85"/>
    <w:rsid w:val="00C52DAC"/>
    <w:rsid w:val="00C536AE"/>
    <w:rsid w:val="00C55DE5"/>
    <w:rsid w:val="00C56E7D"/>
    <w:rsid w:val="00C61405"/>
    <w:rsid w:val="00C6195A"/>
    <w:rsid w:val="00C6510B"/>
    <w:rsid w:val="00C66117"/>
    <w:rsid w:val="00C662DA"/>
    <w:rsid w:val="00C70AEB"/>
    <w:rsid w:val="00C720A2"/>
    <w:rsid w:val="00C73922"/>
    <w:rsid w:val="00C843E0"/>
    <w:rsid w:val="00C85720"/>
    <w:rsid w:val="00C87123"/>
    <w:rsid w:val="00C87D45"/>
    <w:rsid w:val="00C9432D"/>
    <w:rsid w:val="00C947F1"/>
    <w:rsid w:val="00C965AC"/>
    <w:rsid w:val="00C96639"/>
    <w:rsid w:val="00C9670F"/>
    <w:rsid w:val="00C97108"/>
    <w:rsid w:val="00C97C1D"/>
    <w:rsid w:val="00CA18C4"/>
    <w:rsid w:val="00CA46DB"/>
    <w:rsid w:val="00CA4BC8"/>
    <w:rsid w:val="00CA4C86"/>
    <w:rsid w:val="00CA512F"/>
    <w:rsid w:val="00CA520F"/>
    <w:rsid w:val="00CA55DF"/>
    <w:rsid w:val="00CB3FA7"/>
    <w:rsid w:val="00CB4515"/>
    <w:rsid w:val="00CC5DBD"/>
    <w:rsid w:val="00CD2DEB"/>
    <w:rsid w:val="00CD3F58"/>
    <w:rsid w:val="00CD4305"/>
    <w:rsid w:val="00CD5761"/>
    <w:rsid w:val="00CD694C"/>
    <w:rsid w:val="00CD7D05"/>
    <w:rsid w:val="00CE0B58"/>
    <w:rsid w:val="00CE0CC9"/>
    <w:rsid w:val="00CE6885"/>
    <w:rsid w:val="00CE71E8"/>
    <w:rsid w:val="00CE7D03"/>
    <w:rsid w:val="00CF06A0"/>
    <w:rsid w:val="00CF0D77"/>
    <w:rsid w:val="00CF56DC"/>
    <w:rsid w:val="00CF7DC9"/>
    <w:rsid w:val="00CF7E19"/>
    <w:rsid w:val="00D0034E"/>
    <w:rsid w:val="00D01488"/>
    <w:rsid w:val="00D014E7"/>
    <w:rsid w:val="00D03372"/>
    <w:rsid w:val="00D050E1"/>
    <w:rsid w:val="00D06E77"/>
    <w:rsid w:val="00D07BB8"/>
    <w:rsid w:val="00D126FD"/>
    <w:rsid w:val="00D139A1"/>
    <w:rsid w:val="00D139DC"/>
    <w:rsid w:val="00D153FE"/>
    <w:rsid w:val="00D15BE1"/>
    <w:rsid w:val="00D22441"/>
    <w:rsid w:val="00D22876"/>
    <w:rsid w:val="00D23D54"/>
    <w:rsid w:val="00D24B7D"/>
    <w:rsid w:val="00D24D84"/>
    <w:rsid w:val="00D27A04"/>
    <w:rsid w:val="00D34EE1"/>
    <w:rsid w:val="00D35AED"/>
    <w:rsid w:val="00D4612A"/>
    <w:rsid w:val="00D5240B"/>
    <w:rsid w:val="00D61446"/>
    <w:rsid w:val="00D6173A"/>
    <w:rsid w:val="00D62CFB"/>
    <w:rsid w:val="00D6326E"/>
    <w:rsid w:val="00D657C7"/>
    <w:rsid w:val="00D67C01"/>
    <w:rsid w:val="00D67DA8"/>
    <w:rsid w:val="00D7070E"/>
    <w:rsid w:val="00D71978"/>
    <w:rsid w:val="00D73A27"/>
    <w:rsid w:val="00D74DEA"/>
    <w:rsid w:val="00D75C29"/>
    <w:rsid w:val="00D766FD"/>
    <w:rsid w:val="00D81F63"/>
    <w:rsid w:val="00D82AF6"/>
    <w:rsid w:val="00D83F3E"/>
    <w:rsid w:val="00D847F6"/>
    <w:rsid w:val="00D85FE0"/>
    <w:rsid w:val="00D86188"/>
    <w:rsid w:val="00D861BC"/>
    <w:rsid w:val="00D9091B"/>
    <w:rsid w:val="00D92604"/>
    <w:rsid w:val="00D92ADB"/>
    <w:rsid w:val="00D941BB"/>
    <w:rsid w:val="00D942D3"/>
    <w:rsid w:val="00D94989"/>
    <w:rsid w:val="00D96B72"/>
    <w:rsid w:val="00D96DCF"/>
    <w:rsid w:val="00DA0061"/>
    <w:rsid w:val="00DA0E57"/>
    <w:rsid w:val="00DA245E"/>
    <w:rsid w:val="00DA5960"/>
    <w:rsid w:val="00DA7E69"/>
    <w:rsid w:val="00DB50CF"/>
    <w:rsid w:val="00DB5856"/>
    <w:rsid w:val="00DB62BE"/>
    <w:rsid w:val="00DC0AE5"/>
    <w:rsid w:val="00DC30D3"/>
    <w:rsid w:val="00DC3176"/>
    <w:rsid w:val="00DC35DD"/>
    <w:rsid w:val="00DC3AEA"/>
    <w:rsid w:val="00DC411B"/>
    <w:rsid w:val="00DC5DB1"/>
    <w:rsid w:val="00DC680C"/>
    <w:rsid w:val="00DC6E5F"/>
    <w:rsid w:val="00DD4CFD"/>
    <w:rsid w:val="00DD50AC"/>
    <w:rsid w:val="00DD5F01"/>
    <w:rsid w:val="00DE03A5"/>
    <w:rsid w:val="00DE30BA"/>
    <w:rsid w:val="00DE49DA"/>
    <w:rsid w:val="00DE4E16"/>
    <w:rsid w:val="00DE5232"/>
    <w:rsid w:val="00DE54CB"/>
    <w:rsid w:val="00DE5743"/>
    <w:rsid w:val="00DE76F4"/>
    <w:rsid w:val="00DF3A92"/>
    <w:rsid w:val="00DF4118"/>
    <w:rsid w:val="00DF585E"/>
    <w:rsid w:val="00DF5A20"/>
    <w:rsid w:val="00E01132"/>
    <w:rsid w:val="00E03F72"/>
    <w:rsid w:val="00E050F0"/>
    <w:rsid w:val="00E057DE"/>
    <w:rsid w:val="00E110FD"/>
    <w:rsid w:val="00E14211"/>
    <w:rsid w:val="00E1580D"/>
    <w:rsid w:val="00E21811"/>
    <w:rsid w:val="00E218E5"/>
    <w:rsid w:val="00E23211"/>
    <w:rsid w:val="00E24927"/>
    <w:rsid w:val="00E251DA"/>
    <w:rsid w:val="00E2780E"/>
    <w:rsid w:val="00E3579F"/>
    <w:rsid w:val="00E35B99"/>
    <w:rsid w:val="00E363D1"/>
    <w:rsid w:val="00E37070"/>
    <w:rsid w:val="00E421A1"/>
    <w:rsid w:val="00E42F2D"/>
    <w:rsid w:val="00E45B08"/>
    <w:rsid w:val="00E45D73"/>
    <w:rsid w:val="00E5171D"/>
    <w:rsid w:val="00E53F9D"/>
    <w:rsid w:val="00E54B56"/>
    <w:rsid w:val="00E5761C"/>
    <w:rsid w:val="00E62BDC"/>
    <w:rsid w:val="00E63D6F"/>
    <w:rsid w:val="00E64791"/>
    <w:rsid w:val="00E679CC"/>
    <w:rsid w:val="00E70D1D"/>
    <w:rsid w:val="00E745BA"/>
    <w:rsid w:val="00E75B9E"/>
    <w:rsid w:val="00E772A0"/>
    <w:rsid w:val="00E82D8A"/>
    <w:rsid w:val="00E830B3"/>
    <w:rsid w:val="00E83F4E"/>
    <w:rsid w:val="00E9188B"/>
    <w:rsid w:val="00E93503"/>
    <w:rsid w:val="00E946A1"/>
    <w:rsid w:val="00E95462"/>
    <w:rsid w:val="00E954E6"/>
    <w:rsid w:val="00EA06F1"/>
    <w:rsid w:val="00EA2EB1"/>
    <w:rsid w:val="00EA308A"/>
    <w:rsid w:val="00EB2E75"/>
    <w:rsid w:val="00EB3A36"/>
    <w:rsid w:val="00EB3C61"/>
    <w:rsid w:val="00EB5230"/>
    <w:rsid w:val="00EC0121"/>
    <w:rsid w:val="00EC13E4"/>
    <w:rsid w:val="00EC27D3"/>
    <w:rsid w:val="00EC33A8"/>
    <w:rsid w:val="00EC3FBC"/>
    <w:rsid w:val="00EC49AF"/>
    <w:rsid w:val="00EC4D39"/>
    <w:rsid w:val="00ED7B91"/>
    <w:rsid w:val="00EE1161"/>
    <w:rsid w:val="00EE6E92"/>
    <w:rsid w:val="00EF0068"/>
    <w:rsid w:val="00EF0243"/>
    <w:rsid w:val="00EF2BCB"/>
    <w:rsid w:val="00EF3BE1"/>
    <w:rsid w:val="00EF3C79"/>
    <w:rsid w:val="00EF4019"/>
    <w:rsid w:val="00EF4EB4"/>
    <w:rsid w:val="00EF6ADD"/>
    <w:rsid w:val="00F00800"/>
    <w:rsid w:val="00F02267"/>
    <w:rsid w:val="00F03ABB"/>
    <w:rsid w:val="00F045FB"/>
    <w:rsid w:val="00F1275E"/>
    <w:rsid w:val="00F129A2"/>
    <w:rsid w:val="00F139DD"/>
    <w:rsid w:val="00F20DB2"/>
    <w:rsid w:val="00F21A6B"/>
    <w:rsid w:val="00F21DF7"/>
    <w:rsid w:val="00F22130"/>
    <w:rsid w:val="00F24EF5"/>
    <w:rsid w:val="00F26139"/>
    <w:rsid w:val="00F302B2"/>
    <w:rsid w:val="00F30527"/>
    <w:rsid w:val="00F30AC2"/>
    <w:rsid w:val="00F34165"/>
    <w:rsid w:val="00F44004"/>
    <w:rsid w:val="00F44800"/>
    <w:rsid w:val="00F45988"/>
    <w:rsid w:val="00F4699D"/>
    <w:rsid w:val="00F50394"/>
    <w:rsid w:val="00F554C0"/>
    <w:rsid w:val="00F55C6A"/>
    <w:rsid w:val="00F6135D"/>
    <w:rsid w:val="00F63535"/>
    <w:rsid w:val="00F64BAD"/>
    <w:rsid w:val="00F67181"/>
    <w:rsid w:val="00F67F08"/>
    <w:rsid w:val="00F72592"/>
    <w:rsid w:val="00F734A7"/>
    <w:rsid w:val="00F73841"/>
    <w:rsid w:val="00F774AE"/>
    <w:rsid w:val="00F806F3"/>
    <w:rsid w:val="00F8137C"/>
    <w:rsid w:val="00F8358B"/>
    <w:rsid w:val="00F835B0"/>
    <w:rsid w:val="00F84F1E"/>
    <w:rsid w:val="00F851BB"/>
    <w:rsid w:val="00F8555E"/>
    <w:rsid w:val="00F8655E"/>
    <w:rsid w:val="00F913DA"/>
    <w:rsid w:val="00F92CA4"/>
    <w:rsid w:val="00F97D4C"/>
    <w:rsid w:val="00F97E08"/>
    <w:rsid w:val="00FA12EF"/>
    <w:rsid w:val="00FA20B9"/>
    <w:rsid w:val="00FA242E"/>
    <w:rsid w:val="00FA3144"/>
    <w:rsid w:val="00FA682E"/>
    <w:rsid w:val="00FB3861"/>
    <w:rsid w:val="00FB5158"/>
    <w:rsid w:val="00FB6673"/>
    <w:rsid w:val="00FB6EB8"/>
    <w:rsid w:val="00FB741D"/>
    <w:rsid w:val="00FB75CE"/>
    <w:rsid w:val="00FC1BC2"/>
    <w:rsid w:val="00FC314B"/>
    <w:rsid w:val="00FC51AF"/>
    <w:rsid w:val="00FC68F0"/>
    <w:rsid w:val="00FC7C9D"/>
    <w:rsid w:val="00FD4828"/>
    <w:rsid w:val="00FD7700"/>
    <w:rsid w:val="00FD7991"/>
    <w:rsid w:val="00FE1299"/>
    <w:rsid w:val="00FE1B46"/>
    <w:rsid w:val="00FE4B62"/>
    <w:rsid w:val="00FE7379"/>
    <w:rsid w:val="00FF361C"/>
    <w:rsid w:val="00FF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04F0"/>
  <w15:chartTrackingRefBased/>
  <w15:docId w15:val="{DC86749D-9DDB-470A-A783-A79BD06E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1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5989"/>
  </w:style>
  <w:style w:type="paragraph" w:styleId="llb">
    <w:name w:val="footer"/>
    <w:basedOn w:val="Norml"/>
    <w:link w:val="llb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5989"/>
  </w:style>
  <w:style w:type="character" w:customStyle="1" w:styleId="Szvegtrzs">
    <w:name w:val="Szövegtörzs_"/>
    <w:basedOn w:val="Bekezdsalapbettpusa"/>
    <w:link w:val="Szvegtrzs1"/>
    <w:rsid w:val="009C6D08"/>
    <w:rPr>
      <w:rFonts w:ascii="Times New Roman" w:eastAsia="Times New Roman" w:hAnsi="Times New Roman" w:cs="Times New Roman"/>
    </w:rPr>
  </w:style>
  <w:style w:type="paragraph" w:customStyle="1" w:styleId="Szvegtrzs1">
    <w:name w:val="Szövegtörzs1"/>
    <w:basedOn w:val="Norml"/>
    <w:link w:val="Szvegtrzs"/>
    <w:rsid w:val="009C6D08"/>
    <w:pPr>
      <w:widowControl w:val="0"/>
      <w:spacing w:after="220" w:line="240" w:lineRule="auto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basedOn w:val="Norml"/>
    <w:rsid w:val="001B3E0C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0"/>
      <w:szCs w:val="24"/>
      <w:lang w:val="en-US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533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533B8A"/>
    <w:rPr>
      <w:rFonts w:ascii="Courier New" w:eastAsia="Times New Roman" w:hAnsi="Courier New" w:cs="Courier New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6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6396"/>
    <w:rPr>
      <w:rFonts w:ascii="Segoe UI" w:hAnsi="Segoe UI" w:cs="Segoe UI"/>
      <w:sz w:val="18"/>
      <w:szCs w:val="18"/>
    </w:rPr>
  </w:style>
  <w:style w:type="character" w:styleId="Jegyzethivatkozs">
    <w:name w:val="annotation reference"/>
    <w:semiHidden/>
    <w:rsid w:val="00575C01"/>
    <w:rPr>
      <w:sz w:val="16"/>
      <w:szCs w:val="16"/>
    </w:rPr>
  </w:style>
  <w:style w:type="paragraph" w:customStyle="1" w:styleId="A-TableText">
    <w:name w:val="A-Table Text"/>
    <w:rsid w:val="00D22876"/>
    <w:pPr>
      <w:spacing w:before="60" w:after="6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-TableHeader">
    <w:name w:val="A-Table Header"/>
    <w:next w:val="A-TableText"/>
    <w:rsid w:val="00D22876"/>
    <w:pPr>
      <w:keepNext/>
      <w:spacing w:before="60" w:after="60" w:line="240" w:lineRule="auto"/>
    </w:pPr>
    <w:rPr>
      <w:rFonts w:ascii="Times New Roman" w:eastAsia="Times New Roman" w:hAnsi="Times New Roman" w:cs="Times New Roman"/>
      <w:b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14564E"/>
    <w:pPr>
      <w:ind w:left="720"/>
      <w:contextualSpacing/>
    </w:pPr>
  </w:style>
  <w:style w:type="paragraph" w:customStyle="1" w:styleId="GlobalBayerBodyText">
    <w:name w:val="Global Bayer Body Text"/>
    <w:basedOn w:val="Norml"/>
    <w:link w:val="GlobalBayerBodyTextChar"/>
    <w:rsid w:val="007C1A14"/>
    <w:pPr>
      <w:tabs>
        <w:tab w:val="left" w:pos="11174"/>
        <w:tab w:val="left" w:pos="15142"/>
      </w:tabs>
      <w:suppressAutoHyphens/>
      <w:spacing w:before="120" w:after="240" w:line="240" w:lineRule="auto"/>
    </w:pPr>
    <w:rPr>
      <w:rFonts w:ascii="Arial" w:eastAsia="Times New Roman" w:hAnsi="Arial" w:cs="Times New Roman"/>
      <w:szCs w:val="24"/>
      <w:lang w:val="en-US" w:eastAsia="de-DE"/>
    </w:rPr>
  </w:style>
  <w:style w:type="character" w:customStyle="1" w:styleId="GlobalBayerBodyTextChar">
    <w:name w:val="Global Bayer Body Text Char"/>
    <w:link w:val="GlobalBayerBodyText"/>
    <w:rsid w:val="007C1A14"/>
    <w:rPr>
      <w:rFonts w:ascii="Arial" w:eastAsia="Times New Roman" w:hAnsi="Arial" w:cs="Times New Roman"/>
      <w:szCs w:val="24"/>
      <w:lang w:val="en-US" w:eastAsia="de-DE"/>
    </w:rPr>
  </w:style>
  <w:style w:type="character" w:customStyle="1" w:styleId="Egyb">
    <w:name w:val="Egyéb_"/>
    <w:basedOn w:val="Bekezdsalapbettpusa"/>
    <w:link w:val="Egyb0"/>
    <w:rsid w:val="00050417"/>
    <w:rPr>
      <w:rFonts w:ascii="Times New Roman" w:eastAsia="Times New Roman" w:hAnsi="Times New Roman" w:cs="Times New Roman"/>
    </w:rPr>
  </w:style>
  <w:style w:type="character" w:customStyle="1" w:styleId="Tblzatfelirata">
    <w:name w:val="Táblázat felirata_"/>
    <w:basedOn w:val="Bekezdsalapbettpusa"/>
    <w:link w:val="Tblzatfelirata0"/>
    <w:rsid w:val="00050417"/>
    <w:rPr>
      <w:rFonts w:ascii="Times New Roman" w:eastAsia="Times New Roman" w:hAnsi="Times New Roman" w:cs="Times New Roman"/>
    </w:rPr>
  </w:style>
  <w:style w:type="paragraph" w:customStyle="1" w:styleId="Egyb0">
    <w:name w:val="Egyéb"/>
    <w:basedOn w:val="Norml"/>
    <w:link w:val="Egyb"/>
    <w:rsid w:val="00050417"/>
    <w:pPr>
      <w:widowControl w:val="0"/>
      <w:spacing w:after="220" w:line="240" w:lineRule="auto"/>
    </w:pPr>
    <w:rPr>
      <w:rFonts w:ascii="Times New Roman" w:eastAsia="Times New Roman" w:hAnsi="Times New Roman" w:cs="Times New Roman"/>
    </w:rPr>
  </w:style>
  <w:style w:type="paragraph" w:customStyle="1" w:styleId="Tblzatfelirata0">
    <w:name w:val="Táblázat felirata"/>
    <w:basedOn w:val="Norml"/>
    <w:link w:val="Tblzatfelirata"/>
    <w:rsid w:val="0005041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Kiemelt">
    <w:name w:val="Kiemelt"/>
    <w:rsid w:val="00571226"/>
    <w:rPr>
      <w:i/>
      <w:iCs/>
    </w:rPr>
  </w:style>
  <w:style w:type="table" w:styleId="Rcsostblzat">
    <w:name w:val="Table Grid"/>
    <w:basedOn w:val="Normltblzat"/>
    <w:uiPriority w:val="39"/>
    <w:rsid w:val="00DC3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egyzetszveg">
    <w:name w:val="annotation text"/>
    <w:basedOn w:val="Norml"/>
    <w:link w:val="JegyzetszvegChar"/>
    <w:semiHidden/>
    <w:unhideWhenUsed/>
    <w:rsid w:val="009265D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9265D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265D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265DC"/>
    <w:rPr>
      <w:b/>
      <w:bCs/>
      <w:sz w:val="20"/>
      <w:szCs w:val="20"/>
    </w:rPr>
  </w:style>
  <w:style w:type="paragraph" w:customStyle="1" w:styleId="Default">
    <w:name w:val="Default"/>
    <w:rsid w:val="008A0F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BulletBayerBodyText">
    <w:name w:val="Bullet Bayer Body Text"/>
    <w:basedOn w:val="Norml"/>
    <w:rsid w:val="00B37835"/>
    <w:pPr>
      <w:tabs>
        <w:tab w:val="num" w:pos="360"/>
        <w:tab w:val="left" w:pos="1264"/>
      </w:tabs>
      <w:spacing w:after="120" w:line="240" w:lineRule="auto"/>
      <w:ind w:left="714" w:hanging="357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Vltozat">
    <w:name w:val="Revision"/>
    <w:hidden/>
    <w:uiPriority w:val="99"/>
    <w:semiHidden/>
    <w:rsid w:val="008D7D45"/>
    <w:pPr>
      <w:spacing w:after="0" w:line="240" w:lineRule="auto"/>
    </w:pPr>
  </w:style>
  <w:style w:type="character" w:customStyle="1" w:styleId="y2iqfc">
    <w:name w:val="y2iqfc"/>
    <w:basedOn w:val="Bekezdsalapbettpusa"/>
    <w:rsid w:val="00DB5856"/>
  </w:style>
  <w:style w:type="paragraph" w:customStyle="1" w:styleId="List-Level1-Dash">
    <w:name w:val="List-Level 1-Dash"/>
    <w:basedOn w:val="Norml"/>
    <w:rsid w:val="00166F0B"/>
    <w:pPr>
      <w:keepLines/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lang w:val="de-DE" w:eastAsia="de-DE"/>
    </w:rPr>
  </w:style>
  <w:style w:type="paragraph" w:customStyle="1" w:styleId="List-Level2-Bullet">
    <w:name w:val="List-Level 2-Bullet"/>
    <w:basedOn w:val="Norml"/>
    <w:rsid w:val="00166F0B"/>
    <w:pPr>
      <w:keepLines/>
      <w:numPr>
        <w:ilvl w:val="1"/>
        <w:numId w:val="8"/>
      </w:numPr>
      <w:spacing w:after="0" w:line="240" w:lineRule="auto"/>
    </w:pPr>
    <w:rPr>
      <w:rFonts w:ascii="Times New Roman" w:eastAsia="Times New Roman" w:hAnsi="Times New Roman" w:cs="Times New Roman"/>
      <w:lang w:val="de-DE" w:eastAsia="de-DE"/>
    </w:rPr>
  </w:style>
  <w:style w:type="paragraph" w:customStyle="1" w:styleId="List-Level3-Ball">
    <w:name w:val="List-Level 3-Ball"/>
    <w:basedOn w:val="Norml"/>
    <w:rsid w:val="00166F0B"/>
    <w:pPr>
      <w:numPr>
        <w:ilvl w:val="2"/>
        <w:numId w:val="8"/>
      </w:numPr>
      <w:spacing w:after="0" w:line="240" w:lineRule="auto"/>
    </w:pPr>
    <w:rPr>
      <w:rFonts w:ascii="Times New Roman" w:eastAsia="Times New Roman" w:hAnsi="Times New Roman" w:cs="Times New Roman"/>
      <w:lang w:val="de-DE" w:eastAsia="de-DE"/>
    </w:rPr>
  </w:style>
  <w:style w:type="character" w:styleId="Hiperhivatkozs">
    <w:name w:val="Hyperlink"/>
    <w:basedOn w:val="Bekezdsalapbettpusa"/>
    <w:uiPriority w:val="99"/>
    <w:unhideWhenUsed/>
    <w:rsid w:val="00DD5F01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DD5F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8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AC070-8FD7-4DE2-A03F-ECB107473FE4}">
  <ds:schemaRefs>
    <ds:schemaRef ds:uri="2c325633-5125-4e96-a0a6-9fcd5cfb1c70"/>
    <ds:schemaRef ds:uri="http://purl.org/dc/elements/1.1/"/>
    <ds:schemaRef ds:uri="http://schemas.microsoft.com/office/2006/metadata/properties"/>
    <ds:schemaRef ds:uri="http://purl.org/dc/dcmitype/"/>
    <ds:schemaRef ds:uri="891cce82-80a3-4f9d-897f-e31b6bedd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98A76A7-2987-43DE-81C1-C0EC45354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FCDCBA-0EF5-4650-80CB-D92D251129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C7F949-F094-45CA-9A54-DDEB18B1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26</Pages>
  <Words>10137</Words>
  <Characters>69953</Characters>
  <Application>Microsoft Office Word</Application>
  <DocSecurity>0</DocSecurity>
  <Lines>582</Lines>
  <Paragraphs>159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79931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 OGYI 49.1</cp:lastModifiedBy>
  <cp:revision>4</cp:revision>
  <dcterms:created xsi:type="dcterms:W3CDTF">2026-09-21T15:22:00Z</dcterms:created>
  <dcterms:modified xsi:type="dcterms:W3CDTF">2026-09-22T09:58:00Z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