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CCCA9" w14:textId="77777777" w:rsidR="00B73A6A" w:rsidRPr="00F60174" w:rsidRDefault="00B73A6A" w:rsidP="00920482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1.</w:t>
      </w:r>
      <w:r w:rsidRPr="00F60174">
        <w:rPr>
          <w:rFonts w:ascii="Times New Roman" w:eastAsia="Times New Roman" w:hAnsi="Times New Roman"/>
          <w:b/>
        </w:rPr>
        <w:tab/>
        <w:t>A GYÓGYSZER NEVE</w:t>
      </w:r>
    </w:p>
    <w:p w14:paraId="2854339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14B99D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Palonosetron Kalceks 250 mikrogramm oldatos injekció</w:t>
      </w:r>
    </w:p>
    <w:p w14:paraId="0C59CE9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C56FF2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0881B0A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2.</w:t>
      </w:r>
      <w:r w:rsidRPr="00F60174">
        <w:rPr>
          <w:rFonts w:ascii="Times New Roman" w:eastAsia="Times New Roman" w:hAnsi="Times New Roman"/>
          <w:b/>
        </w:rPr>
        <w:tab/>
        <w:t>MINŐSÉGI ÉS MENNYISÉGI ÖSSZETÉTEL</w:t>
      </w:r>
    </w:p>
    <w:p w14:paraId="608249B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153C23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50 mikrogramm palonoszetront tartalmaz</w:t>
      </w:r>
      <w:r w:rsidR="00775306">
        <w:rPr>
          <w:rFonts w:ascii="Times New Roman" w:eastAsia="Times New Roman" w:hAnsi="Times New Roman"/>
        </w:rPr>
        <w:t xml:space="preserve"> (palonoszetron-</w:t>
      </w:r>
      <w:r w:rsidR="00775306" w:rsidRPr="00F60174">
        <w:rPr>
          <w:rFonts w:ascii="Times New Roman" w:eastAsia="Times New Roman" w:hAnsi="Times New Roman"/>
        </w:rPr>
        <w:t>hidroklorid formájában)</w:t>
      </w:r>
      <w:r w:rsidRPr="00F60174">
        <w:rPr>
          <w:rFonts w:ascii="Times New Roman" w:eastAsia="Times New Roman" w:hAnsi="Times New Roman"/>
        </w:rPr>
        <w:t xml:space="preserve"> milliliterenként </w:t>
      </w:r>
    </w:p>
    <w:p w14:paraId="054E505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250 mikrogramm palonoszetront tartalmaz (</w:t>
      </w:r>
      <w:r w:rsidR="00775306">
        <w:rPr>
          <w:rFonts w:ascii="Times New Roman" w:eastAsia="Times New Roman" w:hAnsi="Times New Roman"/>
        </w:rPr>
        <w:t>palonoszetron-</w:t>
      </w:r>
      <w:r w:rsidRPr="00F60174">
        <w:rPr>
          <w:rFonts w:ascii="Times New Roman" w:eastAsia="Times New Roman" w:hAnsi="Times New Roman"/>
        </w:rPr>
        <w:t>hidroklorid formájában)</w:t>
      </w:r>
      <w:r w:rsidR="00614C07">
        <w:rPr>
          <w:rFonts w:ascii="Times New Roman" w:eastAsia="Times New Roman" w:hAnsi="Times New Roman"/>
        </w:rPr>
        <w:t xml:space="preserve"> 5</w:t>
      </w:r>
      <w:r w:rsidR="0048519B">
        <w:rPr>
          <w:rFonts w:ascii="Times New Roman" w:eastAsia="Times New Roman" w:hAnsi="Times New Roman"/>
        </w:rPr>
        <w:t> </w:t>
      </w:r>
      <w:r w:rsidR="00614C07">
        <w:rPr>
          <w:rFonts w:ascii="Times New Roman" w:eastAsia="Times New Roman" w:hAnsi="Times New Roman"/>
        </w:rPr>
        <w:t>ml-es injekciós ü</w:t>
      </w:r>
      <w:r w:rsidR="00775306">
        <w:rPr>
          <w:rFonts w:ascii="Times New Roman" w:eastAsia="Times New Roman" w:hAnsi="Times New Roman"/>
        </w:rPr>
        <w:t>vegenként</w:t>
      </w:r>
      <w:r w:rsidRPr="00F60174">
        <w:rPr>
          <w:rFonts w:ascii="Times New Roman" w:eastAsia="Times New Roman" w:hAnsi="Times New Roman"/>
        </w:rPr>
        <w:t>.</w:t>
      </w:r>
    </w:p>
    <w:p w14:paraId="286CA7F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B759BD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segédanyagok teljes listáját lásd a 6.1 pontban.</w:t>
      </w:r>
    </w:p>
    <w:p w14:paraId="19E761A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C991E4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92C4E61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3.</w:t>
      </w:r>
      <w:r w:rsidRPr="00F60174">
        <w:rPr>
          <w:rFonts w:ascii="Times New Roman" w:eastAsia="Times New Roman" w:hAnsi="Times New Roman"/>
          <w:b/>
        </w:rPr>
        <w:tab/>
        <w:t>GYÓGYSZERFORMA</w:t>
      </w:r>
    </w:p>
    <w:p w14:paraId="33C7DA5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5104C9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Oldatos injekció.</w:t>
      </w:r>
    </w:p>
    <w:p w14:paraId="2D5728E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Tiszta, színtelen, látható részecskéktől mentes oldat.</w:t>
      </w:r>
    </w:p>
    <w:p w14:paraId="03C8FCE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CD12D9">
        <w:rPr>
          <w:rFonts w:ascii="Times New Roman" w:eastAsia="Times New Roman" w:hAnsi="Times New Roman"/>
        </w:rPr>
        <w:t>pH: 4,5–5,5.</w:t>
      </w:r>
    </w:p>
    <w:p w14:paraId="509B4C1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Ozmolalitás: 280–310 mOsmol/kg.</w:t>
      </w:r>
    </w:p>
    <w:p w14:paraId="70C1DE5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87BE2A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3B43236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</w:t>
      </w:r>
      <w:r w:rsidRPr="00F60174">
        <w:rPr>
          <w:rFonts w:ascii="Times New Roman" w:eastAsia="Times New Roman" w:hAnsi="Times New Roman"/>
          <w:b/>
        </w:rPr>
        <w:tab/>
        <w:t>KLINIKAI JELLEMZŐK</w:t>
      </w:r>
    </w:p>
    <w:p w14:paraId="52F704E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983F01A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4.1</w:t>
      </w:r>
      <w:r w:rsidRPr="00F60174">
        <w:rPr>
          <w:rFonts w:ascii="Times New Roman" w:eastAsia="Times New Roman" w:hAnsi="Times New Roman"/>
          <w:b/>
        </w:rPr>
        <w:tab/>
        <w:t>Terápiás javallatok</w:t>
      </w:r>
    </w:p>
    <w:p w14:paraId="059EFBA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F28DFD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Palonosetron Kalceks felnőttek</w:t>
      </w:r>
      <w:r w:rsidR="00756084">
        <w:rPr>
          <w:rFonts w:ascii="Times New Roman" w:eastAsia="Times New Roman" w:hAnsi="Times New Roman"/>
        </w:rPr>
        <w:t>nek</w:t>
      </w:r>
      <w:r w:rsidRPr="00F60174">
        <w:rPr>
          <w:rFonts w:ascii="Times New Roman" w:eastAsia="Times New Roman" w:hAnsi="Times New Roman"/>
        </w:rPr>
        <w:t xml:space="preserve"> </w:t>
      </w:r>
      <w:r w:rsidR="00775306">
        <w:rPr>
          <w:rFonts w:ascii="Times New Roman" w:eastAsia="Times New Roman" w:hAnsi="Times New Roman"/>
        </w:rPr>
        <w:t>a következőkre</w:t>
      </w:r>
      <w:r w:rsidR="00775306" w:rsidRPr="00F60174">
        <w:rPr>
          <w:rFonts w:ascii="Times New Roman" w:eastAsia="Times New Roman" w:hAnsi="Times New Roman"/>
        </w:rPr>
        <w:t xml:space="preserve"> </w:t>
      </w:r>
      <w:r w:rsidRPr="00F60174">
        <w:rPr>
          <w:rFonts w:ascii="Times New Roman" w:eastAsia="Times New Roman" w:hAnsi="Times New Roman"/>
        </w:rPr>
        <w:t>javallott:</w:t>
      </w:r>
    </w:p>
    <w:p w14:paraId="1E209227" w14:textId="77777777" w:rsidR="00B73A6A" w:rsidRPr="00F60174" w:rsidRDefault="00B73A6A" w:rsidP="0032000A">
      <w:pPr>
        <w:numPr>
          <w:ilvl w:val="0"/>
          <w:numId w:val="7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position w:val="-1"/>
        </w:rPr>
        <w:t>erősen emetogén kemoterápia okozta akut hányinger és hányás megelőzésére,</w:t>
      </w:r>
    </w:p>
    <w:p w14:paraId="6293A17B" w14:textId="77777777" w:rsidR="00B73A6A" w:rsidRPr="00F60174" w:rsidRDefault="00B73A6A" w:rsidP="0032000A">
      <w:pPr>
        <w:numPr>
          <w:ilvl w:val="0"/>
          <w:numId w:val="7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position w:val="-1"/>
        </w:rPr>
        <w:t>közepesen emetogén kemoterápia okozta hányinger és hányás megelőzésére.</w:t>
      </w:r>
    </w:p>
    <w:p w14:paraId="54A6D82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FC0372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Palonosetron Kalceks 1 hónapos és annál idősebb gyermekek</w:t>
      </w:r>
      <w:r w:rsidR="00756084">
        <w:rPr>
          <w:rFonts w:ascii="Times New Roman" w:eastAsia="Times New Roman" w:hAnsi="Times New Roman"/>
        </w:rPr>
        <w:t>nek</w:t>
      </w:r>
      <w:r w:rsidRPr="00F60174">
        <w:rPr>
          <w:rFonts w:ascii="Times New Roman" w:eastAsia="Times New Roman" w:hAnsi="Times New Roman"/>
        </w:rPr>
        <w:t xml:space="preserve"> és serdülők</w:t>
      </w:r>
      <w:r w:rsidR="00756084">
        <w:rPr>
          <w:rFonts w:ascii="Times New Roman" w:eastAsia="Times New Roman" w:hAnsi="Times New Roman"/>
        </w:rPr>
        <w:t>nek a következőkre</w:t>
      </w:r>
      <w:r w:rsidRPr="00F60174">
        <w:rPr>
          <w:rFonts w:ascii="Times New Roman" w:eastAsia="Times New Roman" w:hAnsi="Times New Roman"/>
        </w:rPr>
        <w:t xml:space="preserve"> javallott:</w:t>
      </w:r>
    </w:p>
    <w:p w14:paraId="2C108FDD" w14:textId="77777777" w:rsidR="00B73A6A" w:rsidRPr="0032000A" w:rsidRDefault="00B73A6A" w:rsidP="0032000A">
      <w:pPr>
        <w:numPr>
          <w:ilvl w:val="0"/>
          <w:numId w:val="7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/>
          <w:position w:val="-1"/>
        </w:rPr>
      </w:pPr>
      <w:r w:rsidRPr="0032000A">
        <w:rPr>
          <w:rFonts w:ascii="Times New Roman" w:eastAsia="Times New Roman" w:hAnsi="Times New Roman"/>
          <w:position w:val="-1"/>
        </w:rPr>
        <w:t>erősen emetogén kemoterápia okozta akut hányinger és hányás megelőzésére, valamint közepesen emetogén kemoterápia okozta hányinger és hányás megelőzésére.</w:t>
      </w:r>
    </w:p>
    <w:p w14:paraId="126BC9B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C25F5FA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4.2</w:t>
      </w:r>
      <w:r w:rsidRPr="00F60174">
        <w:rPr>
          <w:rFonts w:ascii="Times New Roman" w:eastAsia="Times New Roman" w:hAnsi="Times New Roman"/>
          <w:b/>
        </w:rPr>
        <w:tab/>
        <w:t>Adagolás és alkalmazás</w:t>
      </w:r>
    </w:p>
    <w:p w14:paraId="675A4DC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E6618C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Palonosetron Kalceks kizárólag a kemoterápiás gyógyszerek beadása előtt alkalmazható. Ezt a gyógyszert egészségügyi szakembernek kell beadnia, megfelelő orvosi felügyelet mellett.</w:t>
      </w:r>
    </w:p>
    <w:p w14:paraId="7DD1ED3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987915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u w:val="single" w:color="000000"/>
        </w:rPr>
      </w:pPr>
      <w:r w:rsidRPr="00F60174">
        <w:rPr>
          <w:rFonts w:ascii="Times New Roman" w:eastAsia="Times New Roman" w:hAnsi="Times New Roman"/>
          <w:u w:val="single" w:color="000000"/>
        </w:rPr>
        <w:t>Adagolás</w:t>
      </w:r>
    </w:p>
    <w:p w14:paraId="60E0397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50A136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Felnőttek</w:t>
      </w:r>
    </w:p>
    <w:p w14:paraId="3E972997" w14:textId="77777777" w:rsidR="00BC29F2" w:rsidRPr="00BC29F2" w:rsidRDefault="00BC29F2" w:rsidP="00BC29F2">
      <w:pPr>
        <w:spacing w:after="0" w:line="240" w:lineRule="auto"/>
        <w:rPr>
          <w:rFonts w:ascii="Times New Roman" w:eastAsia="Times New Roman" w:hAnsi="Times New Roman"/>
        </w:rPr>
      </w:pPr>
      <w:r w:rsidRPr="00BC29F2">
        <w:rPr>
          <w:rFonts w:ascii="Times New Roman" w:eastAsia="Times New Roman" w:hAnsi="Times New Roman"/>
        </w:rPr>
        <w:t>250 mikrogramm palonoszetront a kemoterápia megkezdése előtt körülbelül 30 perccel, egyszeri intravénás bolus injekcióban, 30 másodperc alatt kell beadni.</w:t>
      </w:r>
    </w:p>
    <w:p w14:paraId="4823512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DED5A6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Az erősen emetogén kemoterápia okozta hányinger és hányás megelőzésében a Palonosetron Kalceks hatásossága fokozható, ha a kemoterápiát megelőzően kortikoszteroidot is alkalmaznak.</w:t>
      </w:r>
    </w:p>
    <w:p w14:paraId="65B2DAD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98262B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Idősek</w:t>
      </w:r>
    </w:p>
    <w:p w14:paraId="3A12D76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i/>
        </w:rPr>
      </w:pPr>
      <w:r w:rsidRPr="00F60174">
        <w:rPr>
          <w:rFonts w:ascii="Times New Roman" w:eastAsia="Times New Roman" w:hAnsi="Times New Roman"/>
        </w:rPr>
        <w:t>Idősek esetében nem szükséges a dózis módosítása.</w:t>
      </w:r>
    </w:p>
    <w:p w14:paraId="7FDF90F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i/>
        </w:rPr>
      </w:pPr>
    </w:p>
    <w:p w14:paraId="3EC862AA" w14:textId="77777777" w:rsidR="00B73A6A" w:rsidRPr="00F60174" w:rsidRDefault="00B73A6A" w:rsidP="008D4560">
      <w:pPr>
        <w:keepNext/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lastRenderedPageBreak/>
        <w:t>Gyermekek és serdülők</w:t>
      </w:r>
    </w:p>
    <w:p w14:paraId="287DEA01" w14:textId="77777777" w:rsidR="00B73A6A" w:rsidRPr="00F60174" w:rsidRDefault="00B73A6A" w:rsidP="008D4560">
      <w:pPr>
        <w:keepNext/>
        <w:spacing w:after="0" w:line="240" w:lineRule="auto"/>
        <w:rPr>
          <w:rFonts w:ascii="Times New Roman" w:eastAsia="Times New Roman" w:hAnsi="Times New Roman"/>
        </w:rPr>
      </w:pPr>
    </w:p>
    <w:p w14:paraId="0186DE77" w14:textId="77777777" w:rsidR="00B73A6A" w:rsidRPr="00F60174" w:rsidRDefault="00B73A6A" w:rsidP="008D4560">
      <w:pPr>
        <w:keepNext/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Gyermekek és serdülők (1 hónapos kortól betöltött 18 éves korig):</w:t>
      </w:r>
    </w:p>
    <w:p w14:paraId="2E113441" w14:textId="77777777" w:rsidR="00B73A6A" w:rsidRPr="00F60174" w:rsidRDefault="00B73A6A" w:rsidP="008D4560">
      <w:pPr>
        <w:keepNext/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20 mikrogramm/ttkg (a maximális összdózis nem haladhatja meg az 1500 mikrogrammot) palonoszetron egyszeri, 15 perc alatt beadott intravénás infúzió formájában, amelynek beadását a kemoterápia kezdete előtt körülbelül 30 perccel kell megkezdeni.</w:t>
      </w:r>
    </w:p>
    <w:p w14:paraId="650E5DD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333816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biztonságosságát és hatásosságát 1 hónaposnál fiatalabb gyermekek esetében nem igazolták. Nem állnak rendelkezésre adatok. A palonoszetron 2 évesnél fiatalabb gyermekeknél hányinger és hányás megelőzésére történő alkalmazására vonatkozóan csak korlátozott mennyiségű adat áll rendelkezésre.</w:t>
      </w:r>
    </w:p>
    <w:p w14:paraId="19F7F85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8FE731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Májkárosodás</w:t>
      </w:r>
    </w:p>
    <w:p w14:paraId="3491817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Májkárosodás esetén nem szükséges a dózis módosítása.</w:t>
      </w:r>
    </w:p>
    <w:p w14:paraId="4D20526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C0503C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Vesekárosodás</w:t>
      </w:r>
    </w:p>
    <w:p w14:paraId="176F513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Vesekárosodás esetén nem szükséges a dózis módosítása.</w:t>
      </w:r>
    </w:p>
    <w:p w14:paraId="248ACBE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Végstádiumú vesebetegségben szenvedő, hemodialízisben részesülő betegekre vonatkozóan nem állnak rendelkezésre adatok.</w:t>
      </w:r>
    </w:p>
    <w:p w14:paraId="7BBCFD22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C48059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u w:val="single" w:color="000000"/>
        </w:rPr>
      </w:pPr>
      <w:r w:rsidRPr="00F60174">
        <w:rPr>
          <w:rFonts w:ascii="Times New Roman" w:eastAsia="Times New Roman" w:hAnsi="Times New Roman"/>
          <w:u w:val="single" w:color="000000"/>
        </w:rPr>
        <w:t>Az alkalmazás módja</w:t>
      </w:r>
    </w:p>
    <w:p w14:paraId="120BAF5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552D15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Intravénás alkalmazásra.</w:t>
      </w:r>
    </w:p>
    <w:p w14:paraId="3535883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noProof/>
        </w:rPr>
      </w:pPr>
      <w:r w:rsidRPr="00F60174">
        <w:rPr>
          <w:rFonts w:ascii="Times New Roman" w:eastAsia="Times New Roman" w:hAnsi="Times New Roman"/>
          <w:noProof/>
        </w:rPr>
        <w:t>A gyógyszer alkalmazás előtti hígítására vonatkozó utasításokat lásd a 6.6 pontban.</w:t>
      </w:r>
    </w:p>
    <w:p w14:paraId="61B773C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5E0A1C8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4.3</w:t>
      </w:r>
      <w:r w:rsidRPr="00F60174">
        <w:rPr>
          <w:rFonts w:ascii="Times New Roman" w:eastAsia="Times New Roman" w:hAnsi="Times New Roman"/>
          <w:b/>
        </w:rPr>
        <w:tab/>
        <w:t>Ellenjavallatok</w:t>
      </w:r>
    </w:p>
    <w:p w14:paraId="25AB5A5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9B65A0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készítmény hatóanyagával vagy a 6.1 pontban felsorolt bármely segédanyagával szembeni túlérzékenység.</w:t>
      </w:r>
    </w:p>
    <w:p w14:paraId="23A9B4B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0876E7B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4.4</w:t>
      </w:r>
      <w:r w:rsidRPr="00F60174">
        <w:rPr>
          <w:rFonts w:ascii="Times New Roman" w:eastAsia="Times New Roman" w:hAnsi="Times New Roman"/>
          <w:b/>
        </w:rPr>
        <w:tab/>
        <w:t>Különleges figyelmeztetések és az alkalmazással kapcsolatos óvintézkedések</w:t>
      </w:r>
    </w:p>
    <w:p w14:paraId="26A64AE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493B70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Mivel a palonoszetron megnövelheti a vastagbél tranzitidejét, a készítmény alkalmazását követően monitorozni kell azokat a betegeket, akiknek a kórelőzményében székrekedés szerepel vagy akiknél szubakut bélelzáródás jelei mutatkoznak. 750 mikrogramm palonoszetronnal összefüggésben két esetben számoltak be kórházi kezelést igénylő, székletimpactatióval járó székrekedésről.</w:t>
      </w:r>
    </w:p>
    <w:p w14:paraId="41E0D20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8E6D5A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egyetlen vizsgált dózisszinten sem indukált klinikailag szignifikáns QTc-intervallum-megnyúlást. A palonoszetron QT/QTc-intervallumra gyakorolt hatását igazoló, meghatározó adatok gyűjtése céljából egészséges önkéntesek körében specifikus, részletes QT/QTc-vizsgálatot végeztek (lásd 5.1 pont).</w:t>
      </w:r>
    </w:p>
    <w:p w14:paraId="7AA013F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A2B5E9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Más 5HT</w:t>
      </w:r>
      <w:r w:rsidRPr="00F60174">
        <w:rPr>
          <w:rFonts w:ascii="Times New Roman" w:eastAsia="Times New Roman" w:hAnsi="Times New Roman"/>
          <w:w w:val="99"/>
          <w:vertAlign w:val="subscript"/>
        </w:rPr>
        <w:t>3</w:t>
      </w:r>
      <w:r w:rsidRPr="00F60174">
        <w:rPr>
          <w:rFonts w:ascii="Times New Roman" w:eastAsia="Times New Roman" w:hAnsi="Times New Roman"/>
        </w:rPr>
        <w:t>-antagonistához hasonlóan azonban, óvatosan kell eljárni a palonoszetron alkalmazásakor olyan betegeknél, akiknél QT-intervallum megnyúlás alakult ki, vagy valószínű ennek kialakulása. Azok a betegek tartoznak ebbe a csoportba, akiknek a személyes vagy családi anamnézisében QT</w:t>
      </w:r>
      <w:r w:rsidRPr="00F60174">
        <w:rPr>
          <w:rFonts w:ascii="Times New Roman" w:eastAsia="Times New Roman" w:hAnsi="Times New Roman"/>
        </w:rPr>
        <w:noBreakHyphen/>
        <w:t>intervallum megnyúlás, az elektrolitháztartás zavara, pangásos szívelégtelenség, bradyarrhytmiák, ingerületvezetési zavarok fordulnak elő, valamint akik antiarritmiás gyógyszereket, vagy a QT</w:t>
      </w:r>
      <w:r w:rsidRPr="00F60174">
        <w:rPr>
          <w:rFonts w:ascii="Times New Roman" w:eastAsia="Times New Roman" w:hAnsi="Times New Roman"/>
        </w:rPr>
        <w:noBreakHyphen/>
        <w:t>intervallum megnyúlását vagy elektrolitzavarokat okozó egyéb gyógyszereket szednek. A hypokalaemiát és hypomagnesaemiát az 5HT</w:t>
      </w:r>
      <w:r w:rsidRPr="00F60174">
        <w:rPr>
          <w:rFonts w:ascii="Times New Roman" w:eastAsia="Times New Roman" w:hAnsi="Times New Roman"/>
          <w:w w:val="99"/>
          <w:vertAlign w:val="subscript"/>
        </w:rPr>
        <w:t>3</w:t>
      </w:r>
      <w:r w:rsidRPr="00F60174">
        <w:rPr>
          <w:rFonts w:ascii="Times New Roman" w:eastAsia="Times New Roman" w:hAnsi="Times New Roman"/>
        </w:rPr>
        <w:t>-antagonista alkalmazása előtt korrigálni kell.</w:t>
      </w:r>
    </w:p>
    <w:p w14:paraId="1CD9DCE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CFBFC94" w14:textId="77777777" w:rsidR="00B73A6A" w:rsidRPr="00F60174" w:rsidRDefault="00B73A6A" w:rsidP="00B73A6A">
      <w:pPr>
        <w:spacing w:after="0" w:line="240" w:lineRule="auto"/>
        <w:ind w:firstLine="1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Szerotonin-szindróma eseteiről számoltak be 5HT</w:t>
      </w:r>
      <w:r w:rsidRPr="00F60174">
        <w:rPr>
          <w:rFonts w:ascii="Times New Roman" w:eastAsia="Times New Roman" w:hAnsi="Times New Roman"/>
          <w:w w:val="99"/>
          <w:vertAlign w:val="subscript"/>
        </w:rPr>
        <w:t>3</w:t>
      </w:r>
      <w:r w:rsidRPr="00F60174">
        <w:rPr>
          <w:rFonts w:ascii="Times New Roman" w:eastAsia="Times New Roman" w:hAnsi="Times New Roman"/>
        </w:rPr>
        <w:t>-antagonisták alkalmazásakor, akár önmagukban, akár egyéb szerotonerg gyógyszerekkel (köztük szelektív szerotoninvisszavétel-gátlókkal [SSRI] és szerotonin-noradrenalin-visszavétel-gátlókkal [SNRI]) kombinációban. A betegeknél javasolt a szerotonin-szindróma-szerű tünetek megfelelő megfigyelése.</w:t>
      </w:r>
    </w:p>
    <w:p w14:paraId="1A15AD3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CA386D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a kemoterápiát követő napokban nem alkalmazható a hányinger és a hányás megelőzésére és kezelésére, kivéve, ha az egy újabb kemoterápiás kezelés miatt válik szükségessé.</w:t>
      </w:r>
    </w:p>
    <w:p w14:paraId="3878370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6E4C4D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CD12D9">
        <w:rPr>
          <w:rFonts w:ascii="Times New Roman" w:eastAsia="Times New Roman" w:hAnsi="Times New Roman"/>
        </w:rPr>
        <w:t>A készítmény kevesebb mint 1 mmol (23 mg) nátriumot tartalmaz injekciós üvegenként, azaz gyakorlatilag „nátriummentes”.</w:t>
      </w:r>
    </w:p>
    <w:p w14:paraId="416135A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953A906" w14:textId="77777777" w:rsidR="00B73A6A" w:rsidRPr="00CD12D9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b/>
        </w:rPr>
      </w:pPr>
      <w:r w:rsidRPr="00F60174">
        <w:rPr>
          <w:rFonts w:ascii="Times New Roman" w:eastAsia="Times New Roman" w:hAnsi="Times New Roman"/>
          <w:b/>
        </w:rPr>
        <w:t>4.5</w:t>
      </w:r>
      <w:r w:rsidRPr="00F60174">
        <w:rPr>
          <w:rFonts w:ascii="Times New Roman" w:eastAsia="Times New Roman" w:hAnsi="Times New Roman"/>
          <w:b/>
        </w:rPr>
        <w:tab/>
        <w:t>Gyógyszerkölcsönhatások és egyéb interakciók</w:t>
      </w:r>
    </w:p>
    <w:p w14:paraId="298819DB" w14:textId="77777777" w:rsidR="00B73A6A" w:rsidRPr="00F60174" w:rsidRDefault="00B73A6A" w:rsidP="00CD12D9">
      <w:pPr>
        <w:spacing w:after="0" w:line="240" w:lineRule="auto"/>
        <w:rPr>
          <w:rFonts w:ascii="Times New Roman" w:eastAsia="Times New Roman" w:hAnsi="Times New Roman"/>
        </w:rPr>
      </w:pPr>
    </w:p>
    <w:p w14:paraId="6554B5C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 xml:space="preserve">A palonoszetron elsősorban a CYP2D6 révén metabolizálódik, melyhez kis mértékben a CYP3A4 és a CYP1A2 izoenzimek is hozzájárulnak. </w:t>
      </w:r>
      <w:r w:rsidRPr="00F60174">
        <w:rPr>
          <w:rFonts w:ascii="Times New Roman" w:eastAsia="Times New Roman" w:hAnsi="Times New Roman"/>
          <w:i/>
        </w:rPr>
        <w:t xml:space="preserve">In vitro </w:t>
      </w:r>
      <w:r w:rsidRPr="00F60174">
        <w:rPr>
          <w:rFonts w:ascii="Times New Roman" w:eastAsia="Times New Roman" w:hAnsi="Times New Roman"/>
        </w:rPr>
        <w:t>vizsgálatok alapján a palonoszetron klinikailag releváns koncentrációkban nem gátolja és nem is indukálja a citokróm P450 izoenzimet.</w:t>
      </w:r>
    </w:p>
    <w:p w14:paraId="7DCDAD1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6762E7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Kemoterápiás szerek</w:t>
      </w:r>
    </w:p>
    <w:p w14:paraId="0EE230E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Preklinikai vizsgálatokban a palonoszetron nem gátolta az öt vizsgált kemoterápiás szer (ciszplatin, ciklofoszfamid, citarabin, doxorubicin és mitomicin C) tumorellenes hatását.</w:t>
      </w:r>
    </w:p>
    <w:p w14:paraId="1679D57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AFE489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Metoklopramid</w:t>
      </w:r>
    </w:p>
    <w:p w14:paraId="68346C7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Egy klinikai vizsgálat során nem volt kimutatható jelentős farmakokinetikai kölcsönhatás a palonoszetron egyszeri intravénás dózisa és az orálisan adott CYP2D6-inhibitor metoklopramid egyensúlyi koncentrációja között.</w:t>
      </w:r>
    </w:p>
    <w:p w14:paraId="3E325C1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D02A03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CYP2D6 indukáló és gátló szerek</w:t>
      </w:r>
    </w:p>
    <w:p w14:paraId="58C82B2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Egy populációs farmakokinetikai elemzés során kimutatták, hogy a palonoszetron clearance-ére nem volt jelentős hatással a palonoszetron CYP2D6 indukáló szerekkel (dexametazon és rifampicin) vagy CYP2D6-inhibitorokkal (amiodaron, celekoxib, klórpromazin, cimetidin, doxorubicin, fluoxetin, haloperidol, paroxetin, kinidin, ranitidin, ritonavir, szertralin vagy terbinafin) történő együttadása.</w:t>
      </w:r>
    </w:p>
    <w:p w14:paraId="122B54B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35E1ED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Kortikoszteroidok</w:t>
      </w:r>
    </w:p>
    <w:p w14:paraId="6CD1EB9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palonoszetront kortikoszteroidokkal együtt biztonságosan alkalmazták.</w:t>
      </w:r>
    </w:p>
    <w:p w14:paraId="4C4785E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EE9A3F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Szerotonerg gyógyszerek (például SSRI-k és SNRI-k)</w:t>
      </w:r>
    </w:p>
    <w:p w14:paraId="144551B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position w:val="1"/>
        </w:rPr>
        <w:t>5HT</w:t>
      </w:r>
      <w:r w:rsidRPr="00F60174">
        <w:rPr>
          <w:rFonts w:ascii="Times New Roman" w:eastAsia="Times New Roman" w:hAnsi="Times New Roman"/>
          <w:vertAlign w:val="subscript"/>
        </w:rPr>
        <w:t>3</w:t>
      </w:r>
      <w:r w:rsidRPr="00F60174">
        <w:rPr>
          <w:rFonts w:ascii="Times New Roman" w:eastAsia="Times New Roman" w:hAnsi="Times New Roman"/>
          <w:position w:val="1"/>
        </w:rPr>
        <w:t>-antagonisták és egyéb szerotonerg gyógyszerek (köztük SSRI-k és SNRI-k) egyidejű</w:t>
      </w:r>
      <w:r w:rsidRPr="00F60174">
        <w:rPr>
          <w:rFonts w:ascii="Times New Roman" w:eastAsia="Times New Roman" w:hAnsi="Times New Roman"/>
        </w:rPr>
        <w:t xml:space="preserve"> alkalmazása után szerotonin-szindróma eseteiről számoltak be.</w:t>
      </w:r>
    </w:p>
    <w:p w14:paraId="425DB34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FB368B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Egyéb gyógyszerek</w:t>
      </w:r>
    </w:p>
    <w:p w14:paraId="40C3DCC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palonoszetront analgetikumokkal, antiemetikumokkal/hányinger elleni szerekkel, görcsoldókkal és antikolinerg szerekkel együtt biztonságosan alkalmazták.</w:t>
      </w:r>
    </w:p>
    <w:p w14:paraId="34F900D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FA28722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4.6</w:t>
      </w:r>
      <w:r w:rsidRPr="00F60174">
        <w:rPr>
          <w:rFonts w:ascii="Times New Roman" w:eastAsia="Times New Roman" w:hAnsi="Times New Roman"/>
          <w:b/>
        </w:rPr>
        <w:tab/>
        <w:t>Termékenység, terhesség és szoptatás</w:t>
      </w:r>
    </w:p>
    <w:p w14:paraId="2926F852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7113AE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Terhesség</w:t>
      </w:r>
    </w:p>
    <w:p w14:paraId="4B0CA27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palonoszetronnal kapcsolatban nincsenek terhességre vonatkozó klinikai adatok. Az állatkísérletek nem igazoltak a terhességet, az embrionális/magzati fejlődést, a szülést vagy a születés utáni fejlődést befolyásoló direkt vagy indirekt káros hatásokat. A placentán történő átjutással kapcsolatban csak korlátozott mennyiségű állatkísérletekből származó adat áll rendelkezésre (lásd 5.3 pont).</w:t>
      </w:r>
    </w:p>
    <w:p w14:paraId="3EC1186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Nincs tapasztalat a palonoszetron humán terhesség során történő alkalmazásában. Ezért a palonoszetron</w:t>
      </w:r>
      <w:r w:rsidRPr="00F60174">
        <w:rPr>
          <w:rFonts w:ascii="Times New Roman" w:eastAsia="Times New Roman" w:hAnsi="Times New Roman"/>
          <w:position w:val="-1"/>
        </w:rPr>
        <w:t xml:space="preserve"> alkalmazása terhes nőknél nem ajánlott, kivéve, ha azt a kezelőorvos feltétlenül szükségesnek tartja.</w:t>
      </w:r>
    </w:p>
    <w:p w14:paraId="10D10BB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EBB5A7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Szoptatás</w:t>
      </w:r>
    </w:p>
    <w:p w14:paraId="3489C7F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Mivel a palonoszetron anyatejbe történő kiválasztódásáról nem állnak rendelkezésre adatok, a szoptatást a kezelés alatt abba kell hagyni.</w:t>
      </w:r>
    </w:p>
    <w:p w14:paraId="24CA296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AA3FF6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Termékenység</w:t>
      </w:r>
    </w:p>
    <w:p w14:paraId="008922B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b/>
        </w:rPr>
      </w:pPr>
      <w:r w:rsidRPr="00F60174">
        <w:rPr>
          <w:rFonts w:ascii="Times New Roman" w:eastAsia="Times New Roman" w:hAnsi="Times New Roman"/>
        </w:rPr>
        <w:t>A palonoszetron termékenységre gyakorolt hatásaira vonatkozóan nem állnak rendelkezésre adatok.</w:t>
      </w:r>
    </w:p>
    <w:p w14:paraId="28050D9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4E7F8AE" w14:textId="77777777" w:rsidR="00B73A6A" w:rsidRPr="00F60174" w:rsidRDefault="00B73A6A" w:rsidP="008D4560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lastRenderedPageBreak/>
        <w:t>4.7</w:t>
      </w:r>
      <w:r w:rsidRPr="00F60174">
        <w:rPr>
          <w:rFonts w:ascii="Times New Roman" w:eastAsia="Times New Roman" w:hAnsi="Times New Roman"/>
          <w:b/>
        </w:rPr>
        <w:tab/>
        <w:t>A készítmény hatásai a gépjárművezetéshez és a gépek kezeléséhez szükséges képességekre</w:t>
      </w:r>
    </w:p>
    <w:p w14:paraId="323C1CD7" w14:textId="77777777" w:rsidR="00B73A6A" w:rsidRPr="00F60174" w:rsidRDefault="00B73A6A" w:rsidP="008D4560">
      <w:pPr>
        <w:keepNext/>
        <w:spacing w:after="0" w:line="240" w:lineRule="auto"/>
        <w:rPr>
          <w:rFonts w:ascii="Times New Roman" w:eastAsia="Times New Roman" w:hAnsi="Times New Roman"/>
        </w:rPr>
      </w:pPr>
    </w:p>
    <w:p w14:paraId="472B3C5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készítmény gépjárművezetéshez és gépek kezeléséhez szükséges képességeket befolyásoló hatásait nem vizsgálták.</w:t>
      </w:r>
    </w:p>
    <w:p w14:paraId="60B7E14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Mivel a palonoszetron szédülést, álmosságot vagy fáradékonyságot okozhat, azokat a betegeket, akik gépjárművet vezetnek vagy gépeket üzemeltetnek, erre figyelmeztetni kell.</w:t>
      </w:r>
    </w:p>
    <w:p w14:paraId="094B2A2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39DED12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4.8</w:t>
      </w:r>
      <w:r w:rsidRPr="00F60174">
        <w:rPr>
          <w:rFonts w:ascii="Times New Roman" w:eastAsia="Times New Roman" w:hAnsi="Times New Roman"/>
          <w:b/>
        </w:rPr>
        <w:tab/>
        <w:t>Nemkívánatos hatások, mellékhatások</w:t>
      </w:r>
    </w:p>
    <w:p w14:paraId="7C9C948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DFA890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Felnőttek bevonásával végzett klinikai vizsgálatokban 250 mikrogrammos dózis mellett (összesen 633 betegnél) a leggyakrabban észlelt mellékhatások, amelyeket legalább valószínűsíthetően a palonoszetron okozott, a fejfájás (9%) és a székrekedés (5%) voltak.</w:t>
      </w:r>
    </w:p>
    <w:p w14:paraId="2F66F1B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B53A0B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klinikai vizsgálatokban az alábbi, esetlegesen vagy feltehetően a palonoszetronnal járó mellékhatásokat figyelték meg.</w:t>
      </w:r>
    </w:p>
    <w:p w14:paraId="724A79C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Ezeket gyakori (≥ 1/100–&lt; 1/10) vagy nem gyakori (≥ 1/1000–&lt; 1/100) mellékhatásokként osztályozták.</w:t>
      </w:r>
    </w:p>
    <w:p w14:paraId="2E2DCE0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Nagyon ritka (&lt; 1/10 000) mellékhatásokról a forgalomba hozatalt követően számoltak be.</w:t>
      </w:r>
    </w:p>
    <w:p w14:paraId="2E46F37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Az egyes gyakorisági kategóriákon belül a mellékhatások csökkenő súlyosság szerint kerülnek</w:t>
      </w:r>
      <w:r w:rsidRPr="00F60174">
        <w:rPr>
          <w:rFonts w:ascii="Times New Roman" w:eastAsia="Times New Roman" w:hAnsi="Times New Roman"/>
          <w:position w:val="-1"/>
        </w:rPr>
        <w:t xml:space="preserve"> bemutatásra.</w:t>
      </w:r>
    </w:p>
    <w:p w14:paraId="72F7B44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4"/>
        <w:gridCol w:w="2042"/>
        <w:gridCol w:w="2232"/>
        <w:gridCol w:w="2073"/>
      </w:tblGrid>
      <w:tr w:rsidR="00B73A6A" w:rsidRPr="008B7FEC" w14:paraId="34A07922" w14:textId="77777777" w:rsidTr="008B7FEC">
        <w:trPr>
          <w:tblHeader/>
        </w:trPr>
        <w:tc>
          <w:tcPr>
            <w:tcW w:w="2841" w:type="dxa"/>
          </w:tcPr>
          <w:p w14:paraId="23CD39DB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  <w:b/>
              </w:rPr>
              <w:t>Szervrendszer</w:t>
            </w:r>
          </w:p>
          <w:p w14:paraId="1331437A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8" w:type="dxa"/>
          </w:tcPr>
          <w:p w14:paraId="63F66CA5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Gyakori</w:t>
            </w:r>
          </w:p>
          <w:p w14:paraId="7FB2E129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  <w:b/>
              </w:rPr>
              <w:t>(1/100–&lt; 1/10)</w:t>
            </w:r>
          </w:p>
        </w:tc>
        <w:tc>
          <w:tcPr>
            <w:tcW w:w="2171" w:type="dxa"/>
          </w:tcPr>
          <w:p w14:paraId="0C74DF54" w14:textId="77777777" w:rsidR="00B73A6A" w:rsidRPr="008B7FEC" w:rsidRDefault="00B73A6A" w:rsidP="008B7FEC">
            <w:pPr>
              <w:spacing w:after="0" w:line="240" w:lineRule="auto"/>
              <w:ind w:hanging="1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Nem gyakori</w:t>
            </w:r>
          </w:p>
          <w:p w14:paraId="7AA84FAF" w14:textId="77777777" w:rsidR="00B73A6A" w:rsidRPr="008B7FEC" w:rsidRDefault="00B73A6A" w:rsidP="008B7FEC">
            <w:pPr>
              <w:spacing w:after="0" w:line="240" w:lineRule="auto"/>
              <w:ind w:hanging="1"/>
              <w:jc w:val="center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  <w:b/>
              </w:rPr>
              <w:t>(1/1000–&lt; 1/100)</w:t>
            </w:r>
          </w:p>
          <w:p w14:paraId="2605F94B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8" w:type="dxa"/>
          </w:tcPr>
          <w:p w14:paraId="4E396A84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Nagyon ritka</w:t>
            </w:r>
            <w:r w:rsidRPr="008B7FEC">
              <w:rPr>
                <w:rFonts w:ascii="Times New Roman" w:hAnsi="Times New Roman"/>
                <w:b/>
                <w:bCs/>
              </w:rPr>
              <w:t>°</w:t>
            </w:r>
          </w:p>
          <w:p w14:paraId="0BB8339B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  <w:b/>
              </w:rPr>
              <w:t>(&lt; 1/10 000)</w:t>
            </w:r>
          </w:p>
        </w:tc>
      </w:tr>
      <w:tr w:rsidR="00B73A6A" w:rsidRPr="008B7FEC" w14:paraId="4630F66F" w14:textId="77777777" w:rsidTr="008B7FEC">
        <w:tc>
          <w:tcPr>
            <w:tcW w:w="2841" w:type="dxa"/>
          </w:tcPr>
          <w:p w14:paraId="0B53CD32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Immunrendszeri betegségek és tünetek</w:t>
            </w:r>
          </w:p>
          <w:p w14:paraId="28F3A15A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8" w:type="dxa"/>
          </w:tcPr>
          <w:p w14:paraId="2581B74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7C615132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8" w:type="dxa"/>
          </w:tcPr>
          <w:p w14:paraId="3C74D7A9" w14:textId="77777777" w:rsidR="00B73A6A" w:rsidRPr="008B7FEC" w:rsidRDefault="00B73A6A" w:rsidP="008B7FEC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túlérzékenység, anaphylaxia, anaphylaxiás/</w:t>
            </w:r>
          </w:p>
          <w:p w14:paraId="698248D5" w14:textId="77777777" w:rsidR="00B73A6A" w:rsidRPr="008B7FEC" w:rsidRDefault="00B73A6A" w:rsidP="008B7FEC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anaphylactoid reakciók és so</w:t>
            </w:r>
            <w:r w:rsidR="000A2D8F" w:rsidRPr="008B7FEC">
              <w:rPr>
                <w:rFonts w:ascii="Times New Roman" w:hAnsi="Times New Roman"/>
              </w:rPr>
              <w:t>k</w:t>
            </w:r>
            <w:r w:rsidRPr="008B7FEC">
              <w:rPr>
                <w:rFonts w:ascii="Times New Roman" w:hAnsi="Times New Roman"/>
              </w:rPr>
              <w:t>k</w:t>
            </w:r>
          </w:p>
        </w:tc>
      </w:tr>
      <w:tr w:rsidR="00B73A6A" w:rsidRPr="008B7FEC" w14:paraId="486805B6" w14:textId="77777777" w:rsidTr="008B7FEC">
        <w:tc>
          <w:tcPr>
            <w:tcW w:w="2841" w:type="dxa"/>
          </w:tcPr>
          <w:p w14:paraId="5F6ADF1B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Anyagcsere- és táplálkozási betegségek és tünetek</w:t>
            </w:r>
          </w:p>
          <w:p w14:paraId="21FE0665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8" w:type="dxa"/>
          </w:tcPr>
          <w:p w14:paraId="294826A3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4FFEFBCD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hyperkalaemia, anyagcserezavarok, hypocalcaemia, hypokalaemia, anorexia, hyperglykaemia, csökkent étvágy</w:t>
            </w:r>
          </w:p>
        </w:tc>
        <w:tc>
          <w:tcPr>
            <w:tcW w:w="2138" w:type="dxa"/>
          </w:tcPr>
          <w:p w14:paraId="040ED758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68CE505C" w14:textId="77777777" w:rsidTr="008B7FEC">
        <w:tc>
          <w:tcPr>
            <w:tcW w:w="2841" w:type="dxa"/>
          </w:tcPr>
          <w:p w14:paraId="59B0008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  <w:position w:val="-1"/>
              </w:rPr>
              <w:t>Pszichiátriai kórképek</w:t>
            </w:r>
          </w:p>
        </w:tc>
        <w:tc>
          <w:tcPr>
            <w:tcW w:w="2138" w:type="dxa"/>
          </w:tcPr>
          <w:p w14:paraId="50119DC6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4EDEA77F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  <w:position w:val="-1"/>
              </w:rPr>
            </w:pPr>
            <w:r w:rsidRPr="008B7FEC">
              <w:rPr>
                <w:rFonts w:ascii="Times New Roman" w:hAnsi="Times New Roman"/>
                <w:position w:val="-1"/>
              </w:rPr>
              <w:t>szorongás,</w:t>
            </w:r>
          </w:p>
          <w:p w14:paraId="4ECC828F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  <w:position w:val="-1"/>
              </w:rPr>
              <w:t>eufóri</w:t>
            </w:r>
            <w:r w:rsidR="003E3DC8" w:rsidRPr="008B7FEC">
              <w:rPr>
                <w:rFonts w:ascii="Times New Roman" w:hAnsi="Times New Roman"/>
                <w:position w:val="-1"/>
              </w:rPr>
              <w:t>kus</w:t>
            </w:r>
            <w:r w:rsidRPr="008B7FEC">
              <w:rPr>
                <w:rFonts w:ascii="Times New Roman" w:hAnsi="Times New Roman"/>
                <w:position w:val="-1"/>
              </w:rPr>
              <w:t xml:space="preserve"> </w:t>
            </w:r>
            <w:r w:rsidR="003E3DC8" w:rsidRPr="008B7FEC">
              <w:rPr>
                <w:rFonts w:ascii="Times New Roman" w:hAnsi="Times New Roman"/>
                <w:position w:val="-1"/>
              </w:rPr>
              <w:t>hangulat</w:t>
            </w:r>
          </w:p>
        </w:tc>
        <w:tc>
          <w:tcPr>
            <w:tcW w:w="2138" w:type="dxa"/>
          </w:tcPr>
          <w:p w14:paraId="16B9967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179994AB" w14:textId="77777777" w:rsidTr="008B7FEC">
        <w:tc>
          <w:tcPr>
            <w:tcW w:w="2841" w:type="dxa"/>
          </w:tcPr>
          <w:p w14:paraId="4DEDC04C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Idegrendszeri betegségek és tünetek</w:t>
            </w:r>
          </w:p>
        </w:tc>
        <w:tc>
          <w:tcPr>
            <w:tcW w:w="2138" w:type="dxa"/>
          </w:tcPr>
          <w:p w14:paraId="34F70C83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fejfájás,</w:t>
            </w:r>
          </w:p>
          <w:p w14:paraId="04A7BC75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szédülés</w:t>
            </w:r>
          </w:p>
        </w:tc>
        <w:tc>
          <w:tcPr>
            <w:tcW w:w="2171" w:type="dxa"/>
          </w:tcPr>
          <w:p w14:paraId="31F59731" w14:textId="77777777" w:rsidR="00B73A6A" w:rsidRPr="008B7FEC" w:rsidRDefault="00B73A6A" w:rsidP="008B7FEC">
            <w:pPr>
              <w:spacing w:after="0" w:line="240" w:lineRule="auto"/>
              <w:ind w:hanging="29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álmosság,</w:t>
            </w:r>
          </w:p>
          <w:p w14:paraId="35B5FF9A" w14:textId="77777777" w:rsidR="00B73A6A" w:rsidRPr="008B7FEC" w:rsidRDefault="00B73A6A" w:rsidP="008B7FEC">
            <w:pPr>
              <w:spacing w:after="0" w:line="240" w:lineRule="auto"/>
              <w:ind w:hanging="29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insomnia, paraesthesia, hypersomnia, perifériás szenzoros neuropathia</w:t>
            </w:r>
          </w:p>
        </w:tc>
        <w:tc>
          <w:tcPr>
            <w:tcW w:w="2138" w:type="dxa"/>
          </w:tcPr>
          <w:p w14:paraId="221B97C1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73A5A0D5" w14:textId="77777777" w:rsidTr="008B7FEC">
        <w:tc>
          <w:tcPr>
            <w:tcW w:w="2841" w:type="dxa"/>
          </w:tcPr>
          <w:p w14:paraId="79E91785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Szembetegségek és szemészeti tünetek</w:t>
            </w:r>
          </w:p>
        </w:tc>
        <w:tc>
          <w:tcPr>
            <w:tcW w:w="2138" w:type="dxa"/>
          </w:tcPr>
          <w:p w14:paraId="7E383A61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4E249F30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szemirritáció, amblyopia</w:t>
            </w:r>
          </w:p>
          <w:p w14:paraId="6DFBC954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8" w:type="dxa"/>
          </w:tcPr>
          <w:p w14:paraId="6F6793FF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663642B2" w14:textId="77777777" w:rsidTr="008B7FEC">
        <w:tc>
          <w:tcPr>
            <w:tcW w:w="2841" w:type="dxa"/>
          </w:tcPr>
          <w:p w14:paraId="34180DAE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 fül és az egyensúly-érzékelő szerv betegségei és tünetei</w:t>
            </w:r>
          </w:p>
        </w:tc>
        <w:tc>
          <w:tcPr>
            <w:tcW w:w="2138" w:type="dxa"/>
          </w:tcPr>
          <w:p w14:paraId="19D1A142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1A241AAD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kinetosis,</w:t>
            </w:r>
          </w:p>
          <w:p w14:paraId="76200D13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tinnitus</w:t>
            </w:r>
          </w:p>
        </w:tc>
        <w:tc>
          <w:tcPr>
            <w:tcW w:w="2138" w:type="dxa"/>
          </w:tcPr>
          <w:p w14:paraId="46A294E0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0A2093C8" w14:textId="77777777" w:rsidTr="008B7FEC">
        <w:tc>
          <w:tcPr>
            <w:tcW w:w="2841" w:type="dxa"/>
          </w:tcPr>
          <w:p w14:paraId="4AA98107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Szívbetegségek és a szívvel kapcsolatos tünetek</w:t>
            </w:r>
          </w:p>
        </w:tc>
        <w:tc>
          <w:tcPr>
            <w:tcW w:w="2138" w:type="dxa"/>
          </w:tcPr>
          <w:p w14:paraId="63C7C5A1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01F59466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 xml:space="preserve">tachycardia, bradycardia, extrasystolék, myocardialis ischaemia, </w:t>
            </w:r>
          </w:p>
          <w:p w14:paraId="454AB78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 xml:space="preserve">sinus tachycardia, sinus arrhythmia, </w:t>
            </w:r>
            <w:r w:rsidRPr="008B7FEC">
              <w:rPr>
                <w:rFonts w:ascii="Times New Roman" w:hAnsi="Times New Roman"/>
              </w:rPr>
              <w:lastRenderedPageBreak/>
              <w:t>supraventricularis extrasystolék</w:t>
            </w:r>
          </w:p>
        </w:tc>
        <w:tc>
          <w:tcPr>
            <w:tcW w:w="2138" w:type="dxa"/>
          </w:tcPr>
          <w:p w14:paraId="5E70029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1865BB87" w14:textId="77777777" w:rsidTr="008B7FEC">
        <w:tc>
          <w:tcPr>
            <w:tcW w:w="2841" w:type="dxa"/>
          </w:tcPr>
          <w:p w14:paraId="1ED21E3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Érbetegségek és tünetek</w:t>
            </w:r>
          </w:p>
        </w:tc>
        <w:tc>
          <w:tcPr>
            <w:tcW w:w="2138" w:type="dxa"/>
          </w:tcPr>
          <w:p w14:paraId="7DDE3DE1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51F8E463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hypot</w:t>
            </w:r>
            <w:r w:rsidR="003E3DC8" w:rsidRPr="008B7FEC">
              <w:rPr>
                <w:rFonts w:ascii="Times New Roman" w:hAnsi="Times New Roman"/>
              </w:rPr>
              <w:t>o</w:t>
            </w:r>
            <w:r w:rsidRPr="008B7FEC">
              <w:rPr>
                <w:rFonts w:ascii="Times New Roman" w:hAnsi="Times New Roman"/>
              </w:rPr>
              <w:t>ni</w:t>
            </w:r>
            <w:r w:rsidR="003E3DC8" w:rsidRPr="008B7FEC">
              <w:rPr>
                <w:rFonts w:ascii="Times New Roman" w:hAnsi="Times New Roman"/>
              </w:rPr>
              <w:t>a</w:t>
            </w:r>
            <w:r w:rsidRPr="008B7FEC">
              <w:rPr>
                <w:rFonts w:ascii="Times New Roman" w:hAnsi="Times New Roman"/>
              </w:rPr>
              <w:t>, hypert</w:t>
            </w:r>
            <w:r w:rsidR="003E3DC8" w:rsidRPr="008B7FEC">
              <w:rPr>
                <w:rFonts w:ascii="Times New Roman" w:hAnsi="Times New Roman"/>
              </w:rPr>
              <w:t>o</w:t>
            </w:r>
            <w:r w:rsidRPr="008B7FEC">
              <w:rPr>
                <w:rFonts w:ascii="Times New Roman" w:hAnsi="Times New Roman"/>
              </w:rPr>
              <w:t>ni</w:t>
            </w:r>
            <w:r w:rsidR="003E3DC8" w:rsidRPr="008B7FEC">
              <w:rPr>
                <w:rFonts w:ascii="Times New Roman" w:hAnsi="Times New Roman"/>
              </w:rPr>
              <w:t>a</w:t>
            </w:r>
            <w:r w:rsidRPr="008B7FEC">
              <w:rPr>
                <w:rFonts w:ascii="Times New Roman" w:hAnsi="Times New Roman"/>
              </w:rPr>
              <w:t xml:space="preserve">, </w:t>
            </w:r>
          </w:p>
          <w:p w14:paraId="545E895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véna elszíneződés, vénatágulat</w:t>
            </w:r>
          </w:p>
        </w:tc>
        <w:tc>
          <w:tcPr>
            <w:tcW w:w="2138" w:type="dxa"/>
          </w:tcPr>
          <w:p w14:paraId="49C7FDF0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0C29E606" w14:textId="77777777" w:rsidTr="008B7FEC">
        <w:tc>
          <w:tcPr>
            <w:tcW w:w="2841" w:type="dxa"/>
          </w:tcPr>
          <w:p w14:paraId="11D7EDA2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Légzőrendszeri, mellkasi és mediastinalis betegségek és tünetek</w:t>
            </w:r>
          </w:p>
        </w:tc>
        <w:tc>
          <w:tcPr>
            <w:tcW w:w="2138" w:type="dxa"/>
          </w:tcPr>
          <w:p w14:paraId="23C40D2F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333A99CB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csuklás</w:t>
            </w:r>
          </w:p>
          <w:p w14:paraId="6A2AD2C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8" w:type="dxa"/>
          </w:tcPr>
          <w:p w14:paraId="07E58B9E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2BE72BB9" w14:textId="77777777" w:rsidTr="008B7FEC">
        <w:tc>
          <w:tcPr>
            <w:tcW w:w="2841" w:type="dxa"/>
          </w:tcPr>
          <w:p w14:paraId="3E6A1B71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Emésztőrendszeri betegségek és tünetek</w:t>
            </w:r>
          </w:p>
        </w:tc>
        <w:tc>
          <w:tcPr>
            <w:tcW w:w="2138" w:type="dxa"/>
          </w:tcPr>
          <w:p w14:paraId="07AB9EC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székrekedés,</w:t>
            </w:r>
          </w:p>
          <w:p w14:paraId="5DF74B9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diarrhoea</w:t>
            </w:r>
          </w:p>
        </w:tc>
        <w:tc>
          <w:tcPr>
            <w:tcW w:w="2171" w:type="dxa"/>
          </w:tcPr>
          <w:p w14:paraId="731C30D4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 xml:space="preserve">dyspepsia, </w:t>
            </w:r>
          </w:p>
          <w:p w14:paraId="1B8A25B6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 xml:space="preserve">hasi fájdalom, </w:t>
            </w:r>
          </w:p>
          <w:p w14:paraId="1DD571C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felső hasi fájdalom, szájszárazság, flatulencia</w:t>
            </w:r>
          </w:p>
        </w:tc>
        <w:tc>
          <w:tcPr>
            <w:tcW w:w="2138" w:type="dxa"/>
          </w:tcPr>
          <w:p w14:paraId="207B0E7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7237AC7D" w14:textId="77777777" w:rsidTr="008B7FEC">
        <w:tc>
          <w:tcPr>
            <w:tcW w:w="2841" w:type="dxa"/>
          </w:tcPr>
          <w:p w14:paraId="5E852408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Máj-, és epebetegségek, illetve tünetek</w:t>
            </w:r>
          </w:p>
        </w:tc>
        <w:tc>
          <w:tcPr>
            <w:tcW w:w="2138" w:type="dxa"/>
          </w:tcPr>
          <w:p w14:paraId="34C44037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67E05ABD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hyperbilirubinaemia</w:t>
            </w:r>
          </w:p>
        </w:tc>
        <w:tc>
          <w:tcPr>
            <w:tcW w:w="2138" w:type="dxa"/>
          </w:tcPr>
          <w:p w14:paraId="2505FFEB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1820D7D7" w14:textId="77777777" w:rsidTr="008B7FEC">
        <w:tc>
          <w:tcPr>
            <w:tcW w:w="2841" w:type="dxa"/>
          </w:tcPr>
          <w:p w14:paraId="5CE13A9C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 bőr és a bőr alatti szövet betegségei és tünetei</w:t>
            </w:r>
          </w:p>
        </w:tc>
        <w:tc>
          <w:tcPr>
            <w:tcW w:w="2138" w:type="dxa"/>
          </w:tcPr>
          <w:p w14:paraId="47924E9C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52DE8BA4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allergiás dermatitis, viszkető bőrkiütés</w:t>
            </w:r>
          </w:p>
        </w:tc>
        <w:tc>
          <w:tcPr>
            <w:tcW w:w="2138" w:type="dxa"/>
          </w:tcPr>
          <w:p w14:paraId="3E9FEBAB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024F8D28" w14:textId="77777777" w:rsidTr="008B7FEC">
        <w:tc>
          <w:tcPr>
            <w:tcW w:w="2841" w:type="dxa"/>
          </w:tcPr>
          <w:p w14:paraId="3F0508FB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 csont- és izomrendszer, valamint a kötőszövet betegségei és tünetei</w:t>
            </w:r>
          </w:p>
        </w:tc>
        <w:tc>
          <w:tcPr>
            <w:tcW w:w="2138" w:type="dxa"/>
          </w:tcPr>
          <w:p w14:paraId="3F364FA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219AF55E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arthralgia</w:t>
            </w:r>
          </w:p>
        </w:tc>
        <w:tc>
          <w:tcPr>
            <w:tcW w:w="2138" w:type="dxa"/>
          </w:tcPr>
          <w:p w14:paraId="50C3CB00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0E8F6EF3" w14:textId="77777777" w:rsidTr="008B7FEC">
        <w:tc>
          <w:tcPr>
            <w:tcW w:w="2841" w:type="dxa"/>
          </w:tcPr>
          <w:p w14:paraId="40E6D5F4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Vese- és húgyúti betegségek és tünetek</w:t>
            </w:r>
          </w:p>
        </w:tc>
        <w:tc>
          <w:tcPr>
            <w:tcW w:w="2138" w:type="dxa"/>
          </w:tcPr>
          <w:p w14:paraId="72AAC1BD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1BD7672C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vizeletretenció, glycosuria</w:t>
            </w:r>
          </w:p>
        </w:tc>
        <w:tc>
          <w:tcPr>
            <w:tcW w:w="2138" w:type="dxa"/>
          </w:tcPr>
          <w:p w14:paraId="319DD20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A6A" w:rsidRPr="008B7FEC" w14:paraId="72BE6A3C" w14:textId="77777777" w:rsidTr="008B7FEC">
        <w:tc>
          <w:tcPr>
            <w:tcW w:w="2841" w:type="dxa"/>
          </w:tcPr>
          <w:p w14:paraId="2FA0254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Általános tünetek, az alkalmazás helyén fellépő reakciók</w:t>
            </w:r>
          </w:p>
        </w:tc>
        <w:tc>
          <w:tcPr>
            <w:tcW w:w="2138" w:type="dxa"/>
          </w:tcPr>
          <w:p w14:paraId="2DC34686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377556D3" w14:textId="77777777" w:rsidR="00B73A6A" w:rsidRPr="008B7FEC" w:rsidRDefault="00B73A6A" w:rsidP="008B7FEC">
            <w:pPr>
              <w:spacing w:after="0" w:line="240" w:lineRule="auto"/>
              <w:ind w:firstLine="3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 xml:space="preserve">asthenia, </w:t>
            </w:r>
          </w:p>
          <w:p w14:paraId="2B90B5D2" w14:textId="77777777" w:rsidR="00B73A6A" w:rsidRPr="008B7FEC" w:rsidRDefault="00B73A6A" w:rsidP="008B7FEC">
            <w:pPr>
              <w:spacing w:after="0" w:line="240" w:lineRule="auto"/>
              <w:ind w:firstLine="3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 xml:space="preserve">láz, </w:t>
            </w:r>
          </w:p>
          <w:p w14:paraId="699BF29B" w14:textId="77777777" w:rsidR="00B73A6A" w:rsidRPr="008B7FEC" w:rsidRDefault="00B73A6A" w:rsidP="008B7FEC">
            <w:pPr>
              <w:spacing w:after="0" w:line="240" w:lineRule="auto"/>
              <w:ind w:firstLine="3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fáradékonyság, forróságérzet, influenzaszerű betegség</w:t>
            </w:r>
          </w:p>
        </w:tc>
        <w:tc>
          <w:tcPr>
            <w:tcW w:w="2138" w:type="dxa"/>
          </w:tcPr>
          <w:p w14:paraId="1EB722C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az injekció beadási helyén fellépő reakció*</w:t>
            </w:r>
          </w:p>
        </w:tc>
      </w:tr>
      <w:tr w:rsidR="00B73A6A" w:rsidRPr="008B7FEC" w14:paraId="4B209271" w14:textId="77777777" w:rsidTr="008B7FEC">
        <w:tc>
          <w:tcPr>
            <w:tcW w:w="2841" w:type="dxa"/>
          </w:tcPr>
          <w:p w14:paraId="0DFE6B3F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Laboratóriumi és egyéb vizsgálatok eredményei</w:t>
            </w:r>
          </w:p>
        </w:tc>
        <w:tc>
          <w:tcPr>
            <w:tcW w:w="2138" w:type="dxa"/>
          </w:tcPr>
          <w:p w14:paraId="746515A4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14:paraId="64FC38E6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 xml:space="preserve">transzaminázszint-emelkedés, </w:t>
            </w:r>
          </w:p>
          <w:p w14:paraId="3B1FC75E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megnyúlt QT-intervallum az elektrokardiogrammon</w:t>
            </w:r>
          </w:p>
        </w:tc>
        <w:tc>
          <w:tcPr>
            <w:tcW w:w="2138" w:type="dxa"/>
          </w:tcPr>
          <w:p w14:paraId="4D3025A2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B9EC3A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° A forgalomba hozatalt követő tapasztalatok alapján</w:t>
      </w:r>
    </w:p>
    <w:p w14:paraId="54C5C0C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* Beleértve a következőket is: égő érzés, induratio, diszkomfort és fájdalom</w:t>
      </w:r>
    </w:p>
    <w:p w14:paraId="41807E1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971E0E3" w14:textId="77777777" w:rsidR="00B73A6A" w:rsidRPr="00F60174" w:rsidRDefault="00B73A6A" w:rsidP="00B73A6A">
      <w:pPr>
        <w:tabs>
          <w:tab w:val="right" w:pos="9620"/>
        </w:tabs>
        <w:spacing w:after="0" w:line="240" w:lineRule="auto"/>
        <w:rPr>
          <w:rFonts w:ascii="Times New Roman" w:eastAsia="Times New Roman" w:hAnsi="Times New Roman"/>
        </w:rPr>
      </w:pPr>
      <w:r w:rsidRPr="00A3608C">
        <w:rPr>
          <w:rFonts w:ascii="Times New Roman" w:eastAsia="Times New Roman" w:hAnsi="Times New Roman"/>
          <w:i/>
          <w:position w:val="-1"/>
          <w:u w:val="single" w:color="000000"/>
        </w:rPr>
        <w:t>Gyermekek és serdülők</w:t>
      </w:r>
    </w:p>
    <w:p w14:paraId="20CD6EE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425941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közepesen vagy erősen emetogén kemoterápia által előidézett hányinger és hányás megelőzésére gyermekek bevonásával végzett klinikai vizsgálatokban 402 beteg kapott palonoszetront egyszeri adagban (3, 10 vagy 20 mikrogramm/ttkg). A palonoszetron alkalmazása mellett a következő gyakori és nem gyakori mellékhatásokat jelentették; a gyakoriság egyik mellékhatás esetében sem haladta meg az</w:t>
      </w:r>
      <w:r w:rsidRPr="00F60174">
        <w:rPr>
          <w:rFonts w:ascii="Times New Roman" w:eastAsia="Times New Roman" w:hAnsi="Times New Roman"/>
          <w:position w:val="-1"/>
        </w:rPr>
        <w:t xml:space="preserve"> 1%-ot.</w:t>
      </w:r>
    </w:p>
    <w:p w14:paraId="30AE812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8"/>
        <w:gridCol w:w="3000"/>
        <w:gridCol w:w="3043"/>
      </w:tblGrid>
      <w:tr w:rsidR="00B73A6A" w:rsidRPr="008B7FEC" w14:paraId="1A515646" w14:textId="77777777" w:rsidTr="008B7FEC">
        <w:trPr>
          <w:tblHeader/>
        </w:trPr>
        <w:tc>
          <w:tcPr>
            <w:tcW w:w="3070" w:type="dxa"/>
          </w:tcPr>
          <w:p w14:paraId="319DB6B8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Szervrendszer</w:t>
            </w:r>
          </w:p>
        </w:tc>
        <w:tc>
          <w:tcPr>
            <w:tcW w:w="3071" w:type="dxa"/>
          </w:tcPr>
          <w:p w14:paraId="0A778CDC" w14:textId="77777777" w:rsidR="00BE63B9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Gyakori</w:t>
            </w:r>
          </w:p>
          <w:p w14:paraId="2763897F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(≥ 1/100–&lt; 1/10)</w:t>
            </w:r>
          </w:p>
        </w:tc>
        <w:tc>
          <w:tcPr>
            <w:tcW w:w="3071" w:type="dxa"/>
          </w:tcPr>
          <w:p w14:paraId="309EA21B" w14:textId="77777777" w:rsidR="00BE63B9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Nem gyakori</w:t>
            </w:r>
          </w:p>
          <w:p w14:paraId="50BDBEE6" w14:textId="77777777" w:rsidR="00B73A6A" w:rsidRPr="008B7FEC" w:rsidRDefault="00B73A6A" w:rsidP="008B7F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7FEC">
              <w:rPr>
                <w:rFonts w:ascii="Times New Roman" w:hAnsi="Times New Roman"/>
                <w:b/>
              </w:rPr>
              <w:t>(≥ 1/1000–&lt; 1/100)</w:t>
            </w:r>
          </w:p>
        </w:tc>
      </w:tr>
      <w:tr w:rsidR="00B73A6A" w:rsidRPr="008B7FEC" w14:paraId="0A99ACA0" w14:textId="77777777" w:rsidTr="008B7FEC">
        <w:tc>
          <w:tcPr>
            <w:tcW w:w="3070" w:type="dxa"/>
          </w:tcPr>
          <w:p w14:paraId="3D67714E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Idegrendszeri betegségek és tünetek</w:t>
            </w:r>
          </w:p>
        </w:tc>
        <w:tc>
          <w:tcPr>
            <w:tcW w:w="3071" w:type="dxa"/>
          </w:tcPr>
          <w:p w14:paraId="447287D1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fejfájás</w:t>
            </w:r>
          </w:p>
        </w:tc>
        <w:tc>
          <w:tcPr>
            <w:tcW w:w="3071" w:type="dxa"/>
          </w:tcPr>
          <w:p w14:paraId="78D12587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szédülés, dyskinesia</w:t>
            </w:r>
          </w:p>
        </w:tc>
      </w:tr>
      <w:tr w:rsidR="00B73A6A" w:rsidRPr="008B7FEC" w14:paraId="03F014DE" w14:textId="77777777" w:rsidTr="008B7FEC">
        <w:tc>
          <w:tcPr>
            <w:tcW w:w="3070" w:type="dxa"/>
          </w:tcPr>
          <w:p w14:paraId="44801DE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Szívbetegségek és a szívvel kapcsolatos tünetek</w:t>
            </w:r>
          </w:p>
        </w:tc>
        <w:tc>
          <w:tcPr>
            <w:tcW w:w="3071" w:type="dxa"/>
          </w:tcPr>
          <w:p w14:paraId="02085ECC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71" w:type="dxa"/>
          </w:tcPr>
          <w:p w14:paraId="162961D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megnyúlt QT-intervallum az elektrokardiogrammon, ingerületvezetési zavarok,</w:t>
            </w:r>
          </w:p>
          <w:p w14:paraId="4C9B7BFA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sinus tachycardia</w:t>
            </w:r>
          </w:p>
        </w:tc>
      </w:tr>
      <w:tr w:rsidR="00B73A6A" w:rsidRPr="008B7FEC" w14:paraId="5C8F1C18" w14:textId="77777777" w:rsidTr="008B7FEC">
        <w:tc>
          <w:tcPr>
            <w:tcW w:w="3070" w:type="dxa"/>
          </w:tcPr>
          <w:p w14:paraId="2C5D4378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lastRenderedPageBreak/>
              <w:t>Légzőrendszeri, mellkasi és mediastinalis betegségek és tünetek</w:t>
            </w:r>
          </w:p>
        </w:tc>
        <w:tc>
          <w:tcPr>
            <w:tcW w:w="3071" w:type="dxa"/>
          </w:tcPr>
          <w:p w14:paraId="10F21CA0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71" w:type="dxa"/>
          </w:tcPr>
          <w:p w14:paraId="3340EB49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köhögés, dyspnoe, epistaxis</w:t>
            </w:r>
          </w:p>
        </w:tc>
      </w:tr>
      <w:tr w:rsidR="00B73A6A" w:rsidRPr="008B7FEC" w14:paraId="2F242E7F" w14:textId="77777777" w:rsidTr="008B7FEC">
        <w:tc>
          <w:tcPr>
            <w:tcW w:w="3070" w:type="dxa"/>
          </w:tcPr>
          <w:p w14:paraId="7935B6FB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 bőr és a bőr alatti szövet betegségei és tünetei</w:t>
            </w:r>
          </w:p>
        </w:tc>
        <w:tc>
          <w:tcPr>
            <w:tcW w:w="3071" w:type="dxa"/>
          </w:tcPr>
          <w:p w14:paraId="1CB9BB77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71" w:type="dxa"/>
          </w:tcPr>
          <w:p w14:paraId="1C597683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allergiás dermatitis, pruritus, bőrproblémák, urticaria</w:t>
            </w:r>
          </w:p>
        </w:tc>
      </w:tr>
      <w:tr w:rsidR="00B73A6A" w:rsidRPr="008B7FEC" w14:paraId="1BBA8512" w14:textId="77777777" w:rsidTr="008B7FEC">
        <w:tc>
          <w:tcPr>
            <w:tcW w:w="3070" w:type="dxa"/>
          </w:tcPr>
          <w:p w14:paraId="1A188CBD" w14:textId="77777777" w:rsidR="00B73A6A" w:rsidRPr="008B7FEC" w:rsidRDefault="00B73A6A" w:rsidP="008B7FEC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Általános tünetek, az alkalmazás helyén fellépő reakciók</w:t>
            </w:r>
          </w:p>
        </w:tc>
        <w:tc>
          <w:tcPr>
            <w:tcW w:w="3071" w:type="dxa"/>
          </w:tcPr>
          <w:p w14:paraId="3ADBF6E4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71" w:type="dxa"/>
          </w:tcPr>
          <w:p w14:paraId="239B6691" w14:textId="77777777" w:rsidR="00B73A6A" w:rsidRPr="008B7FEC" w:rsidRDefault="00B73A6A" w:rsidP="008B7FEC">
            <w:pPr>
              <w:spacing w:after="0" w:line="240" w:lineRule="auto"/>
              <w:rPr>
                <w:rFonts w:ascii="Times New Roman" w:hAnsi="Times New Roman"/>
              </w:rPr>
            </w:pPr>
            <w:r w:rsidRPr="008B7FEC">
              <w:rPr>
                <w:rFonts w:ascii="Times New Roman" w:hAnsi="Times New Roman"/>
              </w:rPr>
              <w:t>láz, fájdalom az infúzió beadásának helyén, az infúzió beadásának helyén jelentkező reakció, fájdalom</w:t>
            </w:r>
          </w:p>
        </w:tc>
      </w:tr>
    </w:tbl>
    <w:p w14:paraId="5D8FC67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FBD0B7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mellékhatásokat olyan gyermekkorú betegeknél értékelték, akik a palonoszetront legfeljebb 4 kemoterápiás ciklusban kapták.</w:t>
      </w:r>
    </w:p>
    <w:p w14:paraId="426E687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0AB788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Feltételezett mellékhatások bejelentése</w:t>
      </w:r>
    </w:p>
    <w:p w14:paraId="6D3B82D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266028">
        <w:rPr>
          <w:rFonts w:ascii="Times New Roman" w:eastAsia="Times New Roman" w:hAnsi="Times New Roman"/>
        </w:rPr>
        <w:t xml:space="preserve"> </w:t>
      </w:r>
      <w:r w:rsidRPr="00F60174">
        <w:rPr>
          <w:rFonts w:ascii="Times New Roman" w:eastAsia="Times New Roman" w:hAnsi="Times New Roman"/>
        </w:rPr>
        <w:t xml:space="preserve">Az egészségügyi szakembereket kérjük, hogy jelentsék be a feltételezett mellékhatásokat a hatóság részére az </w:t>
      </w:r>
      <w:hyperlink r:id="rId7" w:history="1">
        <w:r w:rsidRPr="008B7FEC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eastAsia="zh-CN"/>
          </w:rPr>
          <w:t>V. füg</w:t>
        </w:r>
        <w:bookmarkStart w:id="0" w:name="_Hlt352075914"/>
        <w:bookmarkStart w:id="1" w:name="_Hlt352075915"/>
        <w:r w:rsidRPr="008B7FEC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eastAsia="zh-CN"/>
          </w:rPr>
          <w:t>g</w:t>
        </w:r>
        <w:bookmarkEnd w:id="0"/>
        <w:bookmarkEnd w:id="1"/>
        <w:r w:rsidRPr="008B7FEC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eastAsia="zh-CN"/>
          </w:rPr>
          <w:t>elékben</w:t>
        </w:r>
      </w:hyperlink>
      <w:hyperlink r:id="rId8">
        <w:r w:rsidRPr="008B7FEC">
          <w:rPr>
            <w:rFonts w:ascii="Times New Roman" w:eastAsia="Times New Roman" w:hAnsi="Times New Roman"/>
            <w:highlight w:val="lightGray"/>
          </w:rPr>
          <w:t xml:space="preserve"> t</w:t>
        </w:r>
      </w:hyperlink>
      <w:r w:rsidRPr="008B7FEC">
        <w:rPr>
          <w:rFonts w:ascii="Times New Roman" w:eastAsia="Times New Roman" w:hAnsi="Times New Roman"/>
          <w:highlight w:val="lightGray"/>
        </w:rPr>
        <w:t>alálható elérhetőségek valamelyikén keresztül</w:t>
      </w:r>
      <w:r w:rsidRPr="00F60174">
        <w:rPr>
          <w:rFonts w:ascii="Times New Roman" w:eastAsia="Times New Roman" w:hAnsi="Times New Roman"/>
        </w:rPr>
        <w:t>.</w:t>
      </w:r>
    </w:p>
    <w:p w14:paraId="1F179454" w14:textId="77777777" w:rsidR="00B73A6A" w:rsidRPr="00F60174" w:rsidRDefault="00B73A6A" w:rsidP="00B73A6A">
      <w:pPr>
        <w:tabs>
          <w:tab w:val="left" w:pos="4065"/>
        </w:tabs>
        <w:spacing w:after="0" w:line="240" w:lineRule="auto"/>
        <w:rPr>
          <w:rFonts w:ascii="Times New Roman" w:eastAsia="Times New Roman" w:hAnsi="Times New Roman"/>
        </w:rPr>
      </w:pPr>
    </w:p>
    <w:p w14:paraId="66A217BB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4.9</w:t>
      </w:r>
      <w:r w:rsidRPr="00F60174">
        <w:rPr>
          <w:rFonts w:ascii="Times New Roman" w:eastAsia="Times New Roman" w:hAnsi="Times New Roman"/>
          <w:b/>
        </w:rPr>
        <w:tab/>
        <w:t>Túladagolás</w:t>
      </w:r>
    </w:p>
    <w:p w14:paraId="73754A2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5A9D51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Túladagolásról nem számoltak be.</w:t>
      </w:r>
    </w:p>
    <w:p w14:paraId="0F60AC0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felnőttek bevonásával végzett klinikai vizsgálatokban legfeljebb 6 mg-os dózisokat alkalmaztak. A legmagasabb dózissal kezelt csoportnál jelentkezett mellékhatások előfordulása hasonló volt a többi dóziscsoportnál jelentett adatokhoz, és dózis-válasz hatást nem figyeltek meg. Bár a Palonosetron Kalceks túladagolása nem valószínű, ha ez mégis megtörténne, szupportív kezelést kell alkalmazni. Dialízisre irányuló vizsgálatokat nem végeztek, azonban a nagymértékű megoszlási térfogatra való tekintettel valószínű, hogy a dialízis-kezelés nem hatásos a palonoszetron túladagolása esetén.</w:t>
      </w:r>
    </w:p>
    <w:p w14:paraId="0AB32AF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684B4C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Gyermekek és serdülők</w:t>
      </w:r>
    </w:p>
    <w:p w14:paraId="7C17143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gyermekek és serdülők bevonásával végzett klinikai vizsgálatok során túladagolás esetéről nem számoltak be.</w:t>
      </w:r>
    </w:p>
    <w:p w14:paraId="1C6FACD2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345AD2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310D291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5.</w:t>
      </w:r>
      <w:r w:rsidRPr="00F60174">
        <w:rPr>
          <w:rFonts w:ascii="Times New Roman" w:eastAsia="Times New Roman" w:hAnsi="Times New Roman"/>
          <w:b/>
        </w:rPr>
        <w:tab/>
        <w:t>FARMAKOLÓGIAI TULAJDONSÁGOK</w:t>
      </w:r>
    </w:p>
    <w:p w14:paraId="576AC1E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59D4808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5.1</w:t>
      </w:r>
      <w:r w:rsidRPr="00F60174">
        <w:rPr>
          <w:rFonts w:ascii="Times New Roman" w:eastAsia="Times New Roman" w:hAnsi="Times New Roman"/>
          <w:b/>
        </w:rPr>
        <w:tab/>
        <w:t>Farmakodinámiás tulajdonságok</w:t>
      </w:r>
    </w:p>
    <w:p w14:paraId="6DE12C9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2780327" w14:textId="77777777" w:rsidR="00B73A6A" w:rsidRPr="00F60174" w:rsidRDefault="00B73A6A" w:rsidP="00B73A6A">
      <w:pPr>
        <w:spacing w:after="0" w:line="240" w:lineRule="auto"/>
        <w:ind w:hanging="1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Farmakoterápiás csoport: antiemetikumok és hányinger elleni szerek, szerotonin (5HT</w:t>
      </w:r>
      <w:r w:rsidRPr="00F60174">
        <w:rPr>
          <w:rFonts w:ascii="Times New Roman" w:eastAsia="Times New Roman" w:hAnsi="Times New Roman"/>
          <w:vertAlign w:val="subscript"/>
        </w:rPr>
        <w:t>3</w:t>
      </w:r>
      <w:r w:rsidRPr="00F60174">
        <w:rPr>
          <w:rFonts w:ascii="Times New Roman" w:eastAsia="Times New Roman" w:hAnsi="Times New Roman"/>
        </w:rPr>
        <w:t>)-antagonisták, ATC kód: A04AA05</w:t>
      </w:r>
    </w:p>
    <w:p w14:paraId="011DE3D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2BA352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egy nagy affinitású, szelektív 5HT</w:t>
      </w:r>
      <w:r w:rsidRPr="00F60174">
        <w:rPr>
          <w:rFonts w:ascii="Times New Roman" w:eastAsia="Times New Roman" w:hAnsi="Times New Roman"/>
          <w:vertAlign w:val="subscript"/>
        </w:rPr>
        <w:t>3</w:t>
      </w:r>
      <w:r w:rsidRPr="00F60174">
        <w:rPr>
          <w:rFonts w:ascii="Times New Roman" w:eastAsia="Times New Roman" w:hAnsi="Times New Roman"/>
        </w:rPr>
        <w:t>-receptor-antagonista.</w:t>
      </w:r>
    </w:p>
    <w:p w14:paraId="6C96CE2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Két randomizált, kettős vak vizsgálatban, amelyekben 1132 olyan beteg vett részt, akik közepesen</w:t>
      </w:r>
      <w:r w:rsidRPr="00F60174">
        <w:rPr>
          <w:rFonts w:ascii="Times New Roman" w:eastAsia="Times New Roman" w:hAnsi="Times New Roman"/>
          <w:position w:val="-1"/>
        </w:rPr>
        <w:t xml:space="preserve"> emetogén, ≤ 50 mg/m</w:t>
      </w:r>
      <w:r w:rsidRPr="00F60174">
        <w:rPr>
          <w:rFonts w:ascii="Times New Roman" w:eastAsia="Times New Roman" w:hAnsi="Times New Roman"/>
          <w:vertAlign w:val="superscript"/>
        </w:rPr>
        <w:t>2</w:t>
      </w:r>
      <w:r w:rsidRPr="00F60174">
        <w:rPr>
          <w:rFonts w:ascii="Times New Roman" w:eastAsia="Times New Roman" w:hAnsi="Times New Roman"/>
        </w:rPr>
        <w:t xml:space="preserve"> </w:t>
      </w:r>
      <w:r w:rsidRPr="00F60174">
        <w:rPr>
          <w:rFonts w:ascii="Times New Roman" w:eastAsia="Times New Roman" w:hAnsi="Times New Roman"/>
          <w:position w:val="-1"/>
        </w:rPr>
        <w:t xml:space="preserve">ciszplatint, karboplatint, </w:t>
      </w:r>
      <w:r w:rsidR="00CA2BDA" w:rsidRPr="00631293">
        <w:rPr>
          <w:rFonts w:ascii="Symbol" w:hAnsi="Symbol"/>
        </w:rPr>
        <w:t></w:t>
      </w:r>
      <w:r w:rsidR="00631293" w:rsidRPr="00F60174">
        <w:rPr>
          <w:rFonts w:ascii="Times New Roman" w:eastAsia="Times New Roman" w:hAnsi="Times New Roman"/>
          <w:position w:val="-1"/>
        </w:rPr>
        <w:t> </w:t>
      </w:r>
      <w:r w:rsidRPr="00F60174">
        <w:rPr>
          <w:rFonts w:ascii="Times New Roman" w:eastAsia="Times New Roman" w:hAnsi="Times New Roman"/>
          <w:position w:val="-1"/>
        </w:rPr>
        <w:t>1500 mg/m</w:t>
      </w:r>
      <w:r w:rsidRPr="00F60174">
        <w:rPr>
          <w:rFonts w:ascii="Times New Roman" w:eastAsia="Times New Roman" w:hAnsi="Times New Roman"/>
          <w:vertAlign w:val="superscript"/>
        </w:rPr>
        <w:t>2</w:t>
      </w:r>
      <w:r w:rsidRPr="00F60174">
        <w:rPr>
          <w:rFonts w:ascii="Times New Roman" w:eastAsia="Times New Roman" w:hAnsi="Times New Roman"/>
          <w:position w:val="-1"/>
        </w:rPr>
        <w:t xml:space="preserve"> ciklofoszfamidot és </w:t>
      </w:r>
      <w:r w:rsidR="00CA2BDA" w:rsidRPr="00631293">
        <w:rPr>
          <w:rFonts w:ascii="Symbol" w:hAnsi="Symbol"/>
        </w:rPr>
        <w:t></w:t>
      </w:r>
      <w:r w:rsidR="00631293" w:rsidRPr="00F60174">
        <w:rPr>
          <w:rFonts w:ascii="Times New Roman" w:eastAsia="Times New Roman" w:hAnsi="Times New Roman"/>
          <w:position w:val="-1"/>
        </w:rPr>
        <w:t> </w:t>
      </w:r>
      <w:r w:rsidRPr="00F60174">
        <w:rPr>
          <w:rFonts w:ascii="Times New Roman" w:eastAsia="Times New Roman" w:hAnsi="Times New Roman"/>
          <w:position w:val="-1"/>
        </w:rPr>
        <w:t>25 mg/m</w:t>
      </w:r>
      <w:r w:rsidRPr="00F60174">
        <w:rPr>
          <w:rFonts w:ascii="Times New Roman" w:eastAsia="Times New Roman" w:hAnsi="Times New Roman"/>
          <w:vertAlign w:val="superscript"/>
        </w:rPr>
        <w:t>2</w:t>
      </w:r>
      <w:r w:rsidRPr="00F60174">
        <w:rPr>
          <w:rFonts w:ascii="Times New Roman" w:eastAsia="Times New Roman" w:hAnsi="Times New Roman"/>
        </w:rPr>
        <w:t xml:space="preserve"> doxorubicint tartalmazó kemoterápiában részesültek, az első napon intravénásan beadott 250 mikrogramm és 750 mikrogramm palonoszetront 32 mg ondanszetronnal (felezési idő: 4 óra), vagy 100 mg dolaszetronnal (felezési idő: 7,3 óra) hasonlították össze, dexametazon alkalmazása nélkül.</w:t>
      </w:r>
    </w:p>
    <w:p w14:paraId="707056A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position w:val="-1"/>
        </w:rPr>
        <w:t>Egy randomizált, kettős vak vizsgálatban, amelyben 667 olyan beteg vett részt, akik erősen emetogén,</w:t>
      </w:r>
      <w:r w:rsidRPr="00F60174">
        <w:rPr>
          <w:rFonts w:ascii="Times New Roman" w:eastAsia="Times New Roman" w:hAnsi="Times New Roman"/>
        </w:rPr>
        <w:t xml:space="preserve"> ≥ 60 mg/m</w:t>
      </w:r>
      <w:r w:rsidRPr="00F60174">
        <w:rPr>
          <w:rFonts w:ascii="Times New Roman" w:eastAsia="Times New Roman" w:hAnsi="Times New Roman"/>
          <w:vertAlign w:val="superscript"/>
        </w:rPr>
        <w:t>2</w:t>
      </w:r>
      <w:r w:rsidRPr="00F60174">
        <w:rPr>
          <w:rFonts w:ascii="Times New Roman" w:eastAsia="Times New Roman" w:hAnsi="Times New Roman"/>
        </w:rPr>
        <w:t xml:space="preserve"> ciszplatint, &gt; 1500 mg/m</w:t>
      </w:r>
      <w:r w:rsidRPr="00F60174">
        <w:rPr>
          <w:rFonts w:ascii="Times New Roman" w:eastAsia="Times New Roman" w:hAnsi="Times New Roman"/>
          <w:vertAlign w:val="superscript"/>
        </w:rPr>
        <w:t>2</w:t>
      </w:r>
      <w:r w:rsidRPr="00F60174">
        <w:rPr>
          <w:rFonts w:ascii="Times New Roman" w:eastAsia="Times New Roman" w:hAnsi="Times New Roman"/>
        </w:rPr>
        <w:t xml:space="preserve"> ciklofoszfamidot és dakarbazint tartalmazó kemoterápiában részesültek, az első napon intravénásan beadott 250 mikrogramm, illetve 750 mikrogramm palonoszetront 32 mg ondanszetronnal hasonlították össze. A kemoterápia előtt a betegek 67%-a dexametazont kapott profilaktikus kezelésként.</w:t>
      </w:r>
    </w:p>
    <w:p w14:paraId="20B961C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2E97ED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lastRenderedPageBreak/>
        <w:t>A kulcsfontosságú (pivotális) vizsgálatok nem tanulmányozták a palonoszetron hatásosságát a később fellépő hányingerrel és hányással kapcsolatban. Az antiemetikus hatást 0–24 órán, 24</w:t>
      </w:r>
      <w:r w:rsidRPr="00F60174">
        <w:rPr>
          <w:rFonts w:ascii="Times New Roman" w:eastAsia="Times New Roman" w:hAnsi="Times New Roman"/>
        </w:rPr>
        <w:noBreakHyphen/>
        <w:t>120 órán és 0</w:t>
      </w:r>
      <w:r w:rsidRPr="00F60174">
        <w:rPr>
          <w:rFonts w:ascii="Times New Roman" w:eastAsia="Times New Roman" w:hAnsi="Times New Roman"/>
        </w:rPr>
        <w:noBreakHyphen/>
        <w:t>120 órán keresztül figyelték. A közepesen emetogén kemoterápia és az erősen emetogén kemoterápia esetén végzett vizsgálatok eredményeit az alábbi táblázatok foglalják össze.</w:t>
      </w:r>
    </w:p>
    <w:p w14:paraId="52B3CCA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6BE241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a hányás akut fázisában nem bizonyult az összehasonlítási alapul szolgáló gyógyszereknél kevésbé hatásosnak sem a közepesen, sem az erősen emetogén terápiában történő alkalmazás során.</w:t>
      </w:r>
    </w:p>
    <w:p w14:paraId="577C656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A4AAD0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Bár a palonoszetron komparatív hatásosságát kontrollos klinikai vizsgálatokban nem igazolták több kezelési ciklusra nézve, a három III. fázisú vizsgálatba bevont 875 beteg folytatta a kezelést egy nyílt elrendezésű biztonságossági vizsgálatban, és 750 mikrogrammos palonoszetron-kezelést kapott legfeljebb 9 további kemoterápiás ciklusban. A palonoszetron általános biztonságossága az összes cikluson át fennmaradt.</w:t>
      </w:r>
    </w:p>
    <w:p w14:paraId="7DDBECF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91F4F6B" w14:textId="77777777" w:rsidR="00B73A6A" w:rsidRPr="00F60174" w:rsidRDefault="00B73A6A" w:rsidP="00B73A6A">
      <w:pPr>
        <w:keepNext/>
        <w:tabs>
          <w:tab w:val="left" w:pos="1418"/>
        </w:tabs>
        <w:spacing w:after="0" w:line="240" w:lineRule="auto"/>
        <w:ind w:left="1418" w:hanging="1418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1. táblázat</w:t>
      </w:r>
      <w:r w:rsidRPr="00F60174">
        <w:rPr>
          <w:rFonts w:ascii="Times New Roman" w:eastAsia="Times New Roman" w:hAnsi="Times New Roman"/>
          <w:b/>
        </w:rPr>
        <w:tab/>
        <w:t>A válaszreakciót mutató betegek</w:t>
      </w:r>
      <w:r w:rsidRPr="00F60174">
        <w:rPr>
          <w:rFonts w:ascii="Times New Roman" w:eastAsia="Times New Roman" w:hAnsi="Times New Roman"/>
          <w:b/>
          <w:vertAlign w:val="superscript"/>
        </w:rPr>
        <w:t>a</w:t>
      </w:r>
      <w:r w:rsidRPr="00F60174">
        <w:rPr>
          <w:rFonts w:ascii="Times New Roman" w:eastAsia="Times New Roman" w:hAnsi="Times New Roman"/>
          <w:b/>
        </w:rPr>
        <w:t xml:space="preserve"> %-os aránya kezelési csoportonként és fázisonként, a közepesen emetogén kemoterápiás vizsgálatban, az ondanszetronhoz viszonyítva</w:t>
      </w:r>
    </w:p>
    <w:p w14:paraId="4136ADFD" w14:textId="77777777" w:rsidR="00B73A6A" w:rsidRPr="00F60174" w:rsidRDefault="00B73A6A" w:rsidP="00B73A6A">
      <w:pPr>
        <w:keepNext/>
        <w:spacing w:after="0" w:line="240" w:lineRule="auto"/>
        <w:rPr>
          <w:rFonts w:ascii="Times New Roman" w:eastAsia="Times New Roman" w:hAnsi="Times New Roman"/>
        </w:rPr>
      </w:pPr>
    </w:p>
    <w:tbl>
      <w:tblPr>
        <w:tblW w:w="88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1"/>
        <w:gridCol w:w="1956"/>
        <w:gridCol w:w="2044"/>
        <w:gridCol w:w="1333"/>
        <w:gridCol w:w="407"/>
        <w:gridCol w:w="1490"/>
      </w:tblGrid>
      <w:tr w:rsidR="00B73A6A" w:rsidRPr="008B7FEC" w14:paraId="698C8B32" w14:textId="77777777" w:rsidTr="00F60174">
        <w:trPr>
          <w:trHeight w:hRule="exact" w:val="768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9BD8EF6" w14:textId="77777777" w:rsidR="00B73A6A" w:rsidRPr="00F60174" w:rsidRDefault="00B73A6A" w:rsidP="00B73A6A">
            <w:pPr>
              <w:keepNext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8225B38" w14:textId="77777777" w:rsidR="00B73A6A" w:rsidRPr="00F60174" w:rsidRDefault="00B73A6A" w:rsidP="00B73A6A">
            <w:pPr>
              <w:keepNext/>
              <w:spacing w:after="0" w:line="240" w:lineRule="auto"/>
              <w:ind w:right="130"/>
              <w:jc w:val="center"/>
              <w:rPr>
                <w:rFonts w:ascii="Times New Roman" w:hAnsi="Times New Roman"/>
                <w:spacing w:val="-1"/>
              </w:rPr>
            </w:pPr>
            <w:r w:rsidRPr="00F60174">
              <w:rPr>
                <w:rFonts w:ascii="Times New Roman" w:hAnsi="Times New Roman"/>
                <w:spacing w:val="-1"/>
              </w:rPr>
              <w:t>Palonoszetron</w:t>
            </w:r>
          </w:p>
          <w:p w14:paraId="491243BE" w14:textId="77777777" w:rsidR="00B73A6A" w:rsidRPr="00F60174" w:rsidRDefault="00B73A6A" w:rsidP="00B73A6A">
            <w:pPr>
              <w:keepNext/>
              <w:spacing w:after="0" w:line="240" w:lineRule="auto"/>
              <w:ind w:right="130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250 </w:t>
            </w:r>
            <w:r w:rsidRPr="00F60174">
              <w:rPr>
                <w:rFonts w:ascii="Times New Roman" w:hAnsi="Times New Roman"/>
                <w:spacing w:val="-2"/>
              </w:rPr>
              <w:t>mikrogramm</w:t>
            </w:r>
          </w:p>
          <w:p w14:paraId="5CBDA60A" w14:textId="77777777" w:rsidR="00B73A6A" w:rsidRPr="00F60174" w:rsidRDefault="00B73A6A" w:rsidP="00B73A6A">
            <w:pPr>
              <w:keepNext/>
              <w:spacing w:after="0" w:line="240" w:lineRule="auto"/>
              <w:ind w:right="122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(n = </w:t>
            </w:r>
            <w:r w:rsidRPr="00F60174">
              <w:rPr>
                <w:rFonts w:ascii="Times New Roman" w:hAnsi="Times New Roman"/>
                <w:spacing w:val="-1"/>
              </w:rPr>
              <w:t>189)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297BB8D" w14:textId="77777777" w:rsidR="00B73A6A" w:rsidRPr="00F60174" w:rsidRDefault="00B73A6A" w:rsidP="00B73A6A">
            <w:pPr>
              <w:keepNext/>
              <w:spacing w:after="0" w:line="240" w:lineRule="auto"/>
              <w:ind w:left="328" w:right="386" w:firstLine="2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Ondanszetron</w:t>
            </w:r>
            <w:r w:rsidRPr="00F60174">
              <w:rPr>
                <w:rFonts w:ascii="Times New Roman" w:hAnsi="Times New Roman"/>
                <w:spacing w:val="26"/>
              </w:rPr>
              <w:t xml:space="preserve"> </w:t>
            </w:r>
            <w:r w:rsidRPr="00F60174">
              <w:rPr>
                <w:rFonts w:ascii="Times New Roman" w:hAnsi="Times New Roman"/>
              </w:rPr>
              <w:t>32 </w:t>
            </w:r>
            <w:r w:rsidRPr="00F60174">
              <w:rPr>
                <w:rFonts w:ascii="Times New Roman" w:hAnsi="Times New Roman"/>
                <w:spacing w:val="-1"/>
              </w:rPr>
              <w:t>milligramm</w:t>
            </w:r>
          </w:p>
          <w:p w14:paraId="4202FBF8" w14:textId="77777777" w:rsidR="00B73A6A" w:rsidRPr="00F60174" w:rsidRDefault="00B73A6A" w:rsidP="00B73A6A">
            <w:pPr>
              <w:keepNext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(n = </w:t>
            </w:r>
            <w:r w:rsidRPr="00F60174">
              <w:rPr>
                <w:rFonts w:ascii="Times New Roman" w:hAnsi="Times New Roman"/>
                <w:spacing w:val="-1"/>
              </w:rPr>
              <w:t>185)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7893ABB" w14:textId="77777777" w:rsidR="00B73A6A" w:rsidRPr="00F60174" w:rsidRDefault="00B73A6A" w:rsidP="00B73A6A">
            <w:pPr>
              <w:keepNext/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369EBF0C" w14:textId="77777777" w:rsidR="00B73A6A" w:rsidRPr="00F60174" w:rsidRDefault="00B73A6A" w:rsidP="00B73A6A">
            <w:pPr>
              <w:keepNext/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03140229" w14:textId="77777777" w:rsidR="00B73A6A" w:rsidRPr="00F60174" w:rsidRDefault="00B73A6A" w:rsidP="00B73A6A">
            <w:pPr>
              <w:keepNext/>
              <w:spacing w:after="0" w:line="240" w:lineRule="auto"/>
              <w:ind w:left="48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Delta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1A3875B" w14:textId="77777777" w:rsidR="00B73A6A" w:rsidRPr="00F60174" w:rsidRDefault="00B73A6A" w:rsidP="00B73A6A">
            <w:pPr>
              <w:keepNext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73A6A" w:rsidRPr="008B7FEC" w14:paraId="05A870DC" w14:textId="77777777" w:rsidTr="00F60174">
        <w:trPr>
          <w:trHeight w:hRule="exact" w:val="264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FC4E58A" w14:textId="77777777" w:rsidR="00B73A6A" w:rsidRPr="00F60174" w:rsidRDefault="00B73A6A" w:rsidP="00B73A6A">
            <w:pPr>
              <w:keepNext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FA6B9F2" w14:textId="77777777" w:rsidR="00B73A6A" w:rsidRPr="00F60174" w:rsidRDefault="00B73A6A" w:rsidP="00B73A6A">
            <w:pPr>
              <w:keepNext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A385873" w14:textId="77777777" w:rsidR="00B73A6A" w:rsidRPr="00F60174" w:rsidRDefault="00B73A6A" w:rsidP="00B73A6A">
            <w:pPr>
              <w:keepNext/>
              <w:spacing w:after="0" w:line="240" w:lineRule="auto"/>
              <w:ind w:right="15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EA5FDF4" w14:textId="77777777" w:rsidR="00B73A6A" w:rsidRPr="00F60174" w:rsidRDefault="00B73A6A" w:rsidP="00B73A6A">
            <w:pPr>
              <w:keepNext/>
              <w:spacing w:after="0" w:line="240" w:lineRule="auto"/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10C7319" w14:textId="77777777" w:rsidR="00B73A6A" w:rsidRPr="00F60174" w:rsidRDefault="00B73A6A" w:rsidP="00B73A6A">
            <w:pPr>
              <w:keepNext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73A6A" w:rsidRPr="008B7FEC" w14:paraId="7490B2EC" w14:textId="77777777" w:rsidTr="00F60174">
        <w:trPr>
          <w:trHeight w:hRule="exact" w:val="829"/>
        </w:trPr>
        <w:tc>
          <w:tcPr>
            <w:tcW w:w="7371" w:type="dxa"/>
            <w:gridSpan w:val="5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9FE5541" w14:textId="77777777" w:rsidR="00B73A6A" w:rsidRPr="00F60174" w:rsidDel="00B82E9F" w:rsidRDefault="00B73A6A" w:rsidP="00B73A6A">
            <w:pPr>
              <w:keepNext/>
              <w:tabs>
                <w:tab w:val="left" w:pos="7447"/>
              </w:tabs>
              <w:spacing w:after="0" w:line="240" w:lineRule="auto"/>
              <w:ind w:left="55"/>
              <w:rPr>
                <w:rFonts w:ascii="Times New Roman" w:hAnsi="Times New Roman"/>
                <w:b/>
              </w:rPr>
            </w:pPr>
            <w:r w:rsidRPr="00F60174">
              <w:rPr>
                <w:rFonts w:ascii="Times New Roman" w:hAnsi="Times New Roman"/>
                <w:b/>
              </w:rPr>
              <w:t>Teljes válaszreakció (nem lépett fel hányás és nem volt szükség mentő gyógyszerre)</w:t>
            </w:r>
          </w:p>
        </w:tc>
        <w:tc>
          <w:tcPr>
            <w:tcW w:w="149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D197455" w14:textId="77777777" w:rsidR="00B73A6A" w:rsidRPr="00F60174" w:rsidRDefault="00B73A6A" w:rsidP="00B73A6A">
            <w:pPr>
              <w:keepNext/>
              <w:tabs>
                <w:tab w:val="right" w:pos="8647"/>
              </w:tabs>
              <w:spacing w:after="0" w:line="240" w:lineRule="auto"/>
              <w:rPr>
                <w:rFonts w:ascii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97,5%-os</w:t>
            </w:r>
            <w:r w:rsidRPr="00F60174">
              <w:rPr>
                <w:rFonts w:ascii="Times New Roman" w:hAnsi="Times New Roman"/>
                <w:b/>
                <w:spacing w:val="-3"/>
              </w:rPr>
              <w:t xml:space="preserve"> </w:t>
            </w:r>
            <w:r w:rsidRPr="00F60174">
              <w:rPr>
                <w:rFonts w:ascii="Times New Roman" w:hAnsi="Times New Roman"/>
                <w:b/>
                <w:spacing w:val="-1"/>
              </w:rPr>
              <w:t>CI</w:t>
            </w:r>
            <w:r w:rsidRPr="00F60174">
              <w:rPr>
                <w:rFonts w:ascii="Times New Roman" w:hAnsi="Times New Roman"/>
                <w:vertAlign w:val="superscript"/>
              </w:rPr>
              <w:t>b</w:t>
            </w:r>
          </w:p>
        </w:tc>
      </w:tr>
      <w:tr w:rsidR="00B73A6A" w:rsidRPr="008B7FEC" w14:paraId="5762B317" w14:textId="77777777" w:rsidTr="00F60174">
        <w:trPr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E2D03F7" w14:textId="77777777" w:rsidR="00B73A6A" w:rsidRPr="00F60174" w:rsidRDefault="00B73A6A" w:rsidP="00B73A6A">
            <w:pPr>
              <w:widowControl w:val="0"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FFDFADD" w14:textId="77777777" w:rsidR="00B73A6A" w:rsidRPr="00F60174" w:rsidRDefault="00B73A6A" w:rsidP="00B73A6A">
            <w:pPr>
              <w:widowControl w:val="0"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81,0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D8DCBEC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68,6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3D4FC32" w14:textId="77777777" w:rsidR="00B73A6A" w:rsidRPr="00F60174" w:rsidRDefault="00B73A6A" w:rsidP="00B73A6A">
            <w:pPr>
              <w:widowControl w:val="0"/>
              <w:spacing w:after="0" w:line="240" w:lineRule="auto"/>
              <w:ind w:left="53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12,4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CDBCD60" w14:textId="77777777" w:rsidR="00B73A6A" w:rsidRPr="00F60174" w:rsidRDefault="00B73A6A" w:rsidP="00B73A6A">
            <w:pPr>
              <w:widowControl w:val="0"/>
              <w:spacing w:after="0" w:line="240" w:lineRule="auto"/>
              <w:ind w:left="364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[1,8%, 22,8</w:t>
            </w:r>
            <w:r w:rsidRPr="00F60174">
              <w:rPr>
                <w:rFonts w:ascii="Times New Roman" w:hAnsi="Times New Roman"/>
                <w:spacing w:val="-2"/>
              </w:rPr>
              <w:t>%]</w:t>
            </w:r>
          </w:p>
        </w:tc>
      </w:tr>
      <w:tr w:rsidR="00B73A6A" w:rsidRPr="008B7FEC" w14:paraId="386D7AFC" w14:textId="77777777" w:rsidTr="00F60174">
        <w:trPr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007D63AF" w14:textId="77777777" w:rsidR="00B73A6A" w:rsidRPr="00F60174" w:rsidRDefault="00B73A6A" w:rsidP="00B73A6A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6565DA62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74,1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0F77C915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55,1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14:paraId="0169E3A7" w14:textId="77777777" w:rsidR="00B73A6A" w:rsidRPr="00F60174" w:rsidRDefault="00B73A6A" w:rsidP="00B73A6A">
            <w:pPr>
              <w:widowControl w:val="0"/>
              <w:spacing w:after="0" w:line="240" w:lineRule="auto"/>
              <w:ind w:left="53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19,0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4F39E9" w14:textId="77777777" w:rsidR="00B73A6A" w:rsidRPr="00F60174" w:rsidRDefault="00B73A6A" w:rsidP="00B73A6A">
            <w:pPr>
              <w:widowControl w:val="0"/>
              <w:spacing w:after="0" w:line="240" w:lineRule="auto"/>
              <w:ind w:left="364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[7,5%, 30,3</w:t>
            </w:r>
            <w:r w:rsidRPr="00F60174">
              <w:rPr>
                <w:rFonts w:ascii="Times New Roman" w:hAnsi="Times New Roman"/>
                <w:spacing w:val="-2"/>
              </w:rPr>
              <w:t>%]</w:t>
            </w:r>
          </w:p>
        </w:tc>
      </w:tr>
      <w:tr w:rsidR="00B73A6A" w:rsidRPr="008B7FEC" w14:paraId="7161A520" w14:textId="77777777" w:rsidTr="00F60174">
        <w:trPr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B13E498" w14:textId="77777777" w:rsidR="00B73A6A" w:rsidRPr="00F60174" w:rsidRDefault="00B73A6A" w:rsidP="00B73A6A">
            <w:pPr>
              <w:widowControl w:val="0"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5358D43" w14:textId="77777777" w:rsidR="00B73A6A" w:rsidRPr="00F60174" w:rsidRDefault="00B73A6A" w:rsidP="00B73A6A">
            <w:pPr>
              <w:widowControl w:val="0"/>
              <w:spacing w:after="0" w:line="240" w:lineRule="auto"/>
              <w:ind w:right="12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69,3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279085A" w14:textId="77777777" w:rsidR="00B73A6A" w:rsidRPr="00F60174" w:rsidRDefault="00B73A6A" w:rsidP="00B73A6A">
            <w:pPr>
              <w:widowControl w:val="0"/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50,3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8422356" w14:textId="77777777" w:rsidR="00B73A6A" w:rsidRPr="00F60174" w:rsidRDefault="00B73A6A" w:rsidP="00B73A6A">
            <w:pPr>
              <w:widowControl w:val="0"/>
              <w:spacing w:after="0" w:line="240" w:lineRule="auto"/>
              <w:ind w:left="533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19,0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C526E63" w14:textId="77777777" w:rsidR="00B73A6A" w:rsidRPr="00F60174" w:rsidRDefault="00B73A6A" w:rsidP="00B73A6A">
            <w:pPr>
              <w:widowControl w:val="0"/>
              <w:spacing w:after="0" w:line="240" w:lineRule="auto"/>
              <w:ind w:left="364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[7,4%, 30,7</w:t>
            </w:r>
            <w:r w:rsidRPr="00F60174">
              <w:rPr>
                <w:rFonts w:ascii="Times New Roman" w:hAnsi="Times New Roman"/>
                <w:spacing w:val="-2"/>
              </w:rPr>
              <w:t>%]</w:t>
            </w:r>
          </w:p>
        </w:tc>
      </w:tr>
      <w:tr w:rsidR="00B73A6A" w:rsidRPr="008B7FEC" w14:paraId="4D2118AD" w14:textId="77777777" w:rsidTr="00F60174">
        <w:trPr>
          <w:trHeight w:hRule="exact" w:val="36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A08C2AC" w14:textId="77777777" w:rsidR="00B73A6A" w:rsidRPr="00F60174" w:rsidRDefault="00B73A6A" w:rsidP="00B73A6A">
            <w:pPr>
              <w:widowControl w:val="0"/>
              <w:tabs>
                <w:tab w:val="left" w:pos="7576"/>
              </w:tabs>
              <w:spacing w:after="0" w:line="240" w:lineRule="auto"/>
              <w:ind w:left="5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Teljes hatásosság (teljes válaszreakció és csak enyhe hányinger)</w:t>
            </w:r>
            <w:r w:rsidRPr="00F60174">
              <w:rPr>
                <w:rFonts w:ascii="Times New Roman" w:hAnsi="Times New Roman"/>
                <w:b/>
                <w:spacing w:val="-2"/>
              </w:rPr>
              <w:tab/>
            </w:r>
            <w:r w:rsidRPr="00F60174">
              <w:rPr>
                <w:rFonts w:ascii="Times New Roman" w:hAnsi="Times New Roman"/>
                <w:b/>
                <w:spacing w:val="-1"/>
              </w:rPr>
              <w:t>p-érték</w:t>
            </w:r>
            <w:r w:rsidRPr="00F60174"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B73A6A" w:rsidRPr="008B7FEC" w14:paraId="56C89DF4" w14:textId="77777777" w:rsidTr="00F60174">
        <w:trPr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9BC76AC" w14:textId="77777777" w:rsidR="00B73A6A" w:rsidRPr="00F60174" w:rsidRDefault="00B73A6A" w:rsidP="00B73A6A">
            <w:pPr>
              <w:widowControl w:val="0"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E216573" w14:textId="77777777" w:rsidR="00B73A6A" w:rsidRPr="00F60174" w:rsidRDefault="00B73A6A" w:rsidP="00B73A6A">
            <w:pPr>
              <w:widowControl w:val="0"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76,2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23DB2C4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65,4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FFAF58" w14:textId="77777777" w:rsidR="00B73A6A" w:rsidRPr="00F60174" w:rsidRDefault="00B73A6A" w:rsidP="00B73A6A">
            <w:pPr>
              <w:widowControl w:val="0"/>
              <w:spacing w:after="0" w:line="240" w:lineRule="auto"/>
              <w:ind w:left="53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10,8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2F687E7" w14:textId="77777777" w:rsidR="00B73A6A" w:rsidRPr="00F60174" w:rsidRDefault="00B73A6A" w:rsidP="00B73A6A">
            <w:pPr>
              <w:widowControl w:val="0"/>
              <w:spacing w:after="0" w:line="240" w:lineRule="auto"/>
              <w:ind w:left="21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1CDBE556" w14:textId="77777777" w:rsidTr="00F60174">
        <w:trPr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69608F33" w14:textId="77777777" w:rsidR="00B73A6A" w:rsidRPr="00F60174" w:rsidRDefault="00B73A6A" w:rsidP="00B73A6A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38629781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66,7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395B12FF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50,3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14:paraId="75F48006" w14:textId="77777777" w:rsidR="00B73A6A" w:rsidRPr="00F60174" w:rsidRDefault="00B73A6A" w:rsidP="00B73A6A">
            <w:pPr>
              <w:widowControl w:val="0"/>
              <w:spacing w:after="0" w:line="240" w:lineRule="auto"/>
              <w:ind w:left="53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16,4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E059A5" w14:textId="77777777" w:rsidR="00B73A6A" w:rsidRPr="00F60174" w:rsidRDefault="00B73A6A" w:rsidP="00B73A6A">
            <w:pPr>
              <w:widowControl w:val="0"/>
              <w:spacing w:after="0" w:line="240" w:lineRule="auto"/>
              <w:ind w:left="894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0,001</w:t>
            </w:r>
          </w:p>
        </w:tc>
      </w:tr>
      <w:tr w:rsidR="00B73A6A" w:rsidRPr="008B7FEC" w14:paraId="5C9CBCAC" w14:textId="77777777" w:rsidTr="00F60174">
        <w:trPr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AF9D847" w14:textId="77777777" w:rsidR="00B73A6A" w:rsidRPr="00F60174" w:rsidRDefault="00B73A6A" w:rsidP="00B73A6A">
            <w:pPr>
              <w:widowControl w:val="0"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DEAF2F0" w14:textId="77777777" w:rsidR="00B73A6A" w:rsidRPr="00F60174" w:rsidRDefault="00B73A6A" w:rsidP="00B73A6A">
            <w:pPr>
              <w:widowControl w:val="0"/>
              <w:spacing w:after="0" w:line="240" w:lineRule="auto"/>
              <w:ind w:right="12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63,0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9769E2E" w14:textId="77777777" w:rsidR="00B73A6A" w:rsidRPr="00F60174" w:rsidRDefault="00B73A6A" w:rsidP="00B73A6A">
            <w:pPr>
              <w:widowControl w:val="0"/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44,9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69F1F02" w14:textId="77777777" w:rsidR="00B73A6A" w:rsidRPr="00F60174" w:rsidRDefault="00B73A6A" w:rsidP="00B73A6A">
            <w:pPr>
              <w:widowControl w:val="0"/>
              <w:spacing w:after="0" w:line="240" w:lineRule="auto"/>
              <w:ind w:left="533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18,1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1755078" w14:textId="77777777" w:rsidR="00B73A6A" w:rsidRPr="00F60174" w:rsidRDefault="00B73A6A" w:rsidP="00B73A6A">
            <w:pPr>
              <w:widowControl w:val="0"/>
              <w:spacing w:after="0" w:line="240" w:lineRule="auto"/>
              <w:ind w:left="89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0,001</w:t>
            </w:r>
          </w:p>
        </w:tc>
      </w:tr>
      <w:tr w:rsidR="00B73A6A" w:rsidRPr="008B7FEC" w14:paraId="65979F81" w14:textId="77777777" w:rsidTr="00F60174">
        <w:trPr>
          <w:trHeight w:hRule="exact" w:val="37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3FEEB5A" w14:textId="77777777" w:rsidR="00B73A6A" w:rsidRPr="00F60174" w:rsidRDefault="00B73A6A" w:rsidP="00B73A6A">
            <w:pPr>
              <w:widowControl w:val="0"/>
              <w:tabs>
                <w:tab w:val="left" w:pos="7576"/>
              </w:tabs>
              <w:spacing w:after="0" w:line="240" w:lineRule="auto"/>
              <w:ind w:left="5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Nem lépett fel hányinger (Likert-skála)</w:t>
            </w:r>
            <w:r w:rsidRPr="00F60174">
              <w:rPr>
                <w:rFonts w:ascii="Times New Roman" w:hAnsi="Times New Roman"/>
                <w:b/>
                <w:spacing w:val="-1"/>
              </w:rPr>
              <w:tab/>
              <w:t>p-érték</w:t>
            </w:r>
            <w:r w:rsidRPr="00F60174"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B73A6A" w:rsidRPr="008B7FEC" w14:paraId="7D7B6536" w14:textId="77777777" w:rsidTr="00F60174">
        <w:trPr>
          <w:trHeight w:hRule="exact" w:val="364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4CF0078" w14:textId="77777777" w:rsidR="00B73A6A" w:rsidRPr="00F60174" w:rsidRDefault="00B73A6A" w:rsidP="00B73A6A">
            <w:pPr>
              <w:widowControl w:val="0"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4519E97" w14:textId="77777777" w:rsidR="00B73A6A" w:rsidRPr="00F60174" w:rsidRDefault="00B73A6A" w:rsidP="00B73A6A">
            <w:pPr>
              <w:widowControl w:val="0"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60,3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A3DB3AA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56,8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C224C0F" w14:textId="77777777" w:rsidR="00B73A6A" w:rsidRPr="00F60174" w:rsidRDefault="00B73A6A" w:rsidP="00B73A6A">
            <w:pPr>
              <w:widowControl w:val="0"/>
              <w:spacing w:after="0" w:line="240" w:lineRule="auto"/>
              <w:ind w:left="119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3,5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ACCCA57" w14:textId="77777777" w:rsidR="00B73A6A" w:rsidRPr="00F60174" w:rsidRDefault="00B73A6A" w:rsidP="00B73A6A">
            <w:pPr>
              <w:widowControl w:val="0"/>
              <w:spacing w:after="0" w:line="240" w:lineRule="auto"/>
              <w:ind w:left="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19CBEBCA" w14:textId="77777777" w:rsidTr="00F60174">
        <w:trPr>
          <w:trHeight w:hRule="exact" w:val="36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01E6C142" w14:textId="77777777" w:rsidR="00B73A6A" w:rsidRPr="00F60174" w:rsidRDefault="00B73A6A" w:rsidP="00B73A6A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0C909F2D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51,9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23373C8C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39,5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14:paraId="191A7E00" w14:textId="77777777" w:rsidR="00B73A6A" w:rsidRPr="00F60174" w:rsidRDefault="00B73A6A" w:rsidP="00B73A6A">
            <w:pPr>
              <w:widowControl w:val="0"/>
              <w:spacing w:after="0" w:line="240" w:lineRule="auto"/>
              <w:ind w:left="53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12,4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60849B" w14:textId="77777777" w:rsidR="00B73A6A" w:rsidRPr="00F60174" w:rsidRDefault="00B73A6A" w:rsidP="00B73A6A">
            <w:pPr>
              <w:widowControl w:val="0"/>
              <w:spacing w:after="0" w:line="240" w:lineRule="auto"/>
              <w:ind w:left="49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44BCA8C4" w14:textId="77777777" w:rsidTr="00F60174">
        <w:trPr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F216C6D" w14:textId="77777777" w:rsidR="00B73A6A" w:rsidRPr="00F60174" w:rsidRDefault="00B73A6A" w:rsidP="00B73A6A">
            <w:pPr>
              <w:widowControl w:val="0"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0497119" w14:textId="77777777" w:rsidR="00B73A6A" w:rsidRPr="00F60174" w:rsidRDefault="00B73A6A" w:rsidP="00B73A6A">
            <w:pPr>
              <w:widowControl w:val="0"/>
              <w:spacing w:after="0" w:line="240" w:lineRule="auto"/>
              <w:ind w:right="12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45,0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C847FA3" w14:textId="77777777" w:rsidR="00B73A6A" w:rsidRPr="00F60174" w:rsidRDefault="00B73A6A" w:rsidP="00B73A6A">
            <w:pPr>
              <w:widowControl w:val="0"/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36,2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221427F" w14:textId="77777777" w:rsidR="00B73A6A" w:rsidRPr="00F60174" w:rsidRDefault="00B73A6A" w:rsidP="00B73A6A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8,8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100BF6D" w14:textId="77777777" w:rsidR="00B73A6A" w:rsidRPr="00F60174" w:rsidRDefault="00B73A6A" w:rsidP="00B73A6A">
            <w:pPr>
              <w:widowControl w:val="0"/>
              <w:spacing w:after="0" w:line="240" w:lineRule="auto"/>
              <w:ind w:left="49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</w:tbl>
    <w:p w14:paraId="14A33DE6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a</w:t>
      </w:r>
      <w:r w:rsidR="00631293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A kezelni szándékozott (</w:t>
      </w:r>
      <w:r w:rsidRPr="00F60174">
        <w:rPr>
          <w:rFonts w:ascii="Times New Roman" w:eastAsia="Times New Roman" w:hAnsi="Times New Roman"/>
          <w:i/>
        </w:rPr>
        <w:t>intent-to-treat</w:t>
      </w:r>
      <w:r w:rsidRPr="00F60174">
        <w:rPr>
          <w:rFonts w:ascii="Times New Roman" w:eastAsia="Times New Roman" w:hAnsi="Times New Roman"/>
        </w:rPr>
        <w:t>) kohorsz.</w:t>
      </w:r>
    </w:p>
    <w:p w14:paraId="558A5A19" w14:textId="77777777" w:rsidR="00B73A6A" w:rsidRPr="00F60174" w:rsidRDefault="00B73A6A" w:rsidP="00CD12D9">
      <w:pPr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b</w:t>
      </w:r>
      <w:r w:rsidR="00631293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A vizsgálat célja annak kimutatása volt, hogy a vizsgált gyógyszer nem kevésbé hatásos (</w:t>
      </w:r>
      <w:r w:rsidRPr="00F60174">
        <w:rPr>
          <w:rFonts w:ascii="Times New Roman" w:eastAsia="Times New Roman" w:hAnsi="Times New Roman"/>
          <w:i/>
        </w:rPr>
        <w:t>non</w:t>
      </w:r>
      <w:r w:rsidRPr="00F60174">
        <w:rPr>
          <w:rFonts w:ascii="Times New Roman" w:eastAsia="Times New Roman" w:hAnsi="Times New Roman"/>
          <w:i/>
        </w:rPr>
        <w:noBreakHyphen/>
        <w:t>inferiority</w:t>
      </w:r>
      <w:r w:rsidRPr="00F60174">
        <w:rPr>
          <w:rFonts w:ascii="Times New Roman" w:eastAsia="Times New Roman" w:hAnsi="Times New Roman"/>
        </w:rPr>
        <w:t>). A –15%-ot meghaladó alsó határérték igazolja, hogy a palonoszetron nem kevésbé hatásos az összehasonlítási alapul szolgáló gyógyszernél.</w:t>
      </w:r>
    </w:p>
    <w:p w14:paraId="37AF5E1B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c</w:t>
      </w:r>
      <w:r w:rsidR="00631293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Khi-négyzet próba. Szignifikanciaszint α = 0,05.</w:t>
      </w:r>
    </w:p>
    <w:p w14:paraId="5DB9F04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144802E" w14:textId="77777777" w:rsidR="00B73A6A" w:rsidRPr="00F60174" w:rsidRDefault="00B73A6A" w:rsidP="00C616E1">
      <w:pPr>
        <w:keepNext/>
        <w:keepLines/>
        <w:tabs>
          <w:tab w:val="left" w:pos="1418"/>
        </w:tabs>
        <w:spacing w:after="0" w:line="240" w:lineRule="auto"/>
        <w:ind w:left="1418" w:hanging="1559"/>
        <w:rPr>
          <w:rFonts w:ascii="Times New Roman" w:eastAsia="Times New Roman" w:hAnsi="Times New Roman"/>
          <w:b/>
        </w:rPr>
      </w:pPr>
      <w:r w:rsidRPr="00F60174">
        <w:rPr>
          <w:rFonts w:ascii="Times New Roman" w:eastAsia="Times New Roman" w:hAnsi="Times New Roman"/>
          <w:b/>
        </w:rPr>
        <w:lastRenderedPageBreak/>
        <w:t>2. táblázat</w:t>
      </w:r>
      <w:r w:rsidRPr="00F60174">
        <w:rPr>
          <w:rFonts w:ascii="Times New Roman" w:eastAsia="Times New Roman" w:hAnsi="Times New Roman"/>
          <w:b/>
        </w:rPr>
        <w:tab/>
        <w:t>A válaszreakciót mutató betegek</w:t>
      </w:r>
      <w:r w:rsidRPr="00F60174">
        <w:rPr>
          <w:rFonts w:ascii="Times New Roman" w:eastAsia="Times New Roman" w:hAnsi="Times New Roman"/>
          <w:b/>
          <w:vertAlign w:val="superscript"/>
        </w:rPr>
        <w:t>a</w:t>
      </w:r>
      <w:r w:rsidRPr="00F60174">
        <w:rPr>
          <w:rFonts w:ascii="Times New Roman" w:eastAsia="Times New Roman" w:hAnsi="Times New Roman"/>
          <w:b/>
        </w:rPr>
        <w:t xml:space="preserve"> %-os aránya kezelési csoportonként és fázisonként, a közepesen emetogén kemoterápiás vizsgálatban, a dolaszetronhoz viszonyítva</w:t>
      </w:r>
    </w:p>
    <w:p w14:paraId="7BF6461D" w14:textId="77777777" w:rsidR="00B73A6A" w:rsidRPr="00F60174" w:rsidRDefault="00B73A6A" w:rsidP="00B73A6A">
      <w:pPr>
        <w:keepNext/>
        <w:keepLines/>
        <w:tabs>
          <w:tab w:val="left" w:pos="1545"/>
        </w:tabs>
        <w:spacing w:after="0" w:line="240" w:lineRule="auto"/>
        <w:ind w:left="1559" w:hanging="1559"/>
        <w:rPr>
          <w:rFonts w:ascii="Times New Roman" w:eastAsia="Times New Roman" w:hAnsi="Times New Roman"/>
          <w:b/>
        </w:rPr>
      </w:pPr>
    </w:p>
    <w:tbl>
      <w:tblPr>
        <w:tblW w:w="88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1"/>
        <w:gridCol w:w="1928"/>
        <w:gridCol w:w="2100"/>
        <w:gridCol w:w="720"/>
        <w:gridCol w:w="567"/>
        <w:gridCol w:w="1913"/>
        <w:gridCol w:w="16"/>
      </w:tblGrid>
      <w:tr w:rsidR="00B73A6A" w:rsidRPr="008B7FEC" w14:paraId="401DA640" w14:textId="77777777" w:rsidTr="00F60174">
        <w:trPr>
          <w:gridAfter w:val="1"/>
          <w:wAfter w:w="16" w:type="dxa"/>
          <w:trHeight w:hRule="exact" w:val="768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1ECCBD5" w14:textId="77777777" w:rsidR="00B73A6A" w:rsidRPr="00F60174" w:rsidRDefault="00B73A6A" w:rsidP="00B73A6A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454899C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Palonoszetron</w:t>
            </w:r>
          </w:p>
          <w:p w14:paraId="1A3020B5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02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250 </w:t>
            </w:r>
            <w:r w:rsidRPr="00F60174">
              <w:rPr>
                <w:rFonts w:ascii="Times New Roman" w:hAnsi="Times New Roman"/>
                <w:spacing w:val="-2"/>
              </w:rPr>
              <w:t>mikrogramm</w:t>
            </w:r>
          </w:p>
          <w:p w14:paraId="43637CF8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(n = </w:t>
            </w:r>
            <w:r w:rsidRPr="00F60174">
              <w:rPr>
                <w:rFonts w:ascii="Times New Roman" w:hAnsi="Times New Roman"/>
                <w:spacing w:val="-1"/>
              </w:rPr>
              <w:t>185)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ABE1F4B" w14:textId="77777777" w:rsidR="00B73A6A" w:rsidRPr="00F60174" w:rsidRDefault="00B73A6A" w:rsidP="00B73A6A">
            <w:pPr>
              <w:keepNext/>
              <w:keepLines/>
              <w:tabs>
                <w:tab w:val="left" w:pos="1828"/>
              </w:tabs>
              <w:spacing w:after="0" w:line="240" w:lineRule="auto"/>
              <w:ind w:left="300" w:right="272" w:firstLine="2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Dolaszetron</w:t>
            </w:r>
            <w:r w:rsidRPr="00F60174">
              <w:rPr>
                <w:rFonts w:ascii="Times New Roman" w:hAnsi="Times New Roman"/>
                <w:spacing w:val="26"/>
              </w:rPr>
              <w:t xml:space="preserve"> </w:t>
            </w:r>
            <w:r w:rsidRPr="00F60174">
              <w:rPr>
                <w:rFonts w:ascii="Times New Roman" w:hAnsi="Times New Roman"/>
              </w:rPr>
              <w:t>100 </w:t>
            </w:r>
            <w:r w:rsidRPr="00F60174">
              <w:rPr>
                <w:rFonts w:ascii="Times New Roman" w:hAnsi="Times New Roman"/>
                <w:spacing w:val="-1"/>
              </w:rPr>
              <w:t>milligramm</w:t>
            </w:r>
          </w:p>
          <w:p w14:paraId="4AC35AFC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(n = </w:t>
            </w:r>
            <w:r w:rsidRPr="00F60174">
              <w:rPr>
                <w:rFonts w:ascii="Times New Roman" w:hAnsi="Times New Roman"/>
                <w:spacing w:val="-1"/>
              </w:rPr>
              <w:t>191)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3864E1D" w14:textId="77777777" w:rsidR="00B73A6A" w:rsidRPr="00F60174" w:rsidRDefault="00B73A6A" w:rsidP="00B73A6A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126F7CD7" w14:textId="77777777" w:rsidR="00B73A6A" w:rsidRPr="00F60174" w:rsidRDefault="00B73A6A" w:rsidP="00B73A6A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5A14F076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459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Delta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059CD16" w14:textId="77777777" w:rsidR="00B73A6A" w:rsidRPr="00F60174" w:rsidRDefault="00B73A6A" w:rsidP="00B73A6A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73A6A" w:rsidRPr="008B7FEC" w14:paraId="6A407026" w14:textId="77777777" w:rsidTr="00F60174">
        <w:trPr>
          <w:gridAfter w:val="1"/>
          <w:wAfter w:w="16" w:type="dxa"/>
          <w:trHeight w:hRule="exact" w:val="264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C7FB666" w14:textId="77777777" w:rsidR="00B73A6A" w:rsidRPr="00F60174" w:rsidRDefault="00B73A6A" w:rsidP="00B73A6A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A853607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376959E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7569788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08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FFFFAAD" w14:textId="77777777" w:rsidR="00B73A6A" w:rsidRPr="00F60174" w:rsidRDefault="00B73A6A" w:rsidP="00B73A6A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73A6A" w:rsidRPr="008B7FEC" w14:paraId="01843958" w14:textId="77777777" w:rsidTr="00F60174">
        <w:trPr>
          <w:trHeight w:hRule="exact" w:val="663"/>
        </w:trPr>
        <w:tc>
          <w:tcPr>
            <w:tcW w:w="637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51B4F93" w14:textId="77777777" w:rsidR="00B73A6A" w:rsidRPr="00F60174" w:rsidDel="00FC5F7B" w:rsidRDefault="00B73A6A" w:rsidP="00B73A6A">
            <w:pPr>
              <w:keepNext/>
              <w:keepLines/>
              <w:spacing w:after="0" w:line="240" w:lineRule="auto"/>
              <w:ind w:left="55"/>
              <w:rPr>
                <w:rFonts w:ascii="Times New Roman" w:hAnsi="Times New Roman"/>
                <w:b/>
              </w:rPr>
            </w:pPr>
            <w:r w:rsidRPr="00F60174">
              <w:rPr>
                <w:rFonts w:ascii="Times New Roman" w:hAnsi="Times New Roman"/>
                <w:b/>
              </w:rPr>
              <w:t>Teljes válaszreakció (nem lépett fel hányás és nem volt szükség mentő gyógyszerre)</w:t>
            </w:r>
          </w:p>
        </w:tc>
        <w:tc>
          <w:tcPr>
            <w:tcW w:w="24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3C89836" w14:textId="77777777" w:rsidR="00B73A6A" w:rsidRPr="00F60174" w:rsidRDefault="00B73A6A" w:rsidP="00B73A6A">
            <w:pPr>
              <w:keepNext/>
              <w:keepLines/>
              <w:tabs>
                <w:tab w:val="left" w:pos="7447"/>
              </w:tabs>
              <w:spacing w:after="0" w:line="240" w:lineRule="auto"/>
              <w:ind w:left="99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97,5%-os</w:t>
            </w:r>
            <w:r w:rsidRPr="00F60174">
              <w:rPr>
                <w:rFonts w:ascii="Times New Roman" w:hAnsi="Times New Roman"/>
                <w:b/>
                <w:spacing w:val="-3"/>
              </w:rPr>
              <w:t xml:space="preserve"> </w:t>
            </w:r>
            <w:r w:rsidRPr="00F60174">
              <w:rPr>
                <w:rFonts w:ascii="Times New Roman" w:hAnsi="Times New Roman"/>
                <w:b/>
                <w:spacing w:val="-1"/>
              </w:rPr>
              <w:t>CI</w:t>
            </w:r>
            <w:r w:rsidRPr="00F60174">
              <w:rPr>
                <w:rFonts w:ascii="Times New Roman" w:hAnsi="Times New Roman"/>
                <w:vertAlign w:val="superscript"/>
              </w:rPr>
              <w:t>b</w:t>
            </w:r>
          </w:p>
        </w:tc>
      </w:tr>
      <w:tr w:rsidR="00B73A6A" w:rsidRPr="008B7FEC" w14:paraId="5EFE3FE7" w14:textId="77777777" w:rsidTr="00F60174">
        <w:trPr>
          <w:gridAfter w:val="1"/>
          <w:wAfter w:w="16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898A3C2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</w:t>
            </w:r>
            <w:r w:rsidRPr="00F60174">
              <w:rPr>
                <w:rFonts w:ascii="Times New Roman" w:eastAsia="Times New Roman" w:hAnsi="Times New Roman"/>
                <w:spacing w:val="-1"/>
              </w:rPr>
              <w:t> óra</w:t>
            </w: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CF2B90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63,0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0C6E957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52,9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9F260A8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50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10,1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272F3C3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346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[–1,7</w:t>
            </w:r>
            <w:r w:rsidRPr="00F60174">
              <w:rPr>
                <w:rFonts w:ascii="Times New Roman" w:hAnsi="Times New Roman"/>
              </w:rPr>
              <w:t>%, 21,9%]</w:t>
            </w:r>
          </w:p>
        </w:tc>
      </w:tr>
      <w:tr w:rsidR="00B73A6A" w:rsidRPr="008B7FEC" w14:paraId="770AF540" w14:textId="77777777" w:rsidTr="00F60174">
        <w:trPr>
          <w:gridAfter w:val="1"/>
          <w:wAfter w:w="16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5AE6665F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53F2221A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54,0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0B132640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38,7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AF20D1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50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15,3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718ADB46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38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[3,4%, 27,1</w:t>
            </w:r>
            <w:r w:rsidRPr="00F60174">
              <w:rPr>
                <w:rFonts w:ascii="Times New Roman" w:hAnsi="Times New Roman"/>
                <w:spacing w:val="-2"/>
              </w:rPr>
              <w:t>%]</w:t>
            </w:r>
          </w:p>
        </w:tc>
      </w:tr>
      <w:tr w:rsidR="00B73A6A" w:rsidRPr="008B7FEC" w14:paraId="3F5E1E5B" w14:textId="77777777" w:rsidTr="00F60174">
        <w:trPr>
          <w:gridAfter w:val="1"/>
          <w:wAfter w:w="16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A6F9CF2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6E4E421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46,0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6109557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34,0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53DEBCB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50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12,0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38BA5A3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38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[0,3%, 23,7</w:t>
            </w:r>
            <w:r w:rsidRPr="00F60174">
              <w:rPr>
                <w:rFonts w:ascii="Times New Roman" w:hAnsi="Times New Roman"/>
                <w:spacing w:val="-2"/>
              </w:rPr>
              <w:t>%]</w:t>
            </w:r>
          </w:p>
        </w:tc>
      </w:tr>
      <w:tr w:rsidR="00B73A6A" w:rsidRPr="008B7FEC" w14:paraId="7E4B055D" w14:textId="77777777" w:rsidTr="00F60174">
        <w:trPr>
          <w:gridAfter w:val="1"/>
          <w:wAfter w:w="16" w:type="dxa"/>
          <w:trHeight w:hRule="exact" w:val="36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8BF4F1F" w14:textId="77777777" w:rsidR="00B73A6A" w:rsidRPr="00F60174" w:rsidRDefault="00B73A6A" w:rsidP="00B73A6A">
            <w:pPr>
              <w:keepNext/>
              <w:keepLines/>
              <w:tabs>
                <w:tab w:val="left" w:pos="7718"/>
              </w:tabs>
              <w:spacing w:after="0" w:line="240" w:lineRule="auto"/>
              <w:ind w:left="5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Teljes hatásosság (teljes válaszreakció és csak enyhe hányinger)</w:t>
            </w:r>
            <w:r w:rsidRPr="00F60174">
              <w:rPr>
                <w:rFonts w:ascii="Times New Roman" w:hAnsi="Times New Roman"/>
                <w:b/>
                <w:spacing w:val="-2"/>
              </w:rPr>
              <w:tab/>
            </w:r>
            <w:r w:rsidRPr="00F60174">
              <w:rPr>
                <w:rFonts w:ascii="Times New Roman" w:hAnsi="Times New Roman"/>
                <w:b/>
                <w:spacing w:val="-1"/>
              </w:rPr>
              <w:t>p-érték</w:t>
            </w:r>
            <w:r w:rsidRPr="00F60174"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B73A6A" w:rsidRPr="008B7FEC" w14:paraId="589EC7F1" w14:textId="77777777" w:rsidTr="00F60174">
        <w:trPr>
          <w:gridAfter w:val="1"/>
          <w:wAfter w:w="16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F19CE54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C0D24A3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57,1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F435CED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47,6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650D687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10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9,5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642B822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23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02A31267" w14:textId="77777777" w:rsidTr="00F60174">
        <w:trPr>
          <w:gridAfter w:val="1"/>
          <w:wAfter w:w="16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5E694F5A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091611A1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48,1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2EAF107A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36,1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17DAA3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50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12,0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672B492C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91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0,018</w:t>
            </w:r>
          </w:p>
        </w:tc>
      </w:tr>
      <w:tr w:rsidR="00B73A6A" w:rsidRPr="008B7FEC" w14:paraId="183FFA05" w14:textId="77777777" w:rsidTr="00F60174">
        <w:trPr>
          <w:gridAfter w:val="1"/>
          <w:wAfter w:w="16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5059EBB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3A75750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41,8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5CD4758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30,9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F36C60B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50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10,9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358945A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91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0,027</w:t>
            </w:r>
          </w:p>
        </w:tc>
      </w:tr>
      <w:tr w:rsidR="00B73A6A" w:rsidRPr="008B7FEC" w14:paraId="399802E5" w14:textId="77777777" w:rsidTr="00F60174">
        <w:trPr>
          <w:gridAfter w:val="1"/>
          <w:wAfter w:w="16" w:type="dxa"/>
          <w:trHeight w:hRule="exact" w:val="37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9674391" w14:textId="77777777" w:rsidR="00B73A6A" w:rsidRPr="00F60174" w:rsidRDefault="00B73A6A" w:rsidP="00B73A6A">
            <w:pPr>
              <w:keepNext/>
              <w:keepLines/>
              <w:tabs>
                <w:tab w:val="left" w:pos="7718"/>
              </w:tabs>
              <w:spacing w:after="0" w:line="240" w:lineRule="auto"/>
              <w:ind w:left="5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Nem lépett fel hányinger (Likert-skála)</w:t>
            </w:r>
            <w:r w:rsidRPr="00F60174">
              <w:rPr>
                <w:rFonts w:ascii="Times New Roman" w:hAnsi="Times New Roman"/>
                <w:b/>
                <w:spacing w:val="-1"/>
              </w:rPr>
              <w:tab/>
              <w:t>p-érték</w:t>
            </w:r>
            <w:r w:rsidRPr="00F60174"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B73A6A" w:rsidRPr="008B7FEC" w14:paraId="47E55846" w14:textId="77777777" w:rsidTr="00F60174">
        <w:trPr>
          <w:gridAfter w:val="1"/>
          <w:wAfter w:w="16" w:type="dxa"/>
          <w:trHeight w:hRule="exact" w:val="364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7B3D047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849F966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48,7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8F1B470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41,4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BA42C96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10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7,3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44F7918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24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422035DA" w14:textId="77777777" w:rsidTr="00F60174">
        <w:trPr>
          <w:gridAfter w:val="1"/>
          <w:wAfter w:w="16" w:type="dxa"/>
          <w:trHeight w:hRule="exact" w:val="36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44784501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54FC0D74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41,8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649D1007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26,2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7CC42A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50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15,6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657E877A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91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0,001</w:t>
            </w:r>
          </w:p>
        </w:tc>
      </w:tr>
      <w:tr w:rsidR="00B73A6A" w:rsidRPr="008B7FEC" w14:paraId="2D5CD32B" w14:textId="77777777" w:rsidTr="00F60174">
        <w:trPr>
          <w:gridAfter w:val="1"/>
          <w:wAfter w:w="16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8BEC090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8EE4261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33,9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7757CEB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22,5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14642FA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50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11,4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F84311C" w14:textId="77777777" w:rsidR="00B73A6A" w:rsidRPr="00F60174" w:rsidRDefault="00B73A6A" w:rsidP="00B73A6A">
            <w:pPr>
              <w:keepNext/>
              <w:keepLines/>
              <w:spacing w:after="0" w:line="240" w:lineRule="auto"/>
              <w:ind w:left="91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0,014</w:t>
            </w:r>
          </w:p>
        </w:tc>
      </w:tr>
    </w:tbl>
    <w:p w14:paraId="5D1DE3D9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a</w:t>
      </w:r>
      <w:r w:rsidR="00F11257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A kezelni szándékozott (</w:t>
      </w:r>
      <w:r w:rsidRPr="00F60174">
        <w:rPr>
          <w:rFonts w:ascii="Times New Roman" w:eastAsia="Times New Roman" w:hAnsi="Times New Roman"/>
          <w:i/>
        </w:rPr>
        <w:t>intent-to-treat</w:t>
      </w:r>
      <w:r w:rsidRPr="00F60174">
        <w:rPr>
          <w:rFonts w:ascii="Times New Roman" w:eastAsia="Times New Roman" w:hAnsi="Times New Roman"/>
        </w:rPr>
        <w:t xml:space="preserve">) kohorsz. </w:t>
      </w:r>
    </w:p>
    <w:p w14:paraId="5EBAE3C2" w14:textId="77777777" w:rsidR="00B73A6A" w:rsidRPr="00F60174" w:rsidRDefault="00B73A6A" w:rsidP="00CD12D9">
      <w:pPr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b</w:t>
      </w:r>
      <w:r w:rsidR="00F11257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A vizsgálat célja annak kimutatása volt, hogy a vizsgált gyógyszer nem kevésbé hatásos (</w:t>
      </w:r>
      <w:r w:rsidRPr="00F60174">
        <w:rPr>
          <w:rFonts w:ascii="Times New Roman" w:eastAsia="Times New Roman" w:hAnsi="Times New Roman"/>
          <w:i/>
        </w:rPr>
        <w:t>non</w:t>
      </w:r>
      <w:r w:rsidRPr="00F60174">
        <w:rPr>
          <w:rFonts w:ascii="Times New Roman" w:eastAsia="Times New Roman" w:hAnsi="Times New Roman"/>
          <w:i/>
        </w:rPr>
        <w:noBreakHyphen/>
        <w:t>inferiority</w:t>
      </w:r>
      <w:r w:rsidRPr="00F60174">
        <w:rPr>
          <w:rFonts w:ascii="Times New Roman" w:eastAsia="Times New Roman" w:hAnsi="Times New Roman"/>
        </w:rPr>
        <w:t xml:space="preserve">). A –15%-ot meghaladó alsó határérték igazolja, hogy a palonoszetron nem kevésbé hatásos az összehasonlítási alapul szolgáló gyógyszernél. </w:t>
      </w:r>
    </w:p>
    <w:p w14:paraId="42C060D8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c</w:t>
      </w:r>
      <w:r w:rsidR="00F11257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Khi-négyzet próba. Szignifikanciaszint α = 0,05.</w:t>
      </w:r>
    </w:p>
    <w:p w14:paraId="6950105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F90AE14" w14:textId="77777777" w:rsidR="00B73A6A" w:rsidRPr="00F60174" w:rsidRDefault="00B73A6A" w:rsidP="00C616E1">
      <w:pPr>
        <w:tabs>
          <w:tab w:val="left" w:pos="1418"/>
        </w:tabs>
        <w:spacing w:after="0" w:line="240" w:lineRule="auto"/>
        <w:ind w:left="1418" w:hanging="1560"/>
        <w:rPr>
          <w:rFonts w:ascii="Times New Roman" w:eastAsia="Times New Roman" w:hAnsi="Times New Roman"/>
          <w:b/>
        </w:rPr>
      </w:pPr>
      <w:r w:rsidRPr="00F60174">
        <w:rPr>
          <w:rFonts w:ascii="Times New Roman" w:eastAsia="Times New Roman" w:hAnsi="Times New Roman"/>
          <w:b/>
        </w:rPr>
        <w:t>3. táblázat</w:t>
      </w:r>
      <w:r w:rsidRPr="00F60174">
        <w:rPr>
          <w:rFonts w:ascii="Times New Roman" w:eastAsia="Times New Roman" w:hAnsi="Times New Roman"/>
          <w:b/>
        </w:rPr>
        <w:tab/>
        <w:t>A válaszreakciót mutató betegek</w:t>
      </w:r>
      <w:r w:rsidRPr="00F60174">
        <w:rPr>
          <w:rFonts w:ascii="Times New Roman" w:eastAsia="Times New Roman" w:hAnsi="Times New Roman"/>
          <w:b/>
          <w:vertAlign w:val="superscript"/>
        </w:rPr>
        <w:t>a</w:t>
      </w:r>
      <w:r w:rsidRPr="00F60174">
        <w:rPr>
          <w:rFonts w:ascii="Times New Roman" w:eastAsia="Times New Roman" w:hAnsi="Times New Roman"/>
          <w:b/>
        </w:rPr>
        <w:t xml:space="preserve"> %-os aránya kezelési csoportonként és fázisonként, az erősen emetogén kemoterápiás vizsgálatok során, az ondanszetronhoz viszonyítva</w:t>
      </w:r>
    </w:p>
    <w:p w14:paraId="2C731D7E" w14:textId="77777777" w:rsidR="00B73A6A" w:rsidRPr="00F60174" w:rsidRDefault="00B73A6A" w:rsidP="00B73A6A">
      <w:pPr>
        <w:tabs>
          <w:tab w:val="left" w:pos="1560"/>
        </w:tabs>
        <w:spacing w:after="0" w:line="240" w:lineRule="auto"/>
        <w:ind w:left="1560" w:hanging="1560"/>
        <w:rPr>
          <w:rFonts w:ascii="Times New Roman" w:eastAsia="Times New Roman" w:hAnsi="Times New Roman"/>
        </w:rPr>
      </w:pPr>
    </w:p>
    <w:tbl>
      <w:tblPr>
        <w:tblW w:w="88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1"/>
        <w:gridCol w:w="1956"/>
        <w:gridCol w:w="2044"/>
        <w:gridCol w:w="323"/>
        <w:gridCol w:w="991"/>
        <w:gridCol w:w="1916"/>
      </w:tblGrid>
      <w:tr w:rsidR="00B73A6A" w:rsidRPr="008B7FEC" w14:paraId="34DD278A" w14:textId="77777777" w:rsidTr="00F60174">
        <w:trPr>
          <w:trHeight w:hRule="exact" w:val="770"/>
          <w:tblHeader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73F37A6" w14:textId="77777777" w:rsidR="00B73A6A" w:rsidRPr="00F60174" w:rsidRDefault="00B73A6A" w:rsidP="00B73A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F46C315" w14:textId="77777777" w:rsidR="00B73A6A" w:rsidRPr="00F60174" w:rsidRDefault="00B73A6A" w:rsidP="00B73A6A">
            <w:pPr>
              <w:widowControl w:val="0"/>
              <w:spacing w:after="0" w:line="240" w:lineRule="auto"/>
              <w:ind w:right="122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Palonoszetron</w:t>
            </w:r>
          </w:p>
          <w:p w14:paraId="48B6C60F" w14:textId="77777777" w:rsidR="00B73A6A" w:rsidRPr="00F60174" w:rsidRDefault="00B73A6A" w:rsidP="00B73A6A">
            <w:pPr>
              <w:widowControl w:val="0"/>
              <w:spacing w:after="0" w:line="240" w:lineRule="auto"/>
              <w:ind w:right="130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250 </w:t>
            </w:r>
            <w:r w:rsidRPr="00F60174">
              <w:rPr>
                <w:rFonts w:ascii="Times New Roman" w:hAnsi="Times New Roman"/>
                <w:spacing w:val="-2"/>
              </w:rPr>
              <w:t>mikrogramm</w:t>
            </w:r>
          </w:p>
          <w:p w14:paraId="26D90797" w14:textId="77777777" w:rsidR="00B73A6A" w:rsidRPr="00F60174" w:rsidRDefault="00B73A6A" w:rsidP="00B73A6A">
            <w:pPr>
              <w:widowControl w:val="0"/>
              <w:spacing w:after="0" w:line="240" w:lineRule="auto"/>
              <w:ind w:right="122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(n = </w:t>
            </w:r>
            <w:r w:rsidRPr="00F60174">
              <w:rPr>
                <w:rFonts w:ascii="Times New Roman" w:hAnsi="Times New Roman"/>
                <w:spacing w:val="-1"/>
              </w:rPr>
              <w:t>223)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F04F309" w14:textId="77777777" w:rsidR="00B73A6A" w:rsidRPr="00F60174" w:rsidRDefault="00B73A6A" w:rsidP="00B73A6A">
            <w:pPr>
              <w:widowControl w:val="0"/>
              <w:spacing w:after="0" w:line="240" w:lineRule="auto"/>
              <w:ind w:left="328" w:right="244" w:firstLine="2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Ondanszetron</w:t>
            </w:r>
            <w:r w:rsidRPr="00F60174">
              <w:rPr>
                <w:rFonts w:ascii="Times New Roman" w:hAnsi="Times New Roman"/>
                <w:spacing w:val="26"/>
              </w:rPr>
              <w:t xml:space="preserve"> </w:t>
            </w:r>
            <w:r w:rsidRPr="00F60174">
              <w:rPr>
                <w:rFonts w:ascii="Times New Roman" w:hAnsi="Times New Roman"/>
              </w:rPr>
              <w:t>32 </w:t>
            </w:r>
            <w:r w:rsidRPr="00F60174">
              <w:rPr>
                <w:rFonts w:ascii="Times New Roman" w:hAnsi="Times New Roman"/>
                <w:spacing w:val="-1"/>
              </w:rPr>
              <w:t>milligramm</w:t>
            </w:r>
          </w:p>
          <w:p w14:paraId="2BEC8F8A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(n = </w:t>
            </w:r>
            <w:r w:rsidRPr="00F60174">
              <w:rPr>
                <w:rFonts w:ascii="Times New Roman" w:hAnsi="Times New Roman"/>
                <w:spacing w:val="-1"/>
              </w:rPr>
              <w:t>221)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D4B70EF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42384575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03CD8208" w14:textId="77777777" w:rsidR="00B73A6A" w:rsidRPr="00F60174" w:rsidRDefault="00B73A6A" w:rsidP="00B73A6A">
            <w:pPr>
              <w:widowControl w:val="0"/>
              <w:spacing w:after="0" w:line="240" w:lineRule="auto"/>
              <w:ind w:left="48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Delta</w:t>
            </w:r>
          </w:p>
        </w:tc>
        <w:tc>
          <w:tcPr>
            <w:tcW w:w="191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E022F4A" w14:textId="77777777" w:rsidR="00B73A6A" w:rsidRPr="00F60174" w:rsidRDefault="00B73A6A" w:rsidP="00B73A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73A6A" w:rsidRPr="008B7FEC" w14:paraId="5CB0C20C" w14:textId="77777777" w:rsidTr="00F60174">
        <w:trPr>
          <w:trHeight w:hRule="exact" w:val="262"/>
          <w:tblHeader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342A423" w14:textId="77777777" w:rsidR="00B73A6A" w:rsidRPr="00F60174" w:rsidRDefault="00B73A6A" w:rsidP="00B73A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E9FA5BC" w14:textId="77777777" w:rsidR="00B73A6A" w:rsidRPr="00F60174" w:rsidRDefault="00B73A6A" w:rsidP="00B73A6A">
            <w:pPr>
              <w:widowControl w:val="0"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DA60106" w14:textId="77777777" w:rsidR="00B73A6A" w:rsidRPr="00F60174" w:rsidRDefault="00B73A6A" w:rsidP="00B73A6A">
            <w:pPr>
              <w:widowControl w:val="0"/>
              <w:spacing w:after="0" w:line="240" w:lineRule="auto"/>
              <w:ind w:right="15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4823A51" w14:textId="77777777" w:rsidR="00B73A6A" w:rsidRPr="00F60174" w:rsidRDefault="00B73A6A" w:rsidP="00B73A6A">
            <w:pPr>
              <w:widowControl w:val="0"/>
              <w:spacing w:after="0" w:line="240" w:lineRule="auto"/>
              <w:ind w:left="136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%</w:t>
            </w:r>
          </w:p>
        </w:tc>
        <w:tc>
          <w:tcPr>
            <w:tcW w:w="191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30407EC" w14:textId="77777777" w:rsidR="00B73A6A" w:rsidRPr="00F60174" w:rsidRDefault="00B73A6A" w:rsidP="00B73A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73A6A" w:rsidRPr="008B7FEC" w14:paraId="69B6AF0D" w14:textId="77777777" w:rsidTr="00F60174">
        <w:trPr>
          <w:trHeight w:hRule="exact" w:val="697"/>
        </w:trPr>
        <w:tc>
          <w:tcPr>
            <w:tcW w:w="5954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41133FC" w14:textId="77777777" w:rsidR="00B73A6A" w:rsidRPr="00F60174" w:rsidDel="002378E8" w:rsidRDefault="00B73A6A" w:rsidP="00B73A6A">
            <w:pPr>
              <w:widowControl w:val="0"/>
              <w:tabs>
                <w:tab w:val="left" w:pos="7447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F60174">
              <w:rPr>
                <w:rFonts w:ascii="Times New Roman" w:hAnsi="Times New Roman"/>
                <w:b/>
              </w:rPr>
              <w:t>Teljes válaszreakció (nem lépett fel hányás és nem volt szükség mentő gyógyszerre)</w:t>
            </w:r>
          </w:p>
        </w:tc>
        <w:tc>
          <w:tcPr>
            <w:tcW w:w="2907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303F40F" w14:textId="77777777" w:rsidR="00B73A6A" w:rsidRPr="00F60174" w:rsidRDefault="00B73A6A" w:rsidP="00B73A6A">
            <w:pPr>
              <w:widowControl w:val="0"/>
              <w:tabs>
                <w:tab w:val="left" w:pos="7447"/>
              </w:tabs>
              <w:spacing w:after="0" w:line="240" w:lineRule="auto"/>
              <w:ind w:left="1559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97,5%-os</w:t>
            </w:r>
            <w:r w:rsidRPr="00F60174">
              <w:rPr>
                <w:rFonts w:ascii="Times New Roman" w:hAnsi="Times New Roman"/>
                <w:b/>
                <w:spacing w:val="-3"/>
              </w:rPr>
              <w:t xml:space="preserve"> </w:t>
            </w:r>
            <w:r w:rsidRPr="00F60174">
              <w:rPr>
                <w:rFonts w:ascii="Times New Roman" w:hAnsi="Times New Roman"/>
                <w:b/>
                <w:spacing w:val="-1"/>
              </w:rPr>
              <w:t>CI</w:t>
            </w:r>
            <w:r w:rsidRPr="00F60174">
              <w:rPr>
                <w:rFonts w:ascii="Times New Roman" w:hAnsi="Times New Roman"/>
                <w:vertAlign w:val="superscript"/>
              </w:rPr>
              <w:t>b</w:t>
            </w:r>
          </w:p>
        </w:tc>
      </w:tr>
      <w:tr w:rsidR="00B73A6A" w:rsidRPr="008B7FEC" w14:paraId="6E83071F" w14:textId="77777777" w:rsidTr="00F60174">
        <w:trPr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0666A21" w14:textId="77777777" w:rsidR="00B73A6A" w:rsidRPr="00F60174" w:rsidRDefault="00B73A6A" w:rsidP="00B73A6A">
            <w:pPr>
              <w:widowControl w:val="0"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40236C1" w14:textId="77777777" w:rsidR="00B73A6A" w:rsidRPr="00F60174" w:rsidRDefault="00B73A6A" w:rsidP="00B73A6A">
            <w:pPr>
              <w:widowControl w:val="0"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59,2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3FB3785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57,0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78DC601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2,2</w:t>
            </w:r>
          </w:p>
        </w:tc>
        <w:tc>
          <w:tcPr>
            <w:tcW w:w="191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4F1E24A" w14:textId="77777777" w:rsidR="00B73A6A" w:rsidRPr="00F60174" w:rsidRDefault="00B73A6A" w:rsidP="00B73A6A">
            <w:pPr>
              <w:widowControl w:val="0"/>
              <w:spacing w:after="0" w:line="240" w:lineRule="auto"/>
              <w:ind w:left="346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[–8,8</w:t>
            </w:r>
            <w:r w:rsidRPr="00F60174">
              <w:rPr>
                <w:rFonts w:ascii="Times New Roman" w:hAnsi="Times New Roman"/>
              </w:rPr>
              <w:t>%, 13,1%]</w:t>
            </w:r>
          </w:p>
        </w:tc>
      </w:tr>
      <w:tr w:rsidR="00B73A6A" w:rsidRPr="008B7FEC" w14:paraId="66D00BA2" w14:textId="77777777" w:rsidTr="00F60174">
        <w:trPr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33B53316" w14:textId="77777777" w:rsidR="00B73A6A" w:rsidRPr="00F60174" w:rsidRDefault="00B73A6A" w:rsidP="00B73A6A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4975B287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45,3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434EAF39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38,9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A4F0CE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6,4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14:paraId="1EB6D32C" w14:textId="77777777" w:rsidR="00B73A6A" w:rsidRPr="00F60174" w:rsidRDefault="00B73A6A" w:rsidP="00B73A6A">
            <w:pPr>
              <w:widowControl w:val="0"/>
              <w:spacing w:after="0" w:line="240" w:lineRule="auto"/>
              <w:ind w:left="346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[–4,6</w:t>
            </w:r>
            <w:r w:rsidRPr="00F60174">
              <w:rPr>
                <w:rFonts w:ascii="Times New Roman" w:hAnsi="Times New Roman"/>
              </w:rPr>
              <w:t>%, 17,3%]</w:t>
            </w:r>
          </w:p>
        </w:tc>
      </w:tr>
      <w:tr w:rsidR="00B73A6A" w:rsidRPr="008B7FEC" w14:paraId="35ABD52B" w14:textId="77777777" w:rsidTr="00F60174">
        <w:trPr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65B3F16" w14:textId="77777777" w:rsidR="00B73A6A" w:rsidRPr="00F60174" w:rsidRDefault="00B73A6A" w:rsidP="00B73A6A">
            <w:pPr>
              <w:widowControl w:val="0"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59004CA" w14:textId="77777777" w:rsidR="00B73A6A" w:rsidRPr="00F60174" w:rsidRDefault="00B73A6A" w:rsidP="00B73A6A">
            <w:pPr>
              <w:widowControl w:val="0"/>
              <w:spacing w:after="0" w:line="240" w:lineRule="auto"/>
              <w:ind w:right="12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40,8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1146C0A" w14:textId="77777777" w:rsidR="00B73A6A" w:rsidRPr="00F60174" w:rsidRDefault="00B73A6A" w:rsidP="00B73A6A">
            <w:pPr>
              <w:widowControl w:val="0"/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33,0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7816705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7,8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A59E4D1" w14:textId="77777777" w:rsidR="00B73A6A" w:rsidRPr="00F60174" w:rsidRDefault="00B73A6A" w:rsidP="00B73A6A">
            <w:pPr>
              <w:widowControl w:val="0"/>
              <w:spacing w:after="0" w:line="240" w:lineRule="auto"/>
              <w:ind w:left="346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1"/>
              </w:rPr>
              <w:t>[–2,9</w:t>
            </w:r>
            <w:r w:rsidRPr="00F60174">
              <w:rPr>
                <w:rFonts w:ascii="Times New Roman" w:hAnsi="Times New Roman"/>
              </w:rPr>
              <w:t>%, 18,5%]</w:t>
            </w:r>
          </w:p>
        </w:tc>
      </w:tr>
      <w:tr w:rsidR="00B73A6A" w:rsidRPr="008B7FEC" w14:paraId="3991EAE3" w14:textId="77777777" w:rsidTr="00F60174">
        <w:trPr>
          <w:trHeight w:hRule="exact" w:val="360"/>
        </w:trPr>
        <w:tc>
          <w:tcPr>
            <w:tcW w:w="8861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C1DAD66" w14:textId="77777777" w:rsidR="00B73A6A" w:rsidRPr="00F60174" w:rsidRDefault="00B73A6A" w:rsidP="00B73A6A">
            <w:pPr>
              <w:widowControl w:val="0"/>
              <w:tabs>
                <w:tab w:val="left" w:pos="7576"/>
              </w:tabs>
              <w:spacing w:after="0" w:line="240" w:lineRule="auto"/>
              <w:ind w:left="5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Teljes hatásosság (teljes válaszreakció és csak enyhe hányinger)</w:t>
            </w:r>
            <w:r w:rsidRPr="00F60174">
              <w:rPr>
                <w:rFonts w:ascii="Times New Roman" w:hAnsi="Times New Roman"/>
                <w:b/>
                <w:spacing w:val="-2"/>
              </w:rPr>
              <w:tab/>
            </w:r>
            <w:r w:rsidRPr="00F60174">
              <w:rPr>
                <w:rFonts w:ascii="Times New Roman" w:hAnsi="Times New Roman"/>
                <w:b/>
                <w:spacing w:val="-1"/>
              </w:rPr>
              <w:t>p-érték</w:t>
            </w:r>
            <w:r w:rsidRPr="00F60174"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B73A6A" w:rsidRPr="008B7FEC" w14:paraId="0C9A9850" w14:textId="77777777" w:rsidTr="00F60174">
        <w:trPr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DECCF39" w14:textId="77777777" w:rsidR="00B73A6A" w:rsidRPr="00F60174" w:rsidRDefault="00B73A6A" w:rsidP="00B73A6A">
            <w:pPr>
              <w:widowControl w:val="0"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0D67F7E" w14:textId="77777777" w:rsidR="00B73A6A" w:rsidRPr="00F60174" w:rsidRDefault="00B73A6A" w:rsidP="00B73A6A">
            <w:pPr>
              <w:widowControl w:val="0"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56,5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FE5F10B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51,6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35D1EF7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4,9</w:t>
            </w:r>
          </w:p>
        </w:tc>
        <w:tc>
          <w:tcPr>
            <w:tcW w:w="191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679E032" w14:textId="77777777" w:rsidR="00B73A6A" w:rsidRPr="00F60174" w:rsidRDefault="00B73A6A" w:rsidP="00B73A6A">
            <w:pPr>
              <w:widowControl w:val="0"/>
              <w:spacing w:after="0" w:line="240" w:lineRule="auto"/>
              <w:ind w:left="24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21AB4F03" w14:textId="77777777" w:rsidTr="00F60174">
        <w:trPr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21D1E6BE" w14:textId="77777777" w:rsidR="00B73A6A" w:rsidRPr="00F60174" w:rsidRDefault="00B73A6A" w:rsidP="00B73A6A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0C8DCAE9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40,8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36AE15DA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35,3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89116E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5,5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14:paraId="586E7C81" w14:textId="77777777" w:rsidR="00B73A6A" w:rsidRPr="00F60174" w:rsidRDefault="00B73A6A" w:rsidP="00B73A6A">
            <w:pPr>
              <w:widowControl w:val="0"/>
              <w:spacing w:after="0" w:line="240" w:lineRule="auto"/>
              <w:ind w:left="24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4FB96DAE" w14:textId="77777777" w:rsidTr="00F60174">
        <w:trPr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402DA04" w14:textId="77777777" w:rsidR="00B73A6A" w:rsidRPr="00F60174" w:rsidRDefault="00B73A6A" w:rsidP="00B73A6A">
            <w:pPr>
              <w:widowControl w:val="0"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C72A092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37,7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486E812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29,0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681A4A7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8,7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696514B" w14:textId="77777777" w:rsidR="00B73A6A" w:rsidRPr="00F60174" w:rsidRDefault="00B73A6A" w:rsidP="00B73A6A">
            <w:pPr>
              <w:widowControl w:val="0"/>
              <w:spacing w:after="0" w:line="240" w:lineRule="auto"/>
              <w:ind w:left="24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132DD2D8" w14:textId="77777777" w:rsidTr="00F60174">
        <w:trPr>
          <w:trHeight w:hRule="exact" w:val="370"/>
        </w:trPr>
        <w:tc>
          <w:tcPr>
            <w:tcW w:w="8861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7B19856" w14:textId="77777777" w:rsidR="00B73A6A" w:rsidRPr="00F60174" w:rsidRDefault="00B73A6A" w:rsidP="00B73A6A">
            <w:pPr>
              <w:widowControl w:val="0"/>
              <w:tabs>
                <w:tab w:val="left" w:pos="7576"/>
              </w:tabs>
              <w:spacing w:after="0" w:line="240" w:lineRule="auto"/>
              <w:ind w:left="55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</w:rPr>
              <w:t>Nem lépett fel hányinger (Likert-skála)</w:t>
            </w:r>
            <w:r w:rsidRPr="00F60174">
              <w:rPr>
                <w:rFonts w:ascii="Times New Roman" w:hAnsi="Times New Roman"/>
                <w:b/>
                <w:spacing w:val="-1"/>
              </w:rPr>
              <w:tab/>
              <w:t>p-érték</w:t>
            </w:r>
            <w:r w:rsidRPr="00F60174"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B73A6A" w:rsidRPr="008B7FEC" w14:paraId="3A4F00B6" w14:textId="77777777" w:rsidTr="00F60174">
        <w:trPr>
          <w:trHeight w:hRule="exact" w:val="366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FFE5367" w14:textId="77777777" w:rsidR="00B73A6A" w:rsidRPr="00F60174" w:rsidRDefault="00B73A6A" w:rsidP="00B73A6A">
            <w:pPr>
              <w:widowControl w:val="0"/>
              <w:spacing w:after="0" w:line="240" w:lineRule="auto"/>
              <w:ind w:left="227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0–24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AD27354" w14:textId="77777777" w:rsidR="00B73A6A" w:rsidRPr="00F60174" w:rsidRDefault="00B73A6A" w:rsidP="00B73A6A">
            <w:pPr>
              <w:widowControl w:val="0"/>
              <w:spacing w:after="0" w:line="240" w:lineRule="auto"/>
              <w:ind w:right="125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53,8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69F4059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49,3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6746037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4,5</w:t>
            </w:r>
          </w:p>
        </w:tc>
        <w:tc>
          <w:tcPr>
            <w:tcW w:w="191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99BD535" w14:textId="77777777" w:rsidR="00B73A6A" w:rsidRPr="00F60174" w:rsidRDefault="00B73A6A" w:rsidP="00B73A6A">
            <w:pPr>
              <w:widowControl w:val="0"/>
              <w:spacing w:after="0" w:line="240" w:lineRule="auto"/>
              <w:ind w:left="24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59EB3D28" w14:textId="77777777" w:rsidTr="00F60174">
        <w:trPr>
          <w:trHeight w:hRule="exact" w:val="36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03DB1146" w14:textId="77777777" w:rsidR="00B73A6A" w:rsidRPr="00F60174" w:rsidRDefault="00B73A6A" w:rsidP="00B73A6A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lastRenderedPageBreak/>
              <w:t>24–120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06326507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35,4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565A72AB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32,1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DDBA4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3,3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14:paraId="4E101465" w14:textId="77777777" w:rsidR="00B73A6A" w:rsidRPr="00F60174" w:rsidRDefault="00B73A6A" w:rsidP="00B73A6A">
            <w:pPr>
              <w:widowControl w:val="0"/>
              <w:spacing w:after="0" w:line="240" w:lineRule="auto"/>
              <w:ind w:left="24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  <w:tr w:rsidR="00B73A6A" w:rsidRPr="008B7FEC" w14:paraId="5C3D0E93" w14:textId="77777777" w:rsidTr="00F60174">
        <w:trPr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09618E6" w14:textId="77777777" w:rsidR="00B73A6A" w:rsidRPr="00F60174" w:rsidRDefault="00B73A6A" w:rsidP="00B73A6A">
            <w:pPr>
              <w:widowControl w:val="0"/>
              <w:spacing w:after="0" w:line="240" w:lineRule="auto"/>
              <w:ind w:left="172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eastAsia="Times New Roman" w:hAnsi="Times New Roman"/>
              </w:rPr>
              <w:t>0–120 </w:t>
            </w:r>
            <w:r w:rsidRPr="00F60174">
              <w:rPr>
                <w:rFonts w:ascii="Times New Roman" w:eastAsia="Times New Roman" w:hAnsi="Times New Roman"/>
                <w:spacing w:val="-1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9460294" w14:textId="77777777" w:rsidR="00B73A6A" w:rsidRPr="00F60174" w:rsidRDefault="00B73A6A" w:rsidP="00B73A6A">
            <w:pPr>
              <w:widowControl w:val="0"/>
              <w:spacing w:after="0" w:line="240" w:lineRule="auto"/>
              <w:ind w:right="12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33,6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DDDA521" w14:textId="77777777" w:rsidR="00B73A6A" w:rsidRPr="00F60174" w:rsidRDefault="00B73A6A" w:rsidP="00B73A6A">
            <w:pPr>
              <w:widowControl w:val="0"/>
              <w:spacing w:after="0" w:line="240" w:lineRule="auto"/>
              <w:ind w:right="15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32,1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B14DA20" w14:textId="77777777" w:rsidR="00B73A6A" w:rsidRPr="00F60174" w:rsidRDefault="00B73A6A" w:rsidP="00B73A6A">
            <w:pPr>
              <w:widowControl w:val="0"/>
              <w:spacing w:after="0" w:line="240" w:lineRule="auto"/>
              <w:ind w:left="137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</w:rPr>
              <w:t>1,5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A00D020" w14:textId="77777777" w:rsidR="00B73A6A" w:rsidRPr="00F60174" w:rsidRDefault="00B73A6A" w:rsidP="00B73A6A">
            <w:pPr>
              <w:widowControl w:val="0"/>
              <w:spacing w:after="0" w:line="240" w:lineRule="auto"/>
              <w:ind w:left="244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spacing w:val="-2"/>
              </w:rPr>
              <w:t>nem szignifikáns</w:t>
            </w:r>
          </w:p>
        </w:tc>
      </w:tr>
    </w:tbl>
    <w:p w14:paraId="2D650B06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a</w:t>
      </w:r>
      <w:r w:rsidR="00DA5244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A kezelni szándékozott (</w:t>
      </w:r>
      <w:r w:rsidRPr="00F60174">
        <w:rPr>
          <w:rFonts w:ascii="Times New Roman" w:eastAsia="Times New Roman" w:hAnsi="Times New Roman"/>
          <w:i/>
        </w:rPr>
        <w:t>intent-to-treat</w:t>
      </w:r>
      <w:r w:rsidRPr="00F60174">
        <w:rPr>
          <w:rFonts w:ascii="Times New Roman" w:eastAsia="Times New Roman" w:hAnsi="Times New Roman"/>
        </w:rPr>
        <w:t>) kohorsz.</w:t>
      </w:r>
    </w:p>
    <w:p w14:paraId="1864B50E" w14:textId="77777777" w:rsidR="00B73A6A" w:rsidRPr="00F60174" w:rsidRDefault="00B73A6A" w:rsidP="00CD12D9">
      <w:pPr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b</w:t>
      </w:r>
      <w:r w:rsidR="00DA5244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A vizsgálat célja annak kimutatása volt, hogy a vizsgált gyógyszer nem kevésbé hatásos (</w:t>
      </w:r>
      <w:r w:rsidRPr="00F60174">
        <w:rPr>
          <w:rFonts w:ascii="Times New Roman" w:eastAsia="Times New Roman" w:hAnsi="Times New Roman"/>
          <w:i/>
        </w:rPr>
        <w:t>non</w:t>
      </w:r>
      <w:r w:rsidRPr="00F60174">
        <w:rPr>
          <w:rFonts w:ascii="Times New Roman" w:eastAsia="Times New Roman" w:hAnsi="Times New Roman"/>
          <w:i/>
        </w:rPr>
        <w:noBreakHyphen/>
        <w:t>inferiority</w:t>
      </w:r>
      <w:r w:rsidRPr="00F60174">
        <w:rPr>
          <w:rFonts w:ascii="Times New Roman" w:eastAsia="Times New Roman" w:hAnsi="Times New Roman"/>
        </w:rPr>
        <w:t xml:space="preserve">). A –15%-ot meghaladó alsó határérték igazolja, hogy a palonoszetron nem kevésbé hatásos az összehasonlítási alapul szolgáló gyógyszernél. </w:t>
      </w:r>
    </w:p>
    <w:p w14:paraId="6A82A5B0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b/>
        </w:rPr>
      </w:pPr>
      <w:r w:rsidRPr="00F60174">
        <w:rPr>
          <w:rFonts w:ascii="Times New Roman" w:eastAsia="Times New Roman" w:hAnsi="Times New Roman"/>
          <w:vertAlign w:val="superscript"/>
        </w:rPr>
        <w:t>c</w:t>
      </w:r>
      <w:r w:rsidR="00DA5244">
        <w:rPr>
          <w:rFonts w:ascii="Times New Roman" w:eastAsia="Times New Roman" w:hAnsi="Times New Roman"/>
        </w:rPr>
        <w:tab/>
      </w:r>
      <w:r w:rsidRPr="00F60174">
        <w:rPr>
          <w:rFonts w:ascii="Times New Roman" w:eastAsia="Times New Roman" w:hAnsi="Times New Roman"/>
        </w:rPr>
        <w:t>Khi-négyzet próba. Szignifikanciaszint α = 0,05.</w:t>
      </w:r>
    </w:p>
    <w:p w14:paraId="311B355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BDA33B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kemoterápia okozta hányinger és hányás megelőzését értékelő klinikai vizsgálatokban a palonoszetron vérnyomásra, pulzusszámra, valamint az EKG-paraméterekre, köztük a QTc</w:t>
      </w:r>
      <w:r w:rsidRPr="00F60174">
        <w:rPr>
          <w:rFonts w:ascii="Times New Roman" w:eastAsia="Times New Roman" w:hAnsi="Times New Roman"/>
        </w:rPr>
        <w:noBreakHyphen/>
        <w:t>intervallumra gyakorolt hatásai hasonlóak voltak, mint az ondanszetroné és a dolaszetroné. Nem klinikai vizsgálatokban a palonoszetron képes blokkolni a kamrai depolarizációban és repolarizációban szerepet játszó ioncsatornákat, valamint képes növelni az akciós potenciál időtartamát.</w:t>
      </w:r>
    </w:p>
    <w:p w14:paraId="7CFF60B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palonoszteron QTc-intervallumra gyakorolt hatását egy kettős vak, randomizált, párhuzamos csoportú, placebokontrollos és aktív-kontrollos (moxifloxacin), felnőtt férfiak és nők körében végzett vizsgálat során értékelték. Az volt a cél, hogy 221 egészséges önkéntesnél értékeljék az egyszeri 0,25 mg, 0,75 mg és 2,25 mg-os dózisban, intravénásan adott palonoszetron EKG-görbére gyakorolt hatásait. A vizsgálat igazolta, hogy a készítmény legfeljebb 2,25 mg-os dózisig nincs hatással sem a QT/QTc-intervallum időtartamára, sem egyéb EKG-intervallumra. A pulzusszámra, a pitvar-kamrai (AV) átvezetésre és a szív repolarizációjára gyakorolt, klinikailag jelentős hatást nem észleltek.</w:t>
      </w:r>
    </w:p>
    <w:p w14:paraId="6C2DB63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0B4AB02" w14:textId="77777777" w:rsidR="00B73A6A" w:rsidRPr="00CD12D9" w:rsidRDefault="00B73A6A" w:rsidP="0046732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i/>
          <w:u w:val="single"/>
        </w:rPr>
      </w:pPr>
      <w:r w:rsidRPr="00CD12D9">
        <w:rPr>
          <w:rFonts w:ascii="Times New Roman" w:eastAsia="Times New Roman" w:hAnsi="Times New Roman"/>
          <w:i/>
          <w:u w:val="single"/>
        </w:rPr>
        <w:t>Gyermekek és serdülők</w:t>
      </w:r>
    </w:p>
    <w:p w14:paraId="1E1140C6" w14:textId="77777777" w:rsidR="00B73A6A" w:rsidRPr="00F60174" w:rsidRDefault="00B73A6A" w:rsidP="00467321">
      <w:pPr>
        <w:spacing w:after="0" w:line="240" w:lineRule="auto"/>
        <w:rPr>
          <w:rFonts w:ascii="Times New Roman" w:eastAsia="Times New Roman" w:hAnsi="Times New Roman"/>
        </w:rPr>
      </w:pPr>
    </w:p>
    <w:p w14:paraId="16EEA5A1" w14:textId="77777777" w:rsidR="00B73A6A" w:rsidRPr="00467321" w:rsidRDefault="00B73A6A" w:rsidP="00467321">
      <w:pPr>
        <w:spacing w:after="0" w:line="240" w:lineRule="auto"/>
        <w:rPr>
          <w:rFonts w:ascii="Times New Roman" w:eastAsia="Times New Roman" w:hAnsi="Times New Roman"/>
          <w:u w:val="single" w:color="000000"/>
        </w:rPr>
      </w:pPr>
      <w:r w:rsidRPr="00F60174">
        <w:rPr>
          <w:rFonts w:ascii="Times New Roman" w:eastAsia="Times New Roman" w:hAnsi="Times New Roman"/>
          <w:u w:val="single" w:color="000000"/>
        </w:rPr>
        <w:t>Kemoterápia okozta hányinger és hányás (</w:t>
      </w:r>
      <w:r w:rsidRPr="00467321">
        <w:rPr>
          <w:rFonts w:ascii="Times New Roman" w:eastAsia="Times New Roman" w:hAnsi="Times New Roman"/>
          <w:u w:val="single" w:color="000000"/>
        </w:rPr>
        <w:t>Chemotherapy Induced Nausea and Vomiting</w:t>
      </w:r>
      <w:r w:rsidRPr="00F60174">
        <w:rPr>
          <w:rFonts w:ascii="Times New Roman" w:eastAsia="Times New Roman" w:hAnsi="Times New Roman"/>
          <w:u w:val="single" w:color="000000"/>
        </w:rPr>
        <w:t xml:space="preserve"> – CINV) megelőzése</w:t>
      </w:r>
      <w:r w:rsidRPr="00467321">
        <w:rPr>
          <w:rFonts w:ascii="Times New Roman" w:eastAsia="Times New Roman" w:hAnsi="Times New Roman"/>
          <w:u w:val="single" w:color="000000"/>
        </w:rPr>
        <w:t>:</w:t>
      </w:r>
    </w:p>
    <w:p w14:paraId="5C54BFB8" w14:textId="77777777" w:rsidR="00B73A6A" w:rsidRPr="00207A6F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467321">
        <w:rPr>
          <w:rFonts w:ascii="Times New Roman" w:eastAsia="Times New Roman" w:hAnsi="Times New Roman"/>
        </w:rPr>
        <w:t>A palonoszetron biztonságosságát és hatásosságát 3 mikrogramm/ttkg és 10 mikrogramm/ttkg egyszeri iv. dózisok alkalmazásakor az első klinikai vizsgálatban értékelték, amelybe 72, erősen vagy közepesen emetogén kemoterápiában részesülő beteget vontak be a következő korcsoportokból: &gt; 28 nap–23 hónap (12 beteg), 2–11 év (31 beteg) és</w:t>
      </w:r>
      <w:r w:rsidRPr="00207A6F">
        <w:rPr>
          <w:rFonts w:ascii="Times New Roman" w:eastAsia="Times New Roman" w:hAnsi="Times New Roman"/>
        </w:rPr>
        <w:t xml:space="preserve"> 12–17 év (29 beteg). A dózisszintek egyikével kapcsolatban sem merült fel biztonságossági aggály. Az elsődleges hatásossági változó a kemoterápia beadásának megkezdésétől számított első 24 órában teljes választ (</w:t>
      </w:r>
      <w:r w:rsidRPr="00467321">
        <w:rPr>
          <w:rFonts w:ascii="Times New Roman" w:eastAsia="Times New Roman" w:hAnsi="Times New Roman"/>
        </w:rPr>
        <w:t>complete response – CR: a definíció szerint</w:t>
      </w:r>
      <w:r w:rsidRPr="00207A6F">
        <w:rPr>
          <w:rFonts w:ascii="Times New Roman" w:eastAsia="Times New Roman" w:hAnsi="Times New Roman"/>
        </w:rPr>
        <w:t xml:space="preserve"> nincs hányás, és mentő gyógyszer adása nem szükséges) mutató betegek aránya volt. A palonoszetron 10 mikrogramm/ttkg-os dózisának hatásossága 54,1% volt a 3 mikrogramm/ttkg-os dózis 37,1%-os hatásosságához képest.</w:t>
      </w:r>
    </w:p>
    <w:p w14:paraId="3A4BD27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9D5997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Gyermekkorú rákos betegek esetében a palonoszetron hatásosságát a kemoterápia okozta hányinger és hányás megelőzésében egy második, non-inferioritási, kulcsfontosságú (pivotális) vizsgálatban igazolták, melynek során a palonoszetron egyszeri intravénás infúzióját hasonlították össze egy iv. ondanszetron kezelési renddel. Összesen 493, 64 nap és 16,9 év közötti életkorú, közepesen (69,2%) vagy erősen (30,8%) emetogén kemoterápiában részesülő gyermeket kezeltek az 1. ciklus során, az emetogén kemoterápia megkezdése előtt 30 perccel adott 10 mikrogramm/ttkg (maximum 0,75 mg) palonoszetronnal, 20 mikrogramm/ttkg (maximum 1,5 mg) palonoszetronnal vagy ondanszetronnal (3 × 0,15 mg/ttkg, maximális összdózis: 32 mg). Mindegyik kezelési csoportban többségében olyan betegek voltak (78,5%), akik korábban már részesültek kemoterápiában. Az alkalmazott emetogén kemoterápiák a doxorubicint, ciklofoszfamidot (&lt; 1500 mg/m</w:t>
      </w:r>
      <w:r w:rsidRPr="00F60174">
        <w:rPr>
          <w:rFonts w:ascii="Times New Roman" w:eastAsia="Times New Roman" w:hAnsi="Times New Roman"/>
          <w:vertAlign w:val="superscript"/>
        </w:rPr>
        <w:t>2</w:t>
      </w:r>
      <w:r w:rsidRPr="00F60174">
        <w:rPr>
          <w:rFonts w:ascii="Times New Roman" w:eastAsia="Times New Roman" w:hAnsi="Times New Roman"/>
        </w:rPr>
        <w:t xml:space="preserve">), ifoszfamidot, ciszplatint, daktinomicint, karboplatint és daunorubicint foglalták magukba. A betegek 55%-ánál adjuváns kortikoszteroidokat, köztük dexametazont adtak a kemoterápia mellé. Az elsődleges hatásossági végpont a kemoterápia első ciklusának akut fázisában tapasztalható teljes válasz volt, amely definíció szerint a hányás és az öklendezés elmaradását és mentő gyógyszerek alkalmazásának mellőzését jelentette a kemoterápia megkezdése utáni első 24 órában. A hatásosság az intravénás palonoszetron intravénás ondanszetronéhoz viszonyított non-inferioritásának igazolásán alapult. A non-inferioritási </w:t>
      </w:r>
      <w:r w:rsidRPr="00F60174">
        <w:rPr>
          <w:rFonts w:ascii="Times New Roman" w:eastAsia="Times New Roman" w:hAnsi="Times New Roman"/>
        </w:rPr>
        <w:lastRenderedPageBreak/>
        <w:t xml:space="preserve">kritériumok akkor teljesültek, ha az intravénás palonoszetron és az intravénás ondanszetron mellett tapasztalt teljes válaszarányok különbségére vonatkozó 97,5%-os konfidencia-intervallum alsó határa meghaladta a </w:t>
      </w:r>
      <w:r w:rsidRPr="00F60174">
        <w:rPr>
          <w:rFonts w:ascii="Times New Roman" w:eastAsia="Times New Roman" w:hAnsi="Times New Roman"/>
        </w:rPr>
        <w:sym w:font="Symbol" w:char="F02D"/>
      </w:r>
      <w:r w:rsidRPr="00F60174">
        <w:rPr>
          <w:rFonts w:ascii="Times New Roman" w:eastAsia="Times New Roman" w:hAnsi="Times New Roman"/>
        </w:rPr>
        <w:t>15%-ot. Az első 24 órában teljes választ (CR</w:t>
      </w:r>
      <w:r w:rsidRPr="00F60174">
        <w:rPr>
          <w:rFonts w:ascii="Times New Roman" w:eastAsia="Times New Roman" w:hAnsi="Times New Roman"/>
          <w:vertAlign w:val="subscript"/>
        </w:rPr>
        <w:t>0-24 h</w:t>
      </w:r>
      <w:r w:rsidRPr="00F60174">
        <w:rPr>
          <w:rFonts w:ascii="Times New Roman" w:eastAsia="Times New Roman" w:hAnsi="Times New Roman"/>
        </w:rPr>
        <w:t>) mutató betegek aránya a 10 mikrogramm/ttkg palonoszetron-csoportban 54,2%, a 20 mikrogramm/ttkg palonoszetron-csoportban 59,4%, az ondanszetron-csoportban pedig 58,6% volt. Mivel a 20 mikrogramm/ttkg palonoszetron és az ondanszetron CR</w:t>
      </w:r>
      <w:r w:rsidRPr="00F60174">
        <w:rPr>
          <w:rFonts w:ascii="Times New Roman" w:eastAsia="Times New Roman" w:hAnsi="Times New Roman"/>
          <w:vertAlign w:val="subscript"/>
        </w:rPr>
        <w:t>0-24 h</w:t>
      </w:r>
      <w:r w:rsidRPr="00F60174">
        <w:rPr>
          <w:rFonts w:ascii="Times New Roman" w:eastAsia="Times New Roman" w:hAnsi="Times New Roman"/>
        </w:rPr>
        <w:t xml:space="preserve"> értéke közötti különbség 97,5%-os konfidencia-intervalluma (rétegre korrigált Mantel–Haenszel-próba) [</w:t>
      </w:r>
      <w:r w:rsidRPr="00F60174">
        <w:rPr>
          <w:rFonts w:ascii="Times New Roman" w:eastAsia="Times New Roman" w:hAnsi="Times New Roman"/>
        </w:rPr>
        <w:sym w:font="Symbol" w:char="F02D"/>
      </w:r>
      <w:r w:rsidRPr="00F60174">
        <w:rPr>
          <w:rFonts w:ascii="Times New Roman" w:eastAsia="Times New Roman" w:hAnsi="Times New Roman"/>
        </w:rPr>
        <w:t>11,7%, 12,4%] volt, a 20 mikrogramm/ttkg-os palonoszetron-dózisra vonatkozóan igazolódott az ondanszetronhoz viszonyított non-inferioritiás.</w:t>
      </w:r>
    </w:p>
    <w:p w14:paraId="626D1E3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F2D998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Bár ez a vizsgálat azt igazolta, hogy a gyermekkorú betegek a felnőttekhez képest nagyobb adagokat igényelnek a palonoszetronból a kemoterápia okozta hányinger és hányás megelőzésére, a biztonságossági profil ugyanakkor megfelel a felnőtteknél megállapított profilnak (lásd 4.8 pont). A farmakokinetikai adatok az 5.2 pontban kerülnek bemutatásra.</w:t>
      </w:r>
    </w:p>
    <w:p w14:paraId="6367663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0C9698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Posztoperatív hányinger és hányás (</w:t>
      </w:r>
      <w:r w:rsidRPr="00F60174">
        <w:rPr>
          <w:rFonts w:ascii="Times New Roman" w:eastAsia="Times New Roman" w:hAnsi="Times New Roman"/>
          <w:i/>
          <w:u w:val="single" w:color="000000"/>
        </w:rPr>
        <w:t>Post Operative Nausea and Vomiting</w:t>
      </w:r>
      <w:r w:rsidRPr="00F60174">
        <w:rPr>
          <w:rFonts w:ascii="Times New Roman" w:eastAsia="Times New Roman" w:hAnsi="Times New Roman"/>
          <w:u w:val="single" w:color="000000"/>
        </w:rPr>
        <w:t xml:space="preserve"> – PONV) megelőzése</w:t>
      </w:r>
      <w:r w:rsidRPr="00F60174">
        <w:rPr>
          <w:rFonts w:ascii="Times New Roman" w:eastAsia="Times New Roman" w:hAnsi="Times New Roman"/>
          <w:u w:color="000000"/>
        </w:rPr>
        <w:t>:</w:t>
      </w:r>
      <w:r w:rsidRPr="00F60174">
        <w:rPr>
          <w:rFonts w:ascii="Times New Roman" w:eastAsia="Times New Roman" w:hAnsi="Times New Roman"/>
        </w:rPr>
        <w:t xml:space="preserve"> Gyermekek és serdülők bevonásával két vizsgálatot végeztek. A palonoszetron biztonságosságát és hatásosságát 1 mikrogramm/ttkg és 3 mikrogramm/ttkg egyszeri iv. dózisok alkalmazásakor az első klinikai vizsgálatban hasonlították össze, amelybe 150, elektív műtéten áteső beteget vontak be a következő korcsoportokból: &gt; 28 nap–23 hónap (7 beteg), 2–11 év (96 beteg) és 12–16 év (47 beteg). A dózisszintek egyikével kapcsolatban sem merült fel biztonságossági aggály. Azoknak a betegeknek az aránya, akiknél a műtét utáni 0–72 órában a palonoszetron 1 mikrogramm/ttkg</w:t>
      </w:r>
      <w:r w:rsidRPr="00F60174" w:rsidDel="002753D8">
        <w:rPr>
          <w:rFonts w:ascii="Times New Roman" w:eastAsia="Times New Roman" w:hAnsi="Times New Roman"/>
        </w:rPr>
        <w:t xml:space="preserve"> </w:t>
      </w:r>
      <w:r w:rsidRPr="00F60174">
        <w:rPr>
          <w:rFonts w:ascii="Times New Roman" w:eastAsia="Times New Roman" w:hAnsi="Times New Roman"/>
        </w:rPr>
        <w:t>vagy 3 mikrogramm/ttkg dózisa után nem lépett fel hányás, hasonló volt (88% vs. 84%).</w:t>
      </w:r>
    </w:p>
    <w:p w14:paraId="19E3460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második gyermekgyógyászati vizsgálat egy multicentrikus, kettős vak, a gyógyszerformára nézve is kettős vak („</w:t>
      </w:r>
      <w:r w:rsidRPr="00F60174">
        <w:rPr>
          <w:rFonts w:ascii="Times New Roman" w:eastAsia="Times New Roman" w:hAnsi="Times New Roman"/>
          <w:i/>
        </w:rPr>
        <w:t>double-dummy</w:t>
      </w:r>
      <w:r w:rsidRPr="00F60174">
        <w:rPr>
          <w:rFonts w:ascii="Times New Roman" w:eastAsia="Times New Roman" w:hAnsi="Times New Roman"/>
        </w:rPr>
        <w:t xml:space="preserve">”), randomizált, párhuzamos csoportú, aktív kontrollos, egyszeri dózissal végzett non-inferioritási vizsgálat volt, melynek során az iv. palonoszetront (1 mikrogramm/ttkg, legfeljebb 0,075 mg) hasonlították össze iv. ondanszetronnal. Összesen 670, 30 nap és 16,9 év közötti életkorú, sebészeti beavatkozáson áteső gyermek és serdülő vett részt a vizsgálatban. Az elsődleges hatásossági végpontot, vagyis a teljes választ (CR: hányás és öklendezés elmaradása, valamint antiemetikus mentő gyógyszerek alkalmazásának mellőzése) a palonoszetron-csoport betegeinek 78,2%-ánál, míg az ondanszetron-csoport betegeinek 82,7%-ánál sikerült elérni a műtét utáni első 24 órában. Az előre meghatározott </w:t>
      </w:r>
      <w:r w:rsidRPr="00F60174">
        <w:rPr>
          <w:rFonts w:ascii="Times New Roman" w:eastAsia="Times New Roman" w:hAnsi="Times New Roman"/>
        </w:rPr>
        <w:sym w:font="Symbol" w:char="F02D"/>
      </w:r>
      <w:r w:rsidRPr="00F60174">
        <w:rPr>
          <w:rFonts w:ascii="Times New Roman" w:eastAsia="Times New Roman" w:hAnsi="Times New Roman"/>
        </w:rPr>
        <w:t>10%-os non-inferioritási küszöbből kiindulva az elsődleges végpontban, vagyis a teljes válaszban (CR) tapasztalt különbség rétegre korrigált Mantel–Haenszel statisztikai próbával kapott non-inferioritási konfidencia-intervalluma [</w:t>
      </w:r>
      <w:r w:rsidRPr="00F60174">
        <w:rPr>
          <w:rFonts w:ascii="Times New Roman" w:eastAsia="Times New Roman" w:hAnsi="Times New Roman"/>
        </w:rPr>
        <w:sym w:font="Symbol" w:char="F02D"/>
      </w:r>
      <w:r w:rsidRPr="00F60174">
        <w:rPr>
          <w:rFonts w:ascii="Times New Roman" w:eastAsia="Times New Roman" w:hAnsi="Times New Roman"/>
        </w:rPr>
        <w:t>10,5; 1,7%] volt, ezért a non</w:t>
      </w:r>
      <w:r w:rsidRPr="00F60174">
        <w:rPr>
          <w:rFonts w:ascii="Times New Roman" w:eastAsia="Times New Roman" w:hAnsi="Times New Roman"/>
        </w:rPr>
        <w:noBreakHyphen/>
        <w:t>inferioritás nem igazolódott. Új biztonságossági aggályok egyik kezelési csoportban sem merültek fel.</w:t>
      </w:r>
    </w:p>
    <w:p w14:paraId="3F0335E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938400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gyermekgyógyászati alkalmazásra vonatkozó információkat lásd a 4.2 pontban.</w:t>
      </w:r>
    </w:p>
    <w:p w14:paraId="7DFC32B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F3273EA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5.2</w:t>
      </w:r>
      <w:r w:rsidRPr="00F60174">
        <w:rPr>
          <w:rFonts w:ascii="Times New Roman" w:eastAsia="Times New Roman" w:hAnsi="Times New Roman"/>
          <w:b/>
        </w:rPr>
        <w:tab/>
        <w:t>Farmakokinetikai tulajdonságok</w:t>
      </w:r>
    </w:p>
    <w:p w14:paraId="5D95C55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5C001E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Felszívódás</w:t>
      </w:r>
    </w:p>
    <w:p w14:paraId="4214F0D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Intravénás alkalmazás után a plazmakoncentráció kezdeti csökkenését a szervezetből való lassú elimináció követi, melynek átlagos terminális eliminációs felezési ideje körülbelül 40 óra.</w:t>
      </w:r>
    </w:p>
    <w:p w14:paraId="3867B18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Az átlagos maximális plazmakoncentráció (C</w:t>
      </w:r>
      <w:r w:rsidRPr="00F60174">
        <w:rPr>
          <w:rFonts w:ascii="Times New Roman" w:eastAsia="Times New Roman" w:hAnsi="Times New Roman"/>
          <w:vertAlign w:val="subscript"/>
        </w:rPr>
        <w:t>max</w:t>
      </w:r>
      <w:r w:rsidRPr="00F60174">
        <w:rPr>
          <w:rFonts w:ascii="Times New Roman" w:eastAsia="Times New Roman" w:hAnsi="Times New Roman"/>
        </w:rPr>
        <w:t>) és a koncentráció-idő görbe alatti terület (AUC</w:t>
      </w:r>
      <w:r w:rsidRPr="00F60174">
        <w:rPr>
          <w:rFonts w:ascii="Times New Roman" w:eastAsia="Times New Roman" w:hAnsi="Times New Roman"/>
          <w:vertAlign w:val="subscript"/>
        </w:rPr>
        <w:t>0-</w:t>
      </w:r>
      <w:r w:rsidRPr="00F60174">
        <w:rPr>
          <w:rFonts w:ascii="Times New Roman" w:eastAsia="Times New Roman" w:hAnsi="Times New Roman"/>
          <w:vertAlign w:val="subscript"/>
        </w:rPr>
        <w:sym w:font="Symbol" w:char="F0A5"/>
      </w:r>
      <w:r w:rsidRPr="00F60174">
        <w:rPr>
          <w:rFonts w:ascii="Times New Roman" w:eastAsia="Times New Roman" w:hAnsi="Times New Roman"/>
        </w:rPr>
        <w:t>) a 0,3–90 mikrogramm/ttkg dózistartományban egészséges alanyoknál és rákos betegeknél is általában dózisarányos.</w:t>
      </w:r>
    </w:p>
    <w:p w14:paraId="7D138BC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1E6EA92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Kétnaponta egyszeri 0,25 mg dózisban, intravénásan adott palonoszetronból 3 dózis alkalmazását követően a vizsgált 11, testicularis carcinomában szenvedő beteg esetében a plazmakoncentráció átlagos (</w:t>
      </w:r>
      <w:r w:rsidRPr="00F60174">
        <w:rPr>
          <w:rFonts w:ascii="Times New Roman" w:eastAsia="Times New Roman" w:hAnsi="Times New Roman"/>
        </w:rPr>
        <w:sym w:font="Symbol" w:char="F0B1"/>
      </w:r>
      <w:r w:rsidRPr="00F60174">
        <w:rPr>
          <w:rFonts w:ascii="Times New Roman" w:eastAsia="Times New Roman" w:hAnsi="Times New Roman"/>
        </w:rPr>
        <w:t> SD) növekedése az 1. és az 5. nap között 42 </w:t>
      </w:r>
      <w:r w:rsidRPr="00F60174">
        <w:rPr>
          <w:rFonts w:ascii="Times New Roman" w:eastAsia="Times New Roman" w:hAnsi="Times New Roman"/>
        </w:rPr>
        <w:sym w:font="Symbol" w:char="F0B1"/>
      </w:r>
      <w:r w:rsidRPr="00F60174">
        <w:rPr>
          <w:rFonts w:ascii="Times New Roman" w:eastAsia="Times New Roman" w:hAnsi="Times New Roman"/>
        </w:rPr>
        <w:t> 34% volt. Három napon keresztül, naponta egyszer 0,25 mg palonoszetron intravénás adagolását követően a vizsgált 12 egészséges alany esetében a plazmakoncentráció átlagos (</w:t>
      </w:r>
      <w:r w:rsidRPr="00F60174">
        <w:rPr>
          <w:rFonts w:ascii="Times New Roman" w:eastAsia="Times New Roman" w:hAnsi="Times New Roman"/>
        </w:rPr>
        <w:sym w:font="Symbol" w:char="F0B1"/>
      </w:r>
      <w:r w:rsidRPr="00F60174">
        <w:rPr>
          <w:rFonts w:ascii="Times New Roman" w:eastAsia="Times New Roman" w:hAnsi="Times New Roman"/>
        </w:rPr>
        <w:t> SD) növekedése az 1. és a 3. nap között 110 </w:t>
      </w:r>
      <w:r w:rsidRPr="00F60174">
        <w:rPr>
          <w:rFonts w:ascii="Times New Roman" w:eastAsia="Times New Roman" w:hAnsi="Times New Roman"/>
        </w:rPr>
        <w:sym w:font="Symbol" w:char="F0B1"/>
      </w:r>
      <w:r w:rsidRPr="00F60174">
        <w:rPr>
          <w:rFonts w:ascii="Times New Roman" w:eastAsia="Times New Roman" w:hAnsi="Times New Roman"/>
        </w:rPr>
        <w:t> 45% volt.</w:t>
      </w:r>
    </w:p>
    <w:p w14:paraId="42C1DEB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28B1B0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Farmakokinetikai szimulációs vizsgálatok alapján a három egymást követő napon, naponta egyszer intravénásan adott 0,25 mg palonoszetron mellett a teljes expozíció (AUC</w:t>
      </w:r>
      <w:r w:rsidRPr="00F60174">
        <w:rPr>
          <w:rFonts w:ascii="Times New Roman" w:eastAsia="Times New Roman" w:hAnsi="Times New Roman"/>
          <w:vertAlign w:val="subscript"/>
        </w:rPr>
        <w:t>0-</w:t>
      </w:r>
      <w:r w:rsidRPr="00F60174">
        <w:rPr>
          <w:rFonts w:ascii="Times New Roman" w:eastAsia="Times New Roman" w:hAnsi="Times New Roman"/>
          <w:vertAlign w:val="subscript"/>
        </w:rPr>
        <w:sym w:font="Symbol" w:char="F0A5"/>
      </w:r>
      <w:r w:rsidRPr="00F60174">
        <w:rPr>
          <w:rFonts w:ascii="Times New Roman" w:eastAsia="Times New Roman" w:hAnsi="Times New Roman"/>
        </w:rPr>
        <w:t xml:space="preserve">) hasonló volt az egyszeri </w:t>
      </w:r>
      <w:r w:rsidRPr="00F60174">
        <w:rPr>
          <w:rFonts w:ascii="Times New Roman" w:eastAsia="Times New Roman" w:hAnsi="Times New Roman"/>
        </w:rPr>
        <w:lastRenderedPageBreak/>
        <w:t>0,75 mg-os dózis intravénás beadása esetén tapasztalthoz, a C</w:t>
      </w:r>
      <w:r w:rsidRPr="00F60174">
        <w:rPr>
          <w:rFonts w:ascii="Times New Roman" w:eastAsia="Times New Roman" w:hAnsi="Times New Roman"/>
          <w:vertAlign w:val="subscript"/>
        </w:rPr>
        <w:t>max</w:t>
      </w:r>
      <w:r w:rsidRPr="00F60174">
        <w:rPr>
          <w:rFonts w:ascii="Times New Roman" w:eastAsia="Times New Roman" w:hAnsi="Times New Roman"/>
        </w:rPr>
        <w:t xml:space="preserve"> azonban magasabb volt az egyszeri 0,75 mg-os dózis mellett.</w:t>
      </w:r>
    </w:p>
    <w:p w14:paraId="4D98CCF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9FCB98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Eloszlás</w:t>
      </w:r>
    </w:p>
    <w:p w14:paraId="6F669C6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az ajánlott dózis alkalmazása esetén nagymértékben eloszlik a szervezetben, a megoszlási térfogat körülbelül 6,9–7,9 l/ttkg. A palonoszetron megközelítőleg 62%-ban kötődik a plazmafehérjékhez.</w:t>
      </w:r>
    </w:p>
    <w:p w14:paraId="4E8A066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023D30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u w:val="single" w:color="000000"/>
        </w:rPr>
        <w:t>Biotranszformáció</w:t>
      </w:r>
    </w:p>
    <w:p w14:paraId="19630C22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két módon eliminálódik: körülbelül 40%-ban a vesén keresztül, és körülbelül 50%</w:t>
      </w:r>
      <w:r w:rsidRPr="00F60174">
        <w:rPr>
          <w:rFonts w:ascii="Times New Roman" w:eastAsia="Times New Roman" w:hAnsi="Times New Roman"/>
        </w:rPr>
        <w:noBreakHyphen/>
        <w:t>ban két elsődleges metabolitot képezve, amelyek a palonoszetron 5HT</w:t>
      </w:r>
      <w:r w:rsidRPr="00F60174">
        <w:rPr>
          <w:rFonts w:ascii="Times New Roman" w:eastAsia="Times New Roman" w:hAnsi="Times New Roman"/>
          <w:vertAlign w:val="subscript"/>
        </w:rPr>
        <w:t>3</w:t>
      </w:r>
      <w:r w:rsidRPr="00F60174">
        <w:rPr>
          <w:rFonts w:ascii="Times New Roman" w:eastAsia="Times New Roman" w:hAnsi="Times New Roman"/>
        </w:rPr>
        <w:t xml:space="preserve">-receptor-antagonista aktivitásának kevesebb mint 1%-ával rendelkeznek. Az </w:t>
      </w:r>
      <w:r w:rsidRPr="00F60174">
        <w:rPr>
          <w:rFonts w:ascii="Times New Roman" w:eastAsia="Times New Roman" w:hAnsi="Times New Roman"/>
          <w:i/>
        </w:rPr>
        <w:t xml:space="preserve">in vitro </w:t>
      </w:r>
      <w:r w:rsidRPr="00F60174">
        <w:rPr>
          <w:rFonts w:ascii="Times New Roman" w:eastAsia="Times New Roman" w:hAnsi="Times New Roman"/>
        </w:rPr>
        <w:t>metabolizmus-vizsgálatok kimutatták, hogy a CYP2D6, és kisebb mértékben a CYP3A4 és a CYP1A2 izoenzimek vesznek részt a palonoszetron metabolizmusában. A klinikai farmakokinetikai paraméterek azonban nem különböznek jelentősen a CYP2D6 szubsztrátok gyenge és erős metabolizálói között. A palonoszetron klinikailag releváns koncentrációk mellett se nem gátolja, se nem indukálja a citokróm P450 izoenzimeket.</w:t>
      </w:r>
    </w:p>
    <w:p w14:paraId="07D5395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A06636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position w:val="-1"/>
          <w:u w:val="single" w:color="000000"/>
        </w:rPr>
        <w:t>Elimináció</w:t>
      </w:r>
    </w:p>
    <w:p w14:paraId="022120B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Egyszeri 10 mikrogramm/ttkg [</w:t>
      </w:r>
      <w:r w:rsidRPr="00F60174">
        <w:rPr>
          <w:rFonts w:ascii="Times New Roman" w:eastAsia="Times New Roman" w:hAnsi="Times New Roman"/>
          <w:vertAlign w:val="superscript"/>
        </w:rPr>
        <w:t>14</w:t>
      </w:r>
      <w:r w:rsidRPr="00F60174">
        <w:rPr>
          <w:rFonts w:ascii="Times New Roman" w:eastAsia="Times New Roman" w:hAnsi="Times New Roman"/>
        </w:rPr>
        <w:t>C]-palonoszetron-dózis intravénás beadását követően a dózis körülbelül 80%-a volt fellelhető a vizeletben 144 órán belül, és a beadott palonoszetron dózis körülbelül 40%-a volt jelen változatlan hatóanyagként. Egyszeri intravénás bolus injekció beadását követően egészséges alanyoknál a palonoszetron teljes test clearance-e 173 </w:t>
      </w:r>
      <w:r w:rsidRPr="00F60174">
        <w:rPr>
          <w:rFonts w:ascii="Times New Roman" w:eastAsia="Times New Roman" w:hAnsi="Times New Roman"/>
        </w:rPr>
        <w:sym w:font="Symbol" w:char="F0B1"/>
      </w:r>
      <w:r w:rsidRPr="00F60174">
        <w:rPr>
          <w:rFonts w:ascii="Times New Roman" w:eastAsia="Times New Roman" w:hAnsi="Times New Roman"/>
        </w:rPr>
        <w:t> 73 ml/perc, vese clearance-e pedig 53 </w:t>
      </w:r>
      <w:r w:rsidRPr="00F60174">
        <w:rPr>
          <w:rFonts w:ascii="Times New Roman" w:eastAsia="Times New Roman" w:hAnsi="Times New Roman"/>
        </w:rPr>
        <w:sym w:font="Symbol" w:char="F0B1"/>
      </w:r>
      <w:r w:rsidRPr="00F60174">
        <w:rPr>
          <w:rFonts w:ascii="Times New Roman" w:eastAsia="Times New Roman" w:hAnsi="Times New Roman"/>
        </w:rPr>
        <w:t> 29 ml/perc volt. Az alacsony teljes test clearance és a nagyfokú eloszlás eredményeként a terminális eliminációs plazmafelezési idő körülbelül 40 óra volt. A betegek 10%</w:t>
      </w:r>
      <w:r w:rsidRPr="00F60174">
        <w:rPr>
          <w:rFonts w:ascii="Times New Roman" w:eastAsia="Times New Roman" w:hAnsi="Times New Roman"/>
        </w:rPr>
        <w:noBreakHyphen/>
        <w:t>ánál a terminális eliminációs felezési idő átlaga meghaladta a 100 órát.</w:t>
      </w:r>
    </w:p>
    <w:p w14:paraId="4BF1F23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BE4FB20" w14:textId="77777777" w:rsidR="00B73A6A" w:rsidRPr="00C616E1" w:rsidRDefault="00B73A6A" w:rsidP="00C616E1">
      <w:pPr>
        <w:spacing w:after="0" w:line="240" w:lineRule="auto"/>
        <w:rPr>
          <w:rFonts w:ascii="Times New Roman" w:eastAsia="Times New Roman" w:hAnsi="Times New Roman"/>
          <w:u w:val="single"/>
        </w:rPr>
      </w:pPr>
      <w:r w:rsidRPr="00C616E1">
        <w:rPr>
          <w:rFonts w:ascii="Times New Roman" w:eastAsia="Times New Roman" w:hAnsi="Times New Roman"/>
          <w:u w:val="single"/>
        </w:rPr>
        <w:t>Farmakokinetika különleges betegcsoportoknál</w:t>
      </w:r>
    </w:p>
    <w:p w14:paraId="3A82C362" w14:textId="77777777" w:rsidR="00B73A6A" w:rsidRPr="00F60174" w:rsidRDefault="00B73A6A" w:rsidP="00C616E1">
      <w:pPr>
        <w:spacing w:after="0" w:line="240" w:lineRule="auto"/>
        <w:rPr>
          <w:rFonts w:ascii="Times New Roman" w:eastAsia="Times New Roman" w:hAnsi="Times New Roman"/>
        </w:rPr>
      </w:pPr>
    </w:p>
    <w:p w14:paraId="458E4863" w14:textId="77777777" w:rsidR="00B73A6A" w:rsidRPr="00C616E1" w:rsidRDefault="00B73A6A" w:rsidP="00C616E1">
      <w:pPr>
        <w:spacing w:after="0" w:line="240" w:lineRule="auto"/>
        <w:rPr>
          <w:rFonts w:ascii="Times New Roman" w:eastAsia="Times New Roman" w:hAnsi="Times New Roman"/>
          <w:i/>
        </w:rPr>
      </w:pPr>
      <w:r w:rsidRPr="00C616E1">
        <w:rPr>
          <w:rFonts w:ascii="Times New Roman" w:eastAsia="Times New Roman" w:hAnsi="Times New Roman"/>
          <w:i/>
        </w:rPr>
        <w:t>Idősek</w:t>
      </w:r>
    </w:p>
    <w:p w14:paraId="7E7BEA3C" w14:textId="77777777" w:rsidR="00B73A6A" w:rsidRPr="00F60174" w:rsidRDefault="00B73A6A" w:rsidP="00C616E1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Az életkor nem befolyásolja a palonoszetron farmakokinetikáját. Idősek esetén nem szükséges a dózis módosítása.</w:t>
      </w:r>
    </w:p>
    <w:p w14:paraId="72D5EBB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3BFD4B9" w14:textId="77777777" w:rsidR="00B73A6A" w:rsidRPr="00C616E1" w:rsidRDefault="00B73A6A" w:rsidP="00C616E1">
      <w:pPr>
        <w:spacing w:after="0" w:line="240" w:lineRule="auto"/>
        <w:rPr>
          <w:rFonts w:ascii="Times New Roman" w:eastAsia="Times New Roman" w:hAnsi="Times New Roman"/>
          <w:i/>
        </w:rPr>
      </w:pPr>
      <w:r w:rsidRPr="00C616E1">
        <w:rPr>
          <w:rFonts w:ascii="Times New Roman" w:eastAsia="Times New Roman" w:hAnsi="Times New Roman"/>
          <w:i/>
        </w:rPr>
        <w:t>Nem</w:t>
      </w:r>
    </w:p>
    <w:p w14:paraId="41507494" w14:textId="77777777" w:rsidR="00B73A6A" w:rsidRPr="00F60174" w:rsidRDefault="00B73A6A" w:rsidP="00C616E1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nem nincs hatással a palonoszetron farmakokinetikájára. A nemek alapján nem szükséges a dózis módosítása.</w:t>
      </w:r>
    </w:p>
    <w:p w14:paraId="4695348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50CBB9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i/>
        </w:rPr>
      </w:pPr>
      <w:r w:rsidRPr="00F60174">
        <w:rPr>
          <w:rFonts w:ascii="Times New Roman" w:eastAsia="Times New Roman" w:hAnsi="Times New Roman"/>
          <w:i/>
        </w:rPr>
        <w:t>Gyermekek és serdülők</w:t>
      </w:r>
    </w:p>
    <w:p w14:paraId="3485719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E6275C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Az egyszeri adagban, iv. alkalmazott palonoszetron farmakokinetikai adatai a gyermekkorú rákos betegek azon alcsoportjától (n = 280) származnak, akik 10 mikrogramm/ttkg</w:t>
      </w:r>
      <w:r w:rsidRPr="00F60174" w:rsidDel="00873C74">
        <w:rPr>
          <w:rFonts w:ascii="Times New Roman" w:eastAsia="Times New Roman" w:hAnsi="Times New Roman"/>
        </w:rPr>
        <w:t xml:space="preserve"> </w:t>
      </w:r>
      <w:r w:rsidRPr="00F60174">
        <w:rPr>
          <w:rFonts w:ascii="Times New Roman" w:eastAsia="Times New Roman" w:hAnsi="Times New Roman"/>
        </w:rPr>
        <w:t>vagy 20 mikrogramm/ttkg</w:t>
      </w:r>
      <w:r w:rsidRPr="00F60174" w:rsidDel="00873C74">
        <w:rPr>
          <w:rFonts w:ascii="Times New Roman" w:eastAsia="Times New Roman" w:hAnsi="Times New Roman"/>
        </w:rPr>
        <w:t xml:space="preserve"> </w:t>
      </w:r>
      <w:r w:rsidRPr="00F60174">
        <w:rPr>
          <w:rFonts w:ascii="Times New Roman" w:eastAsia="Times New Roman" w:hAnsi="Times New Roman"/>
        </w:rPr>
        <w:t>adagot kaptak. Az adag 10 mikrogramm/ttkg-ról 20 mikrogramm/ttkg-ra történő növelésekor dózisarányos emelkedést figyeltek meg az átlagos AUC-értékben. A palonoszetron 20 mikrogramm/ttkg-os egyszeri adagjának intravénás infúzióját követően, a 15 perces infúzió befejezésekor jelentett plazma csúcskoncentrációk (C</w:t>
      </w:r>
      <w:r w:rsidRPr="00F60174">
        <w:rPr>
          <w:rFonts w:ascii="Times New Roman" w:eastAsia="Times New Roman" w:hAnsi="Times New Roman"/>
          <w:vertAlign w:val="subscript"/>
        </w:rPr>
        <w:t>T</w:t>
      </w:r>
      <w:r w:rsidRPr="00F60174">
        <w:rPr>
          <w:rFonts w:ascii="Times New Roman" w:eastAsia="Times New Roman" w:hAnsi="Times New Roman"/>
        </w:rPr>
        <w:t>) nagymértékű változatosságot mutattak az összes korcsoportban, és úgy tűnt, hogy a 6 évesnél fiatalabb betegeknél gyakrabban fordultak elő alacsonyabb értékek, mint idősebb gyermekeknél és serdülőknél. A 20 mikrogramm/ttkg-os dózis beadása után a felezési idő mediánja 29,5 óra volt az összesített korcsoportokban, és körülbelül 20 és 30 óra között mozgott a különböző korcsoportokban.</w:t>
      </w:r>
    </w:p>
    <w:p w14:paraId="224C622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75E418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teljes test clearance (l/óra/ttkg) 12–17 éves betegeknél hasonló volt az egészséges felnőtteknél tapasztalthoz. A l/ttkg-ban kifejezett eloszlási térfogatban nincsenek nyilvánvaló különbségek.</w:t>
      </w:r>
    </w:p>
    <w:p w14:paraId="26044C82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DF7CBC1" w14:textId="77777777" w:rsidR="00B73A6A" w:rsidRPr="00F60174" w:rsidRDefault="00B73A6A" w:rsidP="00C616E1">
      <w:pPr>
        <w:keepNext/>
        <w:keepLines/>
        <w:spacing w:after="0" w:line="240" w:lineRule="auto"/>
        <w:ind w:left="1418" w:hanging="1418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lastRenderedPageBreak/>
        <w:t>4. táblázat:</w:t>
      </w:r>
      <w:r w:rsidRPr="00F60174">
        <w:rPr>
          <w:rFonts w:ascii="Times New Roman" w:eastAsia="Times New Roman" w:hAnsi="Times New Roman"/>
          <w:b/>
        </w:rPr>
        <w:tab/>
        <w:t>Farmakokinetikai paraméterek gyermek- és serdülőkorú rákos betegeknél 20 mikrogramm/ttkg palonoszetron 15 perces intravénás infúzióban történő beadása után, valamint intravénás bolusban beadott 3 mikrogramm/ttkg és 10 mikrogramm/ttkg palonoszetron-adagokkal kezelt felnőtt rákos betegeknél</w:t>
      </w:r>
    </w:p>
    <w:p w14:paraId="76506B40" w14:textId="77777777" w:rsidR="00B73A6A" w:rsidRPr="00F60174" w:rsidRDefault="00B73A6A" w:rsidP="00B73A6A">
      <w:pPr>
        <w:keepNext/>
        <w:spacing w:after="0" w:line="240" w:lineRule="auto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1134"/>
        <w:gridCol w:w="993"/>
        <w:gridCol w:w="1134"/>
        <w:gridCol w:w="1109"/>
        <w:gridCol w:w="979"/>
        <w:gridCol w:w="998"/>
      </w:tblGrid>
      <w:tr w:rsidR="00B73A6A" w:rsidRPr="008B7FEC" w14:paraId="22D4E03A" w14:textId="77777777" w:rsidTr="00F60174">
        <w:trPr>
          <w:trHeight w:hRule="exact" w:val="7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F62AD" w14:textId="77777777" w:rsidR="00B73A6A" w:rsidRPr="00F60174" w:rsidRDefault="00B73A6A" w:rsidP="00B73A6A">
            <w:pPr>
              <w:keepNext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2E93407" w14:textId="77777777" w:rsidR="00B73A6A" w:rsidRPr="00F60174" w:rsidRDefault="00B73A6A" w:rsidP="00B73A6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F60174">
              <w:rPr>
                <w:rFonts w:ascii="Times New Roman" w:eastAsia="Times New Roman" w:hAnsi="Times New Roman"/>
                <w:b/>
              </w:rPr>
              <w:t>Gyermek- és serdülőkorú rákos betegek</w:t>
            </w:r>
            <w:r w:rsidRPr="00F60174">
              <w:rPr>
                <w:rFonts w:ascii="Times New Roman" w:hAnsi="Times New Roman"/>
                <w:b/>
                <w:bCs/>
                <w:color w:val="000000"/>
                <w:vertAlign w:val="superscript"/>
                <w:lang w:bidi="en-US"/>
              </w:rPr>
              <w:t>a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DDEB0" w14:textId="77777777" w:rsidR="00B73A6A" w:rsidRPr="00F60174" w:rsidRDefault="00B73A6A" w:rsidP="00B73A6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F60174">
              <w:rPr>
                <w:rFonts w:ascii="Times New Roman" w:eastAsia="Times New Roman" w:hAnsi="Times New Roman"/>
                <w:b/>
              </w:rPr>
              <w:t>Felnőtt rákos betegek</w:t>
            </w:r>
            <w:r w:rsidRPr="00F60174">
              <w:rPr>
                <w:rFonts w:ascii="Times New Roman" w:hAnsi="Times New Roman"/>
                <w:b/>
                <w:bCs/>
                <w:color w:val="000000"/>
                <w:vertAlign w:val="superscript"/>
                <w:lang w:bidi="en-US"/>
              </w:rPr>
              <w:t>b</w:t>
            </w:r>
          </w:p>
        </w:tc>
      </w:tr>
      <w:tr w:rsidR="00B73A6A" w:rsidRPr="008B7FEC" w14:paraId="14B70F3F" w14:textId="77777777" w:rsidTr="00F60174">
        <w:trPr>
          <w:trHeight w:hRule="exact" w:val="115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AE630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64DA677" w14:textId="77777777" w:rsidR="00B73A6A" w:rsidRPr="00F60174" w:rsidRDefault="00B73A6A" w:rsidP="00B73A6A">
            <w:pPr>
              <w:widowControl w:val="0"/>
              <w:spacing w:after="0" w:line="240" w:lineRule="auto"/>
              <w:ind w:left="26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&lt; 2 év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BF7F3B4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2–&lt; 6 év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24D1D60" w14:textId="77777777" w:rsidR="00B73A6A" w:rsidRPr="00F60174" w:rsidRDefault="00B73A6A" w:rsidP="00B73A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6–&lt; 12 év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36CD5AD" w14:textId="77777777" w:rsidR="00B73A6A" w:rsidRPr="00F60174" w:rsidRDefault="00B73A6A" w:rsidP="00B73A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12–&lt;</w:t>
            </w:r>
            <w:r w:rsidRPr="00F60174">
              <w:rPr>
                <w:rFonts w:ascii="Times New Roman" w:hAnsi="Times New Roman"/>
              </w:rPr>
              <w:t> </w:t>
            </w: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17 év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14E139B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bidi="en-US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3,0</w:t>
            </w:r>
          </w:p>
          <w:p w14:paraId="6B52FF44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bidi="en-US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mikro-gramm/</w:t>
            </w:r>
          </w:p>
          <w:p w14:paraId="6A17CB5D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ttkg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18BC6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bidi="en-US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10</w:t>
            </w:r>
          </w:p>
          <w:p w14:paraId="40BBEE5E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bidi="en-US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mikro-gramm/</w:t>
            </w:r>
          </w:p>
          <w:p w14:paraId="04B451E9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ttkg</w:t>
            </w:r>
          </w:p>
        </w:tc>
      </w:tr>
      <w:tr w:rsidR="00B73A6A" w:rsidRPr="008B7FEC" w14:paraId="2F909390" w14:textId="77777777" w:rsidTr="00F60174">
        <w:trPr>
          <w:trHeight w:hRule="exact" w:val="42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08ED2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503EB33" w14:textId="77777777" w:rsidR="00B73A6A" w:rsidRPr="00F60174" w:rsidRDefault="00B73A6A" w:rsidP="00B73A6A">
            <w:pPr>
              <w:widowControl w:val="0"/>
              <w:spacing w:after="0" w:line="240" w:lineRule="auto"/>
              <w:ind w:left="26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262E65C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72C214C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306648E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74C96D8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3AEAB" w14:textId="77777777" w:rsidR="00B73A6A" w:rsidRPr="00F60174" w:rsidRDefault="00B73A6A" w:rsidP="00B73A6A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5</w:t>
            </w:r>
          </w:p>
        </w:tc>
      </w:tr>
      <w:tr w:rsidR="00B73A6A" w:rsidRPr="008B7FEC" w14:paraId="4FF4EBF6" w14:textId="77777777" w:rsidTr="00F60174">
        <w:trPr>
          <w:trHeight w:hRule="exact" w:val="70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79D30D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AUC</w:t>
            </w:r>
            <w:r w:rsidRPr="00F60174">
              <w:rPr>
                <w:rFonts w:ascii="Times New Roman" w:eastAsia="Times New Roman" w:hAnsi="Times New Roman"/>
                <w:vertAlign w:val="subscript"/>
              </w:rPr>
              <w:t>0-</w:t>
            </w:r>
            <w:r w:rsidRPr="00F60174">
              <w:rPr>
                <w:rFonts w:ascii="Times New Roman" w:eastAsia="Times New Roman" w:hAnsi="Times New Roman"/>
                <w:vertAlign w:val="subscript"/>
              </w:rPr>
              <w:sym w:font="Symbol" w:char="F0A5"/>
            </w:r>
            <w:r w:rsidRPr="00F60174">
              <w:rPr>
                <w:rFonts w:ascii="Times New Roman" w:hAnsi="Times New Roman"/>
                <w:color w:val="000000"/>
                <w:lang w:bidi="en-US"/>
              </w:rPr>
              <w:t>, óra,</w:t>
            </w:r>
            <w:r w:rsidRPr="00F60174">
              <w:rPr>
                <w:rFonts w:ascii="Times New Roman" w:hAnsi="Times New Roman"/>
                <w:b/>
                <w:color w:val="000000"/>
                <w:lang w:bidi="en-US"/>
              </w:rPr>
              <w:sym w:font="Symbol" w:char="F0D7"/>
            </w:r>
            <w:r w:rsidRPr="00F60174">
              <w:rPr>
                <w:rFonts w:ascii="Times New Roman" w:hAnsi="Times New Roman"/>
                <w:color w:val="000000"/>
                <w:lang w:bidi="en-US"/>
              </w:rPr>
              <w:t>mikrogramm/l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4A28E76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69,0</w:t>
            </w:r>
          </w:p>
          <w:p w14:paraId="7B401E8E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(49,5)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5E117AF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103,5</w:t>
            </w:r>
          </w:p>
          <w:p w14:paraId="07567636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(40,4)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B019CBB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98,7</w:t>
            </w:r>
          </w:p>
          <w:p w14:paraId="27E684BB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(47,7)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17EC8C2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124,5</w:t>
            </w:r>
          </w:p>
          <w:p w14:paraId="07E8979E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(19,1)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10D3369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35,8</w:t>
            </w:r>
          </w:p>
          <w:p w14:paraId="727A00A8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(20,9)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8321B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81,8</w:t>
            </w:r>
          </w:p>
          <w:p w14:paraId="17270B9B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(23,9)</w:t>
            </w:r>
          </w:p>
        </w:tc>
      </w:tr>
      <w:tr w:rsidR="00B73A6A" w:rsidRPr="008B7FEC" w14:paraId="63227F5D" w14:textId="77777777" w:rsidTr="00F60174">
        <w:trPr>
          <w:trHeight w:hRule="exact" w:val="7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0D0E1E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t</w:t>
            </w:r>
            <w:r w:rsidRPr="00F60174">
              <w:rPr>
                <w:rFonts w:ascii="Times New Roman" w:hAnsi="Times New Roman"/>
                <w:color w:val="000000"/>
                <w:vertAlign w:val="subscript"/>
                <w:lang w:bidi="en-US"/>
              </w:rPr>
              <w:t>1/2</w:t>
            </w:r>
            <w:r w:rsidRPr="00F60174">
              <w:rPr>
                <w:rFonts w:ascii="Times New Roman" w:hAnsi="Times New Roman"/>
                <w:color w:val="000000"/>
                <w:lang w:bidi="en-US"/>
              </w:rPr>
              <w:t>, óra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9E34EE5" w14:textId="77777777" w:rsidR="00B73A6A" w:rsidRPr="00F60174" w:rsidRDefault="00B73A6A" w:rsidP="00B73A6A">
            <w:pPr>
              <w:widowControl w:val="0"/>
              <w:spacing w:after="0" w:line="240" w:lineRule="auto"/>
              <w:ind w:left="26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056714D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F4553BC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23,3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1AA5F6A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30,5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01B32C3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56,4</w:t>
            </w:r>
          </w:p>
          <w:p w14:paraId="4E7720BB" w14:textId="77777777" w:rsidR="00B73A6A" w:rsidRPr="00F60174" w:rsidRDefault="00B73A6A" w:rsidP="00B73A6A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(5,81)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811F" w14:textId="77777777" w:rsidR="00B73A6A" w:rsidRPr="00F60174" w:rsidRDefault="00B73A6A" w:rsidP="00B73A6A">
            <w:pPr>
              <w:spacing w:after="0" w:line="240" w:lineRule="auto"/>
              <w:ind w:left="24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49,8</w:t>
            </w:r>
          </w:p>
          <w:p w14:paraId="78795E45" w14:textId="77777777" w:rsidR="00B73A6A" w:rsidRPr="00F60174" w:rsidRDefault="00B73A6A" w:rsidP="00B73A6A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(14,4)</w:t>
            </w:r>
          </w:p>
        </w:tc>
      </w:tr>
      <w:tr w:rsidR="00B73A6A" w:rsidRPr="008B7FEC" w14:paraId="27D23D33" w14:textId="77777777" w:rsidTr="00F60174">
        <w:trPr>
          <w:trHeight w:hRule="exact" w:val="42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D0E31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1964DDD" w14:textId="77777777" w:rsidR="00B73A6A" w:rsidRPr="00F60174" w:rsidRDefault="00B73A6A" w:rsidP="00B73A6A">
            <w:pPr>
              <w:widowControl w:val="0"/>
              <w:spacing w:after="0" w:line="240" w:lineRule="auto"/>
              <w:ind w:left="26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E35C583" w14:textId="77777777" w:rsidR="00B73A6A" w:rsidRPr="00F60174" w:rsidRDefault="00B73A6A" w:rsidP="00B73A6A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FE73590" w14:textId="77777777" w:rsidR="00B73A6A" w:rsidRPr="00F60174" w:rsidRDefault="00B73A6A" w:rsidP="00B73A6A">
            <w:pPr>
              <w:widowControl w:val="0"/>
              <w:spacing w:after="0" w:line="240" w:lineRule="auto"/>
              <w:ind w:left="22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13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3FECE2D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19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1384760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6FC19" w14:textId="77777777" w:rsidR="00B73A6A" w:rsidRPr="00F60174" w:rsidRDefault="00B73A6A" w:rsidP="00B73A6A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b/>
                <w:bCs/>
                <w:color w:val="000000"/>
                <w:lang w:bidi="en-US"/>
              </w:rPr>
              <w:t>N = 5</w:t>
            </w:r>
          </w:p>
        </w:tc>
      </w:tr>
      <w:tr w:rsidR="00B73A6A" w:rsidRPr="008B7FEC" w14:paraId="0B25AFB0" w14:textId="77777777" w:rsidTr="00F60174">
        <w:trPr>
          <w:trHeight w:hRule="exact" w:val="70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829981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 xml:space="preserve">Clearance </w:t>
            </w:r>
            <w:r w:rsidRPr="00F60174">
              <w:rPr>
                <w:rFonts w:ascii="Times New Roman" w:hAnsi="Times New Roman"/>
                <w:color w:val="000000"/>
                <w:vertAlign w:val="superscript"/>
                <w:lang w:bidi="en-US"/>
              </w:rPr>
              <w:t>c</w:t>
            </w:r>
            <w:r w:rsidRPr="00F60174">
              <w:rPr>
                <w:rFonts w:ascii="Times New Roman" w:hAnsi="Times New Roman"/>
                <w:color w:val="000000"/>
                <w:lang w:bidi="en-US"/>
              </w:rPr>
              <w:t>, l/óra/ttkg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847CABE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0,31</w:t>
            </w:r>
          </w:p>
          <w:p w14:paraId="7539D5E7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(34,7)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6CFFAED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0,23</w:t>
            </w:r>
          </w:p>
          <w:p w14:paraId="33DA2140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(51,3)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23A7535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0,19</w:t>
            </w:r>
          </w:p>
          <w:p w14:paraId="27AF4DBE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(46,8)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B46438D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0,16</w:t>
            </w:r>
          </w:p>
          <w:p w14:paraId="219A1D50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(27,8)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0635C88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0,10</w:t>
            </w:r>
          </w:p>
          <w:p w14:paraId="6EE19868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(0,04)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0C72A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0,13</w:t>
            </w:r>
          </w:p>
          <w:p w14:paraId="360579FD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(0,05)</w:t>
            </w:r>
          </w:p>
        </w:tc>
      </w:tr>
      <w:tr w:rsidR="00B73A6A" w:rsidRPr="008B7FEC" w14:paraId="50AC7269" w14:textId="77777777" w:rsidTr="00F60174">
        <w:trPr>
          <w:trHeight w:hRule="exact" w:val="72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D19F12" w14:textId="77777777" w:rsidR="00B73A6A" w:rsidRPr="00F60174" w:rsidRDefault="00B73A6A" w:rsidP="00B73A6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 xml:space="preserve">Eloszlási térfogat </w:t>
            </w:r>
            <w:r w:rsidRPr="00F60174">
              <w:rPr>
                <w:rFonts w:ascii="Times New Roman" w:hAnsi="Times New Roman"/>
                <w:color w:val="000000"/>
                <w:vertAlign w:val="superscript"/>
                <w:lang w:bidi="en-US"/>
              </w:rPr>
              <w:t>c, d</w:t>
            </w:r>
            <w:r w:rsidRPr="00F60174">
              <w:rPr>
                <w:rFonts w:ascii="Times New Roman" w:hAnsi="Times New Roman"/>
                <w:color w:val="000000"/>
                <w:lang w:bidi="en-US"/>
              </w:rPr>
              <w:t>, l/ttkg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7D04EDA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6,08</w:t>
            </w:r>
          </w:p>
          <w:p w14:paraId="3D6DEED1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(36,5)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D6F97CD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5,29</w:t>
            </w:r>
          </w:p>
          <w:p w14:paraId="7D1F5F12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(57,8)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78F404F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6,26</w:t>
            </w:r>
          </w:p>
          <w:p w14:paraId="0DA2D977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(40,0)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B7D57A3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6,20</w:t>
            </w:r>
          </w:p>
          <w:p w14:paraId="5297E4E6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(29,0)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8353FD8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7,91</w:t>
            </w:r>
          </w:p>
          <w:p w14:paraId="1DDF17B7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(2,53)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D7D95" w14:textId="77777777" w:rsidR="00B73A6A" w:rsidRPr="00F60174" w:rsidRDefault="00B73A6A" w:rsidP="00B73A6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9,56</w:t>
            </w:r>
          </w:p>
          <w:p w14:paraId="3EE77626" w14:textId="77777777" w:rsidR="00B73A6A" w:rsidRPr="00F60174" w:rsidRDefault="00B73A6A" w:rsidP="00B73A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60174">
              <w:rPr>
                <w:rFonts w:ascii="Times New Roman" w:hAnsi="Times New Roman"/>
                <w:color w:val="000000"/>
                <w:lang w:bidi="en-US"/>
              </w:rPr>
              <w:t>(4,21)</w:t>
            </w:r>
          </w:p>
        </w:tc>
      </w:tr>
    </w:tbl>
    <w:p w14:paraId="02AE017C" w14:textId="77777777" w:rsidR="00B73A6A" w:rsidRPr="00F60174" w:rsidRDefault="00B73A6A" w:rsidP="00B73A6A">
      <w:pPr>
        <w:tabs>
          <w:tab w:val="left" w:pos="1005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a</w:t>
      </w:r>
      <w:r w:rsidRPr="00F60174">
        <w:rPr>
          <w:rFonts w:ascii="Times New Roman" w:eastAsia="Times New Roman" w:hAnsi="Times New Roman"/>
        </w:rPr>
        <w:t xml:space="preserve"> Mértani átlag (CV) formájában kifejezett farmakokinetikai paraméterek, kivéve a t</w:t>
      </w:r>
      <w:r w:rsidRPr="00F60174">
        <w:rPr>
          <w:rFonts w:ascii="Times New Roman" w:eastAsia="Times New Roman" w:hAnsi="Times New Roman"/>
          <w:vertAlign w:val="subscript"/>
        </w:rPr>
        <w:t>½</w:t>
      </w:r>
      <w:r w:rsidRPr="00F60174">
        <w:rPr>
          <w:rFonts w:ascii="Times New Roman" w:eastAsia="Times New Roman" w:hAnsi="Times New Roman"/>
        </w:rPr>
        <w:t xml:space="preserve"> esetében, ami medián. </w:t>
      </w:r>
    </w:p>
    <w:p w14:paraId="687BB5A1" w14:textId="77777777" w:rsidR="00B73A6A" w:rsidRPr="00F60174" w:rsidRDefault="00B73A6A" w:rsidP="00B73A6A">
      <w:pPr>
        <w:tabs>
          <w:tab w:val="left" w:pos="1005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b</w:t>
      </w:r>
      <w:r w:rsidRPr="00F60174">
        <w:rPr>
          <w:rFonts w:ascii="Times New Roman" w:eastAsia="Times New Roman" w:hAnsi="Times New Roman"/>
        </w:rPr>
        <w:t xml:space="preserve"> Számtani átlag (SD) formájában kifejezett farmakokinetikai paraméterek </w:t>
      </w:r>
    </w:p>
    <w:p w14:paraId="6CF3DB8C" w14:textId="77777777" w:rsidR="00B73A6A" w:rsidRPr="00F60174" w:rsidRDefault="00B73A6A" w:rsidP="00B73A6A">
      <w:pPr>
        <w:tabs>
          <w:tab w:val="left" w:pos="1005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c</w:t>
      </w:r>
      <w:r w:rsidRPr="00F60174">
        <w:rPr>
          <w:rFonts w:ascii="Times New Roman" w:eastAsia="Times New Roman" w:hAnsi="Times New Roman"/>
        </w:rPr>
        <w:t xml:space="preserve"> Gyermek- és serdülőkorú betegeknél a clearance és az eloszlási térfogat mind a 10 mikrogramm/ttkg-os, mind a 20 mikrogramm/ttkg-os dóziscsoport összevont adataiból, a testtömegre korrigálva került kiszámításra. Felnőttek esetében a különböző dózisszintek az oszlopfejlécben vannak feltüntetve.</w:t>
      </w:r>
    </w:p>
    <w:p w14:paraId="623A7694" w14:textId="77777777" w:rsidR="00B73A6A" w:rsidRPr="00F60174" w:rsidRDefault="00B73A6A" w:rsidP="00B73A6A">
      <w:pPr>
        <w:tabs>
          <w:tab w:val="left" w:pos="1005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vertAlign w:val="superscript"/>
        </w:rPr>
        <w:t>d</w:t>
      </w:r>
      <w:r w:rsidRPr="00F60174">
        <w:rPr>
          <w:rFonts w:ascii="Times New Roman" w:eastAsia="Times New Roman" w:hAnsi="Times New Roman"/>
        </w:rPr>
        <w:t xml:space="preserve"> Gyermek- és serdülőkorú rákos betegeknél az egyensúlyi állapotban mért látszólagos eloszlási térfogat (Vss), míg felnőtt rákos betegeknél a terminális fázisban mért látszólagos eloszlási térfogat (Vz) kerül feltüntetésre.</w:t>
      </w:r>
    </w:p>
    <w:p w14:paraId="77E3FB2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  <w:i/>
        </w:rPr>
      </w:pPr>
    </w:p>
    <w:p w14:paraId="002817B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Vesekárosodás</w:t>
      </w:r>
    </w:p>
    <w:p w14:paraId="1D23633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Az enyhe és közepesen súlyos fokú vesekárosodás nem befolyásolja lényegesen a palonoszetron farmakokinetikai paramétereit. A súlyos fokú vesekárosodás csökkenti a vese clearance-t, azonban a teljes test clearance értéke az egészséges alanyokéhoz hasonló. Veseelégtelenségben szenvedő betegek esetén nem szükséges a dózis módosítása. Hemodializált betegekre vonatkozóan nem állnak rendelkezésre farmokokinetikai adatok.</w:t>
      </w:r>
    </w:p>
    <w:p w14:paraId="71A2C9C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D234BA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i/>
        </w:rPr>
        <w:t>Májkárosodás</w:t>
      </w:r>
    </w:p>
    <w:p w14:paraId="1E1B263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Egészséges egyénekhez viszonyítva a májkárosodás nem befolyásolja jelentősen a palonoszetron teljes test clearance-ét. Bár súlyos fokú májkárosodásban szenvedő betegeknél a palonoszetron terminális eliminációs felezési ideje és az átlagos szisztémás expozíció hosszabb, ez nem indokolja a dózis csökkentését.</w:t>
      </w:r>
    </w:p>
    <w:p w14:paraId="12958A7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DEE789D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5.3</w:t>
      </w:r>
      <w:r w:rsidRPr="00F60174">
        <w:rPr>
          <w:rFonts w:ascii="Times New Roman" w:eastAsia="Times New Roman" w:hAnsi="Times New Roman"/>
          <w:b/>
        </w:rPr>
        <w:tab/>
        <w:t>A preklinikai biztonságossági vizsgálatok eredményei</w:t>
      </w:r>
    </w:p>
    <w:p w14:paraId="1095D00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E5AE18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nem klinikai vizsgálatok során csak a maximális humán expozíciót jóval meghaladó expozíciónak voltak következményei, melyeknek a klinikai alkalmazás szempontjából csekély a jelentősége.</w:t>
      </w:r>
    </w:p>
    <w:p w14:paraId="5F8AE65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EB3597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lastRenderedPageBreak/>
        <w:t>Nem klinikai vizsgálatok eredményei szerint a palonoszetron csak nagyon magas koncentrációk esetén blokkolhatja a kamrai depolarizációban és repolarizációban szerepet játszó ioncsatornákat, és megnyújthatja az akciós potenciál időtartamát.</w:t>
      </w:r>
    </w:p>
    <w:p w14:paraId="717C1D7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1836C8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Az állatkísérletek nem utalnak a terhességre, az embrionális/magzati fejlődésre, a szülésre vagy a születés utáni fejlődésre közvetlenül vagy közvetett módon gyakorolt káros hatásra. A placentán való átjutással kapcsolatban csak korlátozott mennyiségű állatkísérletből származó adat áll rendelkezésre (lásd 4.6 pont).</w:t>
      </w:r>
    </w:p>
    <w:p w14:paraId="69E701C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E3B485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A palonoszetron nem mutagén. A palonoszetron 2 éven át naponta nagy dózisban (minden dózis a humán terápiás expozíció legalább 30-szorosát eredményezte) alkalmazva patkányoknál növelte a májtumor, az endokrin tumorok (a pajzsmirigyben, a hipofízisben, a hasnyálmirigyben, a mellékvesevelőben) és a bőrrák előfordulási arányát, egerek esetében azonban nem. A kiváltó mechanizmusok még nem teljesen ismertek, de mivel az itt alkalmazott dózisok nagyon magasak voltak, és mert a palonoszetron embereknél csak egyszeri alkalmazásra szánt, ezek az adatok a klinikai gyakorlatban nem tekinthetők relevánsnak.</w:t>
      </w:r>
    </w:p>
    <w:p w14:paraId="23531BC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65D89E5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D7FDF8D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6.</w:t>
      </w:r>
      <w:r w:rsidRPr="00F60174">
        <w:rPr>
          <w:rFonts w:ascii="Times New Roman" w:eastAsia="Times New Roman" w:hAnsi="Times New Roman"/>
          <w:b/>
        </w:rPr>
        <w:tab/>
        <w:t>GYÓGYSZERÉSZETI JELLEMZŐK</w:t>
      </w:r>
    </w:p>
    <w:p w14:paraId="7DAFD107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CF2EB35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6.1</w:t>
      </w:r>
      <w:r w:rsidRPr="00F60174">
        <w:rPr>
          <w:rFonts w:ascii="Times New Roman" w:eastAsia="Times New Roman" w:hAnsi="Times New Roman"/>
          <w:b/>
        </w:rPr>
        <w:tab/>
        <w:t>Segédanyagok felsorolása</w:t>
      </w:r>
    </w:p>
    <w:p w14:paraId="6E363F3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22447E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mannit</w:t>
      </w:r>
    </w:p>
    <w:p w14:paraId="34E7F6E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dinátrium-edetát</w:t>
      </w:r>
    </w:p>
    <w:p w14:paraId="41F72740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nátrium-citrát</w:t>
      </w:r>
    </w:p>
    <w:p w14:paraId="41A9925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citromsav-monohidrát</w:t>
      </w:r>
    </w:p>
    <w:p w14:paraId="216040D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tömény sósav (pH beállításához)</w:t>
      </w:r>
    </w:p>
    <w:p w14:paraId="04A4502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nátrium-hidroxid (pH beállításához)</w:t>
      </w:r>
    </w:p>
    <w:p w14:paraId="2EA385B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injekcióhoz való víz</w:t>
      </w:r>
    </w:p>
    <w:p w14:paraId="524CA08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0B66075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6.2</w:t>
      </w:r>
      <w:r w:rsidRPr="00F60174">
        <w:rPr>
          <w:rFonts w:ascii="Times New Roman" w:eastAsia="Times New Roman" w:hAnsi="Times New Roman"/>
          <w:b/>
        </w:rPr>
        <w:tab/>
        <w:t>Inkompatibilitások</w:t>
      </w:r>
    </w:p>
    <w:p w14:paraId="4F9F626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08F444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Ez a gyógyszer nem keverhető más gyógyszerekkel.</w:t>
      </w:r>
    </w:p>
    <w:p w14:paraId="033BA52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223C5E1B" w14:textId="77777777" w:rsidR="00B73A6A" w:rsidRPr="00F60174" w:rsidRDefault="00B73A6A" w:rsidP="00CD12D9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6.3</w:t>
      </w:r>
      <w:r w:rsidRPr="00F60174">
        <w:rPr>
          <w:rFonts w:ascii="Times New Roman" w:eastAsia="Times New Roman" w:hAnsi="Times New Roman"/>
          <w:b/>
        </w:rPr>
        <w:tab/>
        <w:t>Felhasználhatósági időtartam</w:t>
      </w:r>
    </w:p>
    <w:p w14:paraId="00F2F27A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34CF370" w14:textId="35CBE4A7" w:rsidR="00B73A6A" w:rsidRPr="00F60174" w:rsidRDefault="00C71FC0" w:rsidP="00B73A6A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5</w:t>
      </w:r>
      <w:r w:rsidR="000D2742">
        <w:rPr>
          <w:rFonts w:ascii="Times New Roman" w:eastAsia="Times New Roman" w:hAnsi="Times New Roman"/>
        </w:rPr>
        <w:t> </w:t>
      </w:r>
      <w:r w:rsidR="007C2CDC">
        <w:rPr>
          <w:rFonts w:ascii="Times New Roman" w:eastAsia="Times New Roman" w:hAnsi="Times New Roman"/>
        </w:rPr>
        <w:t>év</w:t>
      </w:r>
    </w:p>
    <w:p w14:paraId="3A23BD3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81FE9A6" w14:textId="77777777" w:rsidR="005B4B47" w:rsidRPr="00BC29F2" w:rsidRDefault="005B4B47" w:rsidP="005B4B47">
      <w:pPr>
        <w:tabs>
          <w:tab w:val="left" w:pos="567"/>
          <w:tab w:val="left" w:pos="2835"/>
          <w:tab w:val="left" w:pos="6237"/>
          <w:tab w:val="left" w:pos="7797"/>
        </w:tabs>
        <w:suppressAutoHyphens/>
        <w:spacing w:after="0" w:line="240" w:lineRule="auto"/>
        <w:rPr>
          <w:rFonts w:ascii="Times New Roman" w:eastAsia="SimSun" w:hAnsi="Times New Roman"/>
          <w:snapToGrid w:val="0"/>
          <w:u w:val="single"/>
          <w:lang w:eastAsia="zh-CN"/>
        </w:rPr>
      </w:pPr>
      <w:r w:rsidRPr="00BC29F2">
        <w:rPr>
          <w:rFonts w:ascii="Times New Roman" w:eastAsia="SimSun" w:hAnsi="Times New Roman"/>
          <w:snapToGrid w:val="0"/>
          <w:u w:val="single"/>
          <w:lang w:eastAsia="zh-CN"/>
        </w:rPr>
        <w:t xml:space="preserve">Felhasználhatósági időtartam az injekciós üveg </w:t>
      </w:r>
      <w:r w:rsidR="006E234C">
        <w:rPr>
          <w:rFonts w:ascii="Times New Roman" w:eastAsia="SimSun" w:hAnsi="Times New Roman"/>
          <w:snapToGrid w:val="0"/>
          <w:u w:val="single"/>
          <w:lang w:eastAsia="zh-CN"/>
        </w:rPr>
        <w:t>fel</w:t>
      </w:r>
      <w:r w:rsidRPr="00BC29F2">
        <w:rPr>
          <w:rFonts w:ascii="Times New Roman" w:eastAsia="SimSun" w:hAnsi="Times New Roman"/>
          <w:snapToGrid w:val="0"/>
          <w:u w:val="single"/>
          <w:lang w:eastAsia="zh-CN"/>
        </w:rPr>
        <w:t>nyitása után</w:t>
      </w:r>
    </w:p>
    <w:p w14:paraId="4B5342AC" w14:textId="77777777" w:rsidR="005B4B47" w:rsidRPr="00F60174" w:rsidRDefault="005B4B47" w:rsidP="005B4B47">
      <w:pPr>
        <w:tabs>
          <w:tab w:val="left" w:pos="567"/>
          <w:tab w:val="left" w:pos="2835"/>
          <w:tab w:val="left" w:pos="6237"/>
          <w:tab w:val="left" w:pos="7797"/>
        </w:tabs>
        <w:suppressAutoHyphens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5B4B47">
        <w:rPr>
          <w:rFonts w:ascii="Times New Roman" w:eastAsia="SimSun" w:hAnsi="Times New Roman"/>
          <w:snapToGrid w:val="0"/>
          <w:lang w:eastAsia="zh-CN"/>
        </w:rPr>
        <w:t xml:space="preserve">Az injekciós üveg felnyitása után </w:t>
      </w:r>
      <w:r w:rsidR="00D0619F">
        <w:rPr>
          <w:rFonts w:ascii="Times New Roman" w:eastAsia="SimSun" w:hAnsi="Times New Roman"/>
          <w:snapToGrid w:val="0"/>
          <w:lang w:eastAsia="zh-CN"/>
        </w:rPr>
        <w:t xml:space="preserve">a készítményt </w:t>
      </w:r>
      <w:r w:rsidRPr="005B4B47">
        <w:rPr>
          <w:rFonts w:ascii="Times New Roman" w:eastAsia="SimSun" w:hAnsi="Times New Roman"/>
          <w:snapToGrid w:val="0"/>
          <w:lang w:eastAsia="zh-CN"/>
        </w:rPr>
        <w:t>azonnal fel kell használni.</w:t>
      </w:r>
    </w:p>
    <w:p w14:paraId="54319142" w14:textId="77777777" w:rsidR="00B73A6A" w:rsidRPr="00F60174" w:rsidRDefault="00B73A6A" w:rsidP="00B73A6A">
      <w:pPr>
        <w:tabs>
          <w:tab w:val="left" w:pos="567"/>
          <w:tab w:val="left" w:pos="2835"/>
          <w:tab w:val="left" w:pos="6237"/>
          <w:tab w:val="left" w:pos="7797"/>
        </w:tabs>
        <w:suppressAutoHyphens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0C9E637A" w14:textId="77777777" w:rsidR="00B73A6A" w:rsidRPr="00F60174" w:rsidRDefault="00B73A6A" w:rsidP="00B73A6A">
      <w:pPr>
        <w:suppressAutoHyphens/>
        <w:spacing w:after="0" w:line="240" w:lineRule="auto"/>
        <w:rPr>
          <w:rFonts w:ascii="Times New Roman" w:eastAsia="Times New Roman" w:hAnsi="Times New Roman"/>
          <w:iCs/>
          <w:u w:val="single"/>
          <w:lang w:eastAsia="ar-SA"/>
        </w:rPr>
      </w:pPr>
      <w:r w:rsidRPr="00F60174">
        <w:rPr>
          <w:rFonts w:ascii="Times New Roman" w:eastAsia="Times New Roman" w:hAnsi="Times New Roman"/>
          <w:iCs/>
          <w:u w:val="single"/>
          <w:lang w:eastAsia="ar-SA"/>
        </w:rPr>
        <w:t>Felhasználhatósági időtartam hígítás után</w:t>
      </w:r>
    </w:p>
    <w:p w14:paraId="335AF246" w14:textId="77777777" w:rsidR="00B73A6A" w:rsidRPr="00F60174" w:rsidRDefault="00B73A6A" w:rsidP="00B73A6A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F60174">
        <w:rPr>
          <w:rFonts w:ascii="Times New Roman" w:eastAsia="Times New Roman" w:hAnsi="Times New Roman"/>
          <w:lang w:eastAsia="hu-HU"/>
        </w:rPr>
        <w:t>A hígított oldat kémiai és fizikai stabilitása 25 ºC-on és 2–8 ºC-on 48 órán át igazolt.</w:t>
      </w:r>
    </w:p>
    <w:p w14:paraId="430D2EB0" w14:textId="77777777" w:rsidR="00B73A6A" w:rsidRPr="00F60174" w:rsidRDefault="00B73A6A" w:rsidP="00B73A6A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BC4E5CF" w14:textId="77777777" w:rsidR="00B73A6A" w:rsidRPr="00F60174" w:rsidRDefault="00B73A6A" w:rsidP="00B73A6A">
      <w:pPr>
        <w:widowControl w:val="0"/>
        <w:tabs>
          <w:tab w:val="left" w:pos="567"/>
          <w:tab w:val="left" w:pos="2835"/>
          <w:tab w:val="left" w:pos="6237"/>
          <w:tab w:val="left" w:pos="7797"/>
        </w:tabs>
        <w:suppressAutoHyphens/>
        <w:spacing w:after="0" w:line="240" w:lineRule="auto"/>
        <w:rPr>
          <w:rFonts w:ascii="Times New Roman" w:eastAsia="Times New Roman" w:hAnsi="Times New Roman"/>
          <w:snapToGrid w:val="0"/>
          <w:color w:val="000000"/>
          <w:lang w:eastAsia="hu-HU"/>
        </w:rPr>
      </w:pPr>
      <w:r w:rsidRPr="00F60174">
        <w:rPr>
          <w:rFonts w:ascii="Times New Roman" w:eastAsia="Times New Roman" w:hAnsi="Times New Roman"/>
          <w:snapToGrid w:val="0"/>
          <w:color w:val="000000"/>
          <w:lang w:eastAsia="hu-HU"/>
        </w:rPr>
        <w:t>Mikrobiológiai szempontból a hígított oldatot azonnal fel kell használni. Amennyiben nem használják fel azonnal, a felhasználásig az eltartási idő és a tárolási körülmények a felhasználó felelőssége, amely általános esetben 2–8 ºC közötti hőmérsékleten tárolva nem haladhatja meg a 24 órát, kivéve, ha a hígítás ellenőrzött és validált aszeptikus körülmények között történt.</w:t>
      </w:r>
    </w:p>
    <w:p w14:paraId="7BB1282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65EB7BC" w14:textId="77777777" w:rsidR="00B73A6A" w:rsidRPr="00F60174" w:rsidRDefault="00B73A6A" w:rsidP="0045751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6.4</w:t>
      </w:r>
      <w:r w:rsidRPr="00F60174">
        <w:rPr>
          <w:rFonts w:ascii="Times New Roman" w:eastAsia="Times New Roman" w:hAnsi="Times New Roman"/>
          <w:b/>
        </w:rPr>
        <w:tab/>
        <w:t>Különleges tárolási előírások</w:t>
      </w:r>
    </w:p>
    <w:p w14:paraId="0ABB977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9AE86D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Ez a gyógyszer nem igényel különleges tárolást.</w:t>
      </w:r>
    </w:p>
    <w:p w14:paraId="17780BC6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36875B5" w14:textId="77777777" w:rsidR="00B73A6A" w:rsidRPr="00F60174" w:rsidRDefault="00B73A6A" w:rsidP="0045751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6.5</w:t>
      </w:r>
      <w:r w:rsidRPr="00F60174">
        <w:rPr>
          <w:rFonts w:ascii="Times New Roman" w:eastAsia="Times New Roman" w:hAnsi="Times New Roman"/>
          <w:b/>
        </w:rPr>
        <w:tab/>
        <w:t>Csomagolás típusa és kiszerelése</w:t>
      </w:r>
    </w:p>
    <w:p w14:paraId="0978853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F9C189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spacing w:val="-3"/>
        </w:rPr>
        <w:t xml:space="preserve">5 ml oldat </w:t>
      </w:r>
      <w:r w:rsidR="00855909" w:rsidRPr="00855909">
        <w:rPr>
          <w:rFonts w:ascii="Times New Roman" w:eastAsia="Times New Roman" w:hAnsi="Times New Roman"/>
          <w:spacing w:val="-3"/>
        </w:rPr>
        <w:t>brómbutil gumidugóval, lepattintható alumínium kupakkal lezárt, átlátszó</w:t>
      </w:r>
      <w:r w:rsidR="0048519B">
        <w:rPr>
          <w:rFonts w:ascii="Times New Roman" w:eastAsia="Times New Roman" w:hAnsi="Times New Roman"/>
          <w:spacing w:val="-3"/>
        </w:rPr>
        <w:t>,</w:t>
      </w:r>
      <w:r w:rsidR="00855909" w:rsidRPr="00855909">
        <w:rPr>
          <w:rFonts w:ascii="Times New Roman" w:eastAsia="Times New Roman" w:hAnsi="Times New Roman"/>
          <w:spacing w:val="-3"/>
        </w:rPr>
        <w:t xml:space="preserve"> I-es típu</w:t>
      </w:r>
      <w:r w:rsidR="00855909">
        <w:rPr>
          <w:rFonts w:ascii="Times New Roman" w:eastAsia="Times New Roman" w:hAnsi="Times New Roman"/>
          <w:spacing w:val="-3"/>
        </w:rPr>
        <w:t>sú injekciós üvegben és</w:t>
      </w:r>
      <w:r w:rsidRPr="00F60174">
        <w:rPr>
          <w:rFonts w:ascii="Times New Roman" w:eastAsia="Times New Roman" w:hAnsi="Times New Roman"/>
          <w:spacing w:val="-3"/>
        </w:rPr>
        <w:t xml:space="preserve"> dobozban.</w:t>
      </w:r>
    </w:p>
    <w:p w14:paraId="5268A290" w14:textId="77777777" w:rsidR="00EB27C6" w:rsidRDefault="00EB27C6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331474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Kiszerelés: 1 db 5 ml-es injekciós üveg.</w:t>
      </w:r>
    </w:p>
    <w:p w14:paraId="6487536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69707CF" w14:textId="77777777" w:rsidR="00B73A6A" w:rsidRPr="00F60174" w:rsidRDefault="00B73A6A" w:rsidP="00B73A6A">
      <w:pPr>
        <w:spacing w:after="0" w:line="240" w:lineRule="auto"/>
        <w:ind w:left="567" w:hanging="567"/>
        <w:outlineLvl w:val="0"/>
        <w:rPr>
          <w:rFonts w:ascii="Times New Roman" w:eastAsia="Times New Roman" w:hAnsi="Times New Roman"/>
          <w:b/>
          <w:noProof/>
        </w:rPr>
      </w:pPr>
      <w:r w:rsidRPr="00F60174">
        <w:rPr>
          <w:rFonts w:ascii="Times New Roman" w:eastAsia="Times New Roman" w:hAnsi="Times New Roman"/>
          <w:b/>
          <w:noProof/>
        </w:rPr>
        <w:t>6.6</w:t>
      </w:r>
      <w:r w:rsidRPr="00F60174">
        <w:rPr>
          <w:rFonts w:ascii="Times New Roman" w:eastAsia="Times New Roman" w:hAnsi="Times New Roman"/>
          <w:b/>
          <w:noProof/>
        </w:rPr>
        <w:tab/>
        <w:t>A megsemmisítésre vonatkozó különleges óvintézkedések és egyéb, a készítmény kezelésével kapcsolatos információk</w:t>
      </w:r>
    </w:p>
    <w:p w14:paraId="5B1359E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06DCF1D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Kizárólag egyszeri alkalmazásra. A fel nem használt oldatot meg kell semmisíteni.</w:t>
      </w:r>
    </w:p>
    <w:p w14:paraId="5FAF423B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18CC233" w14:textId="77777777" w:rsidR="00B73A6A" w:rsidRPr="00F60174" w:rsidRDefault="00B73A6A" w:rsidP="00B73A6A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F60174">
        <w:rPr>
          <w:rFonts w:ascii="Times New Roman" w:eastAsia="Times New Roman" w:hAnsi="Times New Roman"/>
          <w:lang w:eastAsia="hu-HU"/>
        </w:rPr>
        <w:t xml:space="preserve">Felhasználás előtt a gyógyszert szabad szemmel meg kell vizsgálni. Kizárólag a tiszta és színtelen, látható részecskéktől mentes oldat használható fel. </w:t>
      </w:r>
    </w:p>
    <w:p w14:paraId="70030686" w14:textId="77777777" w:rsidR="00B73A6A" w:rsidRPr="00F60174" w:rsidRDefault="00B73A6A" w:rsidP="00B73A6A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14:paraId="3F1E4761" w14:textId="77777777" w:rsidR="00B73A6A" w:rsidRPr="00F60174" w:rsidRDefault="00B73A6A" w:rsidP="00B73A6A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60174">
        <w:rPr>
          <w:rFonts w:ascii="Times New Roman" w:eastAsia="Times New Roman" w:hAnsi="Times New Roman"/>
          <w:lang w:eastAsia="ar-SA"/>
        </w:rPr>
        <w:t>A készítmény hígításához 0,9%-os nátrium-klorid oldat</w:t>
      </w:r>
      <w:r w:rsidR="00ED4022">
        <w:rPr>
          <w:rFonts w:ascii="Times New Roman" w:eastAsia="Times New Roman" w:hAnsi="Times New Roman"/>
          <w:lang w:eastAsia="ar-SA"/>
        </w:rPr>
        <w:t>os infúzió</w:t>
      </w:r>
      <w:r w:rsidRPr="00F60174">
        <w:rPr>
          <w:rFonts w:ascii="Times New Roman" w:eastAsia="Times New Roman" w:hAnsi="Times New Roman"/>
          <w:lang w:eastAsia="ar-SA"/>
        </w:rPr>
        <w:t xml:space="preserve"> használható fel.</w:t>
      </w:r>
    </w:p>
    <w:p w14:paraId="07A52218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5199BA1" w14:textId="77777777" w:rsidR="00B73A6A" w:rsidRPr="00F60174" w:rsidRDefault="00B73A6A" w:rsidP="00B73A6A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60174">
        <w:rPr>
          <w:rFonts w:ascii="Times New Roman" w:eastAsia="Times New Roman" w:hAnsi="Times New Roman"/>
          <w:lang w:eastAsia="ar-SA"/>
        </w:rPr>
        <w:t>0,9%-os nátrium-klorid oldat</w:t>
      </w:r>
      <w:r w:rsidR="00ED4022">
        <w:rPr>
          <w:rFonts w:ascii="Times New Roman" w:eastAsia="Times New Roman" w:hAnsi="Times New Roman"/>
          <w:lang w:eastAsia="ar-SA"/>
        </w:rPr>
        <w:t>os infúzióban</w:t>
      </w:r>
      <w:r w:rsidRPr="00F60174">
        <w:rPr>
          <w:rFonts w:ascii="Times New Roman" w:eastAsia="Times New Roman" w:hAnsi="Times New Roman"/>
          <w:lang w:eastAsia="ar-SA"/>
        </w:rPr>
        <w:t xml:space="preserve"> történő hígítást követően az oldat a következő eszközökkel kompatibilisnek bizonyult: polipropilén (PP) és polikarbonát (PC) fecskendők, polietilén (PE), polipropilén (PP), poli</w:t>
      </w:r>
      <w:r w:rsidR="00ED4022">
        <w:rPr>
          <w:rFonts w:ascii="Times New Roman" w:eastAsia="Times New Roman" w:hAnsi="Times New Roman"/>
          <w:lang w:eastAsia="ar-SA"/>
        </w:rPr>
        <w:t>(</w:t>
      </w:r>
      <w:r w:rsidRPr="00F60174">
        <w:rPr>
          <w:rFonts w:ascii="Times New Roman" w:eastAsia="Times New Roman" w:hAnsi="Times New Roman"/>
          <w:lang w:eastAsia="ar-SA"/>
        </w:rPr>
        <w:t>vinil-klorid</w:t>
      </w:r>
      <w:r w:rsidR="00ED4022">
        <w:rPr>
          <w:rFonts w:ascii="Times New Roman" w:eastAsia="Times New Roman" w:hAnsi="Times New Roman"/>
          <w:lang w:eastAsia="ar-SA"/>
        </w:rPr>
        <w:t>)</w:t>
      </w:r>
      <w:r w:rsidRPr="00F60174">
        <w:rPr>
          <w:rFonts w:ascii="Times New Roman" w:eastAsia="Times New Roman" w:hAnsi="Times New Roman"/>
          <w:lang w:eastAsia="ar-SA"/>
        </w:rPr>
        <w:t xml:space="preserve"> (PVC) és etilvinil-acetát (EVA) infúziós zsákok, valamint PVC és PE infúziós csövek.</w:t>
      </w:r>
    </w:p>
    <w:p w14:paraId="22745013" w14:textId="77777777" w:rsidR="00B73A6A" w:rsidRPr="00F60174" w:rsidRDefault="00B73A6A" w:rsidP="00B73A6A">
      <w:pPr>
        <w:suppressAutoHyphens/>
        <w:spacing w:after="0" w:line="240" w:lineRule="auto"/>
        <w:rPr>
          <w:rFonts w:ascii="Times New Roman" w:eastAsia="Times New Roman" w:hAnsi="Times New Roman"/>
        </w:rPr>
      </w:pPr>
    </w:p>
    <w:p w14:paraId="6330A18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</w:rPr>
        <w:t>Bármilyen fel nem használt gyógyszer, illetve hulladékanyag megsemmisítését a gyógyszerekre vonatkozó előírások szerint kell végrehajtani.</w:t>
      </w:r>
    </w:p>
    <w:p w14:paraId="5BB25DFC" w14:textId="77777777" w:rsidR="00B73A6A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4CC7C7D" w14:textId="77777777" w:rsidR="00C2335B" w:rsidRPr="008648F9" w:rsidRDefault="00C2335B" w:rsidP="008D4560">
      <w:pPr>
        <w:spacing w:after="0" w:line="240" w:lineRule="exact"/>
        <w:rPr>
          <w:rFonts w:ascii="Times New Roman" w:eastAsia="Times New Roman" w:hAnsi="Times New Roman"/>
        </w:rPr>
      </w:pPr>
      <w:r w:rsidRPr="008D4560">
        <w:rPr>
          <w:rFonts w:ascii="Times New Roman" w:eastAsia="Times New Roman" w:hAnsi="Times New Roman"/>
          <w:b/>
        </w:rPr>
        <w:t>Megjegyzés</w:t>
      </w:r>
      <w:r>
        <w:rPr>
          <w:rFonts w:ascii="Times New Roman" w:eastAsia="Times New Roman" w:hAnsi="Times New Roman"/>
        </w:rPr>
        <w:t xml:space="preserve">: </w:t>
      </w:r>
      <w:r w:rsidR="00D022CB" w:rsidRPr="008D4560">
        <w:rPr>
          <w:rFonts w:ascii="Times New Roman" w:eastAsia="Times New Roman" w:hAnsi="Times New Roman"/>
        </w:rPr>
        <w:sym w:font="Wingdings" w:char="F058"/>
      </w:r>
      <w:r w:rsidRPr="00C2335B">
        <w:rPr>
          <w:rFonts w:ascii="Times New Roman" w:eastAsia="Times New Roman" w:hAnsi="Times New Roman"/>
        </w:rPr>
        <w:t xml:space="preserve"> (egy keresztes)</w:t>
      </w:r>
    </w:p>
    <w:p w14:paraId="13D0AF7D" w14:textId="77777777" w:rsidR="00C2335B" w:rsidRPr="00C2335B" w:rsidRDefault="00C2335B" w:rsidP="008D4560">
      <w:pPr>
        <w:spacing w:after="0" w:line="240" w:lineRule="exact"/>
        <w:rPr>
          <w:rFonts w:ascii="Times New Roman" w:eastAsia="Times New Roman" w:hAnsi="Times New Roman"/>
        </w:rPr>
      </w:pPr>
      <w:r w:rsidRPr="008D4560">
        <w:rPr>
          <w:rFonts w:ascii="Times New Roman" w:eastAsia="Times New Roman" w:hAnsi="Times New Roman"/>
          <w:b/>
        </w:rPr>
        <w:t>Osztályozás</w:t>
      </w:r>
      <w:r w:rsidRPr="00C2335B">
        <w:rPr>
          <w:rFonts w:ascii="Times New Roman" w:eastAsia="Times New Roman" w:hAnsi="Times New Roman"/>
        </w:rPr>
        <w:t>: II./3. csoport</w:t>
      </w:r>
    </w:p>
    <w:p w14:paraId="47E90D5A" w14:textId="77777777" w:rsidR="00C2335B" w:rsidRDefault="00C2335B" w:rsidP="00C2335B">
      <w:pPr>
        <w:spacing w:after="0" w:line="240" w:lineRule="auto"/>
        <w:rPr>
          <w:rFonts w:ascii="Times New Roman" w:eastAsia="Times New Roman" w:hAnsi="Times New Roman"/>
        </w:rPr>
      </w:pPr>
      <w:r w:rsidRPr="00C2335B">
        <w:rPr>
          <w:rFonts w:ascii="Times New Roman" w:eastAsia="Times New Roman" w:hAnsi="Times New Roman"/>
        </w:rPr>
        <w:t>Korlátozott érvényű orvosi rendelvényhez kötött, az egészségügyről szóló 1997. évi CLIV. törvény 3. §-ának ga) pontja szerinti rendelőintézeti járóbeteg-szakellátást vagy fekvőbeteg-szakellátást nyújtó szolgáltatók által biztosított körülmények között alkalmazható gyógyszer (I).</w:t>
      </w:r>
    </w:p>
    <w:p w14:paraId="52B1FF59" w14:textId="77777777" w:rsidR="00EB7649" w:rsidRPr="00F60174" w:rsidRDefault="00EB7649" w:rsidP="00C2335B">
      <w:pPr>
        <w:spacing w:after="0" w:line="240" w:lineRule="auto"/>
        <w:rPr>
          <w:rFonts w:ascii="Times New Roman" w:eastAsia="Times New Roman" w:hAnsi="Times New Roman"/>
        </w:rPr>
      </w:pPr>
    </w:p>
    <w:p w14:paraId="119DE861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71E88C0E" w14:textId="77777777" w:rsidR="00B73A6A" w:rsidRPr="00F60174" w:rsidRDefault="00B73A6A" w:rsidP="00920482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7.</w:t>
      </w:r>
      <w:r w:rsidRPr="00F60174">
        <w:rPr>
          <w:rFonts w:ascii="Times New Roman" w:eastAsia="Times New Roman" w:hAnsi="Times New Roman"/>
          <w:b/>
        </w:rPr>
        <w:tab/>
        <w:t>A FORGALOMBA HOZATALI ENGEDÉLY JOGOSULTJA</w:t>
      </w:r>
    </w:p>
    <w:p w14:paraId="0151E57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3DDD64D8" w14:textId="77777777" w:rsidR="00B73A6A" w:rsidRPr="00F60174" w:rsidRDefault="00B73A6A" w:rsidP="00B73A6A">
      <w:pPr>
        <w:suppressAutoHyphens/>
        <w:spacing w:after="0" w:line="240" w:lineRule="auto"/>
        <w:rPr>
          <w:rFonts w:ascii="Times New Roman" w:eastAsia="Times New Roman" w:hAnsi="Times New Roman"/>
          <w:color w:val="000000"/>
          <w:lang w:eastAsia="ar-SA"/>
        </w:rPr>
      </w:pPr>
      <w:r w:rsidRPr="00F60174">
        <w:rPr>
          <w:rFonts w:ascii="Times New Roman" w:eastAsia="Times New Roman" w:hAnsi="Times New Roman"/>
          <w:color w:val="000000"/>
          <w:lang w:eastAsia="ar-SA"/>
        </w:rPr>
        <w:t>AS KALCEKS</w:t>
      </w:r>
    </w:p>
    <w:p w14:paraId="71727F0B" w14:textId="77777777" w:rsidR="00DB4209" w:rsidRDefault="00B73A6A" w:rsidP="00B73A6A">
      <w:pPr>
        <w:suppressAutoHyphens/>
        <w:spacing w:after="0" w:line="240" w:lineRule="auto"/>
        <w:rPr>
          <w:rFonts w:ascii="Times New Roman" w:eastAsia="Times New Roman" w:hAnsi="Times New Roman"/>
          <w:color w:val="000000"/>
          <w:lang w:eastAsia="ar-SA"/>
        </w:rPr>
      </w:pPr>
      <w:r w:rsidRPr="00F60174">
        <w:rPr>
          <w:rFonts w:ascii="Times New Roman" w:eastAsia="Times New Roman" w:hAnsi="Times New Roman"/>
          <w:color w:val="000000"/>
          <w:lang w:eastAsia="ar-SA"/>
        </w:rPr>
        <w:t xml:space="preserve">Krustpils iela </w:t>
      </w:r>
      <w:r w:rsidR="00532A7B">
        <w:rPr>
          <w:rFonts w:ascii="Times New Roman" w:eastAsia="Times New Roman" w:hAnsi="Times New Roman"/>
          <w:color w:val="000000"/>
          <w:lang w:eastAsia="ar-SA"/>
        </w:rPr>
        <w:t>71E</w:t>
      </w:r>
    </w:p>
    <w:p w14:paraId="5080C6BA" w14:textId="77777777" w:rsidR="00207A6F" w:rsidRDefault="00B73A6A" w:rsidP="00B73A6A">
      <w:pPr>
        <w:suppressAutoHyphens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F60174">
        <w:rPr>
          <w:rFonts w:ascii="Times New Roman" w:eastAsia="SimSun" w:hAnsi="Times New Roman"/>
          <w:snapToGrid w:val="0"/>
          <w:lang w:eastAsia="zh-CN"/>
        </w:rPr>
        <w:t>Rīga, LV</w:t>
      </w:r>
      <w:r w:rsidRPr="00F60174">
        <w:rPr>
          <w:rFonts w:ascii="Times New Roman" w:eastAsia="SimSun" w:hAnsi="Times New Roman"/>
          <w:snapToGrid w:val="0"/>
          <w:lang w:eastAsia="zh-CN"/>
        </w:rPr>
        <w:noBreakHyphen/>
        <w:t>1057</w:t>
      </w:r>
    </w:p>
    <w:p w14:paraId="77549F9D" w14:textId="77777777" w:rsidR="00B73A6A" w:rsidRPr="00F60174" w:rsidRDefault="00B73A6A" w:rsidP="00B73A6A">
      <w:pPr>
        <w:suppressAutoHyphens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F60174">
        <w:rPr>
          <w:rFonts w:ascii="Times New Roman" w:eastAsia="SimSun" w:hAnsi="Times New Roman"/>
          <w:snapToGrid w:val="0"/>
          <w:lang w:eastAsia="zh-CN"/>
        </w:rPr>
        <w:t>Lettország</w:t>
      </w:r>
    </w:p>
    <w:p w14:paraId="047C4645" w14:textId="77777777" w:rsidR="00B73A6A" w:rsidRPr="00F60174" w:rsidRDefault="00B73A6A" w:rsidP="00B73A6A">
      <w:pPr>
        <w:tabs>
          <w:tab w:val="left" w:pos="567"/>
        </w:tabs>
        <w:suppressAutoHyphens/>
        <w:spacing w:after="0" w:line="240" w:lineRule="auto"/>
        <w:ind w:right="-8"/>
        <w:rPr>
          <w:rFonts w:ascii="Times New Roman" w:eastAsia="Times New Roman" w:hAnsi="Times New Roman"/>
          <w:lang w:eastAsia="da-DK"/>
        </w:rPr>
      </w:pPr>
      <w:r w:rsidRPr="00F60174">
        <w:rPr>
          <w:rFonts w:ascii="Times New Roman" w:eastAsia="Times New Roman" w:hAnsi="Times New Roman"/>
          <w:lang w:eastAsia="da-DK"/>
        </w:rPr>
        <w:t>Tel.: +371 67083320</w:t>
      </w:r>
    </w:p>
    <w:p w14:paraId="2EA07ED6" w14:textId="77777777" w:rsidR="00B73A6A" w:rsidRPr="00F60174" w:rsidRDefault="00B73A6A" w:rsidP="00B73A6A">
      <w:pPr>
        <w:tabs>
          <w:tab w:val="left" w:pos="567"/>
        </w:tabs>
        <w:suppressAutoHyphens/>
        <w:spacing w:after="0" w:line="240" w:lineRule="auto"/>
        <w:ind w:right="-8"/>
        <w:rPr>
          <w:rFonts w:ascii="Times New Roman" w:eastAsia="Times New Roman" w:hAnsi="Times New Roman"/>
          <w:lang w:eastAsia="da-DK"/>
        </w:rPr>
      </w:pPr>
      <w:r w:rsidRPr="00F60174">
        <w:rPr>
          <w:rFonts w:ascii="Times New Roman" w:eastAsia="Times New Roman" w:hAnsi="Times New Roman"/>
          <w:lang w:eastAsia="da-DK"/>
        </w:rPr>
        <w:t>E</w:t>
      </w:r>
      <w:r w:rsidRPr="00F60174">
        <w:rPr>
          <w:rFonts w:ascii="Times New Roman" w:eastAsia="Times New Roman" w:hAnsi="Times New Roman"/>
          <w:lang w:eastAsia="da-DK"/>
        </w:rPr>
        <w:noBreakHyphen/>
        <w:t>mail: kalceks@kalceks.lv</w:t>
      </w:r>
    </w:p>
    <w:p w14:paraId="5E2EB34E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40A18FD4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1177F5A" w14:textId="77777777" w:rsidR="00B73A6A" w:rsidRPr="00F60174" w:rsidRDefault="00B73A6A" w:rsidP="00920482">
      <w:pPr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8.</w:t>
      </w:r>
      <w:r w:rsidRPr="00F60174">
        <w:rPr>
          <w:rFonts w:ascii="Times New Roman" w:eastAsia="Times New Roman" w:hAnsi="Times New Roman"/>
          <w:b/>
        </w:rPr>
        <w:tab/>
        <w:t>A FORGALOMBA HOZATALI ENGEDÉLY SZÁMA(I)</w:t>
      </w:r>
    </w:p>
    <w:p w14:paraId="4D7D502C" w14:textId="77777777" w:rsidR="00B73A6A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B7995D4" w14:textId="77777777" w:rsidR="005B659F" w:rsidRPr="005B659F" w:rsidRDefault="005B659F" w:rsidP="005B659F">
      <w:pPr>
        <w:rPr>
          <w:rFonts w:ascii="Times New Roman" w:hAnsi="Times New Roman"/>
        </w:rPr>
      </w:pPr>
      <w:r w:rsidRPr="005B659F">
        <w:rPr>
          <w:rFonts w:ascii="Times New Roman" w:hAnsi="Times New Roman"/>
        </w:rPr>
        <w:t>OGYI-T-23953/01     1</w:t>
      </w:r>
      <w:r>
        <w:rPr>
          <w:rFonts w:ascii="Times New Roman" w:hAnsi="Times New Roman"/>
        </w:rPr>
        <w:t>×</w:t>
      </w:r>
      <w:r w:rsidRPr="005B659F">
        <w:rPr>
          <w:rFonts w:ascii="Times New Roman" w:hAnsi="Times New Roman"/>
        </w:rPr>
        <w:t xml:space="preserve">5 ml </w:t>
      </w:r>
      <w:r w:rsidRPr="005B659F">
        <w:rPr>
          <w:rFonts w:ascii="Times New Roman" w:hAnsi="Times New Roman"/>
          <w:spacing w:val="-3"/>
        </w:rPr>
        <w:t>átlátszó I-es típusú injekciós üveg</w:t>
      </w:r>
    </w:p>
    <w:p w14:paraId="6275CACB" w14:textId="77777777" w:rsidR="005B659F" w:rsidRPr="00F60174" w:rsidRDefault="005B659F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5BF1B359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27A42DC" w14:textId="77777777" w:rsidR="00B73A6A" w:rsidRPr="00F60174" w:rsidRDefault="00B73A6A" w:rsidP="00B73A6A">
      <w:pPr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F60174">
        <w:rPr>
          <w:rFonts w:ascii="Times New Roman" w:eastAsia="Times New Roman" w:hAnsi="Times New Roman"/>
          <w:b/>
        </w:rPr>
        <w:t>9.</w:t>
      </w:r>
      <w:r w:rsidRPr="00F60174">
        <w:rPr>
          <w:rFonts w:ascii="Times New Roman" w:eastAsia="Times New Roman" w:hAnsi="Times New Roman"/>
          <w:b/>
        </w:rPr>
        <w:tab/>
        <w:t>A FORGALOMBA HOZATALI ENGEDÉLY ELSŐ KIADÁSÁNAK/ MEGÚJÍTÁSÁNAK DÁTUMA</w:t>
      </w:r>
    </w:p>
    <w:p w14:paraId="0763D07C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674F9B0C" w14:textId="6A0FB2EE" w:rsidR="00275481" w:rsidRPr="00275481" w:rsidRDefault="00B73A6A" w:rsidP="00275481">
      <w:pPr>
        <w:spacing w:after="0" w:line="240" w:lineRule="auto"/>
        <w:rPr>
          <w:rFonts w:ascii="Times New Roman" w:eastAsia="Times New Roman" w:hAnsi="Times New Roman"/>
          <w:lang w:val="lv-LV"/>
        </w:rPr>
      </w:pPr>
      <w:r w:rsidRPr="00F60174">
        <w:rPr>
          <w:rFonts w:ascii="Times New Roman" w:eastAsia="Times New Roman" w:hAnsi="Times New Roman"/>
        </w:rPr>
        <w:t xml:space="preserve">A forgalomba hozatali engedély első kiadásának dátuma: </w:t>
      </w:r>
      <w:r w:rsidR="005B659F">
        <w:rPr>
          <w:rFonts w:ascii="Times New Roman" w:eastAsia="Times New Roman" w:hAnsi="Times New Roman"/>
        </w:rPr>
        <w:t>2021. október 4.</w:t>
      </w:r>
      <w:r w:rsidR="001303F3">
        <w:rPr>
          <w:rFonts w:ascii="Times New Roman" w:eastAsia="Times New Roman" w:hAnsi="Times New Roman"/>
        </w:rPr>
        <w:t xml:space="preserve"> </w:t>
      </w:r>
      <w:r w:rsidR="00275481" w:rsidRPr="00275481">
        <w:rPr>
          <w:rFonts w:ascii="Times New Roman" w:eastAsia="Times New Roman" w:hAnsi="Times New Roman"/>
        </w:rPr>
        <w:t xml:space="preserve">A forgalomba hozatali engedély legutóbbi megújításának dátuma: </w:t>
      </w:r>
      <w:r w:rsidR="00275481" w:rsidRPr="00275481">
        <w:rPr>
          <w:rFonts w:ascii="Times New Roman" w:eastAsia="Times New Roman" w:hAnsi="Times New Roman"/>
          <w:lang w:val="lv-LV"/>
        </w:rPr>
        <w:t>2026. február 23.</w:t>
      </w:r>
    </w:p>
    <w:p w14:paraId="496F8F17" w14:textId="00A87EF0" w:rsidR="00B73A6A" w:rsidRPr="00F60174" w:rsidRDefault="00275481" w:rsidP="00275481">
      <w:pPr>
        <w:spacing w:after="0" w:line="240" w:lineRule="auto"/>
        <w:rPr>
          <w:rFonts w:ascii="Times New Roman" w:eastAsia="Times New Roman" w:hAnsi="Times New Roman"/>
        </w:rPr>
      </w:pPr>
      <w:r w:rsidRPr="00275481">
        <w:rPr>
          <w:rFonts w:ascii="Times New Roman" w:eastAsia="Times New Roman" w:hAnsi="Times New Roman"/>
          <w:lang w:val="lv-LV"/>
        </w:rPr>
        <w:t xml:space="preserve"> </w:t>
      </w:r>
    </w:p>
    <w:p w14:paraId="57D14B2F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133E1E26" w14:textId="77777777" w:rsidR="00B73A6A" w:rsidRPr="00F60174" w:rsidRDefault="00B73A6A" w:rsidP="00920482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b/>
        </w:rPr>
      </w:pPr>
      <w:r w:rsidRPr="00F60174">
        <w:rPr>
          <w:rFonts w:ascii="Times New Roman" w:eastAsia="Times New Roman" w:hAnsi="Times New Roman"/>
          <w:b/>
        </w:rPr>
        <w:t>10.</w:t>
      </w:r>
      <w:r w:rsidRPr="00F60174">
        <w:rPr>
          <w:rFonts w:ascii="Times New Roman" w:eastAsia="Times New Roman" w:hAnsi="Times New Roman"/>
          <w:b/>
        </w:rPr>
        <w:tab/>
        <w:t>A SZÖVEG ELLENŐRZÉSÉNEK DÁTUMA</w:t>
      </w:r>
    </w:p>
    <w:p w14:paraId="511743A3" w14:textId="77777777" w:rsidR="00B73A6A" w:rsidRPr="00F60174" w:rsidRDefault="00B73A6A" w:rsidP="00B73A6A">
      <w:pPr>
        <w:spacing w:after="0" w:line="240" w:lineRule="auto"/>
        <w:rPr>
          <w:rFonts w:ascii="Times New Roman" w:eastAsia="Times New Roman" w:hAnsi="Times New Roman"/>
        </w:rPr>
      </w:pPr>
    </w:p>
    <w:p w14:paraId="048AA806" w14:textId="4764BDE2" w:rsidR="00DF099D" w:rsidRPr="00F60174" w:rsidRDefault="00893815">
      <w:pPr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2026. július 11.</w:t>
      </w:r>
    </w:p>
    <w:sectPr w:rsidR="00DF099D" w:rsidRPr="00F60174" w:rsidSect="00ED4022">
      <w:headerReference w:type="default" r:id="rId9"/>
      <w:footerReference w:type="default" r:id="rId10"/>
      <w:footerReference w:type="first" r:id="rId11"/>
      <w:pgSz w:w="11907" w:h="16840" w:code="9"/>
      <w:pgMar w:top="1134" w:right="1418" w:bottom="1134" w:left="1418" w:header="737" w:footer="73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5DBA3" w14:textId="77777777" w:rsidR="009A138C" w:rsidRDefault="009A138C">
      <w:pPr>
        <w:spacing w:after="0" w:line="240" w:lineRule="auto"/>
      </w:pPr>
      <w:r>
        <w:separator/>
      </w:r>
    </w:p>
  </w:endnote>
  <w:endnote w:type="continuationSeparator" w:id="0">
    <w:p w14:paraId="5512D962" w14:textId="77777777" w:rsidR="009A138C" w:rsidRDefault="009A1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EAA38" w14:textId="77777777" w:rsidR="000C05F3" w:rsidRDefault="008566F2">
    <w:pPr>
      <w:spacing w:line="200" w:lineRule="exact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68A21C5" wp14:editId="0C3E59DD">
              <wp:simplePos x="0" y="0"/>
              <wp:positionH relativeFrom="page">
                <wp:posOffset>3697605</wp:posOffset>
              </wp:positionH>
              <wp:positionV relativeFrom="page">
                <wp:posOffset>9980930</wp:posOffset>
              </wp:positionV>
              <wp:extent cx="163830" cy="1276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83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0A17D9" w14:textId="77777777" w:rsidR="000C05F3" w:rsidRDefault="000C05F3">
                          <w:pPr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8A21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15pt;margin-top:785.9pt;width:12.9pt;height:10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" filled="f" stroked="f">
              <v:textbox inset="0,0,0,0">
                <w:txbxContent>
                  <w:p w14:paraId="4F0A17D9" w14:textId="77777777" w:rsidR="000C05F3" w:rsidRDefault="000C05F3">
                    <w:pPr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E13B1" w14:textId="586E0C52" w:rsidR="000C05F3" w:rsidRPr="00E5148F" w:rsidRDefault="00676B43">
    <w:pPr>
      <w:pStyle w:val="llb"/>
      <w:rPr>
        <w:sz w:val="18"/>
        <w:szCs w:val="18"/>
      </w:rPr>
    </w:pPr>
    <w:r w:rsidRPr="00676B43">
      <w:rPr>
        <w:sz w:val="18"/>
        <w:szCs w:val="18"/>
      </w:rPr>
      <w:t>NNGYK/ETGY/16458/2026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F9FB0" w14:textId="77777777" w:rsidR="009A138C" w:rsidRDefault="009A138C">
      <w:pPr>
        <w:spacing w:after="0" w:line="240" w:lineRule="auto"/>
      </w:pPr>
      <w:r>
        <w:separator/>
      </w:r>
    </w:p>
  </w:footnote>
  <w:footnote w:type="continuationSeparator" w:id="0">
    <w:p w14:paraId="53A6DF18" w14:textId="77777777" w:rsidR="009A138C" w:rsidRDefault="009A1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B0B0" w14:textId="0254E525" w:rsidR="000C05F3" w:rsidRPr="008D4560" w:rsidRDefault="000C05F3">
    <w:pPr>
      <w:pStyle w:val="lfej"/>
      <w:jc w:val="center"/>
      <w:rPr>
        <w:sz w:val="18"/>
        <w:szCs w:val="18"/>
      </w:rPr>
    </w:pPr>
    <w:r w:rsidRPr="008D4560">
      <w:rPr>
        <w:sz w:val="18"/>
        <w:szCs w:val="18"/>
      </w:rPr>
      <w:fldChar w:fldCharType="begin"/>
    </w:r>
    <w:r w:rsidRPr="008D4560">
      <w:rPr>
        <w:sz w:val="18"/>
        <w:szCs w:val="18"/>
      </w:rPr>
      <w:instrText>PAGE   \* MERGEFORMAT</w:instrText>
    </w:r>
    <w:r w:rsidRPr="008D4560">
      <w:rPr>
        <w:sz w:val="18"/>
        <w:szCs w:val="18"/>
      </w:rPr>
      <w:fldChar w:fldCharType="separate"/>
    </w:r>
    <w:r w:rsidR="00AD6388" w:rsidRPr="00AD6388">
      <w:rPr>
        <w:noProof/>
        <w:sz w:val="18"/>
        <w:szCs w:val="18"/>
        <w:lang w:val="hu-HU"/>
      </w:rPr>
      <w:t>14</w:t>
    </w:r>
    <w:r w:rsidRPr="008D4560">
      <w:rPr>
        <w:sz w:val="18"/>
        <w:szCs w:val="18"/>
      </w:rPr>
      <w:fldChar w:fldCharType="end"/>
    </w:r>
  </w:p>
  <w:p w14:paraId="10C45384" w14:textId="77777777" w:rsidR="000C05F3" w:rsidRDefault="000C05F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80A18"/>
    <w:multiLevelType w:val="multilevel"/>
    <w:tmpl w:val="B944F0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D655BEF"/>
    <w:multiLevelType w:val="hybridMultilevel"/>
    <w:tmpl w:val="56E4BDD8"/>
    <w:lvl w:ilvl="0" w:tplc="3DF8C626">
      <w:start w:val="1"/>
      <w:numFmt w:val="bullet"/>
      <w:lvlText w:val="‒"/>
      <w:lvlJc w:val="left"/>
      <w:pPr>
        <w:ind w:left="476" w:hanging="360"/>
      </w:pPr>
      <w:rPr>
        <w:rFonts w:ascii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" w15:restartNumberingAfterBreak="0">
    <w:nsid w:val="2A385C8E"/>
    <w:multiLevelType w:val="hybridMultilevel"/>
    <w:tmpl w:val="DDA23E5C"/>
    <w:lvl w:ilvl="0" w:tplc="3DF8C626">
      <w:start w:val="1"/>
      <w:numFmt w:val="bullet"/>
      <w:lvlText w:val="‒"/>
      <w:lvlJc w:val="left"/>
      <w:pPr>
        <w:ind w:left="476" w:hanging="360"/>
      </w:pPr>
      <w:rPr>
        <w:rFonts w:ascii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3" w15:restartNumberingAfterBreak="0">
    <w:nsid w:val="31E975F6"/>
    <w:multiLevelType w:val="hybridMultilevel"/>
    <w:tmpl w:val="66E038E4"/>
    <w:lvl w:ilvl="0" w:tplc="6A3874E2">
      <w:numFmt w:val="bullet"/>
      <w:lvlText w:val="-"/>
      <w:lvlJc w:val="left"/>
      <w:pPr>
        <w:ind w:left="4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4" w15:restartNumberingAfterBreak="0">
    <w:nsid w:val="373A7D27"/>
    <w:multiLevelType w:val="multilevel"/>
    <w:tmpl w:val="1788195C"/>
    <w:lvl w:ilvl="0">
      <w:start w:val="1"/>
      <w:numFmt w:val="decimal"/>
      <w:pStyle w:val="Cmsor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Cmsor3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Cmsor41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Cmsor5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Cmsor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Cmsor71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Cmsor81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Cmsor91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2975638"/>
    <w:multiLevelType w:val="hybridMultilevel"/>
    <w:tmpl w:val="C6845D4A"/>
    <w:lvl w:ilvl="0" w:tplc="3DF8C62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6C1EB2"/>
    <w:multiLevelType w:val="hybridMultilevel"/>
    <w:tmpl w:val="93F46FA0"/>
    <w:lvl w:ilvl="0" w:tplc="3DF8C626">
      <w:start w:val="1"/>
      <w:numFmt w:val="bullet"/>
      <w:lvlText w:val="‒"/>
      <w:lvlJc w:val="left"/>
      <w:pPr>
        <w:ind w:left="611" w:hanging="392"/>
      </w:pPr>
      <w:rPr>
        <w:rFonts w:ascii="Times New Roman" w:hAnsi="Times New Roman" w:cs="Times New Roman" w:hint="default"/>
        <w:w w:val="100"/>
        <w:sz w:val="22"/>
        <w:szCs w:val="22"/>
      </w:rPr>
    </w:lvl>
    <w:lvl w:ilvl="1" w:tplc="14A8EF02">
      <w:numFmt w:val="bullet"/>
      <w:lvlText w:val="•"/>
      <w:lvlJc w:val="left"/>
      <w:pPr>
        <w:ind w:left="1542" w:hanging="392"/>
      </w:pPr>
      <w:rPr>
        <w:rFonts w:hint="default"/>
      </w:rPr>
    </w:lvl>
    <w:lvl w:ilvl="2" w:tplc="9F60BFD0">
      <w:numFmt w:val="bullet"/>
      <w:lvlText w:val="•"/>
      <w:lvlJc w:val="left"/>
      <w:pPr>
        <w:ind w:left="2465" w:hanging="392"/>
      </w:pPr>
      <w:rPr>
        <w:rFonts w:hint="default"/>
      </w:rPr>
    </w:lvl>
    <w:lvl w:ilvl="3" w:tplc="0F489504">
      <w:numFmt w:val="bullet"/>
      <w:lvlText w:val="•"/>
      <w:lvlJc w:val="left"/>
      <w:pPr>
        <w:ind w:left="3387" w:hanging="392"/>
      </w:pPr>
      <w:rPr>
        <w:rFonts w:hint="default"/>
      </w:rPr>
    </w:lvl>
    <w:lvl w:ilvl="4" w:tplc="6368FCAC">
      <w:numFmt w:val="bullet"/>
      <w:lvlText w:val="•"/>
      <w:lvlJc w:val="left"/>
      <w:pPr>
        <w:ind w:left="4310" w:hanging="392"/>
      </w:pPr>
      <w:rPr>
        <w:rFonts w:hint="default"/>
      </w:rPr>
    </w:lvl>
    <w:lvl w:ilvl="5" w:tplc="1506F80E">
      <w:numFmt w:val="bullet"/>
      <w:lvlText w:val="•"/>
      <w:lvlJc w:val="left"/>
      <w:pPr>
        <w:ind w:left="5233" w:hanging="392"/>
      </w:pPr>
      <w:rPr>
        <w:rFonts w:hint="default"/>
      </w:rPr>
    </w:lvl>
    <w:lvl w:ilvl="6" w:tplc="FAD0B0A4">
      <w:numFmt w:val="bullet"/>
      <w:lvlText w:val="•"/>
      <w:lvlJc w:val="left"/>
      <w:pPr>
        <w:ind w:left="6155" w:hanging="392"/>
      </w:pPr>
      <w:rPr>
        <w:rFonts w:hint="default"/>
      </w:rPr>
    </w:lvl>
    <w:lvl w:ilvl="7" w:tplc="07E41A78">
      <w:numFmt w:val="bullet"/>
      <w:lvlText w:val="•"/>
      <w:lvlJc w:val="left"/>
      <w:pPr>
        <w:ind w:left="7078" w:hanging="392"/>
      </w:pPr>
      <w:rPr>
        <w:rFonts w:hint="default"/>
      </w:rPr>
    </w:lvl>
    <w:lvl w:ilvl="8" w:tplc="D3C6F498">
      <w:numFmt w:val="bullet"/>
      <w:lvlText w:val="•"/>
      <w:lvlJc w:val="left"/>
      <w:pPr>
        <w:ind w:left="8001" w:hanging="392"/>
      </w:pPr>
      <w:rPr>
        <w:rFonts w:hint="default"/>
      </w:rPr>
    </w:lvl>
  </w:abstractNum>
  <w:abstractNum w:abstractNumId="7" w15:restartNumberingAfterBreak="0">
    <w:nsid w:val="7A8E6B7D"/>
    <w:multiLevelType w:val="hybridMultilevel"/>
    <w:tmpl w:val="F068518E"/>
    <w:lvl w:ilvl="0" w:tplc="040E000F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num w:numId="1" w16cid:durableId="1643384225">
    <w:abstractNumId w:val="4"/>
  </w:num>
  <w:num w:numId="2" w16cid:durableId="187648819">
    <w:abstractNumId w:val="7"/>
  </w:num>
  <w:num w:numId="3" w16cid:durableId="1781071964">
    <w:abstractNumId w:val="3"/>
  </w:num>
  <w:num w:numId="4" w16cid:durableId="1086225264">
    <w:abstractNumId w:val="0"/>
  </w:num>
  <w:num w:numId="5" w16cid:durableId="1731414801">
    <w:abstractNumId w:val="5"/>
  </w:num>
  <w:num w:numId="6" w16cid:durableId="492189110">
    <w:abstractNumId w:val="6"/>
  </w:num>
  <w:num w:numId="7" w16cid:durableId="504978895">
    <w:abstractNumId w:val="1"/>
  </w:num>
  <w:num w:numId="8" w16cid:durableId="581178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A6A"/>
    <w:rsid w:val="000615C6"/>
    <w:rsid w:val="00084419"/>
    <w:rsid w:val="000A2D8F"/>
    <w:rsid w:val="000C05F3"/>
    <w:rsid w:val="000D2742"/>
    <w:rsid w:val="000E7ECD"/>
    <w:rsid w:val="001303F3"/>
    <w:rsid w:val="00170B32"/>
    <w:rsid w:val="001A6FC2"/>
    <w:rsid w:val="00207A6F"/>
    <w:rsid w:val="00256A3B"/>
    <w:rsid w:val="00266028"/>
    <w:rsid w:val="00275481"/>
    <w:rsid w:val="002A5F6B"/>
    <w:rsid w:val="002B346B"/>
    <w:rsid w:val="002B40B2"/>
    <w:rsid w:val="002B6CFD"/>
    <w:rsid w:val="002D26E4"/>
    <w:rsid w:val="002E3660"/>
    <w:rsid w:val="002E6C42"/>
    <w:rsid w:val="002E7593"/>
    <w:rsid w:val="0032000A"/>
    <w:rsid w:val="00371C0B"/>
    <w:rsid w:val="003E3DC8"/>
    <w:rsid w:val="0045751E"/>
    <w:rsid w:val="00467321"/>
    <w:rsid w:val="004744A6"/>
    <w:rsid w:val="0048519B"/>
    <w:rsid w:val="00495E5F"/>
    <w:rsid w:val="00532A7B"/>
    <w:rsid w:val="0054202F"/>
    <w:rsid w:val="005B4B47"/>
    <w:rsid w:val="005B659F"/>
    <w:rsid w:val="005F3576"/>
    <w:rsid w:val="00614C07"/>
    <w:rsid w:val="00631293"/>
    <w:rsid w:val="006351A0"/>
    <w:rsid w:val="00676B43"/>
    <w:rsid w:val="006E234C"/>
    <w:rsid w:val="00756084"/>
    <w:rsid w:val="0076725B"/>
    <w:rsid w:val="00775306"/>
    <w:rsid w:val="00782611"/>
    <w:rsid w:val="007C2CDC"/>
    <w:rsid w:val="007F44FA"/>
    <w:rsid w:val="0081764C"/>
    <w:rsid w:val="00855909"/>
    <w:rsid w:val="008566F2"/>
    <w:rsid w:val="00861761"/>
    <w:rsid w:val="008648F9"/>
    <w:rsid w:val="00885BE5"/>
    <w:rsid w:val="00893815"/>
    <w:rsid w:val="008B7FEC"/>
    <w:rsid w:val="008C6987"/>
    <w:rsid w:val="008D4560"/>
    <w:rsid w:val="00913901"/>
    <w:rsid w:val="00920482"/>
    <w:rsid w:val="009945BB"/>
    <w:rsid w:val="009A138C"/>
    <w:rsid w:val="00A124A7"/>
    <w:rsid w:val="00A3608C"/>
    <w:rsid w:val="00A71452"/>
    <w:rsid w:val="00AD6388"/>
    <w:rsid w:val="00AE7D9D"/>
    <w:rsid w:val="00AF36B9"/>
    <w:rsid w:val="00B40B47"/>
    <w:rsid w:val="00B4327C"/>
    <w:rsid w:val="00B73A6A"/>
    <w:rsid w:val="00B82B3C"/>
    <w:rsid w:val="00BC29F2"/>
    <w:rsid w:val="00BC3D6D"/>
    <w:rsid w:val="00BD491E"/>
    <w:rsid w:val="00BE5E11"/>
    <w:rsid w:val="00BE63B9"/>
    <w:rsid w:val="00C03911"/>
    <w:rsid w:val="00C2335B"/>
    <w:rsid w:val="00C46E12"/>
    <w:rsid w:val="00C616E1"/>
    <w:rsid w:val="00C71FC0"/>
    <w:rsid w:val="00CA2BDA"/>
    <w:rsid w:val="00CB725C"/>
    <w:rsid w:val="00CC33C4"/>
    <w:rsid w:val="00CD12D9"/>
    <w:rsid w:val="00D022CB"/>
    <w:rsid w:val="00D0619F"/>
    <w:rsid w:val="00D84E61"/>
    <w:rsid w:val="00DA5244"/>
    <w:rsid w:val="00DB4209"/>
    <w:rsid w:val="00DE1421"/>
    <w:rsid w:val="00DF099D"/>
    <w:rsid w:val="00E17C13"/>
    <w:rsid w:val="00E62E87"/>
    <w:rsid w:val="00E74C95"/>
    <w:rsid w:val="00EB27C6"/>
    <w:rsid w:val="00EB381F"/>
    <w:rsid w:val="00EB7649"/>
    <w:rsid w:val="00ED4022"/>
    <w:rsid w:val="00EE0FC1"/>
    <w:rsid w:val="00F11257"/>
    <w:rsid w:val="00F126F0"/>
    <w:rsid w:val="00F60174"/>
    <w:rsid w:val="00FB0C12"/>
    <w:rsid w:val="00FB7F46"/>
    <w:rsid w:val="00FE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0EFE78"/>
  <w15:docId w15:val="{184CAE8F-0C80-41C3-8B52-DA8FF27E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val="hu-HU"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B73A6A"/>
    <w:pPr>
      <w:keepNext/>
      <w:keepLines/>
      <w:spacing w:before="240" w:after="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73A6A"/>
    <w:pPr>
      <w:keepNext/>
      <w:keepLines/>
      <w:spacing w:before="40" w:after="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73A6A"/>
    <w:pPr>
      <w:keepNext/>
      <w:keepLines/>
      <w:spacing w:before="40" w:after="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73A6A"/>
    <w:pPr>
      <w:keepNext/>
      <w:keepLines/>
      <w:spacing w:before="40" w:after="0"/>
      <w:outlineLvl w:val="3"/>
    </w:pPr>
    <w:rPr>
      <w:rFonts w:eastAsia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73A6A"/>
    <w:pPr>
      <w:keepNext/>
      <w:keepLines/>
      <w:spacing w:before="40" w:after="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B73A6A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73A6A"/>
    <w:pPr>
      <w:keepNext/>
      <w:keepLines/>
      <w:spacing w:before="40" w:after="0"/>
      <w:outlineLvl w:val="6"/>
    </w:pPr>
    <w:rPr>
      <w:rFonts w:eastAsia="Times New Roman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73A6A"/>
    <w:pPr>
      <w:keepNext/>
      <w:keepLines/>
      <w:spacing w:before="40" w:after="0"/>
      <w:outlineLvl w:val="7"/>
    </w:pPr>
    <w:rPr>
      <w:rFonts w:eastAsia="Times New Roman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73A6A"/>
    <w:pPr>
      <w:keepNext/>
      <w:keepLines/>
      <w:spacing w:before="40" w:after="0"/>
      <w:outlineLvl w:val="8"/>
    </w:pPr>
    <w:rPr>
      <w:rFonts w:ascii="Cambria" w:eastAsia="Times New Roman" w:hAnsi="Cambri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11">
    <w:name w:val="Címsor 11"/>
    <w:basedOn w:val="Norml"/>
    <w:next w:val="Norml"/>
    <w:uiPriority w:val="9"/>
    <w:qFormat/>
    <w:rsid w:val="00B73A6A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customStyle="1" w:styleId="Cmsor21">
    <w:name w:val="Címsor 21"/>
    <w:basedOn w:val="Norml"/>
    <w:next w:val="Norml"/>
    <w:uiPriority w:val="9"/>
    <w:semiHidden/>
    <w:unhideWhenUsed/>
    <w:qFormat/>
    <w:rsid w:val="00B73A6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paragraph" w:customStyle="1" w:styleId="Cmsor31">
    <w:name w:val="Címsor 31"/>
    <w:basedOn w:val="Norml"/>
    <w:next w:val="Norml"/>
    <w:uiPriority w:val="9"/>
    <w:semiHidden/>
    <w:unhideWhenUsed/>
    <w:qFormat/>
    <w:rsid w:val="00B73A6A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/>
    </w:rPr>
  </w:style>
  <w:style w:type="paragraph" w:customStyle="1" w:styleId="Cmsor41">
    <w:name w:val="Címsor 41"/>
    <w:basedOn w:val="Norml"/>
    <w:next w:val="Norml"/>
    <w:uiPriority w:val="9"/>
    <w:semiHidden/>
    <w:unhideWhenUsed/>
    <w:qFormat/>
    <w:rsid w:val="00B73A6A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US"/>
    </w:rPr>
  </w:style>
  <w:style w:type="paragraph" w:customStyle="1" w:styleId="Cmsor51">
    <w:name w:val="Címsor 51"/>
    <w:basedOn w:val="Norml"/>
    <w:next w:val="Norml"/>
    <w:uiPriority w:val="9"/>
    <w:semiHidden/>
    <w:unhideWhenUsed/>
    <w:qFormat/>
    <w:rsid w:val="00B73A6A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en-US"/>
    </w:rPr>
  </w:style>
  <w:style w:type="character" w:customStyle="1" w:styleId="Cmsor6Char">
    <w:name w:val="Címsor 6 Char"/>
    <w:link w:val="Cmsor6"/>
    <w:rsid w:val="00B73A6A"/>
    <w:rPr>
      <w:rFonts w:ascii="Times New Roman" w:eastAsia="Times New Roman" w:hAnsi="Times New Roman" w:cs="Times New Roman"/>
      <w:b/>
      <w:bCs/>
      <w:lang w:val="en-US"/>
    </w:rPr>
  </w:style>
  <w:style w:type="paragraph" w:customStyle="1" w:styleId="Cmsor71">
    <w:name w:val="Címsor 71"/>
    <w:basedOn w:val="Norml"/>
    <w:next w:val="Norml"/>
    <w:uiPriority w:val="9"/>
    <w:semiHidden/>
    <w:unhideWhenUsed/>
    <w:qFormat/>
    <w:rsid w:val="00B73A6A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val="en-US"/>
    </w:rPr>
  </w:style>
  <w:style w:type="paragraph" w:customStyle="1" w:styleId="Cmsor81">
    <w:name w:val="Címsor 81"/>
    <w:basedOn w:val="Norml"/>
    <w:next w:val="Norml"/>
    <w:uiPriority w:val="9"/>
    <w:semiHidden/>
    <w:unhideWhenUsed/>
    <w:qFormat/>
    <w:rsid w:val="00B73A6A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n-US"/>
    </w:rPr>
  </w:style>
  <w:style w:type="paragraph" w:customStyle="1" w:styleId="Cmsor91">
    <w:name w:val="Címsor 91"/>
    <w:basedOn w:val="Norml"/>
    <w:next w:val="Norml"/>
    <w:uiPriority w:val="9"/>
    <w:semiHidden/>
    <w:unhideWhenUsed/>
    <w:qFormat/>
    <w:rsid w:val="00B73A6A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val="en-US"/>
    </w:rPr>
  </w:style>
  <w:style w:type="numbering" w:customStyle="1" w:styleId="Nemlista1">
    <w:name w:val="Nem lista1"/>
    <w:next w:val="Nemlista"/>
    <w:uiPriority w:val="99"/>
    <w:semiHidden/>
    <w:unhideWhenUsed/>
    <w:rsid w:val="00B73A6A"/>
  </w:style>
  <w:style w:type="character" w:customStyle="1" w:styleId="Cmsor1Char">
    <w:name w:val="Címsor 1 Char"/>
    <w:link w:val="Cmsor1"/>
    <w:uiPriority w:val="9"/>
    <w:rsid w:val="00B73A6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semiHidden/>
    <w:rsid w:val="00B73A6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semiHidden/>
    <w:rsid w:val="00B73A6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msor4Char">
    <w:name w:val="Címsor 4 Char"/>
    <w:link w:val="Cmsor4"/>
    <w:uiPriority w:val="9"/>
    <w:semiHidden/>
    <w:rsid w:val="00B73A6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B73A6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msor7Char">
    <w:name w:val="Címsor 7 Char"/>
    <w:link w:val="Cmsor7"/>
    <w:uiPriority w:val="9"/>
    <w:semiHidden/>
    <w:rsid w:val="00B73A6A"/>
    <w:rPr>
      <w:rFonts w:ascii="Calibri" w:eastAsia="Times New Roman" w:hAnsi="Calibri" w:cs="Times New Roman"/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B73A6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B73A6A"/>
    <w:rPr>
      <w:rFonts w:ascii="Cambria" w:eastAsia="Times New Roman" w:hAnsi="Cambria" w:cs="Times New Roman"/>
      <w:sz w:val="22"/>
      <w:szCs w:val="22"/>
    </w:rPr>
  </w:style>
  <w:style w:type="paragraph" w:styleId="Listaszerbekezds">
    <w:name w:val="List Paragraph"/>
    <w:basedOn w:val="Norml"/>
    <w:uiPriority w:val="34"/>
    <w:qFormat/>
    <w:rsid w:val="00B73A6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table" w:customStyle="1" w:styleId="Rcsostblzat1">
    <w:name w:val="Rácsos táblázat1"/>
    <w:basedOn w:val="Normltblzat"/>
    <w:next w:val="Rcsostblzat"/>
    <w:uiPriority w:val="59"/>
    <w:rsid w:val="00B73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l"/>
    <w:uiPriority w:val="1"/>
    <w:qFormat/>
    <w:rsid w:val="00B73A6A"/>
    <w:pPr>
      <w:widowControl w:val="0"/>
      <w:spacing w:after="0" w:line="240" w:lineRule="auto"/>
    </w:pPr>
    <w:rPr>
      <w:lang w:val="en-US"/>
    </w:rPr>
  </w:style>
  <w:style w:type="character" w:customStyle="1" w:styleId="Bodytext2">
    <w:name w:val="Body text (2)"/>
    <w:rsid w:val="00B73A6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en-US" w:eastAsia="en-US" w:bidi="en-US"/>
    </w:rPr>
  </w:style>
  <w:style w:type="character" w:customStyle="1" w:styleId="Bodytext2Bold">
    <w:name w:val="Body text (2) + Bold"/>
    <w:rsid w:val="00B73A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en-US" w:eastAsia="en-US" w:bidi="en-US"/>
    </w:rPr>
  </w:style>
  <w:style w:type="paragraph" w:styleId="lfej">
    <w:name w:val="header"/>
    <w:basedOn w:val="Norml"/>
    <w:link w:val="lfejChar"/>
    <w:uiPriority w:val="99"/>
    <w:unhideWhenUsed/>
    <w:rsid w:val="00B73A6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lfejChar">
    <w:name w:val="Élőfej Char"/>
    <w:link w:val="lfej"/>
    <w:uiPriority w:val="99"/>
    <w:rsid w:val="00B73A6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lb">
    <w:name w:val="footer"/>
    <w:basedOn w:val="Norml"/>
    <w:link w:val="llbChar"/>
    <w:uiPriority w:val="99"/>
    <w:unhideWhenUsed/>
    <w:rsid w:val="00B73A6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llbChar">
    <w:name w:val="Élőláb Char"/>
    <w:link w:val="llb"/>
    <w:uiPriority w:val="99"/>
    <w:rsid w:val="00B73A6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3A6A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BuborkszvegChar">
    <w:name w:val="Buborékszöveg Char"/>
    <w:link w:val="Buborkszveg"/>
    <w:uiPriority w:val="99"/>
    <w:semiHidden/>
    <w:rsid w:val="00B73A6A"/>
    <w:rPr>
      <w:rFonts w:ascii="Segoe UI" w:eastAsia="Times New Roman" w:hAnsi="Segoe UI" w:cs="Segoe UI"/>
      <w:sz w:val="18"/>
      <w:szCs w:val="18"/>
      <w:lang w:val="en-US"/>
    </w:rPr>
  </w:style>
  <w:style w:type="character" w:styleId="Jegyzethivatkozs">
    <w:name w:val="annotation reference"/>
    <w:uiPriority w:val="99"/>
    <w:semiHidden/>
    <w:unhideWhenUsed/>
    <w:rsid w:val="00B73A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73A6A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JegyzetszvegChar">
    <w:name w:val="Jegyzetszöveg Char"/>
    <w:link w:val="Jegyzetszveg"/>
    <w:uiPriority w:val="99"/>
    <w:semiHidden/>
    <w:rsid w:val="00B73A6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73A6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B73A6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iperhivatkozs">
    <w:name w:val="Hyperlink"/>
    <w:uiPriority w:val="99"/>
    <w:unhideWhenUsed/>
    <w:rsid w:val="00B73A6A"/>
    <w:rPr>
      <w:color w:val="0000FF"/>
      <w:u w:val="single"/>
    </w:rPr>
  </w:style>
  <w:style w:type="paragraph" w:styleId="Vltozat">
    <w:name w:val="Revision"/>
    <w:hidden/>
    <w:uiPriority w:val="99"/>
    <w:semiHidden/>
    <w:rsid w:val="00B73A6A"/>
    <w:rPr>
      <w:rFonts w:ascii="Times New Roman" w:eastAsia="Times New Roman" w:hAnsi="Times New Roman"/>
      <w:lang w:val="en-US" w:eastAsia="en-US"/>
    </w:rPr>
  </w:style>
  <w:style w:type="character" w:customStyle="1" w:styleId="Mrltotthiperhivatkozs1">
    <w:name w:val="Már látott hiperhivatkozás1"/>
    <w:uiPriority w:val="99"/>
    <w:semiHidden/>
    <w:unhideWhenUsed/>
    <w:rsid w:val="00B73A6A"/>
    <w:rPr>
      <w:color w:val="800080"/>
      <w:u w:val="single"/>
    </w:rPr>
  </w:style>
  <w:style w:type="character" w:customStyle="1" w:styleId="Cmsor1Char1">
    <w:name w:val="Címsor 1 Char1"/>
    <w:uiPriority w:val="9"/>
    <w:rsid w:val="00B73A6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Cmsor2Char1">
    <w:name w:val="Címsor 2 Char1"/>
    <w:uiPriority w:val="9"/>
    <w:semiHidden/>
    <w:rsid w:val="00B73A6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Cmsor3Char1">
    <w:name w:val="Címsor 3 Char1"/>
    <w:uiPriority w:val="9"/>
    <w:semiHidden/>
    <w:rsid w:val="00B73A6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Cmsor4Char1">
    <w:name w:val="Címsor 4 Char1"/>
    <w:uiPriority w:val="9"/>
    <w:semiHidden/>
    <w:rsid w:val="00B73A6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Cmsor5Char1">
    <w:name w:val="Címsor 5 Char1"/>
    <w:uiPriority w:val="9"/>
    <w:semiHidden/>
    <w:rsid w:val="00B73A6A"/>
    <w:rPr>
      <w:rFonts w:ascii="Calibri Light" w:eastAsia="Times New Roman" w:hAnsi="Calibri Light" w:cs="Times New Roman"/>
      <w:color w:val="2F5496"/>
    </w:rPr>
  </w:style>
  <w:style w:type="character" w:customStyle="1" w:styleId="Cmsor7Char1">
    <w:name w:val="Címsor 7 Char1"/>
    <w:uiPriority w:val="9"/>
    <w:semiHidden/>
    <w:rsid w:val="00B73A6A"/>
    <w:rPr>
      <w:rFonts w:ascii="Calibri Light" w:eastAsia="Times New Roman" w:hAnsi="Calibri Light" w:cs="Times New Roman"/>
      <w:i/>
      <w:iCs/>
      <w:color w:val="1F3763"/>
    </w:rPr>
  </w:style>
  <w:style w:type="character" w:customStyle="1" w:styleId="Cmsor8Char1">
    <w:name w:val="Címsor 8 Char1"/>
    <w:uiPriority w:val="9"/>
    <w:semiHidden/>
    <w:rsid w:val="00B73A6A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Cmsor9Char1">
    <w:name w:val="Címsor 9 Char1"/>
    <w:uiPriority w:val="9"/>
    <w:semiHidden/>
    <w:rsid w:val="00B73A6A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table" w:styleId="Rcsostblzat">
    <w:name w:val="Table Grid"/>
    <w:basedOn w:val="Normltblzat"/>
    <w:uiPriority w:val="39"/>
    <w:rsid w:val="00B73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uiPriority w:val="99"/>
    <w:semiHidden/>
    <w:unhideWhenUsed/>
    <w:rsid w:val="00B73A6A"/>
    <w:rPr>
      <w:color w:val="954F72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08441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link w:val="HTML-kntformzott"/>
    <w:uiPriority w:val="99"/>
    <w:semiHidden/>
    <w:rsid w:val="00084419"/>
    <w:rPr>
      <w:rFonts w:ascii="Consolas" w:hAnsi="Consolas"/>
      <w:sz w:val="20"/>
      <w:szCs w:val="20"/>
    </w:rPr>
  </w:style>
  <w:style w:type="paragraph" w:styleId="Szvegtrzs">
    <w:name w:val="Body Text"/>
    <w:basedOn w:val="Norml"/>
    <w:link w:val="SzvegtrzsChar"/>
    <w:uiPriority w:val="1"/>
    <w:qFormat/>
    <w:rsid w:val="000844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en-US"/>
    </w:rPr>
  </w:style>
  <w:style w:type="character" w:customStyle="1" w:styleId="SzvegtrzsChar">
    <w:name w:val="Szövegtörzs Char"/>
    <w:link w:val="Szvegtrzs"/>
    <w:uiPriority w:val="1"/>
    <w:rsid w:val="00084419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9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4623</Words>
  <Characters>31903</Characters>
  <Application>Microsoft Office Word</Application>
  <DocSecurity>0</DocSecurity>
  <Lines>265</Lines>
  <Paragraphs>72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Grindeks</Company>
  <LinksUpToDate>false</LinksUpToDate>
  <CharactersWithSpaces>36454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Városi</dc:creator>
  <cp:keywords/>
  <cp:lastModifiedBy>OGYI_62.1</cp:lastModifiedBy>
  <cp:revision>8</cp:revision>
  <dcterms:created xsi:type="dcterms:W3CDTF">2025-01-07T07:29:00Z</dcterms:created>
  <dcterms:modified xsi:type="dcterms:W3CDTF">2026-08-24T07:54:00Z</dcterms:modified>
</cp:coreProperties>
</file>