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1369D" w14:textId="77777777" w:rsidR="00F45C51" w:rsidRPr="006F525B" w:rsidRDefault="00F45C51" w:rsidP="006F525B">
      <w:pPr>
        <w:widowControl w:val="0"/>
        <w:tabs>
          <w:tab w:val="clear" w:pos="567"/>
        </w:tabs>
        <w:suppressAutoHyphens/>
        <w:spacing w:line="240" w:lineRule="auto"/>
        <w:rPr>
          <w:rFonts w:eastAsia="Times New Roman"/>
          <w:b/>
          <w:snapToGrid/>
          <w:szCs w:val="22"/>
          <w:lang w:val="hu-HU" w:eastAsia="en-US"/>
        </w:rPr>
      </w:pPr>
      <w:r w:rsidRPr="006F525B">
        <w:rPr>
          <w:rFonts w:eastAsia="Times New Roman"/>
          <w:b/>
          <w:snapToGrid/>
          <w:szCs w:val="22"/>
          <w:lang w:val="hu-HU" w:eastAsia="en-US"/>
        </w:rPr>
        <w:t>1.</w:t>
      </w:r>
      <w:r w:rsidRPr="006F525B">
        <w:rPr>
          <w:rFonts w:eastAsia="Times New Roman"/>
          <w:b/>
          <w:snapToGrid/>
          <w:szCs w:val="22"/>
          <w:lang w:val="hu-HU" w:eastAsia="en-US"/>
        </w:rPr>
        <w:tab/>
        <w:t>A GYÓGYSZER NEVE</w:t>
      </w:r>
    </w:p>
    <w:p w14:paraId="4228E16D"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355CFBDF" w14:textId="77777777" w:rsidR="00F34547" w:rsidRPr="006F525B" w:rsidRDefault="00200067" w:rsidP="006F525B">
      <w:pPr>
        <w:widowControl w:val="0"/>
        <w:tabs>
          <w:tab w:val="clear" w:pos="567"/>
        </w:tabs>
        <w:suppressAutoHyphens/>
        <w:spacing w:line="240" w:lineRule="auto"/>
        <w:rPr>
          <w:rFonts w:eastAsia="Times New Roman"/>
          <w:snapToGrid/>
          <w:szCs w:val="22"/>
          <w:lang w:val="hu-HU" w:eastAsia="en-US"/>
        </w:rPr>
      </w:pPr>
      <w:r>
        <w:rPr>
          <w:rFonts w:eastAsia="Times New Roman"/>
          <w:snapToGrid/>
          <w:szCs w:val="22"/>
          <w:lang w:val="hu-HU" w:eastAsia="en-US"/>
        </w:rPr>
        <w:t>JUZIMETTE</w:t>
      </w:r>
      <w:r w:rsidR="003465E0" w:rsidRPr="006F525B">
        <w:rPr>
          <w:rFonts w:eastAsia="Times New Roman"/>
          <w:snapToGrid/>
          <w:szCs w:val="22"/>
          <w:lang w:val="hu-HU" w:eastAsia="en-US"/>
        </w:rPr>
        <w:t xml:space="preserve"> </w:t>
      </w:r>
      <w:r w:rsidR="004F72D1" w:rsidRPr="006F525B">
        <w:rPr>
          <w:lang w:val="hu-HU"/>
        </w:rPr>
        <w:t>50 mg</w:t>
      </w:r>
      <w:r w:rsidR="003465E0" w:rsidRPr="006F525B">
        <w:rPr>
          <w:lang w:val="hu-HU"/>
        </w:rPr>
        <w:t>/8</w:t>
      </w:r>
      <w:r w:rsidR="004F72D1" w:rsidRPr="006F525B">
        <w:rPr>
          <w:lang w:val="hu-HU"/>
        </w:rPr>
        <w:t>50 mg</w:t>
      </w:r>
      <w:r w:rsidR="00F34547" w:rsidRPr="006F525B">
        <w:rPr>
          <w:rFonts w:eastAsia="Times New Roman"/>
          <w:snapToGrid/>
          <w:szCs w:val="22"/>
          <w:lang w:val="hu-HU" w:eastAsia="en-US"/>
        </w:rPr>
        <w:t xml:space="preserve"> filmtabletta</w:t>
      </w:r>
    </w:p>
    <w:p w14:paraId="4B377BB8" w14:textId="77777777" w:rsidR="008A53A7" w:rsidRPr="006F525B" w:rsidRDefault="008A53A7" w:rsidP="006F525B">
      <w:pPr>
        <w:widowControl w:val="0"/>
        <w:tabs>
          <w:tab w:val="clear" w:pos="567"/>
        </w:tabs>
        <w:suppressAutoHyphens/>
        <w:spacing w:line="240" w:lineRule="auto"/>
        <w:rPr>
          <w:szCs w:val="22"/>
          <w:lang w:val="hu-HU"/>
        </w:rPr>
      </w:pPr>
    </w:p>
    <w:p w14:paraId="2A92164A"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416DE38F" w14:textId="77777777" w:rsidR="00F45C51" w:rsidRPr="006F525B" w:rsidRDefault="00F45C51" w:rsidP="006F525B">
      <w:pPr>
        <w:widowControl w:val="0"/>
        <w:tabs>
          <w:tab w:val="clear" w:pos="567"/>
        </w:tabs>
        <w:suppressAutoHyphens/>
        <w:spacing w:line="240" w:lineRule="auto"/>
        <w:rPr>
          <w:b/>
          <w:szCs w:val="22"/>
          <w:lang w:val="hu-HU"/>
        </w:rPr>
      </w:pPr>
      <w:r w:rsidRPr="006F525B">
        <w:rPr>
          <w:b/>
          <w:szCs w:val="22"/>
          <w:lang w:val="hu-HU"/>
        </w:rPr>
        <w:t>2.</w:t>
      </w:r>
      <w:r w:rsidRPr="006F525B">
        <w:rPr>
          <w:b/>
          <w:szCs w:val="22"/>
          <w:lang w:val="hu-HU"/>
        </w:rPr>
        <w:tab/>
        <w:t>MINŐSÉGI ÉS MENNYISÉGI ÖSSZETÉTEL</w:t>
      </w:r>
    </w:p>
    <w:p w14:paraId="2FBFB426" w14:textId="77777777" w:rsidR="00BE4479" w:rsidRPr="006F525B" w:rsidRDefault="00BE4479" w:rsidP="006F525B">
      <w:pPr>
        <w:pStyle w:val="EMEAEnBodyText"/>
        <w:widowControl w:val="0"/>
        <w:suppressAutoHyphens/>
        <w:autoSpaceDE w:val="0"/>
        <w:autoSpaceDN w:val="0"/>
        <w:adjustRightInd w:val="0"/>
        <w:spacing w:before="0" w:after="0"/>
        <w:jc w:val="left"/>
        <w:rPr>
          <w:bCs/>
          <w:szCs w:val="22"/>
          <w:lang w:val="hu-HU"/>
        </w:rPr>
      </w:pPr>
    </w:p>
    <w:p w14:paraId="686EEF6B" w14:textId="77777777" w:rsidR="003465E0" w:rsidRPr="006F525B" w:rsidRDefault="004F72D1" w:rsidP="002A1E85">
      <w:pPr>
        <w:pStyle w:val="EMEAEnBodyText"/>
        <w:widowControl w:val="0"/>
        <w:suppressAutoHyphens/>
        <w:autoSpaceDE w:val="0"/>
        <w:autoSpaceDN w:val="0"/>
        <w:adjustRightInd w:val="0"/>
        <w:spacing w:before="0" w:after="0"/>
        <w:jc w:val="left"/>
        <w:rPr>
          <w:bCs/>
          <w:szCs w:val="22"/>
          <w:lang w:val="hu-HU"/>
        </w:rPr>
      </w:pPr>
      <w:r w:rsidRPr="006F525B">
        <w:rPr>
          <w:bCs/>
          <w:szCs w:val="22"/>
          <w:lang w:val="hu-HU"/>
        </w:rPr>
        <w:t>50 mg</w:t>
      </w:r>
      <w:r w:rsidR="003465E0" w:rsidRPr="006F525B">
        <w:rPr>
          <w:bCs/>
          <w:szCs w:val="22"/>
          <w:lang w:val="hu-HU"/>
        </w:rPr>
        <w:t xml:space="preserve"> szitagliptin</w:t>
      </w:r>
      <w:r w:rsidR="00BE6836">
        <w:rPr>
          <w:bCs/>
          <w:szCs w:val="22"/>
          <w:lang w:val="hu-HU"/>
        </w:rPr>
        <w:t>t</w:t>
      </w:r>
      <w:r w:rsidR="003465E0" w:rsidRPr="006F525B">
        <w:rPr>
          <w:bCs/>
          <w:szCs w:val="22"/>
          <w:lang w:val="hu-HU"/>
        </w:rPr>
        <w:t xml:space="preserve"> </w:t>
      </w:r>
      <w:r w:rsidR="00BE6836">
        <w:rPr>
          <w:bCs/>
          <w:szCs w:val="22"/>
          <w:lang w:val="hu-HU"/>
        </w:rPr>
        <w:t>(</w:t>
      </w:r>
      <w:r w:rsidR="003465E0" w:rsidRPr="006F525B">
        <w:rPr>
          <w:bCs/>
          <w:szCs w:val="22"/>
          <w:lang w:val="hu-HU"/>
        </w:rPr>
        <w:t>szitagliptin-</w:t>
      </w:r>
      <w:r w:rsidR="00602154">
        <w:rPr>
          <w:bCs/>
          <w:szCs w:val="22"/>
          <w:lang w:val="hu-HU"/>
        </w:rPr>
        <w:t>hidroklorid</w:t>
      </w:r>
      <w:r w:rsidR="003465E0" w:rsidRPr="006F525B">
        <w:rPr>
          <w:bCs/>
          <w:szCs w:val="22"/>
          <w:lang w:val="hu-HU"/>
        </w:rPr>
        <w:t>-monohidrát</w:t>
      </w:r>
      <w:r w:rsidR="00BE6836">
        <w:rPr>
          <w:bCs/>
          <w:szCs w:val="22"/>
          <w:lang w:val="hu-HU"/>
        </w:rPr>
        <w:t xml:space="preserve"> formájában)</w:t>
      </w:r>
      <w:r w:rsidR="003465E0" w:rsidRPr="006F525B">
        <w:rPr>
          <w:bCs/>
          <w:szCs w:val="22"/>
          <w:lang w:val="hu-HU"/>
        </w:rPr>
        <w:t xml:space="preserve"> és 8</w:t>
      </w:r>
      <w:r w:rsidRPr="006F525B">
        <w:rPr>
          <w:bCs/>
          <w:szCs w:val="22"/>
          <w:lang w:val="hu-HU"/>
        </w:rPr>
        <w:t>50 mg</w:t>
      </w:r>
      <w:r w:rsidR="003465E0" w:rsidRPr="006F525B">
        <w:rPr>
          <w:bCs/>
          <w:szCs w:val="22"/>
          <w:lang w:val="hu-HU"/>
        </w:rPr>
        <w:t xml:space="preserve"> metformin-hidrokloridot (660</w:t>
      </w:r>
      <w:r w:rsidR="006F525B">
        <w:rPr>
          <w:bCs/>
          <w:szCs w:val="22"/>
          <w:lang w:val="hu-HU"/>
        </w:rPr>
        <w:t> </w:t>
      </w:r>
      <w:r w:rsidR="003465E0" w:rsidRPr="006F525B">
        <w:rPr>
          <w:bCs/>
          <w:szCs w:val="22"/>
          <w:lang w:val="hu-HU"/>
        </w:rPr>
        <w:t xml:space="preserve">mg metforminnak felel meg) tartalmaz </w:t>
      </w:r>
      <w:r w:rsidR="00423236">
        <w:rPr>
          <w:bCs/>
          <w:szCs w:val="22"/>
          <w:lang w:val="hu-HU"/>
        </w:rPr>
        <w:t>film</w:t>
      </w:r>
      <w:r w:rsidR="003465E0" w:rsidRPr="006F525B">
        <w:rPr>
          <w:bCs/>
          <w:szCs w:val="22"/>
          <w:lang w:val="hu-HU"/>
        </w:rPr>
        <w:t>tablettánként.</w:t>
      </w:r>
    </w:p>
    <w:p w14:paraId="02E3BF01" w14:textId="77777777" w:rsidR="00127C1D" w:rsidRPr="006F525B" w:rsidRDefault="00127C1D" w:rsidP="006F525B">
      <w:pPr>
        <w:pStyle w:val="EMEAEnBodyText"/>
        <w:widowControl w:val="0"/>
        <w:suppressAutoHyphens/>
        <w:autoSpaceDE w:val="0"/>
        <w:autoSpaceDN w:val="0"/>
        <w:adjustRightInd w:val="0"/>
        <w:spacing w:before="0" w:after="0"/>
        <w:jc w:val="left"/>
        <w:rPr>
          <w:bCs/>
          <w:szCs w:val="22"/>
          <w:lang w:val="hu-HU"/>
        </w:rPr>
      </w:pPr>
    </w:p>
    <w:p w14:paraId="762348C0" w14:textId="77777777" w:rsidR="00F45C51" w:rsidRPr="006F525B" w:rsidRDefault="00F45C51" w:rsidP="006F525B">
      <w:pPr>
        <w:pStyle w:val="EMEAEnBodyText"/>
        <w:widowControl w:val="0"/>
        <w:suppressAutoHyphens/>
        <w:autoSpaceDE w:val="0"/>
        <w:autoSpaceDN w:val="0"/>
        <w:adjustRightInd w:val="0"/>
        <w:spacing w:before="0" w:after="0"/>
        <w:jc w:val="left"/>
        <w:rPr>
          <w:bCs/>
          <w:szCs w:val="22"/>
          <w:lang w:val="hu-HU"/>
        </w:rPr>
      </w:pPr>
      <w:r w:rsidRPr="006F525B">
        <w:rPr>
          <w:szCs w:val="22"/>
          <w:lang w:val="hu-HU"/>
        </w:rPr>
        <w:t xml:space="preserve">A segédanyagok teljes </w:t>
      </w:r>
      <w:r w:rsidR="00127C1D" w:rsidRPr="006F525B">
        <w:rPr>
          <w:bCs/>
          <w:szCs w:val="22"/>
          <w:lang w:val="hu-HU"/>
        </w:rPr>
        <w:t>list</w:t>
      </w:r>
      <w:r w:rsidRPr="006F525B">
        <w:rPr>
          <w:bCs/>
          <w:szCs w:val="22"/>
          <w:lang w:val="hu-HU"/>
        </w:rPr>
        <w:t>á</w:t>
      </w:r>
      <w:r w:rsidR="00127C1D" w:rsidRPr="006F525B">
        <w:rPr>
          <w:bCs/>
          <w:szCs w:val="22"/>
          <w:lang w:val="hu-HU"/>
        </w:rPr>
        <w:t>j</w:t>
      </w:r>
      <w:r w:rsidRPr="006F525B">
        <w:rPr>
          <w:bCs/>
          <w:szCs w:val="22"/>
          <w:lang w:val="hu-HU"/>
        </w:rPr>
        <w:t>át</w:t>
      </w:r>
      <w:r w:rsidR="00BE633D" w:rsidRPr="006F525B">
        <w:rPr>
          <w:szCs w:val="22"/>
          <w:lang w:val="hu-HU"/>
        </w:rPr>
        <w:t xml:space="preserve"> lásd a 6.1 </w:t>
      </w:r>
      <w:r w:rsidRPr="006F525B">
        <w:rPr>
          <w:szCs w:val="22"/>
          <w:lang w:val="hu-HU"/>
        </w:rPr>
        <w:t>pontban</w:t>
      </w:r>
      <w:r w:rsidRPr="006F525B">
        <w:rPr>
          <w:bCs/>
          <w:szCs w:val="22"/>
          <w:lang w:val="hu-HU"/>
        </w:rPr>
        <w:t>.</w:t>
      </w:r>
    </w:p>
    <w:p w14:paraId="42AAE138" w14:textId="77777777" w:rsidR="008A53A7" w:rsidRPr="006F525B" w:rsidRDefault="008A53A7" w:rsidP="006F525B">
      <w:pPr>
        <w:pStyle w:val="EMEAEnBodyText"/>
        <w:widowControl w:val="0"/>
        <w:suppressAutoHyphens/>
        <w:autoSpaceDE w:val="0"/>
        <w:autoSpaceDN w:val="0"/>
        <w:adjustRightInd w:val="0"/>
        <w:spacing w:before="0" w:after="0"/>
        <w:jc w:val="left"/>
        <w:rPr>
          <w:szCs w:val="22"/>
          <w:lang w:val="hu-HU"/>
        </w:rPr>
      </w:pPr>
    </w:p>
    <w:p w14:paraId="308EE84D" w14:textId="77777777" w:rsidR="00F45C51" w:rsidRPr="006F525B" w:rsidRDefault="00F45C51" w:rsidP="006F525B">
      <w:pPr>
        <w:widowControl w:val="0"/>
        <w:tabs>
          <w:tab w:val="clear" w:pos="567"/>
        </w:tabs>
        <w:suppressAutoHyphens/>
        <w:spacing w:line="240" w:lineRule="auto"/>
        <w:rPr>
          <w:bCs/>
          <w:szCs w:val="22"/>
          <w:lang w:val="hu-HU"/>
        </w:rPr>
      </w:pPr>
    </w:p>
    <w:p w14:paraId="7572AC55" w14:textId="77777777" w:rsidR="00F45C51" w:rsidRPr="006F525B" w:rsidRDefault="00F45C51" w:rsidP="006F525B">
      <w:pPr>
        <w:widowControl w:val="0"/>
        <w:tabs>
          <w:tab w:val="clear" w:pos="567"/>
        </w:tabs>
        <w:suppressAutoHyphens/>
        <w:spacing w:line="240" w:lineRule="auto"/>
        <w:ind w:left="567" w:hanging="567"/>
        <w:rPr>
          <w:rFonts w:eastAsia="Times New Roman"/>
          <w:b/>
          <w:snapToGrid/>
          <w:szCs w:val="22"/>
          <w:lang w:val="hu-HU" w:eastAsia="en-US"/>
        </w:rPr>
      </w:pPr>
      <w:r w:rsidRPr="006F525B">
        <w:rPr>
          <w:rFonts w:eastAsia="Times New Roman"/>
          <w:b/>
          <w:snapToGrid/>
          <w:szCs w:val="22"/>
          <w:lang w:val="hu-HU" w:eastAsia="en-US"/>
        </w:rPr>
        <w:t>3.</w:t>
      </w:r>
      <w:r w:rsidRPr="006F525B">
        <w:rPr>
          <w:rFonts w:eastAsia="Times New Roman"/>
          <w:b/>
          <w:snapToGrid/>
          <w:szCs w:val="22"/>
          <w:lang w:val="hu-HU" w:eastAsia="en-US"/>
        </w:rPr>
        <w:tab/>
        <w:t>GYÓGYSZERFORMA</w:t>
      </w:r>
    </w:p>
    <w:p w14:paraId="4B4A3B54" w14:textId="77777777" w:rsidR="00F45C51" w:rsidRPr="006F525B" w:rsidRDefault="00F45C51" w:rsidP="006F525B">
      <w:pPr>
        <w:widowControl w:val="0"/>
        <w:tabs>
          <w:tab w:val="clear" w:pos="567"/>
        </w:tabs>
        <w:suppressAutoHyphens/>
        <w:spacing w:line="240" w:lineRule="auto"/>
        <w:ind w:left="567" w:hanging="567"/>
        <w:rPr>
          <w:bCs/>
          <w:szCs w:val="22"/>
          <w:lang w:val="hu-HU"/>
        </w:rPr>
      </w:pPr>
    </w:p>
    <w:p w14:paraId="79D2E87E" w14:textId="77777777" w:rsidR="00BE633D" w:rsidRPr="006F525B" w:rsidRDefault="00BE633D" w:rsidP="006F525B">
      <w:pPr>
        <w:widowControl w:val="0"/>
        <w:tabs>
          <w:tab w:val="clear" w:pos="567"/>
        </w:tabs>
        <w:suppressAutoHyphens/>
        <w:spacing w:line="240" w:lineRule="auto"/>
        <w:ind w:left="567" w:hanging="567"/>
        <w:rPr>
          <w:szCs w:val="22"/>
          <w:lang w:val="hu-HU" w:eastAsia="en-US"/>
        </w:rPr>
      </w:pPr>
      <w:r w:rsidRPr="006F525B">
        <w:rPr>
          <w:szCs w:val="22"/>
          <w:lang w:val="hu-HU" w:eastAsia="en-US"/>
        </w:rPr>
        <w:t>Filmtabletta.</w:t>
      </w:r>
    </w:p>
    <w:p w14:paraId="2B2E27F4" w14:textId="77777777" w:rsidR="00BE633D" w:rsidRPr="006F525B" w:rsidRDefault="00BE633D" w:rsidP="006F525B">
      <w:pPr>
        <w:widowControl w:val="0"/>
        <w:tabs>
          <w:tab w:val="clear" w:pos="567"/>
        </w:tabs>
        <w:suppressAutoHyphens/>
        <w:spacing w:line="240" w:lineRule="auto"/>
        <w:ind w:left="567" w:hanging="567"/>
        <w:rPr>
          <w:szCs w:val="22"/>
          <w:lang w:val="hu-HU" w:eastAsia="en-US"/>
        </w:rPr>
      </w:pPr>
    </w:p>
    <w:p w14:paraId="24BF90FC" w14:textId="77777777" w:rsidR="002233ED" w:rsidRPr="006F525B" w:rsidRDefault="00291FBA" w:rsidP="006F525B">
      <w:pPr>
        <w:widowControl w:val="0"/>
        <w:tabs>
          <w:tab w:val="clear" w:pos="567"/>
        </w:tabs>
        <w:suppressAutoHyphens/>
        <w:spacing w:line="240" w:lineRule="auto"/>
        <w:rPr>
          <w:szCs w:val="22"/>
          <w:lang w:val="hu-HU" w:eastAsia="en-US"/>
        </w:rPr>
      </w:pPr>
      <w:r>
        <w:rPr>
          <w:szCs w:val="22"/>
          <w:lang w:val="hu-HU" w:eastAsia="en-US"/>
        </w:rPr>
        <w:t xml:space="preserve">Rózsaszínű, hosszúkás </w:t>
      </w:r>
      <w:r>
        <w:rPr>
          <w:szCs w:val="22"/>
          <w:lang w:val="hu-HU"/>
        </w:rPr>
        <w:t>(kb. 17,</w:t>
      </w:r>
      <w:r w:rsidR="00C80F6D">
        <w:rPr>
          <w:szCs w:val="22"/>
          <w:lang w:val="hu-HU"/>
        </w:rPr>
        <w:t>7</w:t>
      </w:r>
      <w:r>
        <w:rPr>
          <w:szCs w:val="22"/>
          <w:lang w:val="hu-HU"/>
        </w:rPr>
        <w:t> mm hosszú és</w:t>
      </w:r>
      <w:r w:rsidRPr="006F525B">
        <w:rPr>
          <w:szCs w:val="22"/>
          <w:lang w:val="hu-HU"/>
        </w:rPr>
        <w:t xml:space="preserve"> 10,0</w:t>
      </w:r>
      <w:r>
        <w:rPr>
          <w:szCs w:val="22"/>
          <w:lang w:val="hu-HU"/>
        </w:rPr>
        <w:t> mm széles)</w:t>
      </w:r>
      <w:r w:rsidR="00F160F6" w:rsidRPr="006F525B">
        <w:rPr>
          <w:szCs w:val="22"/>
          <w:lang w:val="hu-HU" w:eastAsia="en-US"/>
        </w:rPr>
        <w:t xml:space="preserve">, </w:t>
      </w:r>
      <w:r w:rsidR="000A0CEE" w:rsidRPr="006F525B">
        <w:rPr>
          <w:szCs w:val="22"/>
          <w:lang w:val="hu-HU" w:eastAsia="en-US"/>
        </w:rPr>
        <w:t xml:space="preserve">mindkét oldalán </w:t>
      </w:r>
      <w:r w:rsidR="00E91AA0" w:rsidRPr="006F525B">
        <w:rPr>
          <w:szCs w:val="22"/>
          <w:lang w:val="hu-HU" w:eastAsia="en-US"/>
        </w:rPr>
        <w:t xml:space="preserve">domború, </w:t>
      </w:r>
      <w:r w:rsidR="00831CFB" w:rsidRPr="006F525B">
        <w:rPr>
          <w:szCs w:val="22"/>
          <w:lang w:val="hu-HU" w:eastAsia="en-US"/>
        </w:rPr>
        <w:t>film</w:t>
      </w:r>
      <w:r>
        <w:rPr>
          <w:szCs w:val="22"/>
          <w:lang w:val="hu-HU" w:eastAsia="en-US"/>
        </w:rPr>
        <w:t xml:space="preserve">bevonatú </w:t>
      </w:r>
      <w:r w:rsidR="00F160F6" w:rsidRPr="006F525B">
        <w:rPr>
          <w:szCs w:val="22"/>
          <w:lang w:val="hu-HU" w:eastAsia="en-US"/>
        </w:rPr>
        <w:t>tabletta,</w:t>
      </w:r>
      <w:r>
        <w:rPr>
          <w:szCs w:val="22"/>
          <w:lang w:val="hu-HU" w:eastAsia="en-US"/>
        </w:rPr>
        <w:t xml:space="preserve"> az</w:t>
      </w:r>
      <w:r w:rsidR="00F160F6" w:rsidRPr="006F525B">
        <w:rPr>
          <w:szCs w:val="22"/>
          <w:lang w:val="hu-HU" w:eastAsia="en-US"/>
        </w:rPr>
        <w:t xml:space="preserve"> egyik oldalán „</w:t>
      </w:r>
      <w:r w:rsidR="00CA32F3" w:rsidRPr="006F525B">
        <w:rPr>
          <w:szCs w:val="22"/>
          <w:lang w:val="hu-HU" w:eastAsia="en-US"/>
        </w:rPr>
        <w:t>A</w:t>
      </w:r>
      <w:r w:rsidR="002233ED" w:rsidRPr="006F525B">
        <w:rPr>
          <w:szCs w:val="22"/>
          <w:lang w:val="hu-HU" w:eastAsia="en-US"/>
        </w:rPr>
        <w:t>E</w:t>
      </w:r>
      <w:r w:rsidR="00CA32F3" w:rsidRPr="006F525B">
        <w:rPr>
          <w:szCs w:val="22"/>
          <w:lang w:val="hu-HU" w:eastAsia="en-US"/>
        </w:rPr>
        <w:t>3</w:t>
      </w:r>
      <w:r w:rsidR="00F160F6" w:rsidRPr="006F525B">
        <w:rPr>
          <w:szCs w:val="22"/>
          <w:lang w:val="hu-HU" w:eastAsia="en-US"/>
        </w:rPr>
        <w:t xml:space="preserve">” </w:t>
      </w:r>
      <w:r w:rsidR="00636DF3" w:rsidRPr="006F525B">
        <w:rPr>
          <w:szCs w:val="22"/>
          <w:lang w:val="hu-HU" w:eastAsia="en-US"/>
        </w:rPr>
        <w:t>jelöléssel</w:t>
      </w:r>
      <w:r>
        <w:rPr>
          <w:szCs w:val="22"/>
          <w:lang w:val="hu-HU" w:eastAsia="en-US"/>
        </w:rPr>
        <w:t xml:space="preserve"> ellátva</w:t>
      </w:r>
      <w:r w:rsidR="00F160F6" w:rsidRPr="006F525B">
        <w:rPr>
          <w:szCs w:val="22"/>
          <w:lang w:val="hu-HU" w:eastAsia="en-US"/>
        </w:rPr>
        <w:t xml:space="preserve">, </w:t>
      </w:r>
      <w:r w:rsidR="00C73800" w:rsidRPr="006F525B">
        <w:rPr>
          <w:szCs w:val="22"/>
          <w:lang w:val="hu-HU" w:eastAsia="en-US"/>
        </w:rPr>
        <w:t xml:space="preserve">a </w:t>
      </w:r>
      <w:r w:rsidR="00F160F6" w:rsidRPr="006F525B">
        <w:rPr>
          <w:szCs w:val="22"/>
          <w:lang w:val="hu-HU" w:eastAsia="en-US"/>
        </w:rPr>
        <w:t>másik oldal</w:t>
      </w:r>
      <w:r>
        <w:rPr>
          <w:szCs w:val="22"/>
          <w:lang w:val="hu-HU" w:eastAsia="en-US"/>
        </w:rPr>
        <w:t>a</w:t>
      </w:r>
      <w:r w:rsidR="00C73800" w:rsidRPr="006F525B">
        <w:rPr>
          <w:szCs w:val="22"/>
          <w:lang w:val="hu-HU" w:eastAsia="en-US"/>
        </w:rPr>
        <w:t xml:space="preserve"> jelölés</w:t>
      </w:r>
      <w:r>
        <w:rPr>
          <w:szCs w:val="22"/>
          <w:lang w:val="hu-HU" w:eastAsia="en-US"/>
        </w:rPr>
        <w:t>mentes</w:t>
      </w:r>
      <w:r w:rsidR="00C73800" w:rsidRPr="006F525B">
        <w:rPr>
          <w:szCs w:val="22"/>
          <w:lang w:val="hu-HU" w:eastAsia="en-US"/>
        </w:rPr>
        <w:t>.</w:t>
      </w:r>
      <w:r>
        <w:rPr>
          <w:szCs w:val="22"/>
          <w:lang w:val="hu-HU" w:eastAsia="en-US"/>
        </w:rPr>
        <w:t xml:space="preserve"> A filmtabletta törésfelülete rózsaszín szegélyű, fehér vagy csaknem fehér színű.</w:t>
      </w:r>
    </w:p>
    <w:p w14:paraId="6429E91D" w14:textId="77777777" w:rsidR="00C73800" w:rsidRPr="006F525B" w:rsidRDefault="00C73800" w:rsidP="006F525B">
      <w:pPr>
        <w:widowControl w:val="0"/>
        <w:tabs>
          <w:tab w:val="clear" w:pos="567"/>
        </w:tabs>
        <w:suppressAutoHyphens/>
        <w:spacing w:line="240" w:lineRule="auto"/>
        <w:rPr>
          <w:szCs w:val="22"/>
          <w:lang w:val="hu-HU"/>
        </w:rPr>
      </w:pPr>
    </w:p>
    <w:p w14:paraId="36E0E802" w14:textId="77777777" w:rsidR="00F45C51" w:rsidRPr="006F525B" w:rsidRDefault="00F45C51" w:rsidP="006F525B">
      <w:pPr>
        <w:widowControl w:val="0"/>
        <w:tabs>
          <w:tab w:val="clear" w:pos="567"/>
        </w:tabs>
        <w:suppressAutoHyphens/>
        <w:spacing w:line="240" w:lineRule="auto"/>
        <w:rPr>
          <w:szCs w:val="22"/>
          <w:lang w:val="hu-HU"/>
        </w:rPr>
      </w:pPr>
    </w:p>
    <w:p w14:paraId="6D3172D6" w14:textId="77777777" w:rsidR="00F45C51" w:rsidRPr="006F525B" w:rsidRDefault="00F45C51" w:rsidP="006F525B">
      <w:pPr>
        <w:widowControl w:val="0"/>
        <w:tabs>
          <w:tab w:val="clear" w:pos="567"/>
        </w:tabs>
        <w:suppressAutoHyphens/>
        <w:spacing w:line="240" w:lineRule="auto"/>
        <w:ind w:left="567" w:hanging="567"/>
        <w:rPr>
          <w:rFonts w:eastAsia="Times New Roman"/>
          <w:b/>
          <w:snapToGrid/>
          <w:szCs w:val="22"/>
          <w:lang w:val="hu-HU" w:eastAsia="en-US"/>
        </w:rPr>
      </w:pPr>
      <w:bookmarkStart w:id="0" w:name="_Hlk80796747"/>
      <w:r w:rsidRPr="006F525B">
        <w:rPr>
          <w:rFonts w:eastAsia="Times New Roman"/>
          <w:b/>
          <w:snapToGrid/>
          <w:szCs w:val="22"/>
          <w:lang w:val="hu-HU" w:eastAsia="en-US"/>
        </w:rPr>
        <w:t>4.</w:t>
      </w:r>
      <w:r w:rsidRPr="006F525B">
        <w:rPr>
          <w:rFonts w:eastAsia="Times New Roman"/>
          <w:b/>
          <w:snapToGrid/>
          <w:szCs w:val="22"/>
          <w:lang w:val="hu-HU" w:eastAsia="en-US"/>
        </w:rPr>
        <w:tab/>
        <w:t>KLINIKAI JELLEMZŐK</w:t>
      </w:r>
    </w:p>
    <w:p w14:paraId="1D0F5AFA" w14:textId="77777777" w:rsidR="00F45C51" w:rsidRPr="006F525B" w:rsidRDefault="00F45C51" w:rsidP="006F525B">
      <w:pPr>
        <w:widowControl w:val="0"/>
        <w:tabs>
          <w:tab w:val="clear" w:pos="567"/>
        </w:tabs>
        <w:suppressAutoHyphens/>
        <w:spacing w:line="240" w:lineRule="auto"/>
        <w:rPr>
          <w:bCs/>
          <w:szCs w:val="22"/>
          <w:lang w:val="hu-HU"/>
        </w:rPr>
      </w:pPr>
    </w:p>
    <w:p w14:paraId="7121FD90" w14:textId="77777777" w:rsidR="004E1960" w:rsidRPr="006F525B" w:rsidRDefault="004E1960" w:rsidP="006F525B">
      <w:pPr>
        <w:tabs>
          <w:tab w:val="clear" w:pos="567"/>
        </w:tabs>
        <w:spacing w:line="240" w:lineRule="auto"/>
        <w:rPr>
          <w:b/>
          <w:bCs/>
          <w:lang w:val="hu-HU"/>
        </w:rPr>
      </w:pPr>
      <w:r w:rsidRPr="006F525B">
        <w:rPr>
          <w:b/>
          <w:bCs/>
          <w:lang w:val="hu-HU"/>
        </w:rPr>
        <w:t>4.1</w:t>
      </w:r>
      <w:r w:rsidRPr="006F525B">
        <w:rPr>
          <w:b/>
          <w:bCs/>
          <w:lang w:val="hu-HU"/>
        </w:rPr>
        <w:tab/>
        <w:t>Terápiás javallatok</w:t>
      </w:r>
    </w:p>
    <w:p w14:paraId="400967DC" w14:textId="77777777" w:rsidR="00423236" w:rsidRDefault="00423236" w:rsidP="006F525B">
      <w:pPr>
        <w:tabs>
          <w:tab w:val="clear" w:pos="567"/>
        </w:tabs>
        <w:spacing w:line="240" w:lineRule="auto"/>
        <w:ind w:left="-5" w:right="8"/>
        <w:rPr>
          <w:lang w:val="hu-HU"/>
        </w:rPr>
      </w:pPr>
    </w:p>
    <w:p w14:paraId="43E24826" w14:textId="77777777" w:rsidR="004E1960" w:rsidRPr="006F525B" w:rsidRDefault="004E1960" w:rsidP="006F525B">
      <w:pPr>
        <w:tabs>
          <w:tab w:val="clear" w:pos="567"/>
        </w:tabs>
        <w:spacing w:line="240" w:lineRule="auto"/>
        <w:ind w:left="-5" w:right="8"/>
        <w:rPr>
          <w:lang w:val="hu-HU"/>
        </w:rPr>
      </w:pPr>
      <w:r w:rsidRPr="006F525B">
        <w:rPr>
          <w:lang w:val="hu-HU"/>
        </w:rPr>
        <w:t>2-es típusú diabetes mellitusban szenvedő felnőttek részére:</w:t>
      </w:r>
    </w:p>
    <w:p w14:paraId="5AF6C2DA" w14:textId="77777777" w:rsidR="00C170A6" w:rsidRPr="006F525B" w:rsidRDefault="00C170A6" w:rsidP="006F525B">
      <w:pPr>
        <w:tabs>
          <w:tab w:val="clear" w:pos="567"/>
        </w:tabs>
        <w:spacing w:line="240" w:lineRule="auto"/>
        <w:ind w:left="-5" w:right="8"/>
        <w:rPr>
          <w:lang w:val="hu-HU"/>
        </w:rPr>
      </w:pPr>
    </w:p>
    <w:p w14:paraId="479E185C"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diéta és testmozgás mellett kiegészítő terápiaként olyan betegek glykaemiás kontrolljának a javítására javallott, ahol a kontroll a metformin maximális tolerálható </w:t>
      </w:r>
      <w:r w:rsidR="003702CD">
        <w:rPr>
          <w:lang w:val="hu-HU"/>
        </w:rPr>
        <w:t>dózisa</w:t>
      </w:r>
      <w:r w:rsidR="003702CD" w:rsidRPr="006F525B">
        <w:rPr>
          <w:lang w:val="hu-HU"/>
        </w:rPr>
        <w:t xml:space="preserve"> </w:t>
      </w:r>
      <w:r w:rsidRPr="006F525B">
        <w:rPr>
          <w:lang w:val="hu-HU"/>
        </w:rPr>
        <w:t>mellett sem megfelelő, vagy akiket már a szitagliptin és metformin kombinációjával kezelnek.</w:t>
      </w:r>
    </w:p>
    <w:p w14:paraId="1719623B" w14:textId="77777777" w:rsidR="00C170A6" w:rsidRPr="006F525B" w:rsidRDefault="00C170A6" w:rsidP="006F525B">
      <w:pPr>
        <w:tabs>
          <w:tab w:val="clear" w:pos="567"/>
        </w:tabs>
        <w:spacing w:line="240" w:lineRule="auto"/>
        <w:ind w:left="-5" w:right="8"/>
        <w:rPr>
          <w:lang w:val="hu-HU"/>
        </w:rPr>
      </w:pPr>
    </w:p>
    <w:p w14:paraId="43DA3EFC"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003702CD" w:rsidRPr="003702CD">
        <w:rPr>
          <w:lang w:val="hu-HU"/>
        </w:rPr>
        <w:t xml:space="preserve"> </w:t>
      </w:r>
      <w:r w:rsidR="003702CD" w:rsidRPr="006F525B">
        <w:rPr>
          <w:lang w:val="hu-HU"/>
        </w:rPr>
        <w:t>szulfonilureával kombinációban alkalmazva (azaz hármas komb</w:t>
      </w:r>
      <w:r w:rsidR="003702CD">
        <w:rPr>
          <w:lang w:val="hu-HU"/>
        </w:rPr>
        <w:t>inációs terápia keretein belül)</w:t>
      </w:r>
      <w:r w:rsidRPr="006F525B">
        <w:rPr>
          <w:lang w:val="hu-HU"/>
        </w:rPr>
        <w:t xml:space="preserve"> a diéta és a testmozgás mellett kiegészítő terápiaként javallott olyan betegek számára, akik glykaemiás kontrollja a metformin és szulfonilurea maximális tolerálható </w:t>
      </w:r>
      <w:r w:rsidR="003702CD">
        <w:rPr>
          <w:lang w:val="hu-HU"/>
        </w:rPr>
        <w:t>dózisa</w:t>
      </w:r>
      <w:r w:rsidR="003702CD" w:rsidRPr="006F525B">
        <w:rPr>
          <w:lang w:val="hu-HU"/>
        </w:rPr>
        <w:t xml:space="preserve"> </w:t>
      </w:r>
      <w:r w:rsidRPr="006F525B">
        <w:rPr>
          <w:lang w:val="hu-HU"/>
        </w:rPr>
        <w:t>mellett nem megfelelő.</w:t>
      </w:r>
    </w:p>
    <w:p w14:paraId="26AF2350" w14:textId="77777777" w:rsidR="008F5D98" w:rsidRPr="006F525B" w:rsidRDefault="008F5D98" w:rsidP="006F525B">
      <w:pPr>
        <w:tabs>
          <w:tab w:val="clear" w:pos="567"/>
        </w:tabs>
        <w:spacing w:line="240" w:lineRule="auto"/>
        <w:ind w:left="-5" w:right="8"/>
        <w:rPr>
          <w:lang w:val="hu-HU"/>
        </w:rPr>
      </w:pPr>
    </w:p>
    <w:p w14:paraId="27EA7EC5"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a diéta és a testmozgás mellett egy peroxiszóma proliferátor-aktiválta receptor gamma (PPAR</w:t>
      </w:r>
      <w:r w:rsidRPr="006F525B">
        <w:rPr>
          <w:rFonts w:eastAsia="Segoe UI Symbol" w:cs="Segoe UI Symbol"/>
          <w:lang w:val="hu-HU"/>
        </w:rPr>
        <w:sym w:font="Symbol" w:char="F067"/>
      </w:r>
      <w:r w:rsidRPr="006F525B">
        <w:rPr>
          <w:lang w:val="hu-HU"/>
        </w:rPr>
        <w:t>)-agonistával (azaz egy tiazolidindionnal) hármas kombinációs terápiában alkalmazva javallott olyan betegek számára, akiknél a vércukorszint beállítása a metformin és egy PPAR</w:t>
      </w:r>
      <w:r w:rsidRPr="006F525B">
        <w:rPr>
          <w:rFonts w:eastAsia="Segoe UI Symbol" w:cs="Segoe UI Symbol"/>
          <w:lang w:val="hu-HU"/>
        </w:rPr>
        <w:sym w:font="Symbol" w:char="F067"/>
      </w:r>
      <w:r w:rsidRPr="006F525B">
        <w:rPr>
          <w:lang w:val="hu-HU"/>
        </w:rPr>
        <w:t xml:space="preserve">-agonista maximális tolerálható </w:t>
      </w:r>
      <w:r w:rsidR="003702CD">
        <w:rPr>
          <w:lang w:val="hu-HU"/>
        </w:rPr>
        <w:t>dózisa</w:t>
      </w:r>
      <w:r w:rsidR="003702CD" w:rsidRPr="006F525B">
        <w:rPr>
          <w:lang w:val="hu-HU"/>
        </w:rPr>
        <w:t xml:space="preserve"> </w:t>
      </w:r>
      <w:r w:rsidRPr="006F525B">
        <w:rPr>
          <w:lang w:val="hu-HU"/>
        </w:rPr>
        <w:t>mellett sem megfelelő.</w:t>
      </w:r>
    </w:p>
    <w:p w14:paraId="6A0E02B6" w14:textId="77777777" w:rsidR="008F5D98" w:rsidRPr="006F525B" w:rsidRDefault="008F5D98" w:rsidP="006F525B">
      <w:pPr>
        <w:tabs>
          <w:tab w:val="clear" w:pos="567"/>
        </w:tabs>
        <w:spacing w:line="240" w:lineRule="auto"/>
        <w:ind w:left="-5" w:right="8"/>
        <w:rPr>
          <w:lang w:val="hu-HU"/>
        </w:rPr>
      </w:pPr>
    </w:p>
    <w:p w14:paraId="368AF455"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ezen kívül </w:t>
      </w:r>
      <w:r w:rsidR="003702CD" w:rsidRPr="006F525B">
        <w:rPr>
          <w:lang w:val="hu-HU"/>
        </w:rPr>
        <w:t>inzulinnal kombinációban adva (azaz hármas kombinációs terápia keretein belül)</w:t>
      </w:r>
      <w:r w:rsidR="003702CD">
        <w:rPr>
          <w:lang w:val="hu-HU"/>
        </w:rPr>
        <w:t xml:space="preserve"> </w:t>
      </w:r>
      <w:r w:rsidRPr="006F525B">
        <w:rPr>
          <w:lang w:val="hu-HU"/>
        </w:rPr>
        <w:t>a diéta és a testmozgás mellett a glykaemiás kontroll javítására javallott olyan betegek számára, akiknél az inzulin állandó dózisa és a metformin önmagában nem biztosít megfelelő glykaemiás kontrollt.</w:t>
      </w:r>
    </w:p>
    <w:p w14:paraId="0BCC3028" w14:textId="77777777" w:rsidR="00F832D2" w:rsidRPr="006F525B" w:rsidRDefault="00F832D2" w:rsidP="006F525B">
      <w:pPr>
        <w:tabs>
          <w:tab w:val="clear" w:pos="567"/>
        </w:tabs>
        <w:spacing w:line="240" w:lineRule="auto"/>
        <w:ind w:left="-5" w:right="8"/>
        <w:rPr>
          <w:lang w:val="hu-HU"/>
        </w:rPr>
      </w:pPr>
    </w:p>
    <w:p w14:paraId="336028C0" w14:textId="77777777" w:rsidR="004E1960" w:rsidRPr="006F525B" w:rsidRDefault="004E1960" w:rsidP="006F525B">
      <w:pPr>
        <w:tabs>
          <w:tab w:val="clear" w:pos="567"/>
        </w:tabs>
        <w:spacing w:line="240" w:lineRule="auto"/>
        <w:ind w:left="-15"/>
        <w:rPr>
          <w:lang w:val="hu-HU"/>
        </w:rPr>
      </w:pPr>
      <w:r w:rsidRPr="006F525B">
        <w:rPr>
          <w:b/>
          <w:lang w:val="hu-HU"/>
        </w:rPr>
        <w:t>4.2</w:t>
      </w:r>
      <w:r w:rsidRPr="006F525B">
        <w:rPr>
          <w:b/>
          <w:lang w:val="hu-HU"/>
        </w:rPr>
        <w:tab/>
        <w:t>Adagolás és alkalmazás</w:t>
      </w:r>
    </w:p>
    <w:p w14:paraId="0B082CC3" w14:textId="77777777" w:rsidR="008F5D98" w:rsidRPr="006F525B" w:rsidRDefault="008F5D98" w:rsidP="006F525B">
      <w:pPr>
        <w:pStyle w:val="Cmsor2"/>
        <w:keepNext w:val="0"/>
        <w:widowControl w:val="0"/>
        <w:suppressAutoHyphens w:val="0"/>
        <w:spacing w:before="0" w:after="0" w:line="240" w:lineRule="auto"/>
        <w:ind w:left="-5"/>
        <w:rPr>
          <w:rFonts w:ascii="Times New Roman" w:hAnsi="Times New Roman"/>
          <w:b w:val="0"/>
          <w:i w:val="0"/>
          <w:sz w:val="22"/>
          <w:szCs w:val="22"/>
          <w:u w:val="single" w:color="000000"/>
          <w:lang w:eastAsia="hu-HU"/>
        </w:rPr>
      </w:pPr>
    </w:p>
    <w:p w14:paraId="53A9F49A" w14:textId="77777777" w:rsidR="004E1960" w:rsidRPr="006F525B" w:rsidRDefault="004E1960" w:rsidP="006F525B">
      <w:pPr>
        <w:pStyle w:val="Cmsor2"/>
        <w:keepNext w:val="0"/>
        <w:widowControl w:val="0"/>
        <w:suppressAutoHyphens w:val="0"/>
        <w:spacing w:before="0" w:after="0" w:line="240" w:lineRule="auto"/>
        <w:ind w:left="-5"/>
        <w:rPr>
          <w:rFonts w:ascii="Times New Roman" w:hAnsi="Times New Roman"/>
          <w:b w:val="0"/>
          <w:i w:val="0"/>
          <w:sz w:val="22"/>
          <w:szCs w:val="22"/>
          <w:u w:val="single" w:color="000000"/>
          <w:lang w:eastAsia="hu-HU"/>
        </w:rPr>
      </w:pPr>
      <w:r w:rsidRPr="006F525B">
        <w:rPr>
          <w:rFonts w:ascii="Times New Roman" w:hAnsi="Times New Roman"/>
          <w:b w:val="0"/>
          <w:i w:val="0"/>
          <w:sz w:val="22"/>
          <w:szCs w:val="22"/>
          <w:u w:val="single" w:color="000000"/>
          <w:lang w:eastAsia="hu-HU"/>
        </w:rPr>
        <w:t>Adagolás</w:t>
      </w:r>
    </w:p>
    <w:p w14:paraId="3A19A7E4" w14:textId="77777777" w:rsidR="008F5D98" w:rsidRPr="006F525B" w:rsidRDefault="008F5D98" w:rsidP="006F525B">
      <w:pPr>
        <w:tabs>
          <w:tab w:val="clear" w:pos="567"/>
        </w:tabs>
        <w:spacing w:line="240" w:lineRule="auto"/>
        <w:ind w:left="-5" w:right="8"/>
        <w:rPr>
          <w:lang w:val="hu-HU"/>
        </w:rPr>
      </w:pPr>
    </w:p>
    <w:p w14:paraId="054A978B"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00562275" w:rsidRPr="006F525B">
        <w:rPr>
          <w:lang w:val="hu-HU"/>
        </w:rPr>
        <w:t>-v</w:t>
      </w:r>
      <w:r w:rsidR="00EF65C6">
        <w:rPr>
          <w:lang w:val="hu-HU"/>
        </w:rPr>
        <w:t>el</w:t>
      </w:r>
      <w:r w:rsidRPr="006F525B">
        <w:rPr>
          <w:lang w:val="hu-HU"/>
        </w:rPr>
        <w:t xml:space="preserve"> végzett antihyperglykaemiás terápia </w:t>
      </w:r>
      <w:r w:rsidR="003702CD">
        <w:rPr>
          <w:lang w:val="hu-HU"/>
        </w:rPr>
        <w:t>dózisát</w:t>
      </w:r>
      <w:r w:rsidR="003702CD" w:rsidRPr="006F525B">
        <w:rPr>
          <w:lang w:val="hu-HU"/>
        </w:rPr>
        <w:t xml:space="preserve"> </w:t>
      </w:r>
      <w:r w:rsidRPr="006F525B">
        <w:rPr>
          <w:lang w:val="hu-HU"/>
        </w:rPr>
        <w:t xml:space="preserve">egyénileg kell megállapítani a beteg </w:t>
      </w:r>
      <w:r w:rsidR="003702CD">
        <w:rPr>
          <w:lang w:val="hu-HU"/>
        </w:rPr>
        <w:t>aktuális terápiás rendje</w:t>
      </w:r>
      <w:r w:rsidRPr="006F525B">
        <w:rPr>
          <w:lang w:val="hu-HU"/>
        </w:rPr>
        <w:t xml:space="preserve">, annak hatásossága és tolerálhatósága függvényében </w:t>
      </w:r>
      <w:r w:rsidR="003702CD">
        <w:rPr>
          <w:lang w:val="hu-HU"/>
        </w:rPr>
        <w:t>úgy</w:t>
      </w:r>
      <w:r w:rsidRPr="006F525B">
        <w:rPr>
          <w:lang w:val="hu-HU"/>
        </w:rPr>
        <w:t>, hogy a szitagliptin maximális ajánlott napi 100</w:t>
      </w:r>
      <w:r w:rsidR="008F5D98" w:rsidRPr="006F525B">
        <w:rPr>
          <w:lang w:val="hu-HU"/>
        </w:rPr>
        <w:t> </w:t>
      </w:r>
      <w:r w:rsidRPr="006F525B">
        <w:rPr>
          <w:lang w:val="hu-HU"/>
        </w:rPr>
        <w:t xml:space="preserve">mg-os </w:t>
      </w:r>
      <w:r w:rsidR="003702CD">
        <w:rPr>
          <w:lang w:val="hu-HU"/>
        </w:rPr>
        <w:t>dózisát</w:t>
      </w:r>
      <w:r w:rsidR="003702CD" w:rsidRPr="006F525B">
        <w:rPr>
          <w:lang w:val="hu-HU"/>
        </w:rPr>
        <w:t xml:space="preserve"> </w:t>
      </w:r>
      <w:r w:rsidRPr="006F525B">
        <w:rPr>
          <w:lang w:val="hu-HU"/>
        </w:rPr>
        <w:t>ne lépjék túl.</w:t>
      </w:r>
    </w:p>
    <w:p w14:paraId="19A46E70" w14:textId="77777777" w:rsidR="0050176F" w:rsidRPr="006F525B" w:rsidRDefault="0050176F" w:rsidP="006F525B">
      <w:pPr>
        <w:tabs>
          <w:tab w:val="clear" w:pos="567"/>
        </w:tabs>
        <w:spacing w:line="240" w:lineRule="auto"/>
        <w:ind w:left="-5" w:right="8"/>
        <w:rPr>
          <w:lang w:val="hu-HU"/>
        </w:rPr>
      </w:pPr>
    </w:p>
    <w:p w14:paraId="542D8857" w14:textId="77777777" w:rsidR="004E1960" w:rsidRPr="006F525B" w:rsidRDefault="004E1960" w:rsidP="006F525B">
      <w:pPr>
        <w:pStyle w:val="Cmsor2"/>
        <w:keepNext w:val="0"/>
        <w:widowControl w:val="0"/>
        <w:suppressAutoHyphens w:val="0"/>
        <w:spacing w:before="0" w:after="0" w:line="240" w:lineRule="auto"/>
        <w:ind w:left="-5" w:hanging="10"/>
        <w:rPr>
          <w:rFonts w:ascii="Times New Roman" w:hAnsi="Times New Roman"/>
          <w:b w:val="0"/>
          <w:sz w:val="22"/>
          <w:szCs w:val="22"/>
          <w:u w:color="000000"/>
          <w:lang w:eastAsia="hu-HU"/>
        </w:rPr>
      </w:pPr>
      <w:r w:rsidRPr="006F525B">
        <w:rPr>
          <w:rFonts w:ascii="Times New Roman" w:hAnsi="Times New Roman"/>
          <w:b w:val="0"/>
          <w:sz w:val="22"/>
          <w:szCs w:val="22"/>
          <w:u w:color="000000"/>
          <w:lang w:eastAsia="hu-HU"/>
        </w:rPr>
        <w:t>Normál veseműködésű felnőttek (GFR ≥</w:t>
      </w:r>
      <w:r w:rsidR="0050176F" w:rsidRPr="006F525B">
        <w:rPr>
          <w:rFonts w:ascii="Times New Roman" w:hAnsi="Times New Roman"/>
          <w:b w:val="0"/>
          <w:sz w:val="22"/>
          <w:szCs w:val="22"/>
          <w:u w:color="000000"/>
          <w:lang w:eastAsia="hu-HU"/>
        </w:rPr>
        <w:t> </w:t>
      </w:r>
      <w:r w:rsidRPr="006F525B">
        <w:rPr>
          <w:rFonts w:ascii="Times New Roman" w:hAnsi="Times New Roman"/>
          <w:b w:val="0"/>
          <w:sz w:val="22"/>
          <w:szCs w:val="22"/>
          <w:u w:color="000000"/>
          <w:lang w:eastAsia="hu-HU"/>
        </w:rPr>
        <w:t>90</w:t>
      </w:r>
      <w:r w:rsidR="0050176F" w:rsidRPr="006F525B">
        <w:rPr>
          <w:rFonts w:ascii="Times New Roman" w:hAnsi="Times New Roman"/>
          <w:b w:val="0"/>
          <w:sz w:val="22"/>
          <w:szCs w:val="22"/>
          <w:u w:color="000000"/>
          <w:lang w:eastAsia="hu-HU"/>
        </w:rPr>
        <w:t> </w:t>
      </w:r>
      <w:r w:rsidRPr="006F525B">
        <w:rPr>
          <w:rFonts w:ascii="Times New Roman" w:hAnsi="Times New Roman"/>
          <w:b w:val="0"/>
          <w:sz w:val="22"/>
          <w:szCs w:val="22"/>
          <w:u w:color="000000"/>
          <w:lang w:eastAsia="hu-HU"/>
        </w:rPr>
        <w:t>ml/perc)</w:t>
      </w:r>
    </w:p>
    <w:p w14:paraId="71D460A5" w14:textId="77777777" w:rsidR="004E1960" w:rsidRPr="006F525B" w:rsidRDefault="004E1960" w:rsidP="006F525B">
      <w:pPr>
        <w:tabs>
          <w:tab w:val="clear" w:pos="567"/>
        </w:tabs>
        <w:spacing w:line="240" w:lineRule="auto"/>
        <w:ind w:left="-5" w:right="8"/>
        <w:rPr>
          <w:lang w:val="hu-HU"/>
        </w:rPr>
      </w:pPr>
    </w:p>
    <w:p w14:paraId="7B8CA17C"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lastRenderedPageBreak/>
        <w:t xml:space="preserve">Metformin monoterápia maximális tolerálható </w:t>
      </w:r>
      <w:r w:rsidR="00464FBF">
        <w:rPr>
          <w:rFonts w:eastAsia="Times New Roman"/>
          <w:snapToGrid/>
          <w:szCs w:val="22"/>
          <w:u w:val="single" w:color="000000"/>
          <w:lang w:val="hu-HU" w:eastAsia="hu-HU"/>
        </w:rPr>
        <w:t>dózisa</w:t>
      </w:r>
      <w:r w:rsidR="00464FBF" w:rsidRPr="006F525B">
        <w:rPr>
          <w:rFonts w:eastAsia="Times New Roman"/>
          <w:snapToGrid/>
          <w:szCs w:val="22"/>
          <w:u w:val="single" w:color="000000"/>
          <w:lang w:val="hu-HU" w:eastAsia="hu-HU"/>
        </w:rPr>
        <w:t xml:space="preserve"> </w:t>
      </w:r>
      <w:r w:rsidRPr="006F525B">
        <w:rPr>
          <w:rFonts w:eastAsia="Times New Roman"/>
          <w:snapToGrid/>
          <w:szCs w:val="22"/>
          <w:u w:val="single" w:color="000000"/>
          <w:lang w:val="hu-HU" w:eastAsia="hu-HU"/>
        </w:rPr>
        <w:t>mellett nem megfelelő glykaemiás kontrollal rendelkező betegek</w:t>
      </w:r>
    </w:p>
    <w:p w14:paraId="5D1C0283" w14:textId="77777777" w:rsidR="00437FDD" w:rsidRDefault="004E1960" w:rsidP="006F525B">
      <w:pPr>
        <w:tabs>
          <w:tab w:val="clear" w:pos="567"/>
        </w:tabs>
        <w:spacing w:line="240" w:lineRule="auto"/>
        <w:ind w:left="-5" w:right="8"/>
        <w:rPr>
          <w:lang w:val="hu-HU"/>
        </w:rPr>
      </w:pPr>
      <w:r w:rsidRPr="006F525B">
        <w:rPr>
          <w:lang w:val="hu-HU"/>
        </w:rPr>
        <w:t xml:space="preserve">Metformin önmagában történő szedése mellett nem megfelelő glykaemiás kontrollal rendelkező betegek esetében a kezdő </w:t>
      </w:r>
      <w:r w:rsidR="00464FBF">
        <w:rPr>
          <w:lang w:val="hu-HU"/>
        </w:rPr>
        <w:t>dózisnak</w:t>
      </w:r>
      <w:r w:rsidR="00464FBF" w:rsidRPr="006F525B">
        <w:rPr>
          <w:lang w:val="hu-HU"/>
        </w:rPr>
        <w:t xml:space="preserve"> </w:t>
      </w:r>
      <w:r w:rsidRPr="006F525B">
        <w:rPr>
          <w:lang w:val="hu-HU"/>
        </w:rPr>
        <w:t xml:space="preserve">általában napi kétszer </w:t>
      </w:r>
      <w:r w:rsidR="004F72D1" w:rsidRPr="006F525B">
        <w:rPr>
          <w:lang w:val="hu-HU"/>
        </w:rPr>
        <w:t>50 mg</w:t>
      </w:r>
      <w:r w:rsidRPr="006F525B">
        <w:rPr>
          <w:lang w:val="hu-HU"/>
        </w:rPr>
        <w:t xml:space="preserve"> szitagliptint (teljes napi </w:t>
      </w:r>
      <w:r w:rsidR="00464FBF">
        <w:rPr>
          <w:lang w:val="hu-HU"/>
        </w:rPr>
        <w:t>dózis</w:t>
      </w:r>
      <w:r w:rsidR="00464FBF" w:rsidRPr="006F525B">
        <w:rPr>
          <w:lang w:val="hu-HU"/>
        </w:rPr>
        <w:t xml:space="preserve"> </w:t>
      </w:r>
      <w:r w:rsidRPr="006F525B">
        <w:rPr>
          <w:lang w:val="hu-HU"/>
        </w:rPr>
        <w:t>100</w:t>
      </w:r>
      <w:r w:rsidR="0050176F" w:rsidRPr="006F525B">
        <w:rPr>
          <w:lang w:val="hu-HU"/>
        </w:rPr>
        <w:t> </w:t>
      </w:r>
      <w:r w:rsidRPr="006F525B">
        <w:rPr>
          <w:lang w:val="hu-HU"/>
        </w:rPr>
        <w:t xml:space="preserve">mg) kell tartalmaznia a metformin már szedett </w:t>
      </w:r>
      <w:r w:rsidR="00464FBF">
        <w:rPr>
          <w:lang w:val="hu-HU"/>
        </w:rPr>
        <w:t>dózisával</w:t>
      </w:r>
      <w:r w:rsidR="00464FBF" w:rsidRPr="006F525B">
        <w:rPr>
          <w:lang w:val="hu-HU"/>
        </w:rPr>
        <w:t xml:space="preserve"> </w:t>
      </w:r>
      <w:r w:rsidRPr="006F525B">
        <w:rPr>
          <w:lang w:val="hu-HU"/>
        </w:rPr>
        <w:t>együttesen alkalmazva.</w:t>
      </w:r>
    </w:p>
    <w:p w14:paraId="16994E28" w14:textId="77777777" w:rsidR="00464FBF" w:rsidRPr="006F525B" w:rsidRDefault="00464FBF" w:rsidP="006F525B">
      <w:pPr>
        <w:tabs>
          <w:tab w:val="clear" w:pos="567"/>
        </w:tabs>
        <w:spacing w:line="240" w:lineRule="auto"/>
        <w:ind w:left="-5" w:right="8"/>
        <w:rPr>
          <w:lang w:val="hu-HU"/>
        </w:rPr>
      </w:pPr>
    </w:p>
    <w:p w14:paraId="125823F5"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t>A szitagliptint és metformint együtt szedő betegek átállítása</w:t>
      </w:r>
    </w:p>
    <w:p w14:paraId="5A683629" w14:textId="77777777" w:rsidR="004E1960" w:rsidRPr="006F525B" w:rsidRDefault="004E1960" w:rsidP="006F525B">
      <w:pPr>
        <w:tabs>
          <w:tab w:val="clear" w:pos="567"/>
        </w:tabs>
        <w:spacing w:line="240" w:lineRule="auto"/>
        <w:ind w:left="-5" w:right="8"/>
        <w:rPr>
          <w:lang w:val="hu-HU"/>
        </w:rPr>
      </w:pPr>
      <w:r w:rsidRPr="006F525B">
        <w:rPr>
          <w:lang w:val="hu-HU"/>
        </w:rPr>
        <w:t xml:space="preserve">A szitagliptint és metformint együtt szedő betegek esetében a </w:t>
      </w:r>
      <w:r w:rsidR="00200067">
        <w:rPr>
          <w:lang w:val="hu-HU"/>
        </w:rPr>
        <w:t>JUZIMETTE</w:t>
      </w:r>
      <w:r w:rsidR="00562275" w:rsidRPr="006F525B">
        <w:rPr>
          <w:lang w:val="hu-HU"/>
        </w:rPr>
        <w:t>-</w:t>
      </w:r>
      <w:r w:rsidRPr="006F525B">
        <w:rPr>
          <w:lang w:val="hu-HU"/>
        </w:rPr>
        <w:t xml:space="preserve">t a már szedett szitagliptin és metformin </w:t>
      </w:r>
      <w:r w:rsidR="00464FBF">
        <w:rPr>
          <w:lang w:val="hu-HU"/>
        </w:rPr>
        <w:t>dózisának</w:t>
      </w:r>
      <w:r w:rsidR="00464FBF" w:rsidRPr="006F525B">
        <w:rPr>
          <w:lang w:val="hu-HU"/>
        </w:rPr>
        <w:t xml:space="preserve"> </w:t>
      </w:r>
      <w:r w:rsidRPr="006F525B">
        <w:rPr>
          <w:lang w:val="hu-HU"/>
        </w:rPr>
        <w:t>megfelelő dózisban kell alkalmazni.</w:t>
      </w:r>
    </w:p>
    <w:p w14:paraId="6AF299A9" w14:textId="77777777" w:rsidR="006353BE" w:rsidRDefault="006353BE" w:rsidP="006F525B">
      <w:pPr>
        <w:widowControl w:val="0"/>
        <w:tabs>
          <w:tab w:val="clear" w:pos="567"/>
        </w:tabs>
        <w:spacing w:line="240" w:lineRule="auto"/>
        <w:ind w:left="-5" w:right="316" w:hanging="10"/>
        <w:rPr>
          <w:rFonts w:eastAsia="Times New Roman"/>
          <w:snapToGrid/>
          <w:szCs w:val="22"/>
          <w:u w:val="single" w:color="000000"/>
          <w:lang w:val="hu-HU" w:eastAsia="hu-HU"/>
        </w:rPr>
      </w:pPr>
    </w:p>
    <w:p w14:paraId="77FDCF45"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t xml:space="preserve">Metformin és szulfonilurea maximális tolerálható </w:t>
      </w:r>
      <w:r w:rsidR="00464FBF">
        <w:rPr>
          <w:rFonts w:eastAsia="Times New Roman"/>
          <w:snapToGrid/>
          <w:szCs w:val="22"/>
          <w:u w:val="single" w:color="000000"/>
          <w:lang w:val="hu-HU" w:eastAsia="hu-HU"/>
        </w:rPr>
        <w:t>dózisának</w:t>
      </w:r>
      <w:r w:rsidR="00464FBF" w:rsidRPr="006F525B">
        <w:rPr>
          <w:rFonts w:eastAsia="Times New Roman"/>
          <w:snapToGrid/>
          <w:szCs w:val="22"/>
          <w:u w:val="single" w:color="000000"/>
          <w:lang w:val="hu-HU" w:eastAsia="hu-HU"/>
        </w:rPr>
        <w:t xml:space="preserve"> </w:t>
      </w:r>
      <w:r w:rsidRPr="006F525B">
        <w:rPr>
          <w:rFonts w:eastAsia="Times New Roman"/>
          <w:snapToGrid/>
          <w:szCs w:val="22"/>
          <w:u w:val="single" w:color="000000"/>
          <w:lang w:val="hu-HU" w:eastAsia="hu-HU"/>
        </w:rPr>
        <w:t>kettős kombinációja mellett nem megfelelő glykaemiás kontrollal rendelkező betegek</w:t>
      </w:r>
    </w:p>
    <w:p w14:paraId="5F05730A"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464FBF">
        <w:rPr>
          <w:lang w:val="hu-HU"/>
        </w:rPr>
        <w:t>dózisnak</w:t>
      </w:r>
      <w:r w:rsidR="00464FBF" w:rsidRPr="006F525B">
        <w:rPr>
          <w:lang w:val="hu-HU"/>
        </w:rPr>
        <w:t xml:space="preserve"> </w:t>
      </w:r>
      <w:r w:rsidRPr="006F525B">
        <w:rPr>
          <w:lang w:val="hu-HU"/>
        </w:rPr>
        <w:t xml:space="preserve">napi kétszer </w:t>
      </w:r>
      <w:r w:rsidR="004F72D1" w:rsidRPr="006F525B">
        <w:rPr>
          <w:lang w:val="hu-HU"/>
        </w:rPr>
        <w:t>50 mg</w:t>
      </w:r>
      <w:r w:rsidRPr="006F525B">
        <w:rPr>
          <w:lang w:val="hu-HU"/>
        </w:rPr>
        <w:t xml:space="preserve"> szitagliptint (teljes napi </w:t>
      </w:r>
      <w:r w:rsidR="00464FBF">
        <w:rPr>
          <w:lang w:val="hu-HU"/>
        </w:rPr>
        <w:t>dózis</w:t>
      </w:r>
      <w:r w:rsidR="00464FBF" w:rsidRPr="006F525B">
        <w:rPr>
          <w:lang w:val="hu-HU"/>
        </w:rPr>
        <w:t xml:space="preserve"> </w:t>
      </w:r>
      <w:r w:rsidRPr="006F525B">
        <w:rPr>
          <w:lang w:val="hu-HU"/>
        </w:rPr>
        <w:t>100</w:t>
      </w:r>
      <w:r w:rsidR="00520FA7" w:rsidRPr="006F525B">
        <w:rPr>
          <w:lang w:val="hu-HU"/>
        </w:rPr>
        <w:t> </w:t>
      </w:r>
      <w:r w:rsidRPr="006F525B">
        <w:rPr>
          <w:lang w:val="hu-HU"/>
        </w:rPr>
        <w:t xml:space="preserve">mg) és olyan dózisú metformint kell tartalmaznia, amely hasonló a beteg által szedett dózishoz. </w:t>
      </w:r>
      <w:r w:rsidR="00200067">
        <w:rPr>
          <w:lang w:val="hu-HU"/>
        </w:rPr>
        <w:t>JUZIMETTE</w:t>
      </w:r>
      <w:r w:rsidRPr="006F525B">
        <w:rPr>
          <w:lang w:val="hu-HU"/>
        </w:rPr>
        <w:t xml:space="preserve"> és szulfonilurea kombinációjának alkalmazása esetén a hypoglykaemia kockázatának csökkentése érdekében a szulfonilurea </w:t>
      </w:r>
      <w:r w:rsidR="00464FBF">
        <w:rPr>
          <w:lang w:val="hu-HU"/>
        </w:rPr>
        <w:t>kisebb</w:t>
      </w:r>
      <w:r w:rsidR="00464FBF" w:rsidRPr="006F525B">
        <w:rPr>
          <w:lang w:val="hu-HU"/>
        </w:rPr>
        <w:t xml:space="preserve"> </w:t>
      </w:r>
      <w:r w:rsidR="00464FBF">
        <w:rPr>
          <w:lang w:val="hu-HU"/>
        </w:rPr>
        <w:t>dózisban történő adására</w:t>
      </w:r>
      <w:r w:rsidR="00464FBF" w:rsidRPr="006F525B">
        <w:rPr>
          <w:lang w:val="hu-HU"/>
        </w:rPr>
        <w:t xml:space="preserve"> </w:t>
      </w:r>
      <w:r w:rsidRPr="006F525B">
        <w:rPr>
          <w:lang w:val="hu-HU"/>
        </w:rPr>
        <w:t>lehet szükség (lásd 4.4 pont).</w:t>
      </w:r>
    </w:p>
    <w:p w14:paraId="6F1B32E7" w14:textId="77777777" w:rsidR="00520FA7" w:rsidRPr="006F525B" w:rsidRDefault="00520FA7" w:rsidP="006F525B">
      <w:pPr>
        <w:tabs>
          <w:tab w:val="clear" w:pos="567"/>
        </w:tabs>
        <w:spacing w:line="240" w:lineRule="auto"/>
        <w:ind w:left="-5" w:right="8"/>
        <w:rPr>
          <w:lang w:val="hu-HU"/>
        </w:rPr>
      </w:pPr>
    </w:p>
    <w:p w14:paraId="017CB3D2"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t>Metformin és egy PPAR</w:t>
      </w:r>
      <w:r w:rsidRPr="006F525B">
        <w:rPr>
          <w:rFonts w:eastAsia="Times New Roman"/>
          <w:snapToGrid/>
          <w:szCs w:val="22"/>
          <w:u w:val="single" w:color="000000"/>
          <w:lang w:val="hu-HU" w:eastAsia="hu-HU"/>
        </w:rPr>
        <w:sym w:font="Symbol" w:char="F067"/>
      </w:r>
      <w:r w:rsidRPr="006F525B">
        <w:rPr>
          <w:rFonts w:eastAsia="Times New Roman"/>
          <w:snapToGrid/>
          <w:szCs w:val="22"/>
          <w:u w:val="single" w:color="000000"/>
          <w:lang w:val="hu-HU" w:eastAsia="hu-HU"/>
        </w:rPr>
        <w:t xml:space="preserve">-agonista maximális tolerálható </w:t>
      </w:r>
      <w:r w:rsidR="001B4610">
        <w:rPr>
          <w:rFonts w:eastAsia="Times New Roman"/>
          <w:snapToGrid/>
          <w:szCs w:val="22"/>
          <w:u w:val="single" w:color="000000"/>
          <w:lang w:val="hu-HU" w:eastAsia="hu-HU"/>
        </w:rPr>
        <w:t>dózisának</w:t>
      </w:r>
      <w:r w:rsidR="001B4610" w:rsidRPr="006F525B">
        <w:rPr>
          <w:rFonts w:eastAsia="Times New Roman"/>
          <w:snapToGrid/>
          <w:szCs w:val="22"/>
          <w:u w:val="single" w:color="000000"/>
          <w:lang w:val="hu-HU" w:eastAsia="hu-HU"/>
        </w:rPr>
        <w:t xml:space="preserve"> </w:t>
      </w:r>
      <w:r w:rsidRPr="006F525B">
        <w:rPr>
          <w:rFonts w:eastAsia="Times New Roman"/>
          <w:snapToGrid/>
          <w:szCs w:val="22"/>
          <w:u w:val="single" w:color="000000"/>
          <w:lang w:val="hu-HU" w:eastAsia="hu-HU"/>
        </w:rPr>
        <w:t>kettős kombinációja mellett nem megfelelően beállított vércukorszintű betegek</w:t>
      </w:r>
    </w:p>
    <w:p w14:paraId="280B21FC"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1B4610">
        <w:rPr>
          <w:lang w:val="hu-HU"/>
        </w:rPr>
        <w:t>dózisnak</w:t>
      </w:r>
      <w:r w:rsidR="001B4610" w:rsidRPr="006F525B">
        <w:rPr>
          <w:lang w:val="hu-HU"/>
        </w:rPr>
        <w:t xml:space="preserve"> </w:t>
      </w:r>
      <w:r w:rsidRPr="006F525B">
        <w:rPr>
          <w:lang w:val="hu-HU"/>
        </w:rPr>
        <w:t xml:space="preserve">napi kétszer </w:t>
      </w:r>
      <w:r w:rsidR="004F72D1" w:rsidRPr="006F525B">
        <w:rPr>
          <w:lang w:val="hu-HU"/>
        </w:rPr>
        <w:t>50 mg</w:t>
      </w:r>
      <w:r w:rsidRPr="006F525B">
        <w:rPr>
          <w:lang w:val="hu-HU"/>
        </w:rPr>
        <w:t xml:space="preserve"> szitagliptint (teljes napi </w:t>
      </w:r>
      <w:r w:rsidR="001B4610">
        <w:rPr>
          <w:lang w:val="hu-HU"/>
        </w:rPr>
        <w:t>dózis</w:t>
      </w:r>
      <w:r w:rsidR="001B4610" w:rsidRPr="006F525B">
        <w:rPr>
          <w:lang w:val="hu-HU"/>
        </w:rPr>
        <w:t xml:space="preserve"> </w:t>
      </w:r>
      <w:r w:rsidR="004F72D1" w:rsidRPr="006F525B">
        <w:rPr>
          <w:lang w:val="hu-HU"/>
        </w:rPr>
        <w:t>100 mg</w:t>
      </w:r>
      <w:r w:rsidRPr="006F525B">
        <w:rPr>
          <w:lang w:val="hu-HU"/>
        </w:rPr>
        <w:t>) és olyan dózisú metformint kell tartalmaznia, amely hasonló a beteg által szedett dózishoz.</w:t>
      </w:r>
    </w:p>
    <w:p w14:paraId="4E2377D8" w14:textId="77777777" w:rsidR="004F72D1" w:rsidRPr="006F525B" w:rsidRDefault="004F72D1" w:rsidP="006F525B">
      <w:pPr>
        <w:tabs>
          <w:tab w:val="clear" w:pos="567"/>
        </w:tabs>
        <w:spacing w:line="240" w:lineRule="auto"/>
        <w:ind w:left="-5" w:right="8"/>
        <w:rPr>
          <w:lang w:val="hu-HU"/>
        </w:rPr>
      </w:pPr>
    </w:p>
    <w:p w14:paraId="41B980C2"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t>Kettős kombinációs terápiában szereplő inzulin és maximális tolerálható dózisban alkalmazott metformin mellett nem megfelelően beállított vércukorszintű betegek</w:t>
      </w:r>
    </w:p>
    <w:p w14:paraId="048D6833"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1B4610">
        <w:rPr>
          <w:lang w:val="hu-HU"/>
        </w:rPr>
        <w:t>dózisnak</w:t>
      </w:r>
      <w:r w:rsidR="001B4610" w:rsidRPr="006F525B">
        <w:rPr>
          <w:lang w:val="hu-HU"/>
        </w:rPr>
        <w:t xml:space="preserve"> </w:t>
      </w:r>
      <w:r w:rsidRPr="006F525B">
        <w:rPr>
          <w:lang w:val="hu-HU"/>
        </w:rPr>
        <w:t xml:space="preserve">napi kétszeri </w:t>
      </w:r>
      <w:r w:rsidR="004F72D1" w:rsidRPr="006F525B">
        <w:rPr>
          <w:lang w:val="hu-HU"/>
        </w:rPr>
        <w:t>50 mg</w:t>
      </w:r>
      <w:r w:rsidRPr="006F525B">
        <w:rPr>
          <w:lang w:val="hu-HU"/>
        </w:rPr>
        <w:t xml:space="preserve"> szitagliptint kell biztosít</w:t>
      </w:r>
      <w:r w:rsidR="001B4610">
        <w:rPr>
          <w:lang w:val="hu-HU"/>
        </w:rPr>
        <w:t>a</w:t>
      </w:r>
      <w:r w:rsidRPr="006F525B">
        <w:rPr>
          <w:lang w:val="hu-HU"/>
        </w:rPr>
        <w:t>n</w:t>
      </w:r>
      <w:r w:rsidR="001B4610">
        <w:rPr>
          <w:lang w:val="hu-HU"/>
        </w:rPr>
        <w:t>ia</w:t>
      </w:r>
      <w:r w:rsidRPr="006F525B">
        <w:rPr>
          <w:lang w:val="hu-HU"/>
        </w:rPr>
        <w:t xml:space="preserve"> (</w:t>
      </w:r>
      <w:r w:rsidR="004F72D1" w:rsidRPr="006F525B">
        <w:rPr>
          <w:lang w:val="hu-HU"/>
        </w:rPr>
        <w:t>100 mg</w:t>
      </w:r>
      <w:r w:rsidRPr="006F525B">
        <w:rPr>
          <w:lang w:val="hu-HU"/>
        </w:rPr>
        <w:t xml:space="preserve"> teljes napi </w:t>
      </w:r>
      <w:r w:rsidR="001B4610">
        <w:rPr>
          <w:lang w:val="hu-HU"/>
        </w:rPr>
        <w:t>dózis</w:t>
      </w:r>
      <w:r w:rsidRPr="006F525B">
        <w:rPr>
          <w:lang w:val="hu-HU"/>
        </w:rPr>
        <w:t xml:space="preserve">) és a metforminból hasonló </w:t>
      </w:r>
      <w:r w:rsidR="001B4610">
        <w:rPr>
          <w:lang w:val="hu-HU"/>
        </w:rPr>
        <w:t>dózist</w:t>
      </w:r>
      <w:r w:rsidR="001B4610" w:rsidRPr="006F525B">
        <w:rPr>
          <w:lang w:val="hu-HU"/>
        </w:rPr>
        <w:t xml:space="preserve"> </w:t>
      </w:r>
      <w:r w:rsidRPr="006F525B">
        <w:rPr>
          <w:lang w:val="hu-HU"/>
        </w:rPr>
        <w:t xml:space="preserve">ahhoz, amit a beteg már kap. Amennyiben a </w:t>
      </w:r>
      <w:r w:rsidR="00200067">
        <w:rPr>
          <w:lang w:val="hu-HU"/>
        </w:rPr>
        <w:t>JUZIMETTE</w:t>
      </w:r>
      <w:r w:rsidRPr="006F525B">
        <w:rPr>
          <w:lang w:val="hu-HU"/>
        </w:rPr>
        <w:t xml:space="preserve"> inzulinnal kombinációban kerül alkalmazásra, a hypoglykaemia kockázatának csökkentése érdekében az inzulinból csökkentett dózisra lehet szükség (lásd 4.4 pont).</w:t>
      </w:r>
    </w:p>
    <w:p w14:paraId="3FE31836" w14:textId="77777777" w:rsidR="004F72D1" w:rsidRPr="006F525B" w:rsidRDefault="004F72D1" w:rsidP="006F525B">
      <w:pPr>
        <w:tabs>
          <w:tab w:val="clear" w:pos="567"/>
        </w:tabs>
        <w:spacing w:line="240" w:lineRule="auto"/>
        <w:ind w:left="-5" w:right="8"/>
        <w:rPr>
          <w:lang w:val="hu-HU"/>
        </w:rPr>
      </w:pPr>
    </w:p>
    <w:p w14:paraId="0624A57D" w14:textId="77777777" w:rsidR="004E1960" w:rsidRPr="006F525B" w:rsidRDefault="004E1960" w:rsidP="006F525B">
      <w:pPr>
        <w:tabs>
          <w:tab w:val="clear" w:pos="567"/>
        </w:tabs>
        <w:spacing w:line="240" w:lineRule="auto"/>
        <w:ind w:left="-5" w:right="8"/>
        <w:rPr>
          <w:lang w:val="hu-HU"/>
        </w:rPr>
      </w:pPr>
      <w:r w:rsidRPr="006F525B">
        <w:rPr>
          <w:lang w:val="hu-HU"/>
        </w:rPr>
        <w:t xml:space="preserve">A metformin különböző </w:t>
      </w:r>
      <w:r w:rsidR="001B4610">
        <w:rPr>
          <w:lang w:val="hu-HU"/>
        </w:rPr>
        <w:t xml:space="preserve">dózisban történő </w:t>
      </w:r>
      <w:r w:rsidRPr="006F525B">
        <w:rPr>
          <w:lang w:val="hu-HU"/>
        </w:rPr>
        <w:t xml:space="preserve">adagolása érdekében a </w:t>
      </w:r>
      <w:r w:rsidR="00200067">
        <w:rPr>
          <w:lang w:val="hu-HU"/>
        </w:rPr>
        <w:t>JUZIMETTE</w:t>
      </w:r>
      <w:r w:rsidRPr="006F525B">
        <w:rPr>
          <w:lang w:val="hu-HU"/>
        </w:rPr>
        <w:t xml:space="preserve"> </w:t>
      </w:r>
      <w:r w:rsidR="004F72D1" w:rsidRPr="006F525B">
        <w:rPr>
          <w:lang w:val="hu-HU"/>
        </w:rPr>
        <w:t>50 mg</w:t>
      </w:r>
      <w:r w:rsidRPr="006F525B">
        <w:rPr>
          <w:lang w:val="hu-HU"/>
        </w:rPr>
        <w:t xml:space="preserve"> szitagliptin és 8</w:t>
      </w:r>
      <w:r w:rsidR="004F72D1" w:rsidRPr="006F525B">
        <w:rPr>
          <w:lang w:val="hu-HU"/>
        </w:rPr>
        <w:t>50 mg</w:t>
      </w:r>
      <w:r w:rsidRPr="006F525B">
        <w:rPr>
          <w:lang w:val="hu-HU"/>
        </w:rPr>
        <w:t xml:space="preserve"> metformin-hidroklorid vagy </w:t>
      </w:r>
      <w:r w:rsidR="004F72D1" w:rsidRPr="006F525B">
        <w:rPr>
          <w:lang w:val="hu-HU"/>
        </w:rPr>
        <w:t>1000 mg</w:t>
      </w:r>
      <w:r w:rsidRPr="006F525B">
        <w:rPr>
          <w:lang w:val="hu-HU"/>
        </w:rPr>
        <w:t xml:space="preserve"> metformin-hidroklorid hatáserősségekben kerül forgalomba.</w:t>
      </w:r>
    </w:p>
    <w:p w14:paraId="46ED6608" w14:textId="77777777" w:rsidR="00D812FB" w:rsidRPr="006F525B" w:rsidRDefault="00D812FB" w:rsidP="006F525B">
      <w:pPr>
        <w:tabs>
          <w:tab w:val="clear" w:pos="567"/>
        </w:tabs>
        <w:spacing w:line="240" w:lineRule="auto"/>
        <w:ind w:left="-5" w:right="8"/>
        <w:rPr>
          <w:lang w:val="hu-HU"/>
        </w:rPr>
      </w:pPr>
    </w:p>
    <w:p w14:paraId="1C700E89" w14:textId="77777777" w:rsidR="004E1960" w:rsidRPr="006F525B" w:rsidRDefault="004E1960" w:rsidP="006F525B">
      <w:pPr>
        <w:tabs>
          <w:tab w:val="clear" w:pos="567"/>
        </w:tabs>
        <w:spacing w:line="240" w:lineRule="auto"/>
        <w:ind w:left="-5" w:right="8"/>
        <w:rPr>
          <w:lang w:val="hu-HU"/>
        </w:rPr>
      </w:pPr>
      <w:r w:rsidRPr="006F525B">
        <w:rPr>
          <w:lang w:val="hu-HU"/>
        </w:rPr>
        <w:t xml:space="preserve">Minden betegnek folytatnia kell az </w:t>
      </w:r>
      <w:r w:rsidR="001B4610" w:rsidRPr="006F525B">
        <w:rPr>
          <w:lang w:val="hu-HU"/>
        </w:rPr>
        <w:t>ajánlott diétáját</w:t>
      </w:r>
      <w:r w:rsidR="001B4610">
        <w:rPr>
          <w:lang w:val="hu-HU"/>
        </w:rPr>
        <w:t>, amely</w:t>
      </w:r>
      <w:r w:rsidR="001B4610" w:rsidRPr="006F525B">
        <w:rPr>
          <w:lang w:val="hu-HU"/>
        </w:rPr>
        <w:t xml:space="preserve"> </w:t>
      </w:r>
      <w:r w:rsidRPr="006F525B">
        <w:rPr>
          <w:lang w:val="hu-HU"/>
        </w:rPr>
        <w:t>egyenletes napi szénhidrátbevitellel jár.</w:t>
      </w:r>
    </w:p>
    <w:p w14:paraId="11EA5824" w14:textId="77777777" w:rsidR="00D812FB" w:rsidRPr="006F525B" w:rsidRDefault="00D812FB" w:rsidP="006F525B">
      <w:pPr>
        <w:widowControl w:val="0"/>
        <w:tabs>
          <w:tab w:val="clear" w:pos="567"/>
        </w:tabs>
        <w:spacing w:line="240" w:lineRule="auto"/>
        <w:ind w:left="-5" w:right="316" w:hanging="10"/>
        <w:rPr>
          <w:rFonts w:eastAsia="Times New Roman"/>
          <w:snapToGrid/>
          <w:szCs w:val="22"/>
          <w:u w:color="000000"/>
          <w:lang w:val="hu-HU" w:eastAsia="hu-HU"/>
        </w:rPr>
      </w:pPr>
    </w:p>
    <w:p w14:paraId="664423A9" w14:textId="77777777" w:rsidR="004E1960" w:rsidRPr="006F525B" w:rsidRDefault="004E1960" w:rsidP="006F525B">
      <w:pPr>
        <w:widowControl w:val="0"/>
        <w:tabs>
          <w:tab w:val="clear" w:pos="567"/>
        </w:tabs>
        <w:spacing w:line="240" w:lineRule="auto"/>
        <w:ind w:left="-5" w:right="316" w:hanging="10"/>
        <w:rPr>
          <w:rFonts w:eastAsia="Times New Roman"/>
          <w:i/>
          <w:iCs/>
          <w:snapToGrid/>
          <w:szCs w:val="22"/>
          <w:u w:color="000000"/>
          <w:lang w:val="hu-HU" w:eastAsia="hu-HU"/>
        </w:rPr>
      </w:pPr>
      <w:r w:rsidRPr="006F525B">
        <w:rPr>
          <w:rFonts w:eastAsia="Times New Roman"/>
          <w:i/>
          <w:iCs/>
          <w:snapToGrid/>
          <w:szCs w:val="22"/>
          <w:u w:color="000000"/>
          <w:lang w:val="hu-HU" w:eastAsia="hu-HU"/>
        </w:rPr>
        <w:t>Különleges betegcsoportok</w:t>
      </w:r>
    </w:p>
    <w:p w14:paraId="5F18E847" w14:textId="77777777" w:rsidR="00D812FB" w:rsidRPr="006F525B" w:rsidRDefault="00D812FB" w:rsidP="006F525B">
      <w:pPr>
        <w:widowControl w:val="0"/>
        <w:tabs>
          <w:tab w:val="clear" w:pos="567"/>
        </w:tabs>
        <w:spacing w:line="240" w:lineRule="auto"/>
        <w:ind w:left="-5" w:right="316" w:hanging="10"/>
        <w:rPr>
          <w:rFonts w:eastAsia="Times New Roman"/>
          <w:snapToGrid/>
          <w:szCs w:val="22"/>
          <w:u w:color="000000"/>
          <w:lang w:val="hu-HU" w:eastAsia="hu-HU"/>
        </w:rPr>
      </w:pPr>
    </w:p>
    <w:p w14:paraId="5993DC7C" w14:textId="77777777" w:rsidR="004E1960" w:rsidRPr="006F525B" w:rsidRDefault="004E1960" w:rsidP="006F525B">
      <w:pPr>
        <w:widowControl w:val="0"/>
        <w:tabs>
          <w:tab w:val="clear" w:pos="567"/>
        </w:tabs>
        <w:spacing w:line="240" w:lineRule="auto"/>
        <w:ind w:left="-5" w:right="316" w:hanging="10"/>
        <w:rPr>
          <w:rFonts w:eastAsia="Times New Roman"/>
          <w:snapToGrid/>
          <w:szCs w:val="22"/>
          <w:u w:val="single" w:color="000000"/>
          <w:lang w:val="hu-HU" w:eastAsia="hu-HU"/>
        </w:rPr>
      </w:pPr>
      <w:r w:rsidRPr="006F525B">
        <w:rPr>
          <w:rFonts w:eastAsia="Times New Roman"/>
          <w:snapToGrid/>
          <w:szCs w:val="22"/>
          <w:u w:val="single" w:color="000000"/>
          <w:lang w:val="hu-HU" w:eastAsia="hu-HU"/>
        </w:rPr>
        <w:t>Vesekárosodás</w:t>
      </w:r>
    </w:p>
    <w:p w14:paraId="187E6215" w14:textId="77777777" w:rsidR="004E1960" w:rsidRPr="006F525B" w:rsidRDefault="004E1960" w:rsidP="006F525B">
      <w:pPr>
        <w:tabs>
          <w:tab w:val="clear" w:pos="567"/>
        </w:tabs>
        <w:spacing w:line="240" w:lineRule="auto"/>
        <w:ind w:left="-5" w:right="8"/>
        <w:rPr>
          <w:lang w:val="hu-HU"/>
        </w:rPr>
      </w:pPr>
      <w:r w:rsidRPr="006F525B">
        <w:rPr>
          <w:lang w:val="hu-HU"/>
        </w:rPr>
        <w:t>Enyhe vesekárosodásban szenvedő betegeknél (glomerul</w:t>
      </w:r>
      <w:r w:rsidR="00547AFB">
        <w:rPr>
          <w:lang w:val="hu-HU"/>
        </w:rPr>
        <w:t>us</w:t>
      </w:r>
      <w:r w:rsidRPr="006F525B">
        <w:rPr>
          <w:lang w:val="hu-HU"/>
        </w:rPr>
        <w:t xml:space="preserve">filtrációs ráta [GFR] </w:t>
      </w:r>
      <w:r w:rsidR="00D812FB" w:rsidRPr="006F525B">
        <w:rPr>
          <w:lang w:val="hu-HU"/>
        </w:rPr>
        <w:t>≥ </w:t>
      </w:r>
      <w:r w:rsidRPr="006F525B">
        <w:rPr>
          <w:lang w:val="hu-HU"/>
        </w:rPr>
        <w:t>60</w:t>
      </w:r>
      <w:r w:rsidR="00D812FB" w:rsidRPr="006F525B">
        <w:rPr>
          <w:lang w:val="hu-HU"/>
        </w:rPr>
        <w:t> </w:t>
      </w:r>
      <w:r w:rsidRPr="006F525B">
        <w:rPr>
          <w:lang w:val="hu-HU"/>
        </w:rPr>
        <w:t xml:space="preserve">ml/perc) a </w:t>
      </w:r>
      <w:r w:rsidR="00BB23A0">
        <w:rPr>
          <w:lang w:val="hu-HU"/>
        </w:rPr>
        <w:t>dózist</w:t>
      </w:r>
      <w:r w:rsidR="00BB23A0" w:rsidRPr="006F525B">
        <w:rPr>
          <w:lang w:val="hu-HU"/>
        </w:rPr>
        <w:t xml:space="preserve"> </w:t>
      </w:r>
      <w:r w:rsidRPr="006F525B">
        <w:rPr>
          <w:lang w:val="hu-HU"/>
        </w:rPr>
        <w:t>nem szükséges módosítani. A GFR értékét a metformin</w:t>
      </w:r>
      <w:r w:rsidR="00BB23A0">
        <w:rPr>
          <w:lang w:val="hu-HU"/>
        </w:rPr>
        <w:t>-</w:t>
      </w:r>
      <w:r w:rsidRPr="006F525B">
        <w:rPr>
          <w:lang w:val="hu-HU"/>
        </w:rPr>
        <w:t>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rsidR="00D812FB" w:rsidRPr="006F525B">
        <w:rPr>
          <w:lang w:val="hu-HU"/>
        </w:rPr>
        <w:t>–</w:t>
      </w:r>
      <w:r w:rsidRPr="006F525B">
        <w:rPr>
          <w:lang w:val="hu-HU"/>
        </w:rPr>
        <w:t>6</w:t>
      </w:r>
      <w:r w:rsidR="00D812FB" w:rsidRPr="006F525B">
        <w:rPr>
          <w:lang w:val="hu-HU"/>
        </w:rPr>
        <w:t> </w:t>
      </w:r>
      <w:r w:rsidRPr="006F525B">
        <w:rPr>
          <w:lang w:val="hu-HU"/>
        </w:rPr>
        <w:t>havonta történő ellenőrzése szükséges.</w:t>
      </w:r>
    </w:p>
    <w:p w14:paraId="43857BB9" w14:textId="77777777" w:rsidR="003F50F2" w:rsidRPr="006F525B" w:rsidRDefault="003F50F2" w:rsidP="006F525B">
      <w:pPr>
        <w:tabs>
          <w:tab w:val="clear" w:pos="567"/>
        </w:tabs>
        <w:spacing w:line="240" w:lineRule="auto"/>
        <w:ind w:left="-5" w:right="8"/>
        <w:rPr>
          <w:lang w:val="hu-HU"/>
        </w:rPr>
      </w:pPr>
    </w:p>
    <w:p w14:paraId="72E8359B" w14:textId="77777777" w:rsidR="004E1960" w:rsidRPr="006F525B" w:rsidRDefault="004E1960" w:rsidP="006F525B">
      <w:pPr>
        <w:tabs>
          <w:tab w:val="clear" w:pos="567"/>
        </w:tabs>
        <w:spacing w:line="240" w:lineRule="auto"/>
        <w:ind w:left="-5" w:right="8"/>
        <w:rPr>
          <w:lang w:val="hu-HU"/>
        </w:rPr>
      </w:pPr>
      <w:r w:rsidRPr="006F525B">
        <w:rPr>
          <w:lang w:val="hu-HU"/>
        </w:rPr>
        <w:t xml:space="preserve">A metformin maximális napi </w:t>
      </w:r>
      <w:r w:rsidR="00BB23A0">
        <w:rPr>
          <w:lang w:val="hu-HU"/>
        </w:rPr>
        <w:t>dózisát</w:t>
      </w:r>
      <w:r w:rsidR="00BB23A0" w:rsidRPr="006F525B">
        <w:rPr>
          <w:lang w:val="hu-HU"/>
        </w:rPr>
        <w:t xml:space="preserve"> </w:t>
      </w:r>
      <w:r w:rsidRPr="006F525B">
        <w:rPr>
          <w:lang w:val="hu-HU"/>
        </w:rPr>
        <w:t>lehetőleg naponta 2-3 részre kell elosztani. Azon betegeknél, akiknél a GFR &lt;</w:t>
      </w:r>
      <w:r w:rsidR="003F50F2" w:rsidRPr="006F525B">
        <w:rPr>
          <w:lang w:val="hu-HU"/>
        </w:rPr>
        <w:t> </w:t>
      </w:r>
      <w:r w:rsidRPr="006F525B">
        <w:rPr>
          <w:lang w:val="hu-HU"/>
        </w:rPr>
        <w:t>60</w:t>
      </w:r>
      <w:r w:rsidR="003F50F2" w:rsidRPr="006F525B">
        <w:rPr>
          <w:lang w:val="hu-HU"/>
        </w:rPr>
        <w:t> </w:t>
      </w:r>
      <w:r w:rsidRPr="006F525B">
        <w:rPr>
          <w:lang w:val="hu-HU"/>
        </w:rPr>
        <w:t xml:space="preserve">ml/perc, a laktátacidózis kockázatát esetlegesen növelő faktorokat (lásd 4.4 pont) </w:t>
      </w:r>
      <w:r w:rsidR="00BB23A0">
        <w:rPr>
          <w:lang w:val="hu-HU"/>
        </w:rPr>
        <w:t>meg kell vizsgálni</w:t>
      </w:r>
      <w:r w:rsidRPr="006F525B">
        <w:rPr>
          <w:lang w:val="hu-HU"/>
        </w:rPr>
        <w:t>, mielőtt a metformin</w:t>
      </w:r>
      <w:r w:rsidR="00BB23A0">
        <w:rPr>
          <w:lang w:val="hu-HU"/>
        </w:rPr>
        <w:t>-</w:t>
      </w:r>
      <w:r w:rsidRPr="006F525B">
        <w:rPr>
          <w:lang w:val="hu-HU"/>
        </w:rPr>
        <w:t>kezelés megkezdése felmerül.</w:t>
      </w:r>
    </w:p>
    <w:p w14:paraId="515D6D80" w14:textId="77777777" w:rsidR="003F50F2" w:rsidRPr="006F525B" w:rsidRDefault="003F50F2" w:rsidP="006F525B">
      <w:pPr>
        <w:tabs>
          <w:tab w:val="clear" w:pos="567"/>
        </w:tabs>
        <w:spacing w:line="240" w:lineRule="auto"/>
        <w:ind w:left="-5" w:right="8"/>
        <w:rPr>
          <w:lang w:val="hu-HU"/>
        </w:rPr>
      </w:pPr>
    </w:p>
    <w:p w14:paraId="083E9A73" w14:textId="77777777" w:rsidR="00EF65C6" w:rsidRDefault="004E1960" w:rsidP="006F525B">
      <w:pPr>
        <w:tabs>
          <w:tab w:val="clear" w:pos="567"/>
        </w:tabs>
        <w:spacing w:line="240" w:lineRule="auto"/>
        <w:ind w:left="-5" w:right="8"/>
        <w:rPr>
          <w:lang w:val="hu-HU"/>
        </w:rPr>
      </w:pPr>
      <w:r w:rsidRPr="006F525B">
        <w:rPr>
          <w:lang w:val="hu-HU"/>
        </w:rPr>
        <w:t xml:space="preserve">Amennyiben nem áll rendelkezésre a </w:t>
      </w:r>
      <w:r w:rsidR="00200067">
        <w:rPr>
          <w:lang w:val="hu-HU"/>
        </w:rPr>
        <w:t>JUZIMETTE</w:t>
      </w:r>
      <w:r w:rsidRPr="006F525B">
        <w:rPr>
          <w:lang w:val="hu-HU"/>
        </w:rPr>
        <w:t xml:space="preserve"> megfelelő hatáserősségű formája, a fix dózisú kombináció helyett az egyedi monokomponenseket kell alkalmazni.</w:t>
      </w:r>
    </w:p>
    <w:p w14:paraId="64B7E42C" w14:textId="77777777" w:rsidR="004E1960" w:rsidRPr="006F525B" w:rsidRDefault="004E1960" w:rsidP="006F525B">
      <w:pPr>
        <w:tabs>
          <w:tab w:val="clear" w:pos="567"/>
        </w:tabs>
        <w:spacing w:line="240" w:lineRule="auto"/>
        <w:ind w:left="-5" w:right="8"/>
        <w:rPr>
          <w:lang w:val="hu-HU"/>
        </w:rPr>
      </w:pPr>
    </w:p>
    <w:tbl>
      <w:tblPr>
        <w:tblW w:w="9072" w:type="dxa"/>
        <w:jc w:val="center"/>
        <w:tblCellMar>
          <w:top w:w="58" w:type="dxa"/>
          <w:right w:w="115" w:type="dxa"/>
        </w:tblCellMar>
        <w:tblLook w:val="04A0" w:firstRow="1" w:lastRow="0" w:firstColumn="1" w:lastColumn="0" w:noHBand="0" w:noVBand="1"/>
      </w:tblPr>
      <w:tblGrid>
        <w:gridCol w:w="1864"/>
        <w:gridCol w:w="3781"/>
        <w:gridCol w:w="3427"/>
      </w:tblGrid>
      <w:tr w:rsidR="00FB41DE" w:rsidRPr="002749E2" w14:paraId="47C56B88" w14:textId="77777777" w:rsidTr="0008679A">
        <w:trPr>
          <w:trHeight w:val="567"/>
          <w:tblHeader/>
          <w:jc w:val="center"/>
        </w:trPr>
        <w:tc>
          <w:tcPr>
            <w:tcW w:w="1027" w:type="pct"/>
            <w:tcBorders>
              <w:top w:val="single" w:sz="4" w:space="0" w:color="000000"/>
              <w:left w:val="single" w:sz="4" w:space="0" w:color="000000"/>
              <w:bottom w:val="single" w:sz="4" w:space="0" w:color="000000"/>
              <w:right w:val="single" w:sz="4" w:space="0" w:color="000000"/>
            </w:tcBorders>
          </w:tcPr>
          <w:p w14:paraId="7DB9673D" w14:textId="77777777" w:rsidR="004E1960" w:rsidRPr="002749E2" w:rsidRDefault="004E1960" w:rsidP="00BF7A3E">
            <w:pPr>
              <w:keepNext/>
              <w:tabs>
                <w:tab w:val="clear" w:pos="567"/>
              </w:tabs>
              <w:spacing w:line="240" w:lineRule="auto"/>
              <w:rPr>
                <w:rFonts w:eastAsia="Times New Roman"/>
                <w:szCs w:val="22"/>
                <w:lang w:val="hu-HU"/>
              </w:rPr>
            </w:pPr>
            <w:r w:rsidRPr="002749E2">
              <w:rPr>
                <w:rFonts w:eastAsia="Times New Roman"/>
                <w:b/>
                <w:szCs w:val="22"/>
                <w:u w:val="single" w:color="000000"/>
                <w:lang w:val="hu-HU"/>
              </w:rPr>
              <w:lastRenderedPageBreak/>
              <w:t>GFR ml/perc</w:t>
            </w:r>
          </w:p>
          <w:p w14:paraId="4CBA87A5" w14:textId="77777777" w:rsidR="004E1960" w:rsidRPr="002749E2" w:rsidRDefault="004E1960" w:rsidP="00BF7A3E">
            <w:pPr>
              <w:keepNext/>
              <w:tabs>
                <w:tab w:val="clear" w:pos="567"/>
              </w:tabs>
              <w:spacing w:line="240" w:lineRule="auto"/>
              <w:ind w:left="381"/>
              <w:rPr>
                <w:rFonts w:eastAsia="Times New Roman"/>
                <w:szCs w:val="22"/>
                <w:lang w:val="hu-HU"/>
              </w:rPr>
            </w:pPr>
            <w:r w:rsidRPr="002749E2">
              <w:rPr>
                <w:rFonts w:eastAsia="Times New Roman"/>
                <w:szCs w:val="22"/>
                <w:lang w:val="hu-HU"/>
              </w:rPr>
              <w:t xml:space="preserve"> </w:t>
            </w:r>
          </w:p>
        </w:tc>
        <w:tc>
          <w:tcPr>
            <w:tcW w:w="2084" w:type="pct"/>
            <w:tcBorders>
              <w:top w:val="single" w:sz="4" w:space="0" w:color="000000"/>
              <w:left w:val="single" w:sz="4" w:space="0" w:color="000000"/>
              <w:bottom w:val="single" w:sz="4" w:space="0" w:color="000000"/>
              <w:right w:val="single" w:sz="4" w:space="0" w:color="000000"/>
            </w:tcBorders>
          </w:tcPr>
          <w:p w14:paraId="2AF2A1C7" w14:textId="77777777" w:rsidR="004E1960" w:rsidRPr="002749E2" w:rsidRDefault="004E1960" w:rsidP="00BF7A3E">
            <w:pPr>
              <w:keepNext/>
              <w:tabs>
                <w:tab w:val="clear" w:pos="567"/>
              </w:tabs>
              <w:spacing w:line="240" w:lineRule="auto"/>
              <w:rPr>
                <w:rFonts w:eastAsia="Times New Roman"/>
                <w:szCs w:val="22"/>
                <w:lang w:val="hu-HU"/>
              </w:rPr>
            </w:pPr>
            <w:r w:rsidRPr="002749E2">
              <w:rPr>
                <w:rFonts w:eastAsia="Times New Roman"/>
                <w:b/>
                <w:szCs w:val="22"/>
                <w:u w:val="single" w:color="000000"/>
                <w:lang w:val="hu-HU"/>
              </w:rPr>
              <w:t>Metformin</w:t>
            </w:r>
          </w:p>
        </w:tc>
        <w:tc>
          <w:tcPr>
            <w:tcW w:w="1889" w:type="pct"/>
            <w:tcBorders>
              <w:top w:val="single" w:sz="4" w:space="0" w:color="000000"/>
              <w:left w:val="single" w:sz="4" w:space="0" w:color="000000"/>
              <w:bottom w:val="single" w:sz="4" w:space="0" w:color="000000"/>
              <w:right w:val="single" w:sz="4" w:space="0" w:color="000000"/>
            </w:tcBorders>
          </w:tcPr>
          <w:p w14:paraId="39352B28" w14:textId="77777777" w:rsidR="004E1960" w:rsidRPr="002749E2" w:rsidRDefault="004E1960" w:rsidP="00BF7A3E">
            <w:pPr>
              <w:keepNext/>
              <w:tabs>
                <w:tab w:val="clear" w:pos="567"/>
              </w:tabs>
              <w:spacing w:line="240" w:lineRule="auto"/>
              <w:rPr>
                <w:rFonts w:eastAsia="Times New Roman"/>
                <w:szCs w:val="22"/>
                <w:lang w:val="hu-HU"/>
              </w:rPr>
            </w:pPr>
            <w:r w:rsidRPr="002749E2">
              <w:rPr>
                <w:rFonts w:eastAsia="Times New Roman"/>
                <w:b/>
                <w:szCs w:val="22"/>
                <w:u w:val="single" w:color="000000"/>
                <w:lang w:val="hu-HU"/>
              </w:rPr>
              <w:t>Szitagliptin</w:t>
            </w:r>
          </w:p>
        </w:tc>
      </w:tr>
      <w:tr w:rsidR="00FB41DE" w:rsidRPr="002749E2" w14:paraId="17AFEFD4" w14:textId="77777777" w:rsidTr="0008679A">
        <w:trPr>
          <w:trHeight w:val="567"/>
          <w:jc w:val="center"/>
        </w:trPr>
        <w:tc>
          <w:tcPr>
            <w:tcW w:w="1027" w:type="pct"/>
            <w:tcBorders>
              <w:top w:val="single" w:sz="4" w:space="0" w:color="000000"/>
              <w:left w:val="single" w:sz="4" w:space="0" w:color="000000"/>
              <w:bottom w:val="single" w:sz="4" w:space="0" w:color="000000"/>
              <w:right w:val="single" w:sz="4" w:space="0" w:color="000000"/>
            </w:tcBorders>
          </w:tcPr>
          <w:p w14:paraId="7BBB1D9D"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60–89</w:t>
            </w:r>
          </w:p>
        </w:tc>
        <w:tc>
          <w:tcPr>
            <w:tcW w:w="2084" w:type="pct"/>
            <w:tcBorders>
              <w:top w:val="single" w:sz="4" w:space="0" w:color="000000"/>
              <w:left w:val="single" w:sz="4" w:space="0" w:color="000000"/>
              <w:bottom w:val="single" w:sz="4" w:space="0" w:color="000000"/>
              <w:right w:val="single" w:sz="4" w:space="0" w:color="000000"/>
            </w:tcBorders>
          </w:tcPr>
          <w:p w14:paraId="546C0EBD" w14:textId="77777777" w:rsidR="004E1960" w:rsidRPr="002749E2" w:rsidRDefault="004E1960" w:rsidP="0008679A">
            <w:pPr>
              <w:keepNext/>
              <w:tabs>
                <w:tab w:val="clear" w:pos="567"/>
              </w:tabs>
              <w:spacing w:line="240" w:lineRule="auto"/>
              <w:ind w:right="46"/>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3000</w:t>
            </w:r>
            <w:r w:rsidR="003F50F2" w:rsidRPr="002749E2">
              <w:rPr>
                <w:rFonts w:eastAsia="Times New Roman"/>
                <w:i/>
                <w:szCs w:val="22"/>
                <w:lang w:val="hu-HU"/>
              </w:rPr>
              <w:t> </w:t>
            </w:r>
            <w:r w:rsidRPr="002749E2">
              <w:rPr>
                <w:rFonts w:eastAsia="Times New Roman"/>
                <w:i/>
                <w:szCs w:val="22"/>
                <w:lang w:val="hu-HU"/>
              </w:rPr>
              <w:t xml:space="preserve">mg. A </w:t>
            </w:r>
            <w:r w:rsidR="0028794B">
              <w:rPr>
                <w:rFonts w:eastAsia="Times New Roman"/>
                <w:i/>
                <w:szCs w:val="22"/>
                <w:lang w:val="hu-HU"/>
              </w:rPr>
              <w:t>ve</w:t>
            </w:r>
            <w:r w:rsidR="00FF1862">
              <w:rPr>
                <w:rFonts w:eastAsia="Times New Roman"/>
                <w:i/>
                <w:szCs w:val="22"/>
                <w:lang w:val="hu-HU"/>
              </w:rPr>
              <w:t>s</w:t>
            </w:r>
            <w:r w:rsidR="0028794B">
              <w:rPr>
                <w:rFonts w:eastAsia="Times New Roman"/>
                <w:i/>
                <w:szCs w:val="22"/>
                <w:lang w:val="hu-HU"/>
              </w:rPr>
              <w:t>ekárosodáshoz</w:t>
            </w:r>
            <w:r w:rsidRPr="002749E2">
              <w:rPr>
                <w:rFonts w:eastAsia="Times New Roman"/>
                <w:i/>
                <w:szCs w:val="22"/>
                <w:lang w:val="hu-HU"/>
              </w:rPr>
              <w:t xml:space="preserve"> mérten megfontolandó a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csökkentése.</w:t>
            </w:r>
          </w:p>
        </w:tc>
        <w:tc>
          <w:tcPr>
            <w:tcW w:w="1889" w:type="pct"/>
            <w:tcBorders>
              <w:top w:val="single" w:sz="4" w:space="0" w:color="000000"/>
              <w:left w:val="single" w:sz="4" w:space="0" w:color="000000"/>
              <w:bottom w:val="single" w:sz="4" w:space="0" w:color="000000"/>
              <w:right w:val="single" w:sz="4" w:space="0" w:color="000000"/>
            </w:tcBorders>
          </w:tcPr>
          <w:p w14:paraId="507E487E"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004F72D1" w:rsidRPr="002749E2">
              <w:rPr>
                <w:rFonts w:eastAsia="Times New Roman"/>
                <w:i/>
                <w:szCs w:val="22"/>
                <w:lang w:val="hu-HU"/>
              </w:rPr>
              <w:t>100 mg</w:t>
            </w:r>
            <w:r w:rsidRPr="002749E2">
              <w:rPr>
                <w:rFonts w:eastAsia="Times New Roman"/>
                <w:i/>
                <w:szCs w:val="22"/>
                <w:lang w:val="hu-HU"/>
              </w:rPr>
              <w:t>.</w:t>
            </w:r>
          </w:p>
        </w:tc>
      </w:tr>
      <w:tr w:rsidR="00FB41DE" w:rsidRPr="002749E2" w14:paraId="6E0A6E04" w14:textId="77777777" w:rsidTr="0008679A">
        <w:trPr>
          <w:trHeight w:val="567"/>
          <w:jc w:val="center"/>
        </w:trPr>
        <w:tc>
          <w:tcPr>
            <w:tcW w:w="1027" w:type="pct"/>
            <w:tcBorders>
              <w:top w:val="single" w:sz="4" w:space="0" w:color="000000"/>
              <w:left w:val="single" w:sz="4" w:space="0" w:color="000000"/>
              <w:bottom w:val="single" w:sz="4" w:space="0" w:color="000000"/>
              <w:right w:val="single" w:sz="4" w:space="0" w:color="000000"/>
            </w:tcBorders>
          </w:tcPr>
          <w:p w14:paraId="53905AA0"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45–59</w:t>
            </w:r>
          </w:p>
        </w:tc>
        <w:tc>
          <w:tcPr>
            <w:tcW w:w="2084" w:type="pct"/>
            <w:tcBorders>
              <w:top w:val="single" w:sz="4" w:space="0" w:color="000000"/>
              <w:left w:val="single" w:sz="4" w:space="0" w:color="000000"/>
              <w:bottom w:val="single" w:sz="4" w:space="0" w:color="000000"/>
              <w:right w:val="single" w:sz="4" w:space="0" w:color="000000"/>
            </w:tcBorders>
          </w:tcPr>
          <w:p w14:paraId="63F19852" w14:textId="77777777" w:rsidR="004E1960" w:rsidRPr="002749E2" w:rsidRDefault="004E1960" w:rsidP="0008679A">
            <w:pPr>
              <w:keepNext/>
              <w:tabs>
                <w:tab w:val="clear" w:pos="567"/>
              </w:tabs>
              <w:spacing w:line="240" w:lineRule="auto"/>
              <w:ind w:right="382"/>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2000</w:t>
            </w:r>
            <w:r w:rsidR="00FF7732" w:rsidRPr="002749E2">
              <w:rPr>
                <w:rFonts w:eastAsia="Times New Roman"/>
                <w:i/>
                <w:szCs w:val="22"/>
                <w:lang w:val="hu-HU"/>
              </w:rPr>
              <w:t> </w:t>
            </w:r>
            <w:r w:rsidRPr="002749E2">
              <w:rPr>
                <w:rFonts w:eastAsia="Times New Roman"/>
                <w:i/>
                <w:szCs w:val="22"/>
                <w:lang w:val="hu-HU"/>
              </w:rPr>
              <w:t xml:space="preserve">mg. A kezdő dózis legfeljebb a maximális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fele.</w:t>
            </w:r>
          </w:p>
        </w:tc>
        <w:tc>
          <w:tcPr>
            <w:tcW w:w="1889" w:type="pct"/>
            <w:tcBorders>
              <w:top w:val="single" w:sz="4" w:space="0" w:color="000000"/>
              <w:left w:val="single" w:sz="4" w:space="0" w:color="000000"/>
              <w:bottom w:val="single" w:sz="4" w:space="0" w:color="000000"/>
              <w:right w:val="single" w:sz="4" w:space="0" w:color="000000"/>
            </w:tcBorders>
          </w:tcPr>
          <w:p w14:paraId="466D66B8"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004F72D1" w:rsidRPr="002749E2">
              <w:rPr>
                <w:rFonts w:eastAsia="Times New Roman"/>
                <w:i/>
                <w:szCs w:val="22"/>
                <w:lang w:val="hu-HU"/>
              </w:rPr>
              <w:t>100 mg</w:t>
            </w:r>
            <w:r w:rsidRPr="002749E2">
              <w:rPr>
                <w:rFonts w:eastAsia="Times New Roman"/>
                <w:i/>
                <w:szCs w:val="22"/>
                <w:lang w:val="hu-HU"/>
              </w:rPr>
              <w:t>.</w:t>
            </w:r>
          </w:p>
        </w:tc>
      </w:tr>
      <w:tr w:rsidR="00FB41DE" w:rsidRPr="002749E2" w14:paraId="51B71D19" w14:textId="77777777" w:rsidTr="0008679A">
        <w:trPr>
          <w:trHeight w:val="567"/>
          <w:jc w:val="center"/>
        </w:trPr>
        <w:tc>
          <w:tcPr>
            <w:tcW w:w="1027" w:type="pct"/>
            <w:tcBorders>
              <w:top w:val="single" w:sz="4" w:space="0" w:color="000000"/>
              <w:left w:val="single" w:sz="4" w:space="0" w:color="000000"/>
              <w:bottom w:val="single" w:sz="4" w:space="0" w:color="000000"/>
              <w:right w:val="single" w:sz="4" w:space="0" w:color="000000"/>
            </w:tcBorders>
          </w:tcPr>
          <w:p w14:paraId="212B931B"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30</w:t>
            </w:r>
            <w:r w:rsidR="00437FDD" w:rsidRPr="002749E2">
              <w:rPr>
                <w:rFonts w:eastAsia="Times New Roman"/>
                <w:i/>
                <w:szCs w:val="22"/>
                <w:lang w:val="hu-HU"/>
              </w:rPr>
              <w:t>–</w:t>
            </w:r>
            <w:r w:rsidRPr="002749E2">
              <w:rPr>
                <w:rFonts w:eastAsia="Times New Roman"/>
                <w:i/>
                <w:szCs w:val="22"/>
                <w:lang w:val="hu-HU"/>
              </w:rPr>
              <w:t>44</w:t>
            </w:r>
          </w:p>
        </w:tc>
        <w:tc>
          <w:tcPr>
            <w:tcW w:w="2084" w:type="pct"/>
            <w:tcBorders>
              <w:top w:val="single" w:sz="4" w:space="0" w:color="000000"/>
              <w:left w:val="single" w:sz="4" w:space="0" w:color="000000"/>
              <w:bottom w:val="single" w:sz="4" w:space="0" w:color="000000"/>
              <w:right w:val="single" w:sz="4" w:space="0" w:color="000000"/>
            </w:tcBorders>
          </w:tcPr>
          <w:p w14:paraId="1FB72BD5" w14:textId="77777777" w:rsidR="004E1960" w:rsidRPr="002749E2" w:rsidRDefault="004E1960" w:rsidP="0008679A">
            <w:pPr>
              <w:keepNext/>
              <w:tabs>
                <w:tab w:val="clear" w:pos="567"/>
              </w:tabs>
              <w:spacing w:line="240" w:lineRule="auto"/>
              <w:ind w:right="382"/>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004F72D1" w:rsidRPr="002749E2">
              <w:rPr>
                <w:rFonts w:eastAsia="Times New Roman"/>
                <w:i/>
                <w:szCs w:val="22"/>
                <w:lang w:val="hu-HU"/>
              </w:rPr>
              <w:t>1000 mg</w:t>
            </w:r>
            <w:r w:rsidRPr="002749E2">
              <w:rPr>
                <w:rFonts w:eastAsia="Times New Roman"/>
                <w:i/>
                <w:szCs w:val="22"/>
                <w:lang w:val="hu-HU"/>
              </w:rPr>
              <w:t xml:space="preserve">. A kezdő dózis legfeljebb a maximális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fele.</w:t>
            </w:r>
          </w:p>
        </w:tc>
        <w:tc>
          <w:tcPr>
            <w:tcW w:w="1889" w:type="pct"/>
            <w:tcBorders>
              <w:top w:val="single" w:sz="4" w:space="0" w:color="000000"/>
              <w:left w:val="single" w:sz="4" w:space="0" w:color="000000"/>
              <w:bottom w:val="single" w:sz="4" w:space="0" w:color="000000"/>
              <w:right w:val="single" w:sz="4" w:space="0" w:color="000000"/>
            </w:tcBorders>
          </w:tcPr>
          <w:p w14:paraId="5119469F"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004F72D1" w:rsidRPr="002749E2">
              <w:rPr>
                <w:rFonts w:eastAsia="Times New Roman"/>
                <w:i/>
                <w:szCs w:val="22"/>
                <w:lang w:val="hu-HU"/>
              </w:rPr>
              <w:t>50 mg</w:t>
            </w:r>
            <w:r w:rsidRPr="002749E2">
              <w:rPr>
                <w:rFonts w:eastAsia="Times New Roman"/>
                <w:i/>
                <w:szCs w:val="22"/>
                <w:lang w:val="hu-HU"/>
              </w:rPr>
              <w:t>.</w:t>
            </w:r>
          </w:p>
        </w:tc>
      </w:tr>
      <w:tr w:rsidR="00FB41DE" w:rsidRPr="002749E2" w14:paraId="37C080AD" w14:textId="77777777" w:rsidTr="0008679A">
        <w:trPr>
          <w:trHeight w:val="567"/>
          <w:jc w:val="center"/>
        </w:trPr>
        <w:tc>
          <w:tcPr>
            <w:tcW w:w="1027" w:type="pct"/>
            <w:tcBorders>
              <w:top w:val="single" w:sz="4" w:space="0" w:color="000000"/>
              <w:left w:val="single" w:sz="4" w:space="0" w:color="000000"/>
              <w:bottom w:val="single" w:sz="4" w:space="0" w:color="000000"/>
              <w:right w:val="single" w:sz="4" w:space="0" w:color="000000"/>
            </w:tcBorders>
          </w:tcPr>
          <w:p w14:paraId="78E43207"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&lt;</w:t>
            </w:r>
            <w:r w:rsidR="00437FDD" w:rsidRPr="002749E2">
              <w:rPr>
                <w:rFonts w:eastAsia="Times New Roman"/>
                <w:i/>
                <w:szCs w:val="22"/>
                <w:lang w:val="hu-HU"/>
              </w:rPr>
              <w:t> </w:t>
            </w:r>
            <w:r w:rsidRPr="002749E2">
              <w:rPr>
                <w:rFonts w:eastAsia="Times New Roman"/>
                <w:i/>
                <w:szCs w:val="22"/>
                <w:lang w:val="hu-HU"/>
              </w:rPr>
              <w:t>30</w:t>
            </w:r>
          </w:p>
        </w:tc>
        <w:tc>
          <w:tcPr>
            <w:tcW w:w="2084" w:type="pct"/>
            <w:tcBorders>
              <w:top w:val="single" w:sz="4" w:space="0" w:color="000000"/>
              <w:left w:val="single" w:sz="4" w:space="0" w:color="000000"/>
              <w:bottom w:val="single" w:sz="4" w:space="0" w:color="000000"/>
              <w:right w:val="single" w:sz="4" w:space="0" w:color="000000"/>
            </w:tcBorders>
          </w:tcPr>
          <w:p w14:paraId="65603099"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A metformin ellenjavallt.</w:t>
            </w:r>
          </w:p>
        </w:tc>
        <w:tc>
          <w:tcPr>
            <w:tcW w:w="1889" w:type="pct"/>
            <w:tcBorders>
              <w:top w:val="single" w:sz="4" w:space="0" w:color="000000"/>
              <w:left w:val="single" w:sz="4" w:space="0" w:color="000000"/>
              <w:bottom w:val="single" w:sz="4" w:space="0" w:color="000000"/>
              <w:right w:val="single" w:sz="4" w:space="0" w:color="000000"/>
            </w:tcBorders>
          </w:tcPr>
          <w:p w14:paraId="363559BD" w14:textId="77777777" w:rsidR="004E1960" w:rsidRPr="002749E2" w:rsidRDefault="004E1960" w:rsidP="0008679A">
            <w:pPr>
              <w:keepNext/>
              <w:tabs>
                <w:tab w:val="clear" w:pos="567"/>
              </w:tabs>
              <w:spacing w:line="240" w:lineRule="auto"/>
              <w:rPr>
                <w:rFonts w:eastAsia="Times New Roman"/>
                <w:szCs w:val="22"/>
                <w:lang w:val="hu-HU"/>
              </w:rPr>
            </w:pPr>
            <w:r w:rsidRPr="002749E2">
              <w:rPr>
                <w:rFonts w:eastAsia="Times New Roman"/>
                <w:i/>
                <w:szCs w:val="22"/>
                <w:lang w:val="hu-HU"/>
              </w:rPr>
              <w:t xml:space="preserve">A maximális napi </w:t>
            </w:r>
            <w:r w:rsidR="0028794B">
              <w:rPr>
                <w:rFonts w:eastAsia="Times New Roman"/>
                <w:i/>
                <w:szCs w:val="22"/>
                <w:lang w:val="hu-HU"/>
              </w:rPr>
              <w:t>dózis</w:t>
            </w:r>
            <w:r w:rsidR="0028794B" w:rsidRPr="002749E2">
              <w:rPr>
                <w:rFonts w:eastAsia="Times New Roman"/>
                <w:i/>
                <w:szCs w:val="22"/>
                <w:lang w:val="hu-HU"/>
              </w:rPr>
              <w:t xml:space="preserve"> </w:t>
            </w:r>
            <w:r w:rsidRPr="002749E2">
              <w:rPr>
                <w:rFonts w:eastAsia="Times New Roman"/>
                <w:i/>
                <w:szCs w:val="22"/>
                <w:lang w:val="hu-HU"/>
              </w:rPr>
              <w:t>25</w:t>
            </w:r>
            <w:r w:rsidR="006E50F7" w:rsidRPr="002749E2">
              <w:rPr>
                <w:rFonts w:eastAsia="Times New Roman"/>
                <w:i/>
                <w:szCs w:val="22"/>
                <w:lang w:val="hu-HU"/>
              </w:rPr>
              <w:t> </w:t>
            </w:r>
            <w:r w:rsidRPr="002749E2">
              <w:rPr>
                <w:rFonts w:eastAsia="Times New Roman"/>
                <w:i/>
                <w:szCs w:val="22"/>
                <w:lang w:val="hu-HU"/>
              </w:rPr>
              <w:t>mg.</w:t>
            </w:r>
          </w:p>
        </w:tc>
      </w:tr>
    </w:tbl>
    <w:p w14:paraId="6F153E98" w14:textId="77777777" w:rsidR="00FF7732" w:rsidRPr="006F525B" w:rsidRDefault="00FF7732" w:rsidP="006F525B">
      <w:pPr>
        <w:tabs>
          <w:tab w:val="clear" w:pos="567"/>
        </w:tabs>
        <w:spacing w:line="240" w:lineRule="auto"/>
        <w:ind w:left="-5"/>
        <w:rPr>
          <w:i/>
          <w:lang w:val="hu-HU"/>
        </w:rPr>
      </w:pPr>
    </w:p>
    <w:p w14:paraId="1D0F2D94"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Májkárosodás</w:t>
      </w:r>
    </w:p>
    <w:p w14:paraId="6A545104"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00562275" w:rsidRPr="006F525B">
        <w:rPr>
          <w:lang w:val="hu-HU"/>
        </w:rPr>
        <w:t>-</w:t>
      </w:r>
      <w:r w:rsidRPr="006F525B">
        <w:rPr>
          <w:lang w:val="hu-HU"/>
        </w:rPr>
        <w:t>t májkárosodásban szenvedő betegeknél tilos alkalmazni (lásd 5.2 pont).</w:t>
      </w:r>
    </w:p>
    <w:p w14:paraId="3FB506E1" w14:textId="77777777" w:rsidR="00FF7732" w:rsidRPr="006F525B" w:rsidRDefault="00FF7732" w:rsidP="006F525B">
      <w:pPr>
        <w:tabs>
          <w:tab w:val="clear" w:pos="567"/>
        </w:tabs>
        <w:spacing w:line="240" w:lineRule="auto"/>
        <w:ind w:left="-5" w:right="8"/>
        <w:rPr>
          <w:lang w:val="hu-HU"/>
        </w:rPr>
      </w:pPr>
    </w:p>
    <w:p w14:paraId="1ED5CC51"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Idősek</w:t>
      </w:r>
    </w:p>
    <w:p w14:paraId="0B0C0C75" w14:textId="77777777" w:rsidR="004E1960" w:rsidRPr="006F525B" w:rsidRDefault="004E1960" w:rsidP="006F525B">
      <w:pPr>
        <w:tabs>
          <w:tab w:val="clear" w:pos="567"/>
        </w:tabs>
        <w:spacing w:line="240" w:lineRule="auto"/>
        <w:ind w:left="-5" w:right="8"/>
        <w:rPr>
          <w:lang w:val="hu-HU"/>
        </w:rPr>
      </w:pPr>
      <w:r w:rsidRPr="006F525B">
        <w:rPr>
          <w:lang w:val="hu-HU"/>
        </w:rPr>
        <w:t xml:space="preserve">Mivel a metformin és a szitagliptin a vesén keresztül választódik ki, a </w:t>
      </w:r>
      <w:r w:rsidR="00200067">
        <w:rPr>
          <w:lang w:val="hu-HU"/>
        </w:rPr>
        <w:t>JUZIMETTE</w:t>
      </w:r>
      <w:r w:rsidR="00562275" w:rsidRPr="006F525B">
        <w:rPr>
          <w:lang w:val="hu-HU"/>
        </w:rPr>
        <w:t>-</w:t>
      </w:r>
      <w:r w:rsidRPr="006F525B">
        <w:rPr>
          <w:lang w:val="hu-HU"/>
        </w:rPr>
        <w:t>t az életkor előrehaladtával körültekintően kell alkalmazni. A vesefunkció monitorozása a főként idősek körében előforduló és metforminnal összefüggésbe hozható tejsavas acidózis megelőzése érdekében szükséges (lásd 4.3 és 4.4 pont).</w:t>
      </w:r>
    </w:p>
    <w:p w14:paraId="68468D7D" w14:textId="77777777" w:rsidR="00FF7732" w:rsidRPr="006F525B" w:rsidRDefault="00FF7732" w:rsidP="006F525B">
      <w:pPr>
        <w:tabs>
          <w:tab w:val="clear" w:pos="567"/>
        </w:tabs>
        <w:spacing w:line="240" w:lineRule="auto"/>
        <w:ind w:left="-5" w:right="8"/>
        <w:rPr>
          <w:lang w:val="hu-HU"/>
        </w:rPr>
      </w:pPr>
    </w:p>
    <w:p w14:paraId="75AEDBF5" w14:textId="77777777" w:rsidR="004E1960" w:rsidRPr="006F525B" w:rsidRDefault="004E1960" w:rsidP="006F525B">
      <w:pPr>
        <w:tabs>
          <w:tab w:val="clear" w:pos="567"/>
        </w:tabs>
        <w:spacing w:line="240" w:lineRule="auto"/>
        <w:ind w:left="-5"/>
        <w:rPr>
          <w:i/>
          <w:lang w:val="hu-HU"/>
        </w:rPr>
      </w:pPr>
      <w:r w:rsidRPr="006F525B">
        <w:rPr>
          <w:i/>
          <w:lang w:val="hu-HU"/>
        </w:rPr>
        <w:t>Gyermekek és serdülők</w:t>
      </w:r>
    </w:p>
    <w:p w14:paraId="50394741" w14:textId="77777777" w:rsidR="006E50F7" w:rsidRDefault="006E50F7" w:rsidP="006F525B">
      <w:pPr>
        <w:tabs>
          <w:tab w:val="clear" w:pos="567"/>
        </w:tabs>
        <w:spacing w:line="240" w:lineRule="auto"/>
        <w:ind w:left="-5" w:right="8"/>
        <w:rPr>
          <w:lang w:val="hu-HU"/>
        </w:rPr>
      </w:pPr>
    </w:p>
    <w:p w14:paraId="406F6F31"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A4A49" w:rsidRPr="006F525B">
        <w:rPr>
          <w:lang w:val="hu-HU"/>
        </w:rPr>
        <w:t xml:space="preserve">szitagliptin és metformin kombinációja </w:t>
      </w:r>
      <w:r w:rsidRPr="006F525B">
        <w:rPr>
          <w:lang w:val="hu-HU"/>
        </w:rPr>
        <w:t>az elégtelen hatásosságra való tekintettel 10</w:t>
      </w:r>
      <w:r w:rsidR="002A4A49" w:rsidRPr="006F525B">
        <w:rPr>
          <w:lang w:val="hu-HU"/>
        </w:rPr>
        <w:t xml:space="preserve"> és betöltött </w:t>
      </w:r>
      <w:r w:rsidRPr="006F525B">
        <w:rPr>
          <w:lang w:val="hu-HU"/>
        </w:rPr>
        <w:t>18</w:t>
      </w:r>
      <w:r w:rsidR="002A4A49" w:rsidRPr="006F525B">
        <w:rPr>
          <w:lang w:val="hu-HU"/>
        </w:rPr>
        <w:t>.</w:t>
      </w:r>
      <w:r w:rsidRPr="006F525B">
        <w:rPr>
          <w:lang w:val="hu-HU"/>
        </w:rPr>
        <w:t xml:space="preserve"> </w:t>
      </w:r>
      <w:r w:rsidR="00733CC8" w:rsidRPr="006F525B">
        <w:rPr>
          <w:lang w:val="hu-HU"/>
        </w:rPr>
        <w:t>élet</w:t>
      </w:r>
      <w:r w:rsidRPr="006F525B">
        <w:rPr>
          <w:lang w:val="hu-HU"/>
        </w:rPr>
        <w:t>év</w:t>
      </w:r>
      <w:r w:rsidR="002A4A49" w:rsidRPr="006F525B">
        <w:rPr>
          <w:lang w:val="hu-HU"/>
        </w:rPr>
        <w:t xml:space="preserve"> közötti </w:t>
      </w:r>
      <w:r w:rsidRPr="006F525B">
        <w:rPr>
          <w:lang w:val="hu-HU"/>
        </w:rPr>
        <w:t xml:space="preserve">gyermekeknél és serdülőknél nem alkalmazható. A jelenleg rendelkezésre álló adatok leírása a 4.8, 5.1 és 5.2 pontban található. A </w:t>
      </w:r>
      <w:r w:rsidR="00F52F7A" w:rsidRPr="006F525B">
        <w:rPr>
          <w:lang w:val="hu-HU"/>
        </w:rPr>
        <w:t>szitagliptin és metformin kombinációját</w:t>
      </w:r>
      <w:r w:rsidRPr="006F525B">
        <w:rPr>
          <w:lang w:val="hu-HU"/>
        </w:rPr>
        <w:t xml:space="preserve"> nem vizsgálták 10</w:t>
      </w:r>
      <w:r w:rsidR="00A3225B">
        <w:rPr>
          <w:lang w:val="hu-HU"/>
        </w:rPr>
        <w:t> </w:t>
      </w:r>
      <w:r w:rsidRPr="006F525B">
        <w:rPr>
          <w:lang w:val="hu-HU"/>
        </w:rPr>
        <w:t>évesnél fiatalabb gyermekeknél.</w:t>
      </w:r>
    </w:p>
    <w:p w14:paraId="0E0977D5" w14:textId="77777777" w:rsidR="008F20D3" w:rsidRPr="006F525B" w:rsidRDefault="008F20D3" w:rsidP="006F525B">
      <w:pPr>
        <w:tabs>
          <w:tab w:val="clear" w:pos="567"/>
        </w:tabs>
        <w:spacing w:line="240" w:lineRule="auto"/>
        <w:ind w:left="-5"/>
        <w:rPr>
          <w:iCs/>
          <w:lang w:val="hu-HU"/>
        </w:rPr>
      </w:pPr>
    </w:p>
    <w:p w14:paraId="1C46CF5E"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Az alkalmazás módja</w:t>
      </w:r>
    </w:p>
    <w:p w14:paraId="638E0A56" w14:textId="77777777" w:rsidR="006E50F7" w:rsidRDefault="006E50F7" w:rsidP="006F525B">
      <w:pPr>
        <w:tabs>
          <w:tab w:val="clear" w:pos="567"/>
        </w:tabs>
        <w:spacing w:line="240" w:lineRule="auto"/>
        <w:ind w:left="-5" w:right="8"/>
        <w:rPr>
          <w:lang w:val="hu-HU"/>
        </w:rPr>
      </w:pPr>
    </w:p>
    <w:p w14:paraId="5B2F6021" w14:textId="77777777" w:rsidR="004E1960" w:rsidRPr="006F525B" w:rsidRDefault="004E1960" w:rsidP="006F525B">
      <w:pPr>
        <w:tabs>
          <w:tab w:val="clear" w:pos="567"/>
        </w:tabs>
        <w:spacing w:line="240" w:lineRule="auto"/>
        <w:ind w:left="-5" w:right="8"/>
        <w:rPr>
          <w:lang w:val="hu-HU"/>
        </w:rPr>
      </w:pPr>
      <w:r w:rsidRPr="006F525B">
        <w:rPr>
          <w:lang w:val="hu-HU"/>
        </w:rPr>
        <w:t xml:space="preserve">A metforminnal összefüggő gastrointestinalis mellékhatások csökkentése érdekében a </w:t>
      </w:r>
      <w:r w:rsidR="00200067">
        <w:rPr>
          <w:lang w:val="hu-HU"/>
        </w:rPr>
        <w:t>JUZIMETTE</w:t>
      </w:r>
      <w:r w:rsidR="00686416" w:rsidRPr="006F525B">
        <w:rPr>
          <w:lang w:val="hu-HU"/>
        </w:rPr>
        <w:t>-</w:t>
      </w:r>
      <w:r w:rsidRPr="006F525B">
        <w:rPr>
          <w:lang w:val="hu-HU"/>
        </w:rPr>
        <w:t>t naponta kétszer, ét</w:t>
      </w:r>
      <w:r w:rsidR="00777996">
        <w:rPr>
          <w:lang w:val="hu-HU"/>
        </w:rPr>
        <w:t>kezés közben</w:t>
      </w:r>
      <w:r w:rsidRPr="006F525B">
        <w:rPr>
          <w:lang w:val="hu-HU"/>
        </w:rPr>
        <w:t xml:space="preserve"> kell bevenni.</w:t>
      </w:r>
    </w:p>
    <w:p w14:paraId="4387B87E" w14:textId="77777777" w:rsidR="008F20D3" w:rsidRPr="006F525B" w:rsidRDefault="008F20D3" w:rsidP="006F525B">
      <w:pPr>
        <w:tabs>
          <w:tab w:val="clear" w:pos="567"/>
        </w:tabs>
        <w:spacing w:line="240" w:lineRule="auto"/>
        <w:ind w:left="-5" w:right="8"/>
        <w:rPr>
          <w:lang w:val="hu-HU"/>
        </w:rPr>
      </w:pPr>
    </w:p>
    <w:p w14:paraId="48BD7FD5" w14:textId="77777777" w:rsidR="004E1960" w:rsidRPr="006F525B" w:rsidRDefault="004E1960" w:rsidP="006F525B">
      <w:pPr>
        <w:tabs>
          <w:tab w:val="clear" w:pos="567"/>
        </w:tabs>
        <w:spacing w:line="240" w:lineRule="auto"/>
        <w:ind w:left="-15"/>
        <w:rPr>
          <w:b/>
          <w:lang w:val="hu-HU"/>
        </w:rPr>
      </w:pPr>
      <w:r w:rsidRPr="006F525B">
        <w:rPr>
          <w:b/>
          <w:lang w:val="hu-HU"/>
        </w:rPr>
        <w:t>4.3</w:t>
      </w:r>
      <w:r w:rsidRPr="006F525B">
        <w:rPr>
          <w:b/>
          <w:lang w:val="hu-HU"/>
        </w:rPr>
        <w:tab/>
        <w:t>Ellenjavallatok</w:t>
      </w:r>
    </w:p>
    <w:p w14:paraId="28DDE1DA" w14:textId="77777777" w:rsidR="006E50F7" w:rsidRDefault="006E50F7" w:rsidP="006F525B">
      <w:pPr>
        <w:tabs>
          <w:tab w:val="clear" w:pos="567"/>
        </w:tabs>
        <w:spacing w:line="240" w:lineRule="auto"/>
        <w:ind w:left="-5" w:right="8"/>
        <w:rPr>
          <w:lang w:val="hu-HU"/>
        </w:rPr>
      </w:pPr>
    </w:p>
    <w:p w14:paraId="632E2902"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ellenjavallt a következők fennállása esetén:</w:t>
      </w:r>
    </w:p>
    <w:p w14:paraId="7CE81022"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a készítmény hatóanyagaival vagy a 6.1 pontban felsorolt bármely segédanyagával szembeni túlérzékenység (lásd 4.4 és 4.8 pont);</w:t>
      </w:r>
    </w:p>
    <w:p w14:paraId="6DBFE375"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akut metabolikus acidózis bármely formája (például laktátacidózis, diabéteszes ketoacidózis);</w:t>
      </w:r>
    </w:p>
    <w:p w14:paraId="7585EA20"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diabéteszes kómát megelőző állapot;</w:t>
      </w:r>
    </w:p>
    <w:p w14:paraId="2D73B9BF" w14:textId="192BA4BF" w:rsidR="008F20D3" w:rsidRPr="00C859DD" w:rsidRDefault="004E1960" w:rsidP="002749E2">
      <w:pPr>
        <w:numPr>
          <w:ilvl w:val="0"/>
          <w:numId w:val="2"/>
        </w:numPr>
        <w:tabs>
          <w:tab w:val="clear" w:pos="567"/>
        </w:tabs>
        <w:spacing w:line="240" w:lineRule="auto"/>
        <w:ind w:right="8" w:hanging="569"/>
        <w:rPr>
          <w:lang w:val="hu-HU"/>
        </w:rPr>
      </w:pPr>
      <w:r w:rsidRPr="00C859DD">
        <w:rPr>
          <w:lang w:val="hu-HU"/>
        </w:rPr>
        <w:t xml:space="preserve">súlyos </w:t>
      </w:r>
      <w:r w:rsidR="00EF7E90" w:rsidRPr="0008679A">
        <w:rPr>
          <w:lang w:val="hu-HU"/>
        </w:rPr>
        <w:t xml:space="preserve">fokú </w:t>
      </w:r>
      <w:r w:rsidR="002F645C" w:rsidRPr="0008679A">
        <w:rPr>
          <w:lang w:val="hu-HU"/>
        </w:rPr>
        <w:t>vesekárosodás</w:t>
      </w:r>
      <w:r w:rsidR="002F645C" w:rsidRPr="00C859DD">
        <w:rPr>
          <w:lang w:val="hu-HU"/>
        </w:rPr>
        <w:t xml:space="preserve"> </w:t>
      </w:r>
      <w:r w:rsidRPr="00C859DD">
        <w:rPr>
          <w:lang w:val="hu-HU"/>
        </w:rPr>
        <w:t>(GFR &lt;</w:t>
      </w:r>
      <w:r w:rsidR="008F20D3" w:rsidRPr="00C859DD">
        <w:rPr>
          <w:lang w:val="hu-HU"/>
        </w:rPr>
        <w:t> </w:t>
      </w:r>
      <w:r w:rsidRPr="00C859DD">
        <w:rPr>
          <w:lang w:val="hu-HU"/>
        </w:rPr>
        <w:t>30</w:t>
      </w:r>
      <w:r w:rsidR="008F20D3" w:rsidRPr="00C859DD">
        <w:rPr>
          <w:lang w:val="hu-HU"/>
        </w:rPr>
        <w:t> </w:t>
      </w:r>
      <w:r w:rsidRPr="00C859DD">
        <w:rPr>
          <w:lang w:val="hu-HU"/>
        </w:rPr>
        <w:t>ml/perc) (lásd 4.4 pont);</w:t>
      </w:r>
    </w:p>
    <w:p w14:paraId="4BA9B26C"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ab/>
        <w:t>a vesefunkció befolyásolására képes akut állapotok, például:</w:t>
      </w:r>
    </w:p>
    <w:p w14:paraId="482EB180"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kiszáradás,</w:t>
      </w:r>
    </w:p>
    <w:p w14:paraId="425C544A"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súlyos fertőzés,</w:t>
      </w:r>
    </w:p>
    <w:p w14:paraId="6B1A7E16"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sokk,</w:t>
      </w:r>
    </w:p>
    <w:p w14:paraId="7263FEB6" w14:textId="77777777" w:rsidR="008F20D3" w:rsidRPr="006F525B" w:rsidRDefault="004E1960" w:rsidP="002749E2">
      <w:pPr>
        <w:numPr>
          <w:ilvl w:val="0"/>
          <w:numId w:val="2"/>
        </w:numPr>
        <w:tabs>
          <w:tab w:val="clear" w:pos="567"/>
        </w:tabs>
        <w:spacing w:line="240" w:lineRule="auto"/>
        <w:ind w:left="1134" w:right="8" w:hanging="569"/>
        <w:rPr>
          <w:lang w:val="hu-HU"/>
        </w:rPr>
      </w:pPr>
      <w:r w:rsidRPr="006F525B">
        <w:rPr>
          <w:lang w:val="hu-HU"/>
        </w:rPr>
        <w:t>jódtartalmú kontrasztanyag intravaszkuláris alkalmazása (lásd 4.4 pont);</w:t>
      </w:r>
    </w:p>
    <w:p w14:paraId="012F7B8A" w14:textId="7895C26A"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olyan akut vagy krónikus betegség, mely szöveti hypoxiát okozhat, például:</w:t>
      </w:r>
    </w:p>
    <w:p w14:paraId="15A31482"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szív- vagy légzés</w:t>
      </w:r>
      <w:r w:rsidR="002D2A6F">
        <w:rPr>
          <w:lang w:val="hu-HU"/>
        </w:rPr>
        <w:t>i elégtelenség</w:t>
      </w:r>
      <w:r w:rsidRPr="006F525B">
        <w:rPr>
          <w:lang w:val="hu-HU"/>
        </w:rPr>
        <w:t>,</w:t>
      </w:r>
    </w:p>
    <w:p w14:paraId="2C567B9F"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nemrég lezajlott myocardialis infarctus,</w:t>
      </w:r>
    </w:p>
    <w:p w14:paraId="0CD1512D" w14:textId="77777777" w:rsidR="004E1960" w:rsidRPr="006F525B" w:rsidRDefault="004E1960" w:rsidP="002749E2">
      <w:pPr>
        <w:numPr>
          <w:ilvl w:val="0"/>
          <w:numId w:val="2"/>
        </w:numPr>
        <w:tabs>
          <w:tab w:val="clear" w:pos="567"/>
        </w:tabs>
        <w:spacing w:line="240" w:lineRule="auto"/>
        <w:ind w:left="1134" w:right="8" w:hanging="569"/>
        <w:rPr>
          <w:lang w:val="hu-HU"/>
        </w:rPr>
      </w:pPr>
      <w:r w:rsidRPr="006F525B">
        <w:rPr>
          <w:lang w:val="hu-HU"/>
        </w:rPr>
        <w:t>sokk;</w:t>
      </w:r>
    </w:p>
    <w:p w14:paraId="5523F557"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májkárosodás;</w:t>
      </w:r>
    </w:p>
    <w:p w14:paraId="5F87DF76" w14:textId="77777777" w:rsidR="003045D7" w:rsidRPr="006F525B" w:rsidRDefault="004E1960" w:rsidP="002749E2">
      <w:pPr>
        <w:numPr>
          <w:ilvl w:val="0"/>
          <w:numId w:val="2"/>
        </w:numPr>
        <w:tabs>
          <w:tab w:val="clear" w:pos="567"/>
        </w:tabs>
        <w:spacing w:line="240" w:lineRule="auto"/>
        <w:ind w:right="8" w:hanging="569"/>
        <w:rPr>
          <w:lang w:val="hu-HU"/>
        </w:rPr>
      </w:pPr>
      <w:r w:rsidRPr="006F525B">
        <w:rPr>
          <w:lang w:val="hu-HU"/>
        </w:rPr>
        <w:t>akut alkoholos intoxikáció, alkoholizmus;</w:t>
      </w:r>
    </w:p>
    <w:p w14:paraId="7A9493B8" w14:textId="77777777" w:rsidR="004E1960" w:rsidRPr="006F525B" w:rsidRDefault="004E1960" w:rsidP="002749E2">
      <w:pPr>
        <w:numPr>
          <w:ilvl w:val="0"/>
          <w:numId w:val="2"/>
        </w:numPr>
        <w:tabs>
          <w:tab w:val="clear" w:pos="567"/>
        </w:tabs>
        <w:spacing w:line="240" w:lineRule="auto"/>
        <w:ind w:right="8" w:hanging="569"/>
        <w:rPr>
          <w:lang w:val="hu-HU"/>
        </w:rPr>
      </w:pPr>
      <w:r w:rsidRPr="006F525B">
        <w:rPr>
          <w:lang w:val="hu-HU"/>
        </w:rPr>
        <w:t>szoptatás.</w:t>
      </w:r>
    </w:p>
    <w:p w14:paraId="30F40297" w14:textId="77777777" w:rsidR="003045D7" w:rsidRPr="006F525B" w:rsidRDefault="003045D7" w:rsidP="006F525B">
      <w:pPr>
        <w:tabs>
          <w:tab w:val="clear" w:pos="567"/>
        </w:tabs>
        <w:spacing w:line="240" w:lineRule="auto"/>
        <w:ind w:right="8"/>
        <w:rPr>
          <w:lang w:val="hu-HU"/>
        </w:rPr>
      </w:pPr>
    </w:p>
    <w:p w14:paraId="1C14215E" w14:textId="77777777" w:rsidR="004E1960" w:rsidRPr="006F525B" w:rsidRDefault="004E1960" w:rsidP="006F525B">
      <w:pPr>
        <w:tabs>
          <w:tab w:val="clear" w:pos="567"/>
        </w:tabs>
        <w:spacing w:line="240" w:lineRule="auto"/>
        <w:ind w:left="-15"/>
        <w:rPr>
          <w:lang w:val="hu-HU"/>
        </w:rPr>
      </w:pPr>
      <w:r w:rsidRPr="006F525B">
        <w:rPr>
          <w:b/>
          <w:lang w:val="hu-HU"/>
        </w:rPr>
        <w:t>4.4</w:t>
      </w:r>
      <w:r w:rsidRPr="006F525B">
        <w:rPr>
          <w:b/>
          <w:lang w:val="hu-HU"/>
        </w:rPr>
        <w:tab/>
        <w:t>Különleges figyelmeztetések és az alkalmazással kapcsolatos óvintézkedések</w:t>
      </w:r>
    </w:p>
    <w:p w14:paraId="4B50C3B4" w14:textId="77777777" w:rsidR="004E1960" w:rsidRPr="006F525B" w:rsidRDefault="004E1960" w:rsidP="00202958">
      <w:pPr>
        <w:tabs>
          <w:tab w:val="clear" w:pos="567"/>
        </w:tabs>
        <w:spacing w:line="240" w:lineRule="auto"/>
        <w:rPr>
          <w:lang w:val="hu-HU"/>
        </w:rPr>
      </w:pPr>
    </w:p>
    <w:p w14:paraId="74709ED6"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Általános tudnivalók</w:t>
      </w:r>
    </w:p>
    <w:p w14:paraId="1F8A7EC4"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nem alkalmazható 1-es típusú diabéteszben szenvedő betegek esetében és tilos diabéteszes ketoacidózis kezelésére alkalmazni.</w:t>
      </w:r>
    </w:p>
    <w:p w14:paraId="1F2DE4F8" w14:textId="77777777" w:rsidR="003045D7" w:rsidRPr="006F525B" w:rsidRDefault="003045D7" w:rsidP="006F525B">
      <w:pPr>
        <w:tabs>
          <w:tab w:val="clear" w:pos="567"/>
        </w:tabs>
        <w:spacing w:line="240" w:lineRule="auto"/>
        <w:ind w:left="-5" w:right="8"/>
        <w:rPr>
          <w:lang w:val="hu-HU"/>
        </w:rPr>
      </w:pPr>
    </w:p>
    <w:p w14:paraId="3EB5C7AC"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Acut pancreatitis</w:t>
      </w:r>
    </w:p>
    <w:p w14:paraId="5EB9F98F" w14:textId="77777777" w:rsidR="004E1960" w:rsidRPr="006F525B" w:rsidRDefault="004E1960" w:rsidP="006F525B">
      <w:pPr>
        <w:tabs>
          <w:tab w:val="clear" w:pos="567"/>
        </w:tabs>
        <w:spacing w:line="240" w:lineRule="auto"/>
        <w:ind w:left="-5" w:right="8"/>
        <w:rPr>
          <w:lang w:val="hu-HU"/>
        </w:rPr>
      </w:pPr>
      <w:r w:rsidRPr="006F525B">
        <w:rPr>
          <w:lang w:val="hu-HU"/>
        </w:rPr>
        <w:t>A DPP-4</w:t>
      </w:r>
      <w:r w:rsidR="00DB6369">
        <w:rPr>
          <w:lang w:val="hu-HU"/>
        </w:rPr>
        <w:t>-</w:t>
      </w:r>
      <w:r w:rsidRPr="006F525B">
        <w:rPr>
          <w:lang w:val="hu-HU"/>
        </w:rPr>
        <w:t xml:space="preserve">gátlók alkalmazása az acut pancreatitis kialakulásának kockázatával jár. A betegeket tájékoztatni kell az acut pancreatitis jellemző tünetéről, a tartós, erős hasi fájdalomról. A szitagliptin szedésének leállítását követően (szupportív kezeléssel vagy anélkül) a pancreatitis gyógyulását figyelték meg, de nagyon ritka esetekben nekrotizáló vagy haemorrhagiás pancreatitist és/vagy halálesetet is jelentettek. Ha pancreatitis gyanúja áll fenn, a </w:t>
      </w:r>
      <w:r w:rsidR="00200067">
        <w:rPr>
          <w:lang w:val="hu-HU"/>
        </w:rPr>
        <w:t>JUZIMETTE</w:t>
      </w:r>
      <w:r w:rsidRPr="006F525B">
        <w:rPr>
          <w:lang w:val="hu-HU"/>
        </w:rPr>
        <w:t xml:space="preserve"> és más potenciálisan gyanúsítható gyógyszerek szedését abba kell hagyni. Amennyiben acut pancreatitis igazolódik, a </w:t>
      </w:r>
      <w:r w:rsidR="00200067">
        <w:rPr>
          <w:lang w:val="hu-HU"/>
        </w:rPr>
        <w:t>JUZIMETTE</w:t>
      </w:r>
      <w:r w:rsidRPr="006F525B">
        <w:rPr>
          <w:lang w:val="hu-HU"/>
        </w:rPr>
        <w:t xml:space="preserve"> szedését nem szabad újra elkezdeni. Körültekintően kell eljárni olyan betegeknél, akiknek a kórtörténetében pancreatitis szerepel.</w:t>
      </w:r>
    </w:p>
    <w:p w14:paraId="1FA7C841" w14:textId="77777777" w:rsidR="003045D7" w:rsidRPr="006F525B" w:rsidRDefault="003045D7" w:rsidP="006F525B">
      <w:pPr>
        <w:tabs>
          <w:tab w:val="clear" w:pos="567"/>
        </w:tabs>
        <w:spacing w:line="240" w:lineRule="auto"/>
        <w:ind w:left="-5" w:right="8"/>
        <w:rPr>
          <w:lang w:val="hu-HU"/>
        </w:rPr>
      </w:pPr>
    </w:p>
    <w:p w14:paraId="02BA2F46"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Laktátacidózis</w:t>
      </w:r>
    </w:p>
    <w:p w14:paraId="3BB432BF" w14:textId="77777777" w:rsidR="004E1960" w:rsidRPr="006F525B" w:rsidRDefault="004E1960" w:rsidP="006F525B">
      <w:pPr>
        <w:tabs>
          <w:tab w:val="clear" w:pos="567"/>
        </w:tabs>
        <w:spacing w:line="240" w:lineRule="auto"/>
        <w:ind w:left="-5" w:right="8"/>
        <w:rPr>
          <w:lang w:val="hu-HU"/>
        </w:rPr>
      </w:pPr>
      <w:r w:rsidRPr="006F525B">
        <w:rPr>
          <w:lang w:val="hu-HU"/>
        </w:rPr>
        <w:t>A laktátacidózis, amely egy ritka, de súlyos metabolikus szövődmény, leggyakrabban a veseműködés akut ro</w:t>
      </w:r>
      <w:r w:rsidR="00777996">
        <w:rPr>
          <w:lang w:val="hu-HU"/>
        </w:rPr>
        <w:t>mlásakor</w:t>
      </w:r>
      <w:r w:rsidRPr="006F525B">
        <w:rPr>
          <w:lang w:val="hu-HU"/>
        </w:rPr>
        <w:t>, szív- és légzőszervi megbetegedésben vagy szepszisben lép fel. A veseműködés akut ro</w:t>
      </w:r>
      <w:r w:rsidR="00777996">
        <w:rPr>
          <w:lang w:val="hu-HU"/>
        </w:rPr>
        <w:t>mlásakor</w:t>
      </w:r>
      <w:r w:rsidRPr="006F525B">
        <w:rPr>
          <w:lang w:val="hu-HU"/>
        </w:rPr>
        <w:t xml:space="preserve"> a metformin felhalmozódása következik be, ami növeli a laktátacidózis kockázatát.</w:t>
      </w:r>
    </w:p>
    <w:p w14:paraId="0B0BAA93" w14:textId="77777777" w:rsidR="00250AD3" w:rsidRPr="006F525B" w:rsidRDefault="00250AD3" w:rsidP="006F525B">
      <w:pPr>
        <w:tabs>
          <w:tab w:val="clear" w:pos="567"/>
        </w:tabs>
        <w:spacing w:line="240" w:lineRule="auto"/>
        <w:ind w:left="-5" w:right="8"/>
        <w:rPr>
          <w:lang w:val="hu-HU"/>
        </w:rPr>
      </w:pPr>
    </w:p>
    <w:p w14:paraId="599B8412" w14:textId="77777777" w:rsidR="004E1960" w:rsidRPr="006F525B" w:rsidRDefault="004E1960" w:rsidP="006F525B">
      <w:pPr>
        <w:tabs>
          <w:tab w:val="clear" w:pos="567"/>
        </w:tabs>
        <w:spacing w:line="240" w:lineRule="auto"/>
        <w:ind w:left="-5" w:right="8"/>
        <w:rPr>
          <w:lang w:val="hu-HU"/>
        </w:rPr>
      </w:pPr>
      <w:r w:rsidRPr="006F525B">
        <w:rPr>
          <w:lang w:val="hu-HU"/>
        </w:rPr>
        <w:t>Dehidráció (súlyos hányás, hasmenés, láz vagy csökkent folyadékbevitel) esetén a metformin adagolását átmenetileg fel kell függeszteni, és ajánlott felvenni a kapcsolatot egészségügyi szakemberrel.</w:t>
      </w:r>
    </w:p>
    <w:p w14:paraId="3E2688FF" w14:textId="77777777" w:rsidR="00250AD3" w:rsidRPr="006F525B" w:rsidRDefault="00250AD3" w:rsidP="006F525B">
      <w:pPr>
        <w:tabs>
          <w:tab w:val="clear" w:pos="567"/>
        </w:tabs>
        <w:spacing w:line="240" w:lineRule="auto"/>
        <w:ind w:left="-5" w:right="8"/>
        <w:rPr>
          <w:lang w:val="hu-HU"/>
        </w:rPr>
      </w:pPr>
    </w:p>
    <w:p w14:paraId="67626C09" w14:textId="77777777" w:rsidR="004E1960" w:rsidRPr="006F525B" w:rsidRDefault="004E1960" w:rsidP="006F525B">
      <w:pPr>
        <w:tabs>
          <w:tab w:val="clear" w:pos="567"/>
        </w:tabs>
        <w:spacing w:line="240" w:lineRule="auto"/>
        <w:ind w:left="-5" w:right="8"/>
        <w:rPr>
          <w:lang w:val="hu-HU"/>
        </w:rPr>
      </w:pPr>
      <w:r w:rsidRPr="006F525B">
        <w:rPr>
          <w:lang w:val="hu-HU"/>
        </w:rPr>
        <w:t>Metforminnal kezelt betegeknél a veseműködést esetlegesen akutan károsító gyógyszerek (például vérnyomáscsökkentők, vízhajtók és nem-szteroid gyulladáscsökkentők [</w:t>
      </w:r>
      <w:r w:rsidRPr="006F525B">
        <w:rPr>
          <w:i/>
          <w:lang w:val="hu-HU"/>
        </w:rPr>
        <w:t>non steroidal antiinflammatory drugs, NSAIDs</w:t>
      </w:r>
      <w:r w:rsidRPr="006F525B">
        <w:rPr>
          <w:lang w:val="hu-HU"/>
        </w:rPr>
        <w:t>]) adásának megkezdésekor elővigyázatosság szükséges. A laktátacidózis egyéb kockázati tényezői a túlzott alkoholfogyasztás, a májelégtelenség, a rosszul beállított diabétesz, a ketózis, a tartós éhezés és bármilyen, h</w:t>
      </w:r>
      <w:r w:rsidR="004430B5">
        <w:rPr>
          <w:lang w:val="hu-HU"/>
        </w:rPr>
        <w:t>y</w:t>
      </w:r>
      <w:r w:rsidRPr="006F525B">
        <w:rPr>
          <w:lang w:val="hu-HU"/>
        </w:rPr>
        <w:t>poxiával társuló állapot, valamint laktátacidózist kiváltani képes gyógyszerek együttadása (lásd 4.3 és 4.5 pont).</w:t>
      </w:r>
    </w:p>
    <w:p w14:paraId="45D78776" w14:textId="77777777" w:rsidR="00250AD3" w:rsidRPr="006F525B" w:rsidRDefault="00250AD3" w:rsidP="006F525B">
      <w:pPr>
        <w:tabs>
          <w:tab w:val="clear" w:pos="567"/>
        </w:tabs>
        <w:spacing w:line="240" w:lineRule="auto"/>
        <w:ind w:left="-5" w:right="8"/>
        <w:rPr>
          <w:lang w:val="hu-HU"/>
        </w:rPr>
      </w:pPr>
    </w:p>
    <w:p w14:paraId="78748CCF" w14:textId="77777777" w:rsidR="004E1960" w:rsidRPr="006F525B" w:rsidRDefault="004E1960" w:rsidP="006F525B">
      <w:pPr>
        <w:tabs>
          <w:tab w:val="clear" w:pos="567"/>
        </w:tabs>
        <w:spacing w:line="240" w:lineRule="auto"/>
        <w:ind w:left="-5" w:right="8"/>
        <w:rPr>
          <w:lang w:val="hu-HU"/>
        </w:rPr>
      </w:pPr>
      <w:r w:rsidRPr="006F525B">
        <w:rPr>
          <w:lang w:val="hu-HU"/>
        </w:rPr>
        <w:t xml:space="preserve">A betegeket és/vagy gondozóikat tájékoztatni kell a laktátacidózis kockázatáról. A laktátacidózisra jellemző az acidotikus diszpnoe, a hasi fájdalom, az izomgörcsök, az aszténia és a hipotermia, amit kóma követ. Feltételezett tünetek esetén a betegnek abba kell hagynia a metformin szedését, és azonnal orvoshoz kell fordulnia. </w:t>
      </w:r>
      <w:r w:rsidR="004C2591">
        <w:rPr>
          <w:lang w:val="hu-HU"/>
        </w:rPr>
        <w:t>L</w:t>
      </w:r>
      <w:r w:rsidRPr="006F525B">
        <w:rPr>
          <w:lang w:val="hu-HU"/>
        </w:rPr>
        <w:t>aboratóriumi</w:t>
      </w:r>
      <w:r w:rsidR="004C2591">
        <w:rPr>
          <w:lang w:val="hu-HU"/>
        </w:rPr>
        <w:t xml:space="preserve"> d</w:t>
      </w:r>
      <w:r w:rsidR="004C2591" w:rsidRPr="006F525B">
        <w:rPr>
          <w:lang w:val="hu-HU"/>
        </w:rPr>
        <w:t>iagnosztika</w:t>
      </w:r>
      <w:r w:rsidR="004C2591">
        <w:rPr>
          <w:lang w:val="hu-HU"/>
        </w:rPr>
        <w:t>i</w:t>
      </w:r>
      <w:r w:rsidRPr="006F525B">
        <w:rPr>
          <w:lang w:val="hu-HU"/>
        </w:rPr>
        <w:t xml:space="preserve"> eredmény a </w:t>
      </w:r>
      <w:r w:rsidR="00777996">
        <w:rPr>
          <w:lang w:val="hu-HU"/>
        </w:rPr>
        <w:t xml:space="preserve">vér </w:t>
      </w:r>
      <w:r w:rsidRPr="006F525B">
        <w:rPr>
          <w:lang w:val="hu-HU"/>
        </w:rPr>
        <w:t xml:space="preserve">csökkent pH </w:t>
      </w:r>
      <w:r w:rsidR="00777996">
        <w:rPr>
          <w:lang w:val="hu-HU"/>
        </w:rPr>
        <w:t xml:space="preserve">értéke </w:t>
      </w:r>
      <w:r w:rsidRPr="006F525B">
        <w:rPr>
          <w:lang w:val="hu-HU"/>
        </w:rPr>
        <w:t>(&lt;</w:t>
      </w:r>
      <w:r w:rsidR="00250AD3" w:rsidRPr="006F525B">
        <w:rPr>
          <w:lang w:val="hu-HU"/>
        </w:rPr>
        <w:t> </w:t>
      </w:r>
      <w:r w:rsidRPr="006F525B">
        <w:rPr>
          <w:lang w:val="hu-HU"/>
        </w:rPr>
        <w:t>7,35), az emelkedett plazma laktátszint (&gt;</w:t>
      </w:r>
      <w:r w:rsidR="00250AD3" w:rsidRPr="006F525B">
        <w:rPr>
          <w:lang w:val="hu-HU"/>
        </w:rPr>
        <w:t> </w:t>
      </w:r>
      <w:r w:rsidRPr="006F525B">
        <w:rPr>
          <w:lang w:val="hu-HU"/>
        </w:rPr>
        <w:t>5</w:t>
      </w:r>
      <w:r w:rsidR="002D2A6F">
        <w:rPr>
          <w:lang w:val="hu-HU"/>
        </w:rPr>
        <w:t> </w:t>
      </w:r>
      <w:r w:rsidRPr="006F525B">
        <w:rPr>
          <w:lang w:val="hu-HU"/>
        </w:rPr>
        <w:t>mmol/l), valamint az emelkedett anionrés és laktát/piruvát arány.</w:t>
      </w:r>
    </w:p>
    <w:p w14:paraId="2A4AE453" w14:textId="77777777" w:rsidR="00250AD3" w:rsidRDefault="00250AD3" w:rsidP="006F525B">
      <w:pPr>
        <w:tabs>
          <w:tab w:val="clear" w:pos="567"/>
        </w:tabs>
        <w:spacing w:line="240" w:lineRule="auto"/>
        <w:ind w:left="-5" w:right="8"/>
        <w:rPr>
          <w:lang w:val="hu-HU"/>
        </w:rPr>
      </w:pPr>
    </w:p>
    <w:p w14:paraId="127F825E" w14:textId="2651448C" w:rsidR="00FD234F" w:rsidRPr="00737E99" w:rsidRDefault="00FD234F" w:rsidP="00FD234F">
      <w:pPr>
        <w:tabs>
          <w:tab w:val="clear" w:pos="567"/>
        </w:tabs>
        <w:spacing w:line="240" w:lineRule="auto"/>
        <w:ind w:left="-5" w:right="8"/>
        <w:rPr>
          <w:lang w:val="hu-HU"/>
        </w:rPr>
      </w:pPr>
      <w:r w:rsidRPr="006C11D4">
        <w:rPr>
          <w:i/>
          <w:iCs/>
          <w:lang w:val="hu-HU"/>
        </w:rPr>
        <w:t>Mitokondriális betegségben ismerten vagy feltételezetten szenvedő betegek:</w:t>
      </w:r>
    </w:p>
    <w:p w14:paraId="40B8FF21" w14:textId="77777777" w:rsidR="00FD234F" w:rsidRPr="00737E99" w:rsidRDefault="00FD234F" w:rsidP="00FD234F">
      <w:pPr>
        <w:tabs>
          <w:tab w:val="clear" w:pos="567"/>
        </w:tabs>
        <w:spacing w:line="240" w:lineRule="auto"/>
        <w:ind w:left="-5" w:right="8"/>
        <w:rPr>
          <w:lang w:val="hu-HU"/>
        </w:rPr>
      </w:pPr>
      <w:r w:rsidRPr="006C11D4">
        <w:rPr>
          <w:lang w:val="hu-HU"/>
        </w:rPr>
        <w:t xml:space="preserve">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 </w:t>
      </w:r>
    </w:p>
    <w:p w14:paraId="318BE23C" w14:textId="77777777" w:rsidR="00737E99" w:rsidRDefault="00737E99" w:rsidP="00FD234F">
      <w:pPr>
        <w:tabs>
          <w:tab w:val="clear" w:pos="567"/>
        </w:tabs>
        <w:spacing w:line="240" w:lineRule="auto"/>
        <w:ind w:left="-5" w:right="8"/>
        <w:rPr>
          <w:lang w:val="hu-HU"/>
        </w:rPr>
      </w:pPr>
    </w:p>
    <w:p w14:paraId="561ECB4A" w14:textId="5D9D4D94" w:rsidR="000D3BA1" w:rsidRPr="00737E99" w:rsidRDefault="00FD234F" w:rsidP="006F525B">
      <w:pPr>
        <w:tabs>
          <w:tab w:val="clear" w:pos="567"/>
        </w:tabs>
        <w:spacing w:line="240" w:lineRule="auto"/>
        <w:ind w:left="-5" w:right="8"/>
        <w:rPr>
          <w:lang w:val="hu-HU"/>
        </w:rPr>
      </w:pPr>
      <w:r w:rsidRPr="006C11D4">
        <w:rPr>
          <w:lang w:val="hu-HU"/>
        </w:rPr>
        <w:t>Ha a metformin bevételét követően MELAS szindrómára vagy MIDD-re utaló jelek és tünetek alakulnak ki, a metformin adagolását azonnal fel kell függeszteni, és mihamarabb diagnosztikus vizsgálatokat kell elvégezni.</w:t>
      </w:r>
    </w:p>
    <w:p w14:paraId="125BA2F1" w14:textId="77777777" w:rsidR="000D3BA1" w:rsidRPr="006F525B" w:rsidRDefault="000D3BA1" w:rsidP="006F525B">
      <w:pPr>
        <w:tabs>
          <w:tab w:val="clear" w:pos="567"/>
        </w:tabs>
        <w:spacing w:line="240" w:lineRule="auto"/>
        <w:ind w:left="-5" w:right="8"/>
        <w:rPr>
          <w:lang w:val="hu-HU"/>
        </w:rPr>
      </w:pPr>
    </w:p>
    <w:p w14:paraId="16261933"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Veseműködés</w:t>
      </w:r>
    </w:p>
    <w:p w14:paraId="4EA17339" w14:textId="77777777" w:rsidR="004E1960" w:rsidRPr="006F525B" w:rsidRDefault="004E1960" w:rsidP="006F525B">
      <w:pPr>
        <w:tabs>
          <w:tab w:val="clear" w:pos="567"/>
        </w:tabs>
        <w:spacing w:line="240" w:lineRule="auto"/>
        <w:ind w:left="-5" w:right="115"/>
        <w:rPr>
          <w:lang w:val="hu-HU"/>
        </w:rPr>
      </w:pPr>
      <w:r w:rsidRPr="006F525B">
        <w:rPr>
          <w:lang w:val="hu-HU"/>
        </w:rPr>
        <w:t>A GFR</w:t>
      </w:r>
      <w:r w:rsidR="00DB6369">
        <w:rPr>
          <w:lang w:val="hu-HU"/>
        </w:rPr>
        <w:t>-</w:t>
      </w:r>
      <w:r w:rsidRPr="006F525B">
        <w:rPr>
          <w:lang w:val="hu-HU"/>
        </w:rPr>
        <w:t xml:space="preserve">értéket a kezelés megkezdése előtt és a kezelés során rendszeresen ellenőrizni kell (lásd 4.2 pont). A </w:t>
      </w:r>
      <w:r w:rsidR="00200067">
        <w:rPr>
          <w:lang w:val="hu-HU"/>
        </w:rPr>
        <w:t>JUZIMETTE</w:t>
      </w:r>
      <w:r w:rsidRPr="006F525B">
        <w:rPr>
          <w:lang w:val="hu-HU"/>
        </w:rPr>
        <w:t xml:space="preserve"> ellenjavallt azon betegeknél, akiknél a GFR &lt;</w:t>
      </w:r>
      <w:r w:rsidR="00250AD3" w:rsidRPr="006F525B">
        <w:rPr>
          <w:lang w:val="hu-HU"/>
        </w:rPr>
        <w:t> </w:t>
      </w:r>
      <w:r w:rsidRPr="006F525B">
        <w:rPr>
          <w:lang w:val="hu-HU"/>
        </w:rPr>
        <w:t>30</w:t>
      </w:r>
      <w:r w:rsidR="00250AD3" w:rsidRPr="006F525B">
        <w:rPr>
          <w:lang w:val="hu-HU"/>
        </w:rPr>
        <w:t> </w:t>
      </w:r>
      <w:r w:rsidRPr="006F525B">
        <w:rPr>
          <w:lang w:val="hu-HU"/>
        </w:rPr>
        <w:t>ml/perc, és adását átmenetileg fel kell függeszteni olyan állapotokban, amelyek a veseműködést módosítják (lásd 4.3 pont).</w:t>
      </w:r>
    </w:p>
    <w:p w14:paraId="22CE264E" w14:textId="77777777" w:rsidR="00250AD3" w:rsidRPr="006F525B" w:rsidRDefault="00250AD3" w:rsidP="006F525B">
      <w:pPr>
        <w:tabs>
          <w:tab w:val="clear" w:pos="567"/>
        </w:tabs>
        <w:spacing w:line="240" w:lineRule="auto"/>
        <w:ind w:left="-5"/>
        <w:rPr>
          <w:iCs/>
          <w:u w:val="single"/>
          <w:lang w:val="hu-HU"/>
        </w:rPr>
      </w:pPr>
    </w:p>
    <w:p w14:paraId="59A03495"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Hypoglykaemia</w:t>
      </w:r>
    </w:p>
    <w:p w14:paraId="720E2572"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00686416" w:rsidRPr="006F525B">
        <w:rPr>
          <w:lang w:val="hu-HU"/>
        </w:rPr>
        <w:t>-</w:t>
      </w:r>
      <w:r w:rsidRPr="006F525B">
        <w:rPr>
          <w:lang w:val="hu-HU"/>
        </w:rPr>
        <w:t xml:space="preserve">t szulfonilureával vagy inzulinnal kombinációban szedő betegek ki vannak téve a hypoglykaemia </w:t>
      </w:r>
      <w:r w:rsidR="00DB6369">
        <w:rPr>
          <w:lang w:val="hu-HU"/>
        </w:rPr>
        <w:t>kockázatának</w:t>
      </w:r>
      <w:r w:rsidRPr="006F525B">
        <w:rPr>
          <w:lang w:val="hu-HU"/>
        </w:rPr>
        <w:t>, ezért szükségessé válhat náluk a szulfonilurea vagy inzulin dózisának csökkentése.</w:t>
      </w:r>
    </w:p>
    <w:p w14:paraId="23BF8725" w14:textId="77777777" w:rsidR="00250AD3" w:rsidRPr="006F525B" w:rsidRDefault="00250AD3" w:rsidP="006F525B">
      <w:pPr>
        <w:tabs>
          <w:tab w:val="clear" w:pos="567"/>
        </w:tabs>
        <w:spacing w:line="240" w:lineRule="auto"/>
        <w:ind w:left="-5" w:right="8"/>
        <w:rPr>
          <w:lang w:val="hu-HU"/>
        </w:rPr>
      </w:pPr>
    </w:p>
    <w:p w14:paraId="05B04C52"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Túlérzékenységi reakciók</w:t>
      </w:r>
    </w:p>
    <w:p w14:paraId="576C89E7" w14:textId="77777777" w:rsidR="004E1960" w:rsidRPr="006F525B" w:rsidRDefault="004E1960" w:rsidP="006F525B">
      <w:pPr>
        <w:tabs>
          <w:tab w:val="clear" w:pos="567"/>
        </w:tabs>
        <w:spacing w:line="240" w:lineRule="auto"/>
        <w:ind w:left="-5" w:right="8"/>
        <w:rPr>
          <w:lang w:val="hu-HU"/>
        </w:rPr>
      </w:pPr>
      <w:r w:rsidRPr="006F525B">
        <w:rPr>
          <w:lang w:val="hu-HU"/>
        </w:rPr>
        <w:t>Szitagliptinnel kezelt betegeknél a forgalomba hozatalt követően súlyos túlérzékenységi reakciókat jelentettek. E reakciók közé tartoznak az anafilaxia, angio</w:t>
      </w:r>
      <w:r w:rsidR="008E4F31">
        <w:rPr>
          <w:lang w:val="hu-HU"/>
        </w:rPr>
        <w:t>oe</w:t>
      </w:r>
      <w:r w:rsidRPr="006F525B">
        <w:rPr>
          <w:lang w:val="hu-HU"/>
        </w:rPr>
        <w:t>d</w:t>
      </w:r>
      <w:r w:rsidR="008E4F31">
        <w:rPr>
          <w:lang w:val="hu-HU"/>
        </w:rPr>
        <w:t>e</w:t>
      </w:r>
      <w:r w:rsidRPr="006F525B">
        <w:rPr>
          <w:lang w:val="hu-HU"/>
        </w:rPr>
        <w:t>ma és exfoliatív bőrelváltozások, beleértve a Stevens–Johnson-szindrómát. E reakciók a szitagliptinnel történő kezelés megkezdését követő első 3</w:t>
      </w:r>
      <w:r w:rsidR="0012770F" w:rsidRPr="006F525B">
        <w:rPr>
          <w:lang w:val="hu-HU"/>
        </w:rPr>
        <w:t> </w:t>
      </w:r>
      <w:r w:rsidRPr="006F525B">
        <w:rPr>
          <w:lang w:val="hu-HU"/>
        </w:rPr>
        <w:t xml:space="preserve">hónapon belül – egyes jelentések szerint az első </w:t>
      </w:r>
      <w:r w:rsidR="00DB6369">
        <w:rPr>
          <w:lang w:val="hu-HU"/>
        </w:rPr>
        <w:t>dózist</w:t>
      </w:r>
      <w:r w:rsidR="00DB6369" w:rsidRPr="006F525B">
        <w:rPr>
          <w:lang w:val="hu-HU"/>
        </w:rPr>
        <w:t xml:space="preserve"> </w:t>
      </w:r>
      <w:r w:rsidRPr="006F525B">
        <w:rPr>
          <w:lang w:val="hu-HU"/>
        </w:rPr>
        <w:t xml:space="preserve">követően – alakultak ki. Amennyiben túlérzékenységi reakció gyanúja merül fel, a </w:t>
      </w:r>
      <w:r w:rsidR="00200067">
        <w:rPr>
          <w:lang w:val="hu-HU"/>
        </w:rPr>
        <w:t>JUZIMETTE</w:t>
      </w:r>
      <w:r w:rsidRPr="006F525B">
        <w:rPr>
          <w:lang w:val="hu-HU"/>
        </w:rPr>
        <w:t xml:space="preserve"> szedését abba kell hagyni, meg kell állapítani a reakció egyéb lehetséges okait, és a diabétesz kezelésének más módját kell alkalmazni (lásd 4.8 pont).</w:t>
      </w:r>
    </w:p>
    <w:p w14:paraId="79F351E2" w14:textId="77777777" w:rsidR="0012770F" w:rsidRPr="006F525B" w:rsidRDefault="0012770F" w:rsidP="006F525B">
      <w:pPr>
        <w:tabs>
          <w:tab w:val="clear" w:pos="567"/>
        </w:tabs>
        <w:spacing w:line="240" w:lineRule="auto"/>
        <w:ind w:left="-5" w:right="8"/>
        <w:rPr>
          <w:lang w:val="hu-HU"/>
        </w:rPr>
      </w:pPr>
    </w:p>
    <w:p w14:paraId="06994BAF"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Bullosus pemphigoid</w:t>
      </w:r>
    </w:p>
    <w:p w14:paraId="41F9205D" w14:textId="77777777" w:rsidR="004E1960" w:rsidRPr="006F525B" w:rsidRDefault="004E1960" w:rsidP="006F525B">
      <w:pPr>
        <w:tabs>
          <w:tab w:val="clear" w:pos="567"/>
        </w:tabs>
        <w:spacing w:line="240" w:lineRule="auto"/>
        <w:ind w:left="-5" w:right="8"/>
        <w:rPr>
          <w:lang w:val="hu-HU"/>
        </w:rPr>
      </w:pPr>
      <w:r w:rsidRPr="006F525B">
        <w:rPr>
          <w:lang w:val="hu-HU"/>
        </w:rPr>
        <w:t xml:space="preserve">A DPP-4-gátlókat – beleértve a szitagliptint is – szedő betegeknél a forgalomba hozatalt követően bullosus pemphigoidról számoltak be. Ha bullosus pemphigoid gyanúja áll fenn, a </w:t>
      </w:r>
      <w:r w:rsidR="00200067">
        <w:rPr>
          <w:lang w:val="hu-HU"/>
        </w:rPr>
        <w:t>JUZIMETTE</w:t>
      </w:r>
      <w:r w:rsidRPr="006F525B">
        <w:rPr>
          <w:lang w:val="hu-HU"/>
        </w:rPr>
        <w:t xml:space="preserve"> szedését abba kell hagyni.</w:t>
      </w:r>
    </w:p>
    <w:p w14:paraId="0D5B5493" w14:textId="77777777" w:rsidR="0012770F" w:rsidRPr="006F525B" w:rsidRDefault="0012770F" w:rsidP="006F525B">
      <w:pPr>
        <w:tabs>
          <w:tab w:val="clear" w:pos="567"/>
        </w:tabs>
        <w:spacing w:line="240" w:lineRule="auto"/>
        <w:ind w:left="-5" w:right="8"/>
        <w:rPr>
          <w:lang w:val="hu-HU"/>
        </w:rPr>
      </w:pPr>
    </w:p>
    <w:p w14:paraId="03C83524"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Sebészeti beavatkozások</w:t>
      </w:r>
    </w:p>
    <w:p w14:paraId="32AB6039"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adását az általános, spinális vagy epidurális anesztéziával járó műtét idejére fel kell függeszteni. A készítmény leghamarabb 48</w:t>
      </w:r>
      <w:r w:rsidR="0012770F" w:rsidRPr="006F525B">
        <w:rPr>
          <w:lang w:val="hu-HU"/>
        </w:rPr>
        <w:t> </w:t>
      </w:r>
      <w:r w:rsidRPr="006F525B">
        <w:rPr>
          <w:lang w:val="hu-HU"/>
        </w:rPr>
        <w:t>órával a műtét, illetve az orális táplálásra való visszatérés után adható újra, akkor is csak abban az esetben, ha a veseműködést újra ellenőrizték, és az stabilnak bizonyult.</w:t>
      </w:r>
    </w:p>
    <w:p w14:paraId="739742BF" w14:textId="77777777" w:rsidR="0012770F" w:rsidRPr="006F525B" w:rsidRDefault="0012770F" w:rsidP="006F525B">
      <w:pPr>
        <w:tabs>
          <w:tab w:val="clear" w:pos="567"/>
        </w:tabs>
        <w:spacing w:line="240" w:lineRule="auto"/>
        <w:ind w:left="-5" w:right="8"/>
        <w:rPr>
          <w:lang w:val="hu-HU"/>
        </w:rPr>
      </w:pPr>
    </w:p>
    <w:p w14:paraId="0CE883A3" w14:textId="77777777" w:rsidR="004E1960" w:rsidRPr="006F525B" w:rsidRDefault="004E1960" w:rsidP="006F525B">
      <w:pPr>
        <w:tabs>
          <w:tab w:val="clear" w:pos="567"/>
        </w:tabs>
        <w:spacing w:line="240" w:lineRule="auto"/>
        <w:ind w:left="-5"/>
        <w:rPr>
          <w:iCs/>
          <w:u w:val="single"/>
          <w:lang w:val="hu-HU"/>
        </w:rPr>
      </w:pPr>
      <w:r w:rsidRPr="006F525B">
        <w:rPr>
          <w:iCs/>
          <w:u w:val="single"/>
          <w:lang w:val="hu-HU"/>
        </w:rPr>
        <w:t>Jódtartalmú kontrasztanyagok alkalmazása</w:t>
      </w:r>
    </w:p>
    <w:p w14:paraId="4F0ECD92" w14:textId="77777777" w:rsidR="004E1960" w:rsidRPr="006F525B" w:rsidRDefault="004E1960" w:rsidP="006F525B">
      <w:pPr>
        <w:tabs>
          <w:tab w:val="clear" w:pos="567"/>
        </w:tabs>
        <w:spacing w:line="240" w:lineRule="auto"/>
        <w:ind w:left="-5" w:right="8"/>
        <w:rPr>
          <w:lang w:val="hu-HU"/>
        </w:rPr>
      </w:pPr>
      <w:r w:rsidRPr="006F525B">
        <w:rPr>
          <w:lang w:val="hu-HU"/>
        </w:rPr>
        <w:t xml:space="preserve">Jódtartalmú kontrasztanyagok intravaszkuláris alkalmazása kontrasztanyag-indukált nephropathiához vezethet, ami a metformin felhalmozódásával és a laktátacidózis kockázatának növekedésével jár. A </w:t>
      </w:r>
      <w:r w:rsidR="00200067">
        <w:rPr>
          <w:lang w:val="hu-HU"/>
        </w:rPr>
        <w:t>JUZIMETTE</w:t>
      </w:r>
      <w:r w:rsidRPr="006F525B">
        <w:rPr>
          <w:lang w:val="hu-HU"/>
        </w:rPr>
        <w:t xml:space="preserve"> adását fel kell függeszteni a vizsgálatot megelőzően vagy a vizsgálat idejére, és csak legalább 48</w:t>
      </w:r>
      <w:r w:rsidR="00C10B94" w:rsidRPr="006F525B">
        <w:rPr>
          <w:lang w:val="hu-HU"/>
        </w:rPr>
        <w:t> </w:t>
      </w:r>
      <w:r w:rsidRPr="006F525B">
        <w:rPr>
          <w:lang w:val="hu-HU"/>
        </w:rPr>
        <w:t>óra elteltével állítható vissza, akkor is csak abban az esetben, ha a veseműködést újra ellenőrizték, és az stabilnak bizonyult (lásd 4.3 és 4.5 pont).</w:t>
      </w:r>
    </w:p>
    <w:p w14:paraId="05F12D37" w14:textId="77777777" w:rsidR="00C10B94" w:rsidRPr="006F525B" w:rsidRDefault="00C10B94" w:rsidP="006F525B">
      <w:pPr>
        <w:tabs>
          <w:tab w:val="clear" w:pos="567"/>
        </w:tabs>
        <w:spacing w:line="240" w:lineRule="auto"/>
        <w:ind w:left="-5" w:right="8"/>
        <w:rPr>
          <w:lang w:val="hu-HU"/>
        </w:rPr>
      </w:pPr>
    </w:p>
    <w:p w14:paraId="10603BEC" w14:textId="77777777" w:rsidR="00C10B94" w:rsidRPr="006F525B" w:rsidRDefault="004E1960" w:rsidP="006F525B">
      <w:pPr>
        <w:tabs>
          <w:tab w:val="clear" w:pos="567"/>
        </w:tabs>
        <w:spacing w:line="240" w:lineRule="auto"/>
        <w:ind w:left="-5" w:right="8"/>
        <w:rPr>
          <w:u w:val="single" w:color="000000"/>
          <w:lang w:val="hu-HU"/>
        </w:rPr>
      </w:pPr>
      <w:r w:rsidRPr="006F525B">
        <w:rPr>
          <w:u w:val="single" w:color="000000"/>
          <w:lang w:val="hu-HU"/>
        </w:rPr>
        <w:t>Előzőleg már kontrollált 2-es típusú diabéteszben szenvedő betegek klinikai státuszának változása</w:t>
      </w:r>
    </w:p>
    <w:p w14:paraId="56E79544" w14:textId="77777777" w:rsidR="004E1960" w:rsidRPr="006F525B" w:rsidRDefault="004E1960" w:rsidP="006F525B">
      <w:pPr>
        <w:tabs>
          <w:tab w:val="clear" w:pos="567"/>
        </w:tabs>
        <w:spacing w:line="240" w:lineRule="auto"/>
        <w:ind w:left="-5" w:right="8"/>
        <w:rPr>
          <w:lang w:val="hu-HU"/>
        </w:rPr>
      </w:pPr>
      <w:r w:rsidRPr="006F525B">
        <w:rPr>
          <w:lang w:val="hu-HU"/>
        </w:rPr>
        <w:t xml:space="preserve">Azon </w:t>
      </w:r>
      <w:r w:rsidR="00200067">
        <w:rPr>
          <w:lang w:val="hu-HU"/>
        </w:rPr>
        <w:t>JUZIMETTE</w:t>
      </w:r>
      <w:r w:rsidR="00686416" w:rsidRPr="006F525B">
        <w:rPr>
          <w:lang w:val="hu-HU"/>
        </w:rPr>
        <w:t>-</w:t>
      </w:r>
      <w:r w:rsidRPr="006F525B">
        <w:rPr>
          <w:lang w:val="hu-HU"/>
        </w:rPr>
        <w:t xml:space="preserve">t szedő, előzőleg jól kontrollált 2-es típusú diabéteszben szenvedő betegeket, akiknél laboratóriumi rendellenességek vagy klinikai megbetegedés (főként tisztázatlan eredetű vagy nehezen azonosítható betegség) lépnek fel, azonnal ki kell vizsgálni a ketoacidózis vagy tejsavas acidózis jelenlétének megállapítása céljából. A kivizsgálásnak ki kell terjednie a szérum-elektrolitok és ketonok, a vércukorszint, valamint szükség esetén a vér pH, laktát, piruvát és metformin szintjének megállapítására. Az acidózis bármilyen formájának </w:t>
      </w:r>
      <w:r w:rsidR="00DB6369">
        <w:rPr>
          <w:lang w:val="hu-HU"/>
        </w:rPr>
        <w:t>megjelenése</w:t>
      </w:r>
      <w:r w:rsidRPr="006F525B">
        <w:rPr>
          <w:lang w:val="hu-HU"/>
        </w:rPr>
        <w:t xml:space="preserve"> esetén a kezelést azonnal abba kell hagyni és meg kell tenni a megfelelő óvintézkedéseket.</w:t>
      </w:r>
    </w:p>
    <w:p w14:paraId="0D5624F4" w14:textId="77777777" w:rsidR="00C10B94" w:rsidRDefault="00C10B94" w:rsidP="006F525B">
      <w:pPr>
        <w:tabs>
          <w:tab w:val="clear" w:pos="567"/>
        </w:tabs>
        <w:spacing w:line="240" w:lineRule="auto"/>
        <w:ind w:left="-5" w:right="8"/>
        <w:rPr>
          <w:lang w:val="hu-HU"/>
        </w:rPr>
      </w:pPr>
    </w:p>
    <w:p w14:paraId="21A7CB6A" w14:textId="26D2C9AE" w:rsidR="00266DF9" w:rsidRPr="00266DF9" w:rsidRDefault="00266DF9" w:rsidP="0008679A">
      <w:pPr>
        <w:tabs>
          <w:tab w:val="clear" w:pos="567"/>
        </w:tabs>
        <w:spacing w:line="240" w:lineRule="auto"/>
        <w:ind w:left="-5" w:right="8"/>
        <w:rPr>
          <w:lang w:val="hu-HU"/>
        </w:rPr>
      </w:pPr>
      <w:r w:rsidRPr="0008679A">
        <w:rPr>
          <w:u w:val="single"/>
          <w:lang w:val="hu-HU"/>
        </w:rPr>
        <w:t>B</w:t>
      </w:r>
      <w:r w:rsidRPr="0008679A">
        <w:rPr>
          <w:u w:val="single"/>
          <w:vertAlign w:val="subscript"/>
          <w:lang w:val="hu-HU"/>
        </w:rPr>
        <w:t>12</w:t>
      </w:r>
      <w:r w:rsidR="002E6DEC">
        <w:rPr>
          <w:u w:val="single"/>
          <w:lang w:val="hu-HU"/>
        </w:rPr>
        <w:t xml:space="preserve">-vitamin </w:t>
      </w:r>
      <w:r w:rsidRPr="00266DF9">
        <w:rPr>
          <w:u w:val="single"/>
          <w:lang w:val="hu-HU"/>
        </w:rPr>
        <w:t>hiány</w:t>
      </w:r>
    </w:p>
    <w:p w14:paraId="23E15C85" w14:textId="2B98CB35" w:rsidR="00266DF9" w:rsidRDefault="00266DF9" w:rsidP="006F525B">
      <w:pPr>
        <w:tabs>
          <w:tab w:val="clear" w:pos="567"/>
        </w:tabs>
        <w:spacing w:line="240" w:lineRule="auto"/>
        <w:ind w:left="-5" w:right="8"/>
        <w:rPr>
          <w:lang w:val="hu-HU"/>
        </w:rPr>
      </w:pPr>
      <w:r w:rsidRPr="00266DF9">
        <w:rPr>
          <w:lang w:val="hu-HU"/>
        </w:rPr>
        <w:t>A metformin csökkentheti a B</w:t>
      </w:r>
      <w:r w:rsidRPr="0008679A">
        <w:rPr>
          <w:vertAlign w:val="subscript"/>
          <w:lang w:val="hu-HU"/>
        </w:rPr>
        <w:t>12</w:t>
      </w:r>
      <w:r w:rsidRPr="00266DF9">
        <w:rPr>
          <w:lang w:val="hu-HU"/>
        </w:rPr>
        <w:t>-vitamin szérumszintjét. A metformin adagjának, illetve a kezelés időtartamának növelésével és/vagy olyan betegeknél, akiknél B</w:t>
      </w:r>
      <w:r w:rsidRPr="0008679A">
        <w:rPr>
          <w:vertAlign w:val="subscript"/>
          <w:lang w:val="hu-HU"/>
        </w:rPr>
        <w:t>12</w:t>
      </w:r>
      <w:r w:rsidRPr="00266DF9">
        <w:rPr>
          <w:lang w:val="hu-HU"/>
        </w:rPr>
        <w:t>-vitamin-hiányt okozó ismert kockázati tényezők állnak fenn, megemelkedik az alacsony B</w:t>
      </w:r>
      <w:r w:rsidRPr="0008679A">
        <w:rPr>
          <w:vertAlign w:val="subscript"/>
          <w:lang w:val="hu-HU"/>
        </w:rPr>
        <w:t>12</w:t>
      </w:r>
      <w:r w:rsidRPr="00266DF9">
        <w:rPr>
          <w:lang w:val="hu-HU"/>
        </w:rPr>
        <w:t>-vitamin-szint kockázata. B</w:t>
      </w:r>
      <w:r w:rsidRPr="0008679A">
        <w:rPr>
          <w:vertAlign w:val="subscript"/>
          <w:lang w:val="hu-HU"/>
        </w:rPr>
        <w:t>12</w:t>
      </w:r>
      <w:r w:rsidR="00BA4877">
        <w:rPr>
          <w:lang w:val="hu-HU"/>
        </w:rPr>
        <w:t>-</w:t>
      </w:r>
      <w:r w:rsidRPr="00266DF9">
        <w:rPr>
          <w:lang w:val="hu-HU"/>
        </w:rPr>
        <w:t>vitamin-hiány gyanúja (pl. anaemia vagy neuropathia) esetén a B</w:t>
      </w:r>
      <w:r w:rsidRPr="0008679A">
        <w:rPr>
          <w:vertAlign w:val="subscript"/>
          <w:lang w:val="hu-HU"/>
        </w:rPr>
        <w:t>12</w:t>
      </w:r>
      <w:r w:rsidRPr="00266DF9">
        <w:rPr>
          <w:lang w:val="hu-HU"/>
        </w:rPr>
        <w:t>-vitamin-szérumszintet monitorozni kell. A B</w:t>
      </w:r>
      <w:r w:rsidRPr="0008679A">
        <w:rPr>
          <w:vertAlign w:val="subscript"/>
          <w:lang w:val="hu-HU"/>
        </w:rPr>
        <w:t>12</w:t>
      </w:r>
      <w:r w:rsidRPr="00266DF9">
        <w:rPr>
          <w:lang w:val="hu-HU"/>
        </w:rPr>
        <w:t>-vitamin-szint időszakos monitorozása szükséges lehet a B</w:t>
      </w:r>
      <w:r w:rsidRPr="0008679A">
        <w:rPr>
          <w:vertAlign w:val="subscript"/>
          <w:lang w:val="hu-HU"/>
        </w:rPr>
        <w:t>12</w:t>
      </w:r>
      <w:r w:rsidRPr="00266DF9">
        <w:rPr>
          <w:lang w:val="hu-HU"/>
        </w:rPr>
        <w:t>-vitamin-hiányt okozó kockázati tényezők fennállása mellett. A metformin-terápiát addig kell folytatni, amíg a beteg azt tolerálja, és nem áll fenn kontraindikáció, valamint a beteg a hatályos klinikai irányelvek alapján előírt</w:t>
      </w:r>
      <w:r w:rsidR="00FF45E9">
        <w:rPr>
          <w:lang w:val="hu-HU"/>
        </w:rPr>
        <w:t xml:space="preserve"> </w:t>
      </w:r>
      <w:r w:rsidRPr="00266DF9">
        <w:rPr>
          <w:lang w:val="hu-HU"/>
        </w:rPr>
        <w:t>B</w:t>
      </w:r>
      <w:r w:rsidRPr="0008679A">
        <w:rPr>
          <w:vertAlign w:val="subscript"/>
          <w:lang w:val="hu-HU"/>
        </w:rPr>
        <w:t>12</w:t>
      </w:r>
      <w:r w:rsidRPr="00266DF9">
        <w:rPr>
          <w:lang w:val="hu-HU"/>
        </w:rPr>
        <w:t>-vitamin-pótló kezelésben részesül.</w:t>
      </w:r>
    </w:p>
    <w:p w14:paraId="4D5F4783" w14:textId="77777777" w:rsidR="00266DF9" w:rsidRPr="006F525B" w:rsidRDefault="00266DF9" w:rsidP="006F525B">
      <w:pPr>
        <w:tabs>
          <w:tab w:val="clear" w:pos="567"/>
        </w:tabs>
        <w:spacing w:line="240" w:lineRule="auto"/>
        <w:ind w:left="-5" w:right="8"/>
        <w:rPr>
          <w:lang w:val="hu-HU"/>
        </w:rPr>
      </w:pPr>
    </w:p>
    <w:p w14:paraId="3CD4508D" w14:textId="77777777" w:rsidR="004E1960" w:rsidRPr="006F525B" w:rsidRDefault="00C10B94" w:rsidP="006F525B">
      <w:pPr>
        <w:tabs>
          <w:tab w:val="clear" w:pos="567"/>
        </w:tabs>
        <w:spacing w:line="240" w:lineRule="auto"/>
        <w:ind w:left="-5" w:right="8"/>
        <w:rPr>
          <w:u w:val="single" w:color="000000"/>
          <w:lang w:val="hu-HU"/>
        </w:rPr>
      </w:pPr>
      <w:r w:rsidRPr="006F525B">
        <w:rPr>
          <w:u w:val="single" w:color="000000"/>
          <w:lang w:val="hu-HU"/>
        </w:rPr>
        <w:t>Segédanyag</w:t>
      </w:r>
    </w:p>
    <w:p w14:paraId="3822F5A2" w14:textId="77777777" w:rsidR="004E1960" w:rsidRPr="006F525B" w:rsidRDefault="004E1960" w:rsidP="006F525B">
      <w:pPr>
        <w:tabs>
          <w:tab w:val="clear" w:pos="567"/>
        </w:tabs>
        <w:spacing w:line="240" w:lineRule="auto"/>
        <w:ind w:left="-5" w:right="8"/>
        <w:rPr>
          <w:lang w:val="hu-HU"/>
        </w:rPr>
      </w:pPr>
      <w:r w:rsidRPr="006F525B">
        <w:rPr>
          <w:lang w:val="hu-HU"/>
        </w:rPr>
        <w:t>A készítmény kevesebb mint 1</w:t>
      </w:r>
      <w:r w:rsidR="00C10B94" w:rsidRPr="006F525B">
        <w:rPr>
          <w:lang w:val="hu-HU"/>
        </w:rPr>
        <w:t> </w:t>
      </w:r>
      <w:r w:rsidRPr="006F525B">
        <w:rPr>
          <w:lang w:val="hu-HU"/>
        </w:rPr>
        <w:t>mmol (23</w:t>
      </w:r>
      <w:r w:rsidR="00C10B94" w:rsidRPr="006F525B">
        <w:rPr>
          <w:lang w:val="hu-HU"/>
        </w:rPr>
        <w:t> </w:t>
      </w:r>
      <w:r w:rsidRPr="006F525B">
        <w:rPr>
          <w:lang w:val="hu-HU"/>
        </w:rPr>
        <w:t xml:space="preserve">mg) nátriumot tartalmaz </w:t>
      </w:r>
      <w:r w:rsidR="00C10B94" w:rsidRPr="006F525B">
        <w:rPr>
          <w:lang w:val="hu-HU"/>
        </w:rPr>
        <w:t>film</w:t>
      </w:r>
      <w:r w:rsidRPr="006F525B">
        <w:rPr>
          <w:lang w:val="hu-HU"/>
        </w:rPr>
        <w:t>tablettánként, azaz gyakorlatilag „nátriummentes”.</w:t>
      </w:r>
    </w:p>
    <w:p w14:paraId="30361B79" w14:textId="77777777" w:rsidR="00C10B94" w:rsidRPr="006F525B" w:rsidRDefault="00C10B94" w:rsidP="006F525B">
      <w:pPr>
        <w:tabs>
          <w:tab w:val="clear" w:pos="567"/>
        </w:tabs>
        <w:spacing w:line="240" w:lineRule="auto"/>
        <w:ind w:left="-5" w:right="8"/>
        <w:rPr>
          <w:lang w:val="hu-HU"/>
        </w:rPr>
      </w:pPr>
    </w:p>
    <w:p w14:paraId="26C8BFB5" w14:textId="77777777" w:rsidR="004E1960" w:rsidRPr="006F525B" w:rsidRDefault="004E1960" w:rsidP="006F525B">
      <w:pPr>
        <w:tabs>
          <w:tab w:val="clear" w:pos="567"/>
        </w:tabs>
        <w:spacing w:line="240" w:lineRule="auto"/>
        <w:ind w:left="-15"/>
        <w:rPr>
          <w:b/>
          <w:lang w:val="hu-HU"/>
        </w:rPr>
      </w:pPr>
      <w:r w:rsidRPr="006F525B">
        <w:rPr>
          <w:b/>
          <w:lang w:val="hu-HU"/>
        </w:rPr>
        <w:t>4.5</w:t>
      </w:r>
      <w:r w:rsidRPr="006F525B">
        <w:rPr>
          <w:b/>
          <w:lang w:val="hu-HU"/>
        </w:rPr>
        <w:tab/>
        <w:t>Gyógyszerkölcsönhatások és egyéb interakciók</w:t>
      </w:r>
    </w:p>
    <w:p w14:paraId="7E6F58EB" w14:textId="77777777" w:rsidR="00D61BEE" w:rsidRPr="006F525B" w:rsidRDefault="00D61BEE" w:rsidP="006F525B">
      <w:pPr>
        <w:tabs>
          <w:tab w:val="clear" w:pos="567"/>
        </w:tabs>
        <w:spacing w:line="240" w:lineRule="auto"/>
        <w:ind w:left="-5" w:right="8"/>
        <w:rPr>
          <w:lang w:val="hu-HU"/>
        </w:rPr>
      </w:pPr>
    </w:p>
    <w:p w14:paraId="10B32B3B" w14:textId="77777777" w:rsidR="004E1960" w:rsidRPr="006F525B" w:rsidRDefault="004E1960" w:rsidP="006F525B">
      <w:pPr>
        <w:tabs>
          <w:tab w:val="clear" w:pos="567"/>
        </w:tabs>
        <w:spacing w:line="240" w:lineRule="auto"/>
        <w:ind w:left="-5" w:right="8"/>
        <w:rPr>
          <w:lang w:val="hu-HU"/>
        </w:rPr>
      </w:pPr>
      <w:r w:rsidRPr="006F525B">
        <w:rPr>
          <w:lang w:val="hu-HU"/>
        </w:rPr>
        <w:t xml:space="preserve">Szitagliptin (napi kétszer </w:t>
      </w:r>
      <w:r w:rsidR="004F72D1" w:rsidRPr="006F525B">
        <w:rPr>
          <w:lang w:val="hu-HU"/>
        </w:rPr>
        <w:t>50 mg</w:t>
      </w:r>
      <w:r w:rsidRPr="006F525B">
        <w:rPr>
          <w:lang w:val="hu-HU"/>
        </w:rPr>
        <w:t xml:space="preserve">) és a metformin (napi kétszer </w:t>
      </w:r>
      <w:r w:rsidR="004F72D1" w:rsidRPr="006F525B">
        <w:rPr>
          <w:lang w:val="hu-HU"/>
        </w:rPr>
        <w:t>1000 mg</w:t>
      </w:r>
      <w:r w:rsidRPr="006F525B">
        <w:rPr>
          <w:lang w:val="hu-HU"/>
        </w:rPr>
        <w:t xml:space="preserve">) többszörös </w:t>
      </w:r>
      <w:r w:rsidR="00DB6369">
        <w:rPr>
          <w:lang w:val="hu-HU"/>
        </w:rPr>
        <w:t>dózis</w:t>
      </w:r>
      <w:r w:rsidRPr="006F525B">
        <w:rPr>
          <w:lang w:val="hu-HU"/>
        </w:rPr>
        <w:t>ának együttes alkalmazása 2-es típusú diabéteszben szenvedő betegekn</w:t>
      </w:r>
      <w:r w:rsidR="00DB6369">
        <w:rPr>
          <w:lang w:val="hu-HU"/>
        </w:rPr>
        <w:t>él</w:t>
      </w:r>
      <w:r w:rsidRPr="006F525B">
        <w:rPr>
          <w:lang w:val="hu-HU"/>
        </w:rPr>
        <w:t xml:space="preserve"> sem a szitagliptin, sem a metformin farmakokinetikáját nem változtatta meg jelentős mértékben.</w:t>
      </w:r>
    </w:p>
    <w:p w14:paraId="448E33A6" w14:textId="77777777" w:rsidR="00D61BEE" w:rsidRPr="006F525B" w:rsidRDefault="00D61BEE" w:rsidP="006F525B">
      <w:pPr>
        <w:tabs>
          <w:tab w:val="clear" w:pos="567"/>
        </w:tabs>
        <w:spacing w:line="240" w:lineRule="auto"/>
        <w:ind w:left="-5" w:right="124"/>
        <w:rPr>
          <w:lang w:val="hu-HU"/>
        </w:rPr>
      </w:pPr>
    </w:p>
    <w:p w14:paraId="1E605082" w14:textId="77777777" w:rsidR="00D61BEE" w:rsidRPr="006F525B" w:rsidRDefault="004E1960" w:rsidP="006F525B">
      <w:pPr>
        <w:tabs>
          <w:tab w:val="clear" w:pos="567"/>
        </w:tabs>
        <w:spacing w:line="240" w:lineRule="auto"/>
        <w:ind w:left="-5" w:right="124"/>
        <w:rPr>
          <w:lang w:val="hu-HU"/>
        </w:rPr>
      </w:pPr>
      <w:r w:rsidRPr="006F525B">
        <w:rPr>
          <w:lang w:val="hu-HU"/>
        </w:rPr>
        <w:t xml:space="preserve">A </w:t>
      </w:r>
      <w:r w:rsidR="00200067">
        <w:rPr>
          <w:lang w:val="hu-HU"/>
        </w:rPr>
        <w:t>JUZIMETTE</w:t>
      </w:r>
      <w:r w:rsidR="00686416" w:rsidRPr="006F525B">
        <w:rPr>
          <w:lang w:val="hu-HU"/>
        </w:rPr>
        <w:t>-v</w:t>
      </w:r>
      <w:r w:rsidR="00846040">
        <w:rPr>
          <w:lang w:val="hu-HU"/>
        </w:rPr>
        <w:t>e</w:t>
      </w:r>
      <w:r w:rsidR="00686416" w:rsidRPr="006F525B">
        <w:rPr>
          <w:lang w:val="hu-HU"/>
        </w:rPr>
        <w:t>l</w:t>
      </w:r>
      <w:r w:rsidRPr="006F525B">
        <w:rPr>
          <w:lang w:val="hu-HU"/>
        </w:rPr>
        <w:t xml:space="preserve"> farmakokinetikai gyógyszer-interakciós vizsgálatokat nem végeztek, azonban különálló hatóanyagaival, a szitagliptinnel és metforminnal folytattak ilyen jellegű vizsgálatokat.</w:t>
      </w:r>
    </w:p>
    <w:p w14:paraId="6FFD3F99" w14:textId="77777777" w:rsidR="00D61BEE" w:rsidRPr="006F525B" w:rsidRDefault="00D61BEE" w:rsidP="006F525B">
      <w:pPr>
        <w:tabs>
          <w:tab w:val="clear" w:pos="567"/>
        </w:tabs>
        <w:spacing w:line="240" w:lineRule="auto"/>
        <w:ind w:left="-5" w:right="124"/>
        <w:rPr>
          <w:lang w:val="hu-HU"/>
        </w:rPr>
      </w:pPr>
    </w:p>
    <w:p w14:paraId="617DCF82" w14:textId="77777777" w:rsidR="004E1960" w:rsidRPr="006F525B" w:rsidRDefault="004E1960" w:rsidP="006F525B">
      <w:pPr>
        <w:tabs>
          <w:tab w:val="clear" w:pos="567"/>
        </w:tabs>
        <w:spacing w:line="240" w:lineRule="auto"/>
        <w:ind w:left="-5" w:right="124"/>
        <w:rPr>
          <w:lang w:val="hu-HU"/>
        </w:rPr>
      </w:pPr>
      <w:r w:rsidRPr="006F525B">
        <w:rPr>
          <w:u w:val="single" w:color="000000"/>
          <w:lang w:val="hu-HU"/>
        </w:rPr>
        <w:t>Együttadás nem ajánlott</w:t>
      </w:r>
    </w:p>
    <w:p w14:paraId="328EA30A" w14:textId="77777777" w:rsidR="00D61BEE" w:rsidRPr="006F525B" w:rsidRDefault="00D61BEE" w:rsidP="006F525B">
      <w:pPr>
        <w:tabs>
          <w:tab w:val="clear" w:pos="567"/>
        </w:tabs>
        <w:spacing w:line="240" w:lineRule="auto"/>
        <w:ind w:left="-5" w:right="8"/>
        <w:rPr>
          <w:lang w:val="hu-HU"/>
        </w:rPr>
      </w:pPr>
    </w:p>
    <w:p w14:paraId="2511974B" w14:textId="77777777" w:rsidR="004E1960" w:rsidRPr="006F525B" w:rsidRDefault="004E1960" w:rsidP="006F525B">
      <w:pPr>
        <w:tabs>
          <w:tab w:val="clear" w:pos="567"/>
        </w:tabs>
        <w:spacing w:line="240" w:lineRule="auto"/>
        <w:ind w:left="-5" w:right="8"/>
        <w:rPr>
          <w:lang w:val="hu-HU"/>
        </w:rPr>
      </w:pPr>
      <w:r w:rsidRPr="006F525B">
        <w:rPr>
          <w:lang w:val="hu-HU"/>
        </w:rPr>
        <w:t>Alkohol</w:t>
      </w:r>
    </w:p>
    <w:p w14:paraId="2EE5D7DD" w14:textId="77777777" w:rsidR="004E1960" w:rsidRPr="006F525B" w:rsidRDefault="004E1960" w:rsidP="006F525B">
      <w:pPr>
        <w:tabs>
          <w:tab w:val="clear" w:pos="567"/>
        </w:tabs>
        <w:spacing w:line="240" w:lineRule="auto"/>
        <w:ind w:left="-5" w:right="8"/>
        <w:rPr>
          <w:lang w:val="hu-HU"/>
        </w:rPr>
      </w:pPr>
      <w:r w:rsidRPr="006F525B">
        <w:rPr>
          <w:lang w:val="hu-HU"/>
        </w:rPr>
        <w:t>Az alkoholintoxikáció fokozza a laktátacidózis kockázatát, különösen éhezés, alultápláltság vagy májkárosodás fennállásakor.</w:t>
      </w:r>
    </w:p>
    <w:p w14:paraId="4296F4EE" w14:textId="77777777" w:rsidR="00D61BEE" w:rsidRPr="006F525B" w:rsidRDefault="00D61BEE" w:rsidP="006F525B">
      <w:pPr>
        <w:tabs>
          <w:tab w:val="clear" w:pos="567"/>
        </w:tabs>
        <w:spacing w:line="240" w:lineRule="auto"/>
        <w:ind w:left="-5" w:right="8"/>
        <w:rPr>
          <w:lang w:val="hu-HU"/>
        </w:rPr>
      </w:pPr>
    </w:p>
    <w:p w14:paraId="343F186B" w14:textId="77777777" w:rsidR="004E1960" w:rsidRPr="006F525B" w:rsidRDefault="004E1960" w:rsidP="006F525B">
      <w:pPr>
        <w:tabs>
          <w:tab w:val="clear" w:pos="567"/>
        </w:tabs>
        <w:spacing w:line="240" w:lineRule="auto"/>
        <w:ind w:left="-5" w:right="8"/>
        <w:rPr>
          <w:lang w:val="hu-HU"/>
        </w:rPr>
      </w:pPr>
      <w:r w:rsidRPr="006F525B">
        <w:rPr>
          <w:lang w:val="hu-HU"/>
        </w:rPr>
        <w:t>Jódtartalmú kontrasztanyagok</w:t>
      </w:r>
    </w:p>
    <w:p w14:paraId="73987F0F"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adását fel kell függeszteni a vizsgálatot megelőzően vagy a vizsgálat idejére, és csak legalább 48</w:t>
      </w:r>
      <w:r w:rsidR="002D2A6F">
        <w:rPr>
          <w:lang w:val="hu-HU"/>
        </w:rPr>
        <w:t> </w:t>
      </w:r>
      <w:r w:rsidRPr="006F525B">
        <w:rPr>
          <w:lang w:val="hu-HU"/>
        </w:rPr>
        <w:t>óra elteltével állítható vissza, akkor is csak abban az esetben, ha a veseműködést újra ellenőrizték, és az stabilnak bizonyult (lásd 4.3 és 4.4 pont).</w:t>
      </w:r>
    </w:p>
    <w:p w14:paraId="3C4F5983" w14:textId="77777777" w:rsidR="00DA645B" w:rsidRPr="006F525B" w:rsidRDefault="00DA645B" w:rsidP="006F525B">
      <w:pPr>
        <w:tabs>
          <w:tab w:val="clear" w:pos="567"/>
        </w:tabs>
        <w:spacing w:line="240" w:lineRule="auto"/>
        <w:ind w:left="-5" w:right="8"/>
        <w:rPr>
          <w:lang w:val="hu-HU"/>
        </w:rPr>
      </w:pPr>
    </w:p>
    <w:p w14:paraId="4B29C231" w14:textId="77777777" w:rsidR="004E1960" w:rsidRPr="006F525B" w:rsidRDefault="005E6043" w:rsidP="006F525B">
      <w:pPr>
        <w:tabs>
          <w:tab w:val="clear" w:pos="567"/>
        </w:tabs>
        <w:spacing w:line="240" w:lineRule="auto"/>
        <w:ind w:left="-5" w:right="124"/>
        <w:rPr>
          <w:u w:val="single" w:color="000000"/>
          <w:lang w:val="hu-HU"/>
        </w:rPr>
      </w:pPr>
      <w:r>
        <w:rPr>
          <w:u w:val="single" w:color="000000"/>
          <w:lang w:val="hu-HU"/>
        </w:rPr>
        <w:t>Elővigyáz</w:t>
      </w:r>
      <w:r w:rsidR="004E1960" w:rsidRPr="006F525B">
        <w:rPr>
          <w:u w:val="single" w:color="000000"/>
          <w:lang w:val="hu-HU"/>
        </w:rPr>
        <w:t>atossággal adható kombinációk</w:t>
      </w:r>
    </w:p>
    <w:p w14:paraId="1C0BB635" w14:textId="77777777" w:rsidR="00DA645B" w:rsidRPr="006F525B" w:rsidRDefault="00DA645B" w:rsidP="006F525B">
      <w:pPr>
        <w:tabs>
          <w:tab w:val="clear" w:pos="567"/>
        </w:tabs>
        <w:spacing w:line="240" w:lineRule="auto"/>
        <w:ind w:left="-5" w:right="8"/>
        <w:rPr>
          <w:lang w:val="hu-HU"/>
        </w:rPr>
      </w:pPr>
    </w:p>
    <w:p w14:paraId="0859D205" w14:textId="77777777" w:rsidR="004E1960" w:rsidRPr="006F525B" w:rsidRDefault="004E1960" w:rsidP="006F525B">
      <w:pPr>
        <w:tabs>
          <w:tab w:val="clear" w:pos="567"/>
        </w:tabs>
        <w:spacing w:line="240" w:lineRule="auto"/>
        <w:ind w:left="-5" w:right="8"/>
        <w:rPr>
          <w:lang w:val="hu-HU"/>
        </w:rPr>
      </w:pPr>
      <w:r w:rsidRPr="006F525B">
        <w:rPr>
          <w:lang w:val="hu-HU"/>
        </w:rPr>
        <w:t xml:space="preserve">Egyes gyógyszerek, például az NSAID-ok, köztük a szelektív ciklooxigenáz (COX)-2-inhibitorok, az ACE-gátlók, az angiotenzin-II-receptor-blokkolók, valamint a vízhajtók, különösen a kacsdiuretikumok károsan befolyásolhatják a veseműködést, és ezáltal növelhetik a laktátacidózis kockázatát. Ezen készítmények metforminnal együttes adásának megkezdésekor, </w:t>
      </w:r>
      <w:r w:rsidR="000333A8" w:rsidRPr="006F525B">
        <w:rPr>
          <w:lang w:val="hu-HU"/>
        </w:rPr>
        <w:t>és</w:t>
      </w:r>
      <w:r w:rsidR="00C94F99" w:rsidRPr="006F525B">
        <w:rPr>
          <w:lang w:val="hu-HU"/>
        </w:rPr>
        <w:t xml:space="preserve"> </w:t>
      </w:r>
      <w:r w:rsidRPr="006F525B">
        <w:rPr>
          <w:lang w:val="hu-HU"/>
        </w:rPr>
        <w:t>a kombinációs kezelés során a veseműködés szoros ellenőrzése szükséges.</w:t>
      </w:r>
    </w:p>
    <w:p w14:paraId="78DAB738" w14:textId="77777777" w:rsidR="00C94F99" w:rsidRPr="006F525B" w:rsidRDefault="00C94F99" w:rsidP="006F525B">
      <w:pPr>
        <w:tabs>
          <w:tab w:val="clear" w:pos="567"/>
        </w:tabs>
        <w:spacing w:line="240" w:lineRule="auto"/>
        <w:ind w:left="-5" w:right="8"/>
        <w:rPr>
          <w:lang w:val="hu-HU"/>
        </w:rPr>
      </w:pPr>
    </w:p>
    <w:p w14:paraId="79B3E264" w14:textId="77777777" w:rsidR="004E1960" w:rsidRPr="006F525B" w:rsidRDefault="004E1960" w:rsidP="006F525B">
      <w:pPr>
        <w:tabs>
          <w:tab w:val="clear" w:pos="567"/>
        </w:tabs>
        <w:spacing w:line="240" w:lineRule="auto"/>
        <w:ind w:left="-5" w:right="8"/>
        <w:rPr>
          <w:lang w:val="hu-HU"/>
        </w:rPr>
      </w:pPr>
      <w:r w:rsidRPr="006F525B">
        <w:rPr>
          <w:lang w:val="hu-HU"/>
        </w:rPr>
        <w:t>A metformin renalis eliminációjában szerepet játszó általános renalis tubularis transzportrendszerekkel interakcióba lépő gyógyszerek (pl.: szerves kationtranszporter-2 [OCT2] / multidrug és toxin extrúziós transzporter [MATE] gátlók, mint például a ranolazin, vandetanib, dolutegravir, cimetidin) együttes alkalmazása emelheti a metformin szisztémás expozícióját, és növelheti a laktátacidózis kockázatát. Az együttes alkalmazás előnyeit és kockázatait mérlegelni kell. Az ilyen gyógyszerek együttes alkalmazása esetén fontolóra kell venni a glykaemiás kontroll szoros monitorozását, az ajánlott adagolás keretein belüli dózismódosítást, és a diabetes-kezelés megváltoztatását.</w:t>
      </w:r>
    </w:p>
    <w:p w14:paraId="05010AB2" w14:textId="77777777" w:rsidR="000333A8" w:rsidRPr="006F525B" w:rsidRDefault="000333A8" w:rsidP="006F525B">
      <w:pPr>
        <w:tabs>
          <w:tab w:val="clear" w:pos="567"/>
        </w:tabs>
        <w:spacing w:line="240" w:lineRule="auto"/>
        <w:ind w:left="-5" w:right="8"/>
        <w:rPr>
          <w:lang w:val="hu-HU"/>
        </w:rPr>
      </w:pPr>
    </w:p>
    <w:p w14:paraId="14040597" w14:textId="77777777" w:rsidR="004E1960" w:rsidRPr="006F525B" w:rsidRDefault="004E1960" w:rsidP="006F525B">
      <w:pPr>
        <w:tabs>
          <w:tab w:val="clear" w:pos="567"/>
        </w:tabs>
        <w:spacing w:line="240" w:lineRule="auto"/>
        <w:ind w:left="-5" w:right="8"/>
        <w:rPr>
          <w:lang w:val="hu-HU"/>
        </w:rPr>
      </w:pPr>
      <w:r w:rsidRPr="006F525B">
        <w:rPr>
          <w:lang w:val="hu-HU"/>
        </w:rPr>
        <w:t>A szisztémásan és helyileg alkalmazott glükokortikoidok, a béta-2 agonisták és a vízhajtók intrinsic hyperglykaemiás aktivitással rendelkeznek. A betegeket tájékoztatni kell erről, és vércukorszintjüket gyakrabban kell monitorozni, főként az ilyen gyógyszerekkel történő kezelés kezdeti szakaszában. Szükség esetén az antihyperglykaemiás gyógyszer dózisát az egyéb gyógyszerrel történő kezelés során vagy annak abbahagyása esetén módosítani kell.</w:t>
      </w:r>
    </w:p>
    <w:p w14:paraId="79572ACC" w14:textId="77777777" w:rsidR="003C6358" w:rsidRPr="006F525B" w:rsidRDefault="003C6358" w:rsidP="006F525B">
      <w:pPr>
        <w:tabs>
          <w:tab w:val="clear" w:pos="567"/>
        </w:tabs>
        <w:spacing w:line="240" w:lineRule="auto"/>
        <w:ind w:left="-5" w:right="8"/>
        <w:rPr>
          <w:lang w:val="hu-HU"/>
        </w:rPr>
      </w:pPr>
    </w:p>
    <w:p w14:paraId="2011D61D" w14:textId="77777777" w:rsidR="004E1960" w:rsidRPr="006F525B" w:rsidRDefault="004E1960" w:rsidP="006F525B">
      <w:pPr>
        <w:tabs>
          <w:tab w:val="clear" w:pos="567"/>
        </w:tabs>
        <w:spacing w:line="240" w:lineRule="auto"/>
        <w:ind w:left="-5" w:right="8"/>
        <w:rPr>
          <w:lang w:val="hu-HU"/>
        </w:rPr>
      </w:pPr>
      <w:r w:rsidRPr="006F525B">
        <w:rPr>
          <w:lang w:val="hu-HU"/>
        </w:rPr>
        <w:t>Az ACE-gátlók csökkenthetik a vércukorszintet. Szükség esetén az antihyperglykaemiás gyógyszer dózisát az egyéb gyógyszerrel történő kezelés során vagy annak abbahagyása esetén módosítani kell.</w:t>
      </w:r>
    </w:p>
    <w:p w14:paraId="674FCFB4" w14:textId="77777777" w:rsidR="00BF792B" w:rsidRPr="006F525B" w:rsidRDefault="00BF792B" w:rsidP="006F525B">
      <w:pPr>
        <w:tabs>
          <w:tab w:val="clear" w:pos="567"/>
        </w:tabs>
        <w:spacing w:line="240" w:lineRule="auto"/>
        <w:ind w:left="-5" w:right="8"/>
        <w:rPr>
          <w:lang w:val="hu-HU"/>
        </w:rPr>
      </w:pPr>
    </w:p>
    <w:p w14:paraId="7BE01CEE"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Más gyógyszerek hatása a szitagliptinre</w:t>
      </w:r>
    </w:p>
    <w:p w14:paraId="5FC2CFEB" w14:textId="77777777" w:rsidR="00BF792B" w:rsidRPr="006F525B" w:rsidRDefault="00BF792B" w:rsidP="006F525B">
      <w:pPr>
        <w:tabs>
          <w:tab w:val="clear" w:pos="567"/>
        </w:tabs>
        <w:spacing w:line="240" w:lineRule="auto"/>
        <w:ind w:left="-5" w:right="8"/>
        <w:rPr>
          <w:lang w:val="hu-HU"/>
        </w:rPr>
      </w:pPr>
    </w:p>
    <w:p w14:paraId="4FAF5525" w14:textId="77777777" w:rsidR="004E1960" w:rsidRPr="006F525B" w:rsidRDefault="004E1960" w:rsidP="006F525B">
      <w:pPr>
        <w:tabs>
          <w:tab w:val="clear" w:pos="567"/>
        </w:tabs>
        <w:spacing w:line="240" w:lineRule="auto"/>
        <w:ind w:left="-5" w:right="8"/>
        <w:rPr>
          <w:lang w:val="hu-HU"/>
        </w:rPr>
      </w:pPr>
      <w:r w:rsidRPr="006F525B">
        <w:rPr>
          <w:lang w:val="hu-HU"/>
        </w:rPr>
        <w:t xml:space="preserve">Az alábbiakban ismertetett </w:t>
      </w:r>
      <w:r w:rsidRPr="006F525B">
        <w:rPr>
          <w:i/>
          <w:lang w:val="hu-HU"/>
        </w:rPr>
        <w:t xml:space="preserve">in vitro </w:t>
      </w:r>
      <w:r w:rsidRPr="006F525B">
        <w:rPr>
          <w:lang w:val="hu-HU"/>
        </w:rPr>
        <w:t>és klinikai adatok arra utalnak, hogy kicsi annak a kockázata, hogy a szitagliptin az együttesen alkalmazott egyéb gyógyszerekkel klinikailag jelentős kölcsönhatásba lép</w:t>
      </w:r>
      <w:r w:rsidR="005E6043">
        <w:rPr>
          <w:lang w:val="hu-HU"/>
        </w:rPr>
        <w:t>.</w:t>
      </w:r>
      <w:r w:rsidR="00BF792B" w:rsidRPr="006F525B">
        <w:rPr>
          <w:lang w:val="hu-HU"/>
        </w:rPr>
        <w:t xml:space="preserve"> </w:t>
      </w:r>
      <w:r w:rsidRPr="006F525B">
        <w:rPr>
          <w:lang w:val="hu-HU"/>
        </w:rPr>
        <w:t xml:space="preserve">Az </w:t>
      </w:r>
      <w:r w:rsidRPr="006F525B">
        <w:rPr>
          <w:i/>
          <w:lang w:val="hu-HU"/>
        </w:rPr>
        <w:t xml:space="preserve">in vitro </w:t>
      </w:r>
      <w:r w:rsidRPr="006F525B">
        <w:rPr>
          <w:lang w:val="hu-HU"/>
        </w:rPr>
        <w:t>vizsgálatok kimutatták, hogy a szitagliptin korlátozott metabolizmusáért elsődlegesen a CYP3A4 enzim felelős, a CYP2C8 közreműködésével. A normál vesefunkció</w:t>
      </w:r>
      <w:r w:rsidR="005E6043">
        <w:rPr>
          <w:lang w:val="hu-HU"/>
        </w:rPr>
        <w:t>jú</w:t>
      </w:r>
      <w:r w:rsidRPr="006F525B">
        <w:rPr>
          <w:lang w:val="hu-HU"/>
        </w:rPr>
        <w:t xml:space="preserve"> betegek esetében a metabolizmus – beleértve a CYP3A4-en keresztül történő metabolizmust – csak kis szerepet játszik a szitagliptin kiürülésében. Súlyos </w:t>
      </w:r>
      <w:r w:rsidR="00EF7E90" w:rsidRPr="006F525B">
        <w:rPr>
          <w:lang w:val="hu-HU"/>
        </w:rPr>
        <w:t xml:space="preserve">fokú </w:t>
      </w:r>
      <w:r w:rsidRPr="006F525B">
        <w:rPr>
          <w:lang w:val="hu-HU"/>
        </w:rPr>
        <w:t xml:space="preserve">vesekárosodás, illetve végstádiumú vesebetegség („End stage renal disease” – ESRD) esetén a metabolizmus a szitagliptin kiválasztásában jelentősebb szerepet játszhat. Ezen oknál fogva lehetséges tehát, hogy az erős CYP3A4-inhibitorok (pl.: ketokonazol, itrakonazol, ritonavir, klaritromicin) a súlyos </w:t>
      </w:r>
      <w:r w:rsidR="00EF7E90" w:rsidRPr="006F525B">
        <w:rPr>
          <w:lang w:val="hu-HU"/>
        </w:rPr>
        <w:t xml:space="preserve">fokú </w:t>
      </w:r>
      <w:r w:rsidRPr="006F525B">
        <w:rPr>
          <w:lang w:val="hu-HU"/>
        </w:rPr>
        <w:t>vesekárosodásban vagy ESRD-ben szenvedő betegek esetében megváltoztathatják a szitagliptin farmakokinetikáját. Az erős CYP3A4-inhibitorok hatásait vesekárosodásban szenvedők esetében klinikai vizsgálatokban nem vizsgálták.</w:t>
      </w:r>
    </w:p>
    <w:p w14:paraId="14624010" w14:textId="77777777" w:rsidR="00BF792B" w:rsidRPr="006F525B" w:rsidRDefault="00BF792B" w:rsidP="006F525B">
      <w:pPr>
        <w:tabs>
          <w:tab w:val="clear" w:pos="567"/>
        </w:tabs>
        <w:spacing w:line="240" w:lineRule="auto"/>
        <w:ind w:left="-5" w:right="8"/>
        <w:rPr>
          <w:lang w:val="hu-HU"/>
        </w:rPr>
      </w:pPr>
    </w:p>
    <w:p w14:paraId="18407491" w14:textId="77777777" w:rsidR="004E1960" w:rsidRPr="006F525B" w:rsidRDefault="004E1960" w:rsidP="006F525B">
      <w:pPr>
        <w:tabs>
          <w:tab w:val="clear" w:pos="567"/>
        </w:tabs>
        <w:spacing w:line="240" w:lineRule="auto"/>
        <w:ind w:left="-5" w:right="204"/>
        <w:rPr>
          <w:lang w:val="hu-HU"/>
        </w:rPr>
      </w:pPr>
      <w:r w:rsidRPr="006F525B">
        <w:rPr>
          <w:lang w:val="hu-HU"/>
        </w:rPr>
        <w:t xml:space="preserve">Az </w:t>
      </w:r>
      <w:r w:rsidRPr="006F525B">
        <w:rPr>
          <w:i/>
          <w:lang w:val="hu-HU"/>
        </w:rPr>
        <w:t xml:space="preserve">in vitro </w:t>
      </w:r>
      <w:r w:rsidRPr="006F525B">
        <w:rPr>
          <w:lang w:val="hu-HU"/>
        </w:rPr>
        <w:t>transzportvizsgálatok azt mutatták, hogy a szitagliptin a p-glikoprotein és az organikus aniontranszporter-3 (OAT3) szubsztrátja. A szitagliptin OAT3-mediált transzportját a proben</w:t>
      </w:r>
      <w:r w:rsidR="005E6043">
        <w:rPr>
          <w:lang w:val="hu-HU"/>
        </w:rPr>
        <w:t>e</w:t>
      </w:r>
      <w:r w:rsidRPr="006F525B">
        <w:rPr>
          <w:lang w:val="hu-HU"/>
        </w:rPr>
        <w:t xml:space="preserve">cid </w:t>
      </w:r>
      <w:r w:rsidRPr="006F525B">
        <w:rPr>
          <w:i/>
          <w:lang w:val="hu-HU"/>
        </w:rPr>
        <w:t xml:space="preserve">in vitro </w:t>
      </w:r>
      <w:r w:rsidRPr="006F525B">
        <w:rPr>
          <w:lang w:val="hu-HU"/>
        </w:rPr>
        <w:t xml:space="preserve">gátolta, noha a klinikailag jelentős kölcsönhatások kockázata alacsonynak bizonyult. Az OAT3-inhibitorok együttes alkalmazását </w:t>
      </w:r>
      <w:r w:rsidRPr="006F525B">
        <w:rPr>
          <w:i/>
          <w:lang w:val="hu-HU"/>
        </w:rPr>
        <w:t xml:space="preserve">in vivo </w:t>
      </w:r>
      <w:r w:rsidRPr="006F525B">
        <w:rPr>
          <w:lang w:val="hu-HU"/>
        </w:rPr>
        <w:t>nem értékelték.</w:t>
      </w:r>
    </w:p>
    <w:p w14:paraId="7BC48E7A" w14:textId="77777777" w:rsidR="00BF792B" w:rsidRPr="006F525B" w:rsidRDefault="00BF792B" w:rsidP="006F525B">
      <w:pPr>
        <w:tabs>
          <w:tab w:val="clear" w:pos="567"/>
        </w:tabs>
        <w:spacing w:line="240" w:lineRule="auto"/>
        <w:ind w:left="-5" w:right="204"/>
        <w:rPr>
          <w:lang w:val="hu-HU"/>
        </w:rPr>
      </w:pPr>
    </w:p>
    <w:p w14:paraId="3E9ADA2D" w14:textId="77777777" w:rsidR="004E1960" w:rsidRPr="006F525B" w:rsidRDefault="004E1960" w:rsidP="006F525B">
      <w:pPr>
        <w:tabs>
          <w:tab w:val="clear" w:pos="567"/>
        </w:tabs>
        <w:spacing w:line="240" w:lineRule="auto"/>
        <w:ind w:left="-5" w:right="8"/>
        <w:rPr>
          <w:lang w:val="hu-HU"/>
        </w:rPr>
      </w:pPr>
      <w:r w:rsidRPr="006F525B">
        <w:rPr>
          <w:i/>
          <w:lang w:val="hu-HU"/>
        </w:rPr>
        <w:t xml:space="preserve">Ciklosporin: </w:t>
      </w:r>
      <w:r w:rsidRPr="006F525B">
        <w:rPr>
          <w:lang w:val="hu-HU"/>
        </w:rPr>
        <w:t xml:space="preserve">Elvégeztek egy vizsgálatot, hogy megállapítsák az erős p-glikoprotein inhibitornak minősülő ciklosporin hatását a szitagliptin farmakokinetikájára. A szitagliptin egyszeri, orálisan adott </w:t>
      </w:r>
      <w:r w:rsidR="004F72D1" w:rsidRPr="006F525B">
        <w:rPr>
          <w:lang w:val="hu-HU"/>
        </w:rPr>
        <w:t>100 mg</w:t>
      </w:r>
      <w:r w:rsidRPr="006F525B">
        <w:rPr>
          <w:lang w:val="hu-HU"/>
        </w:rPr>
        <w:t xml:space="preserve">-os </w:t>
      </w:r>
      <w:r w:rsidR="00E26247">
        <w:rPr>
          <w:lang w:val="hu-HU"/>
        </w:rPr>
        <w:t>dózis</w:t>
      </w:r>
      <w:r w:rsidRPr="006F525B">
        <w:rPr>
          <w:lang w:val="hu-HU"/>
        </w:rPr>
        <w:t>ának együttes alkalmazása egyszeri, orálisan adott 600</w:t>
      </w:r>
      <w:r w:rsidR="00BF792B" w:rsidRPr="006F525B">
        <w:rPr>
          <w:lang w:val="hu-HU"/>
        </w:rPr>
        <w:t> </w:t>
      </w:r>
      <w:r w:rsidRPr="006F525B">
        <w:rPr>
          <w:lang w:val="hu-HU"/>
        </w:rPr>
        <w:t>mg ciklosporinnal hozzávetőleg 29%-kal emelte meg a szitagliptin AUC-értékét, és 68%-kal a C</w:t>
      </w:r>
      <w:r w:rsidRPr="006F525B">
        <w:rPr>
          <w:vertAlign w:val="subscript"/>
          <w:lang w:val="hu-HU"/>
        </w:rPr>
        <w:t>max</w:t>
      </w:r>
      <w:r w:rsidRPr="006F525B">
        <w:rPr>
          <w:lang w:val="hu-HU"/>
        </w:rPr>
        <w:t>-értékét. A szitagliptin farmakokinetikájának ezen változásai nem voltak klinikailag jelentősnek tekinthetőek. A szitagliptin vese clearance-e nem módosult jelentős mértékben. Más p-glikoprotein inhibitorokkal ezért nem várható jelentős interakció.</w:t>
      </w:r>
    </w:p>
    <w:p w14:paraId="55B0D3ED" w14:textId="77777777" w:rsidR="00923DA2" w:rsidRPr="006F525B" w:rsidRDefault="00923DA2" w:rsidP="006F525B">
      <w:pPr>
        <w:tabs>
          <w:tab w:val="clear" w:pos="567"/>
        </w:tabs>
        <w:spacing w:line="240" w:lineRule="auto"/>
        <w:ind w:left="-5" w:right="8"/>
        <w:rPr>
          <w:lang w:val="hu-HU"/>
        </w:rPr>
      </w:pPr>
    </w:p>
    <w:p w14:paraId="7BBF144B"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A szitagliptin más készítményekre gyakorolt hatásai</w:t>
      </w:r>
    </w:p>
    <w:p w14:paraId="6C7A8258" w14:textId="77777777" w:rsidR="00966A5D" w:rsidRPr="006F525B" w:rsidRDefault="00966A5D" w:rsidP="006F525B">
      <w:pPr>
        <w:tabs>
          <w:tab w:val="clear" w:pos="567"/>
        </w:tabs>
        <w:spacing w:line="240" w:lineRule="auto"/>
        <w:ind w:left="-5" w:right="8"/>
        <w:rPr>
          <w:iCs/>
          <w:lang w:val="hu-HU"/>
        </w:rPr>
      </w:pPr>
    </w:p>
    <w:p w14:paraId="32E768F9" w14:textId="77777777" w:rsidR="004E1960" w:rsidRPr="006F525B" w:rsidRDefault="004E1960" w:rsidP="006F525B">
      <w:pPr>
        <w:tabs>
          <w:tab w:val="clear" w:pos="567"/>
        </w:tabs>
        <w:spacing w:line="240" w:lineRule="auto"/>
        <w:ind w:left="-5" w:right="8"/>
        <w:rPr>
          <w:lang w:val="hu-HU"/>
        </w:rPr>
      </w:pPr>
      <w:r w:rsidRPr="006F525B">
        <w:rPr>
          <w:i/>
          <w:lang w:val="hu-HU"/>
        </w:rPr>
        <w:t>Digoxin</w:t>
      </w:r>
      <w:r w:rsidRPr="006F525B">
        <w:rPr>
          <w:lang w:val="hu-HU"/>
        </w:rPr>
        <w:t>: A szitagliptin csekély mértékben befolyásolta a plazma digoxin-koncentrációt. Napi 0,25</w:t>
      </w:r>
      <w:r w:rsidR="00966A5D" w:rsidRPr="006F525B">
        <w:rPr>
          <w:lang w:val="hu-HU"/>
        </w:rPr>
        <w:t> </w:t>
      </w:r>
      <w:r w:rsidRPr="006F525B">
        <w:rPr>
          <w:lang w:val="hu-HU"/>
        </w:rPr>
        <w:t xml:space="preserve">mg digoxin és </w:t>
      </w:r>
      <w:r w:rsidR="004F72D1" w:rsidRPr="006F525B">
        <w:rPr>
          <w:lang w:val="hu-HU"/>
        </w:rPr>
        <w:t>100 mg</w:t>
      </w:r>
      <w:r w:rsidRPr="006F525B">
        <w:rPr>
          <w:lang w:val="hu-HU"/>
        </w:rPr>
        <w:t xml:space="preserve"> szitagliptin 10</w:t>
      </w:r>
      <w:r w:rsidR="00966A5D" w:rsidRPr="006F525B">
        <w:rPr>
          <w:lang w:val="hu-HU"/>
        </w:rPr>
        <w:t> </w:t>
      </w:r>
      <w:r w:rsidRPr="006F525B">
        <w:rPr>
          <w:lang w:val="hu-HU"/>
        </w:rPr>
        <w:t>napon át történő együttes alkalmazása a digoxin plazma AUC szintjét átlagosan 11%-kal, míg a plazma C</w:t>
      </w:r>
      <w:r w:rsidRPr="006F525B">
        <w:rPr>
          <w:vertAlign w:val="subscript"/>
          <w:lang w:val="hu-HU"/>
        </w:rPr>
        <w:t xml:space="preserve">max </w:t>
      </w:r>
      <w:r w:rsidRPr="006F525B">
        <w:rPr>
          <w:lang w:val="hu-HU"/>
        </w:rPr>
        <w:t>szintjét átlagosan 18%-kal emelte meg. A digoxin dózismódosítása nem ajánlott. A digoxin-toxicitás kockázatának kitett betegeket azonban monitorozni kell, amennyiben a szitagliptin és a digoxin együttes alkalmazására kerül sor.</w:t>
      </w:r>
    </w:p>
    <w:p w14:paraId="72B2EDCC" w14:textId="77777777" w:rsidR="00006A31" w:rsidRPr="006F525B" w:rsidRDefault="00006A31" w:rsidP="006F525B">
      <w:pPr>
        <w:tabs>
          <w:tab w:val="clear" w:pos="567"/>
        </w:tabs>
        <w:spacing w:line="240" w:lineRule="auto"/>
        <w:ind w:left="-5" w:right="8"/>
        <w:rPr>
          <w:lang w:val="hu-HU"/>
        </w:rPr>
      </w:pPr>
    </w:p>
    <w:p w14:paraId="5559A70A" w14:textId="77777777" w:rsidR="004E1960" w:rsidRPr="006F525B" w:rsidRDefault="004E1960" w:rsidP="006F525B">
      <w:pPr>
        <w:tabs>
          <w:tab w:val="clear" w:pos="567"/>
        </w:tabs>
        <w:spacing w:line="240" w:lineRule="auto"/>
        <w:ind w:left="-5" w:right="8"/>
        <w:rPr>
          <w:lang w:val="hu-HU"/>
        </w:rPr>
      </w:pPr>
      <w:r w:rsidRPr="006F525B">
        <w:rPr>
          <w:lang w:val="hu-HU"/>
        </w:rPr>
        <w:t xml:space="preserve">Az </w:t>
      </w:r>
      <w:r w:rsidRPr="006F525B">
        <w:rPr>
          <w:i/>
          <w:lang w:val="hu-HU"/>
        </w:rPr>
        <w:t xml:space="preserve">in vitro </w:t>
      </w:r>
      <w:r w:rsidRPr="006F525B">
        <w:rPr>
          <w:lang w:val="hu-HU"/>
        </w:rPr>
        <w:t>adatok alapján a szitagliptin nem gátolja és nem is indukálja a CYP450 izoenzimeket. A klinikai vizsgálatok során a szitagliptin nem változtatta meg jelentős mértékben a metformin, glib</w:t>
      </w:r>
      <w:r w:rsidR="00185128">
        <w:rPr>
          <w:lang w:val="hu-HU"/>
        </w:rPr>
        <w:t>enklam</w:t>
      </w:r>
      <w:r w:rsidRPr="006F525B">
        <w:rPr>
          <w:lang w:val="hu-HU"/>
        </w:rPr>
        <w:t xml:space="preserve">id, szimvasztatin, roziglitazon, warfarin, vagy orális fogamzásgátlók farmakokinetikáját, mely </w:t>
      </w:r>
      <w:r w:rsidRPr="006F525B">
        <w:rPr>
          <w:i/>
          <w:lang w:val="hu-HU"/>
        </w:rPr>
        <w:t xml:space="preserve">in vivo </w:t>
      </w:r>
      <w:r w:rsidRPr="006F525B">
        <w:rPr>
          <w:lang w:val="hu-HU"/>
        </w:rPr>
        <w:t xml:space="preserve">bizonyítja a CYP3A4, CYP2C8, CYP2C9 és az organikus kationtranszporter („organic cationic transporter” – OCT) szubsztrátokkal szemben mutatott alacsony interakciós hajlamot. A szitagliptin </w:t>
      </w:r>
      <w:r w:rsidRPr="006F525B">
        <w:rPr>
          <w:i/>
          <w:lang w:val="hu-HU"/>
        </w:rPr>
        <w:t xml:space="preserve">in vivo </w:t>
      </w:r>
      <w:r w:rsidRPr="006F525B">
        <w:rPr>
          <w:lang w:val="hu-HU"/>
        </w:rPr>
        <w:t>enyhén gátolhatja a p-glikoproteint.</w:t>
      </w:r>
    </w:p>
    <w:p w14:paraId="6B6A1541" w14:textId="77777777" w:rsidR="00006A31" w:rsidRPr="006F525B" w:rsidRDefault="00006A31" w:rsidP="006F525B">
      <w:pPr>
        <w:tabs>
          <w:tab w:val="clear" w:pos="567"/>
        </w:tabs>
        <w:spacing w:line="240" w:lineRule="auto"/>
        <w:ind w:left="-5" w:right="8"/>
        <w:rPr>
          <w:lang w:val="hu-HU"/>
        </w:rPr>
      </w:pPr>
    </w:p>
    <w:p w14:paraId="5FBE4AA9" w14:textId="77777777" w:rsidR="004E1960" w:rsidRPr="006F525B" w:rsidRDefault="004E1960" w:rsidP="006F525B">
      <w:pPr>
        <w:tabs>
          <w:tab w:val="clear" w:pos="567"/>
        </w:tabs>
        <w:spacing w:line="240" w:lineRule="auto"/>
        <w:ind w:left="-15"/>
        <w:rPr>
          <w:b/>
          <w:lang w:val="hu-HU"/>
        </w:rPr>
      </w:pPr>
      <w:r w:rsidRPr="006F525B">
        <w:rPr>
          <w:b/>
          <w:lang w:val="hu-HU"/>
        </w:rPr>
        <w:t>4.6</w:t>
      </w:r>
      <w:r w:rsidRPr="006F525B">
        <w:rPr>
          <w:b/>
          <w:lang w:val="hu-HU"/>
        </w:rPr>
        <w:tab/>
        <w:t>Termékenység, terhesség és szoptatás</w:t>
      </w:r>
    </w:p>
    <w:p w14:paraId="22430C8A" w14:textId="77777777" w:rsidR="00006A31" w:rsidRPr="006F525B" w:rsidRDefault="00006A31" w:rsidP="006F525B">
      <w:pPr>
        <w:tabs>
          <w:tab w:val="clear" w:pos="567"/>
        </w:tabs>
        <w:spacing w:line="240" w:lineRule="auto"/>
        <w:ind w:left="-5" w:right="124"/>
        <w:rPr>
          <w:u w:color="000000"/>
          <w:lang w:val="hu-HU"/>
        </w:rPr>
      </w:pPr>
    </w:p>
    <w:p w14:paraId="0144C721"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Terhesség</w:t>
      </w:r>
    </w:p>
    <w:p w14:paraId="4697EAEB" w14:textId="77777777" w:rsidR="004E1960" w:rsidRPr="006F525B" w:rsidRDefault="004E1960" w:rsidP="006F525B">
      <w:pPr>
        <w:tabs>
          <w:tab w:val="clear" w:pos="567"/>
        </w:tabs>
        <w:spacing w:line="240" w:lineRule="auto"/>
        <w:ind w:left="-5" w:right="8"/>
        <w:rPr>
          <w:lang w:val="hu-HU"/>
        </w:rPr>
      </w:pPr>
      <w:r w:rsidRPr="006F525B">
        <w:rPr>
          <w:lang w:val="hu-HU"/>
        </w:rPr>
        <w:t>A szitagliptin terhes nőknél történő alkalmazás</w:t>
      </w:r>
      <w:r w:rsidR="00185128">
        <w:rPr>
          <w:lang w:val="hu-HU"/>
        </w:rPr>
        <w:t>ával</w:t>
      </w:r>
      <w:r w:rsidRPr="006F525B">
        <w:rPr>
          <w:lang w:val="hu-HU"/>
        </w:rPr>
        <w:t xml:space="preserve"> </w:t>
      </w:r>
      <w:r w:rsidR="00185128">
        <w:rPr>
          <w:lang w:val="hu-HU"/>
        </w:rPr>
        <w:t>kapcsolatban</w:t>
      </w:r>
      <w:r w:rsidR="00185128" w:rsidRPr="006F525B">
        <w:rPr>
          <w:lang w:val="hu-HU"/>
        </w:rPr>
        <w:t xml:space="preserve"> </w:t>
      </w:r>
      <w:r w:rsidRPr="006F525B">
        <w:rPr>
          <w:lang w:val="hu-HU"/>
        </w:rPr>
        <w:t xml:space="preserve">nem áll rendelkezésre megfelelő mennyiségű információ. Állatkísérletek során reprodukciós toxicitást igazoltak </w:t>
      </w:r>
      <w:r w:rsidR="00185128">
        <w:rPr>
          <w:lang w:val="hu-HU"/>
        </w:rPr>
        <w:t>nagy</w:t>
      </w:r>
      <w:r w:rsidR="00185128" w:rsidRPr="006F525B">
        <w:rPr>
          <w:lang w:val="hu-HU"/>
        </w:rPr>
        <w:t xml:space="preserve"> </w:t>
      </w:r>
      <w:r w:rsidRPr="006F525B">
        <w:rPr>
          <w:lang w:val="hu-HU"/>
        </w:rPr>
        <w:t>dózisok alkalmazása mellett (lásd 5.3 pont).</w:t>
      </w:r>
    </w:p>
    <w:p w14:paraId="4D1C2079" w14:textId="77777777" w:rsidR="00006A31" w:rsidRPr="006F525B" w:rsidRDefault="00006A31" w:rsidP="006F525B">
      <w:pPr>
        <w:tabs>
          <w:tab w:val="clear" w:pos="567"/>
        </w:tabs>
        <w:spacing w:line="240" w:lineRule="auto"/>
        <w:ind w:left="-5" w:right="8"/>
        <w:rPr>
          <w:lang w:val="hu-HU"/>
        </w:rPr>
      </w:pPr>
    </w:p>
    <w:p w14:paraId="4B16A4DD" w14:textId="666792FE" w:rsidR="004E1960" w:rsidRPr="006F525B" w:rsidRDefault="004E1960" w:rsidP="006F525B">
      <w:pPr>
        <w:tabs>
          <w:tab w:val="clear" w:pos="567"/>
        </w:tabs>
        <w:spacing w:line="240" w:lineRule="auto"/>
        <w:ind w:left="-5" w:right="8"/>
        <w:rPr>
          <w:lang w:val="hu-HU"/>
        </w:rPr>
      </w:pPr>
      <w:r w:rsidRPr="006F525B">
        <w:rPr>
          <w:lang w:val="hu-HU"/>
        </w:rPr>
        <w:t xml:space="preserve">A rendelkezésre álló, korlátozott mennyiségű információ szerint a metformin </w:t>
      </w:r>
      <w:r w:rsidR="00185128">
        <w:rPr>
          <w:lang w:val="hu-HU"/>
        </w:rPr>
        <w:t>alkalmazása</w:t>
      </w:r>
      <w:r w:rsidR="00185128" w:rsidRPr="006F525B">
        <w:rPr>
          <w:lang w:val="hu-HU"/>
        </w:rPr>
        <w:t xml:space="preserve"> </w:t>
      </w:r>
      <w:r w:rsidRPr="006F525B">
        <w:rPr>
          <w:lang w:val="hu-HU"/>
        </w:rPr>
        <w:t>terhes nőknél nem jár a kongenitális malformációk kockázatának növekedésével. A metforminnal végzett állatkísérletek nem mutattak ki káros hatást a terhesség, embrionális vagy magzati fejlődés, a szülés vagy a születést követő fejlődés során (lásd 5.3 pont).</w:t>
      </w:r>
    </w:p>
    <w:p w14:paraId="3EBF8322" w14:textId="77777777" w:rsidR="00955B33" w:rsidRDefault="00955B33" w:rsidP="006F525B">
      <w:pPr>
        <w:tabs>
          <w:tab w:val="clear" w:pos="567"/>
        </w:tabs>
        <w:spacing w:line="240" w:lineRule="auto"/>
        <w:ind w:left="-5" w:right="8"/>
        <w:rPr>
          <w:lang w:val="hu-HU"/>
        </w:rPr>
      </w:pPr>
    </w:p>
    <w:p w14:paraId="541688D1"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00185128">
        <w:rPr>
          <w:lang w:val="hu-HU"/>
        </w:rPr>
        <w:t>-t</w:t>
      </w:r>
      <w:r w:rsidRPr="006F525B">
        <w:rPr>
          <w:lang w:val="hu-HU"/>
        </w:rPr>
        <w:t xml:space="preserve"> nem </w:t>
      </w:r>
      <w:r w:rsidR="00185128">
        <w:rPr>
          <w:lang w:val="hu-HU"/>
        </w:rPr>
        <w:t xml:space="preserve">szabad </w:t>
      </w:r>
      <w:r w:rsidRPr="006F525B">
        <w:rPr>
          <w:lang w:val="hu-HU"/>
        </w:rPr>
        <w:t>alkalmaz</w:t>
      </w:r>
      <w:r w:rsidR="00185128">
        <w:rPr>
          <w:lang w:val="hu-HU"/>
        </w:rPr>
        <w:t>ni</w:t>
      </w:r>
      <w:r w:rsidRPr="006F525B">
        <w:rPr>
          <w:lang w:val="hu-HU"/>
        </w:rPr>
        <w:t xml:space="preserve"> terhesség alatt. Ha a beteg teherbe kíván esni, vagy teherbe esik, a kezelést abba kell hagyni és a betegnél minél előbb meg kell kezdeni az inzulin-kezelést.</w:t>
      </w:r>
    </w:p>
    <w:p w14:paraId="7F8B8F1E" w14:textId="77777777" w:rsidR="00006A31" w:rsidRPr="006F525B" w:rsidRDefault="00006A31" w:rsidP="006F525B">
      <w:pPr>
        <w:tabs>
          <w:tab w:val="clear" w:pos="567"/>
        </w:tabs>
        <w:spacing w:line="240" w:lineRule="auto"/>
        <w:ind w:left="-5" w:right="8"/>
        <w:rPr>
          <w:lang w:val="hu-HU"/>
        </w:rPr>
      </w:pPr>
    </w:p>
    <w:p w14:paraId="27FE5FE5"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Szoptatás</w:t>
      </w:r>
    </w:p>
    <w:p w14:paraId="64B1A08B" w14:textId="77777777" w:rsidR="004E1960" w:rsidRPr="006F525B" w:rsidRDefault="004E1960" w:rsidP="006F525B">
      <w:pPr>
        <w:tabs>
          <w:tab w:val="clear" w:pos="567"/>
        </w:tabs>
        <w:spacing w:line="240" w:lineRule="auto"/>
        <w:ind w:left="-5" w:right="8"/>
        <w:rPr>
          <w:lang w:val="hu-HU"/>
        </w:rPr>
      </w:pPr>
      <w:r w:rsidRPr="006F525B">
        <w:rPr>
          <w:lang w:val="hu-HU"/>
        </w:rPr>
        <w:t>A gyógyszer hatóanyagainak kombinációjával laktáló állatok</w:t>
      </w:r>
      <w:r w:rsidR="00185128">
        <w:rPr>
          <w:lang w:val="hu-HU"/>
        </w:rPr>
        <w:t>kal</w:t>
      </w:r>
      <w:r w:rsidRPr="006F525B">
        <w:rPr>
          <w:lang w:val="hu-HU"/>
        </w:rPr>
        <w:t xml:space="preserve"> nem végeztek vizsgálatokat. A különálló hatóanyagokkal végzett vizsgálatokban mind a szitagliptin, mind a metformin kiválasztódott a laktáló patkányok tejébe. A metformin kis mennyiségben kiválasztódik a humán anyatejbe. Nem ismert, hogy a szitagliptin kiválasztódik-e a humán anyatejbe. A </w:t>
      </w:r>
      <w:r w:rsidR="00200067">
        <w:rPr>
          <w:lang w:val="hu-HU"/>
        </w:rPr>
        <w:t>JUZIMETTE</w:t>
      </w:r>
      <w:r w:rsidRPr="006F525B">
        <w:rPr>
          <w:lang w:val="hu-HU"/>
        </w:rPr>
        <w:t xml:space="preserve"> alkalmazása ezért tilos szoptató nőknél (lásd 4.3 pont).</w:t>
      </w:r>
    </w:p>
    <w:p w14:paraId="0D68D1DC" w14:textId="77777777" w:rsidR="00006A31" w:rsidRPr="006F525B" w:rsidRDefault="00006A31" w:rsidP="006F525B">
      <w:pPr>
        <w:tabs>
          <w:tab w:val="clear" w:pos="567"/>
        </w:tabs>
        <w:spacing w:line="240" w:lineRule="auto"/>
        <w:ind w:left="-5" w:right="8"/>
        <w:rPr>
          <w:lang w:val="hu-HU"/>
        </w:rPr>
      </w:pPr>
    </w:p>
    <w:p w14:paraId="0947A4D7"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Termékenység</w:t>
      </w:r>
    </w:p>
    <w:p w14:paraId="1C8B7D43" w14:textId="77777777" w:rsidR="004E1960" w:rsidRPr="006F525B" w:rsidRDefault="004E1960" w:rsidP="006F525B">
      <w:pPr>
        <w:tabs>
          <w:tab w:val="clear" w:pos="567"/>
        </w:tabs>
        <w:spacing w:line="240" w:lineRule="auto"/>
        <w:ind w:left="-5" w:right="8"/>
        <w:rPr>
          <w:lang w:val="hu-HU"/>
        </w:rPr>
      </w:pPr>
      <w:r w:rsidRPr="006F525B">
        <w:rPr>
          <w:lang w:val="hu-HU"/>
        </w:rPr>
        <w:t>Az állatkísérletek során nyert eredmények nem utalnak arra, hogy a szitagliptin-terápia hatással lenne a férfi vagy női termékenységre. Humán adatok nem állnak rendelkezésre.</w:t>
      </w:r>
    </w:p>
    <w:p w14:paraId="2E512CD0" w14:textId="77777777" w:rsidR="00006A31" w:rsidRPr="006F525B" w:rsidRDefault="00006A31" w:rsidP="006F525B">
      <w:pPr>
        <w:tabs>
          <w:tab w:val="clear" w:pos="567"/>
        </w:tabs>
        <w:spacing w:line="240" w:lineRule="auto"/>
        <w:ind w:left="-5" w:right="8"/>
        <w:rPr>
          <w:lang w:val="hu-HU"/>
        </w:rPr>
      </w:pPr>
    </w:p>
    <w:p w14:paraId="7B30E740" w14:textId="77777777" w:rsidR="004E1960" w:rsidRPr="006F525B" w:rsidRDefault="004E1960" w:rsidP="006F525B">
      <w:pPr>
        <w:tabs>
          <w:tab w:val="clear" w:pos="567"/>
        </w:tabs>
        <w:spacing w:line="240" w:lineRule="auto"/>
        <w:ind w:left="-15"/>
        <w:rPr>
          <w:b/>
          <w:lang w:val="hu-HU"/>
        </w:rPr>
      </w:pPr>
      <w:r w:rsidRPr="006F525B">
        <w:rPr>
          <w:b/>
          <w:lang w:val="hu-HU"/>
        </w:rPr>
        <w:t>4.7</w:t>
      </w:r>
      <w:r w:rsidRPr="006F525B">
        <w:rPr>
          <w:b/>
          <w:lang w:val="hu-HU"/>
        </w:rPr>
        <w:tab/>
        <w:t>A készítmény hatásai a gépjárművezetéshez és a gépek kezeléséhez szükséges képességekre</w:t>
      </w:r>
    </w:p>
    <w:p w14:paraId="1E246B3A" w14:textId="77777777" w:rsidR="00006A31" w:rsidRPr="006F525B" w:rsidRDefault="00006A31" w:rsidP="006F525B">
      <w:pPr>
        <w:tabs>
          <w:tab w:val="clear" w:pos="567"/>
        </w:tabs>
        <w:spacing w:line="240" w:lineRule="auto"/>
        <w:ind w:left="-5" w:right="8"/>
        <w:rPr>
          <w:lang w:val="hu-HU"/>
        </w:rPr>
      </w:pPr>
    </w:p>
    <w:p w14:paraId="763255FA" w14:textId="77777777" w:rsidR="004E1960" w:rsidRPr="006F525B" w:rsidRDefault="004E1960" w:rsidP="006F525B">
      <w:pPr>
        <w:tabs>
          <w:tab w:val="clear" w:pos="567"/>
        </w:tabs>
        <w:spacing w:line="240" w:lineRule="auto"/>
        <w:ind w:left="-5" w:right="8"/>
        <w:rPr>
          <w:lang w:val="hu-HU"/>
        </w:rPr>
      </w:pPr>
      <w:r w:rsidRPr="006F525B">
        <w:rPr>
          <w:lang w:val="hu-HU"/>
        </w:rPr>
        <w:lastRenderedPageBreak/>
        <w:t xml:space="preserve">A </w:t>
      </w:r>
      <w:r w:rsidR="00200067">
        <w:rPr>
          <w:lang w:val="hu-HU"/>
        </w:rPr>
        <w:t>JUZIMETTE</w:t>
      </w:r>
      <w:r w:rsidRPr="006F525B">
        <w:rPr>
          <w:lang w:val="hu-HU"/>
        </w:rPr>
        <w:t xml:space="preserve"> nem</w:t>
      </w:r>
      <w:r w:rsidR="00032457">
        <w:rPr>
          <w:lang w:val="hu-HU"/>
        </w:rPr>
        <w:t>,</w:t>
      </w:r>
      <w:r w:rsidRPr="006F525B">
        <w:rPr>
          <w:lang w:val="hu-HU"/>
        </w:rPr>
        <w:t xml:space="preserve"> vagy csak elhanyagolható mértékben befolyásolja a gépjárművezetéshez és a gépek kezeléséhez szükséges képességeket. Gépjárművezetéskor vagy gépek kezelésekor figyelembe kell venni azonban, hogy szitagliptin szedése mellett beszámoltak szédülésről és álmosságról.</w:t>
      </w:r>
    </w:p>
    <w:p w14:paraId="041943B9" w14:textId="77777777" w:rsidR="004E1960" w:rsidRPr="006F525B" w:rsidRDefault="004E1960" w:rsidP="006F525B">
      <w:pPr>
        <w:tabs>
          <w:tab w:val="clear" w:pos="567"/>
        </w:tabs>
        <w:spacing w:line="240" w:lineRule="auto"/>
        <w:ind w:left="-5" w:right="8"/>
        <w:rPr>
          <w:lang w:val="hu-HU"/>
        </w:rPr>
      </w:pPr>
      <w:r w:rsidRPr="006F525B">
        <w:rPr>
          <w:lang w:val="hu-HU"/>
        </w:rPr>
        <w:t xml:space="preserve">Továbbá, </w:t>
      </w:r>
      <w:r w:rsidR="00955B33">
        <w:rPr>
          <w:lang w:val="hu-HU"/>
        </w:rPr>
        <w:t xml:space="preserve">a </w:t>
      </w:r>
      <w:r w:rsidR="00200067">
        <w:rPr>
          <w:lang w:val="hu-HU"/>
        </w:rPr>
        <w:t>JUZIMETTE</w:t>
      </w:r>
      <w:r w:rsidRPr="006F525B">
        <w:rPr>
          <w:lang w:val="hu-HU"/>
        </w:rPr>
        <w:t xml:space="preserve"> és egy szulfonilurea vagy inzulin együttes alkalmazásakor a betegek figyelmét fel kell hívni a hypoglykaemia </w:t>
      </w:r>
      <w:r w:rsidR="00185128">
        <w:rPr>
          <w:lang w:val="hu-HU"/>
        </w:rPr>
        <w:t>kockázatára</w:t>
      </w:r>
      <w:r w:rsidRPr="006F525B">
        <w:rPr>
          <w:lang w:val="hu-HU"/>
        </w:rPr>
        <w:t>.</w:t>
      </w:r>
    </w:p>
    <w:p w14:paraId="5847B2E6" w14:textId="77777777" w:rsidR="007D207D" w:rsidRPr="006F525B" w:rsidRDefault="007D207D" w:rsidP="006F525B">
      <w:pPr>
        <w:tabs>
          <w:tab w:val="clear" w:pos="567"/>
        </w:tabs>
        <w:spacing w:line="240" w:lineRule="auto"/>
        <w:ind w:left="-5" w:right="8"/>
        <w:rPr>
          <w:lang w:val="hu-HU"/>
        </w:rPr>
      </w:pPr>
    </w:p>
    <w:p w14:paraId="51A6FF37" w14:textId="77777777" w:rsidR="004E1960" w:rsidRPr="006F525B" w:rsidRDefault="004E1960" w:rsidP="006F525B">
      <w:pPr>
        <w:tabs>
          <w:tab w:val="clear" w:pos="567"/>
        </w:tabs>
        <w:spacing w:line="240" w:lineRule="auto"/>
        <w:ind w:left="-15"/>
        <w:rPr>
          <w:lang w:val="hu-HU"/>
        </w:rPr>
      </w:pPr>
      <w:r w:rsidRPr="006F525B">
        <w:rPr>
          <w:b/>
          <w:lang w:val="hu-HU"/>
        </w:rPr>
        <w:t>4.8</w:t>
      </w:r>
      <w:r w:rsidRPr="006F525B">
        <w:rPr>
          <w:b/>
          <w:lang w:val="hu-HU"/>
        </w:rPr>
        <w:tab/>
        <w:t>Nemkívánatos hatások, mellékhatások</w:t>
      </w:r>
    </w:p>
    <w:p w14:paraId="0E99BCC5" w14:textId="77777777" w:rsidR="007D207D" w:rsidRPr="006F525B" w:rsidRDefault="007D207D" w:rsidP="006F525B">
      <w:pPr>
        <w:tabs>
          <w:tab w:val="clear" w:pos="567"/>
        </w:tabs>
        <w:spacing w:line="240" w:lineRule="auto"/>
        <w:ind w:left="-5" w:right="124"/>
        <w:rPr>
          <w:u w:color="000000"/>
          <w:lang w:val="hu-HU"/>
        </w:rPr>
      </w:pPr>
    </w:p>
    <w:p w14:paraId="3AEB9899"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A biztonságossági profil összefoglalása</w:t>
      </w:r>
    </w:p>
    <w:p w14:paraId="7B4A06E9" w14:textId="77777777" w:rsidR="007D207D" w:rsidRPr="006F525B"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tablettákkal nem végeztek terápiás célú klinikai vizsgálatokat, de szitagliptin és metformin együttes alkalmazásával kimutatták a </w:t>
      </w:r>
      <w:r w:rsidR="00626E8F" w:rsidRPr="006F525B">
        <w:rPr>
          <w:lang w:val="hu-HU"/>
        </w:rPr>
        <w:t>szitagliptin</w:t>
      </w:r>
      <w:r w:rsidR="00626E8F">
        <w:rPr>
          <w:lang w:val="hu-HU"/>
        </w:rPr>
        <w:t>/</w:t>
      </w:r>
      <w:r w:rsidR="00626E8F" w:rsidRPr="006F525B">
        <w:rPr>
          <w:lang w:val="hu-HU"/>
        </w:rPr>
        <w:t xml:space="preserve">metformin </w:t>
      </w:r>
      <w:r w:rsidR="00626E8F">
        <w:rPr>
          <w:lang w:val="hu-HU"/>
        </w:rPr>
        <w:t xml:space="preserve">kombinációs tabletta </w:t>
      </w:r>
      <w:r w:rsidRPr="006F525B">
        <w:rPr>
          <w:lang w:val="hu-HU"/>
        </w:rPr>
        <w:t>bioekvivalenciáját (lásd 5.2 pont).</w:t>
      </w:r>
    </w:p>
    <w:p w14:paraId="61F816F9" w14:textId="77777777" w:rsidR="007D207D" w:rsidRPr="006F525B" w:rsidRDefault="004E1960" w:rsidP="006F525B">
      <w:pPr>
        <w:tabs>
          <w:tab w:val="clear" w:pos="567"/>
        </w:tabs>
        <w:spacing w:line="240" w:lineRule="auto"/>
        <w:ind w:left="-5" w:right="8"/>
        <w:rPr>
          <w:lang w:val="hu-HU"/>
        </w:rPr>
      </w:pPr>
      <w:r w:rsidRPr="006F525B">
        <w:rPr>
          <w:lang w:val="hu-HU"/>
        </w:rPr>
        <w:t>Súlyos mellékhatásokat jelentettek, ideértve a pancreatitist és túlérzékenységi reakciókat.</w:t>
      </w:r>
    </w:p>
    <w:p w14:paraId="059631E4" w14:textId="77777777" w:rsidR="004E1960" w:rsidRPr="006F525B" w:rsidRDefault="004E1960" w:rsidP="006F525B">
      <w:pPr>
        <w:tabs>
          <w:tab w:val="clear" w:pos="567"/>
        </w:tabs>
        <w:spacing w:line="240" w:lineRule="auto"/>
        <w:ind w:left="-5" w:right="8"/>
        <w:rPr>
          <w:lang w:val="hu-HU"/>
        </w:rPr>
      </w:pPr>
      <w:r w:rsidRPr="006F525B">
        <w:rPr>
          <w:lang w:val="hu-HU"/>
        </w:rPr>
        <w:t>Szulfonilureával (13,8%) és inzulinnal (10,9%) kombinációban hypoglykaemiát jelentettek.</w:t>
      </w:r>
    </w:p>
    <w:p w14:paraId="6E04ACBA" w14:textId="77777777" w:rsidR="007D207D" w:rsidRPr="006F525B" w:rsidRDefault="007D207D" w:rsidP="006F525B">
      <w:pPr>
        <w:tabs>
          <w:tab w:val="clear" w:pos="567"/>
        </w:tabs>
        <w:spacing w:line="240" w:lineRule="auto"/>
        <w:ind w:left="-5" w:right="8"/>
        <w:rPr>
          <w:lang w:val="hu-HU"/>
        </w:rPr>
      </w:pPr>
    </w:p>
    <w:p w14:paraId="44633E8D"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Szitagliptin és metformin</w:t>
      </w:r>
    </w:p>
    <w:p w14:paraId="2E637F1D" w14:textId="77777777" w:rsidR="004E1960" w:rsidRPr="006F525B" w:rsidRDefault="004E1960" w:rsidP="006F525B">
      <w:pPr>
        <w:tabs>
          <w:tab w:val="clear" w:pos="567"/>
        </w:tabs>
        <w:spacing w:line="240" w:lineRule="auto"/>
        <w:ind w:left="-5" w:right="124"/>
        <w:rPr>
          <w:i/>
          <w:iCs/>
          <w:lang w:val="hu-HU"/>
        </w:rPr>
      </w:pPr>
      <w:r w:rsidRPr="006F525B">
        <w:rPr>
          <w:i/>
          <w:iCs/>
          <w:lang w:val="hu-HU"/>
        </w:rPr>
        <w:t xml:space="preserve">A mellékhatások táblázatos felsorolása </w:t>
      </w:r>
    </w:p>
    <w:p w14:paraId="3A1057D9" w14:textId="77777777" w:rsidR="004E1960" w:rsidRPr="006F525B" w:rsidRDefault="004E1960" w:rsidP="006F525B">
      <w:pPr>
        <w:tabs>
          <w:tab w:val="clear" w:pos="567"/>
        </w:tabs>
        <w:spacing w:line="240" w:lineRule="auto"/>
        <w:ind w:left="-5" w:right="8"/>
        <w:rPr>
          <w:lang w:val="hu-HU"/>
        </w:rPr>
      </w:pPr>
      <w:r w:rsidRPr="006F525B">
        <w:rPr>
          <w:lang w:val="hu-HU"/>
        </w:rPr>
        <w:t>A mellékhatások az 1. táblázatban szervrendszer és gyakoriság szerint vannak felsorolva a MedDRA által javasolt kifejezések szerint. Az előfordulási gyakoriságok meghatározása a következő: nagyon gyakori (≥</w:t>
      </w:r>
      <w:r w:rsidR="007D207D" w:rsidRPr="006F525B">
        <w:rPr>
          <w:lang w:val="hu-HU"/>
        </w:rPr>
        <w:t> </w:t>
      </w:r>
      <w:r w:rsidRPr="006F525B">
        <w:rPr>
          <w:lang w:val="hu-HU"/>
        </w:rPr>
        <w:t>1/10); gyakori (≥</w:t>
      </w:r>
      <w:r w:rsidR="007D207D" w:rsidRPr="006F525B">
        <w:rPr>
          <w:lang w:val="hu-HU"/>
        </w:rPr>
        <w:t> </w:t>
      </w:r>
      <w:r w:rsidRPr="006F525B">
        <w:rPr>
          <w:lang w:val="hu-HU"/>
        </w:rPr>
        <w:t>1/100</w:t>
      </w:r>
      <w:r w:rsidR="00A370EA" w:rsidRPr="006F525B">
        <w:rPr>
          <w:lang w:val="hu-HU"/>
        </w:rPr>
        <w:t xml:space="preserve"> –</w:t>
      </w:r>
      <w:r w:rsidRPr="006F525B">
        <w:rPr>
          <w:lang w:val="hu-HU"/>
        </w:rPr>
        <w:t xml:space="preserve"> &lt;</w:t>
      </w:r>
      <w:r w:rsidR="00A370EA" w:rsidRPr="006F525B">
        <w:rPr>
          <w:lang w:val="hu-HU"/>
        </w:rPr>
        <w:t> </w:t>
      </w:r>
      <w:r w:rsidRPr="006F525B">
        <w:rPr>
          <w:lang w:val="hu-HU"/>
        </w:rPr>
        <w:t>1/10); nem gyakori (≥</w:t>
      </w:r>
      <w:r w:rsidR="00A370EA" w:rsidRPr="006F525B">
        <w:rPr>
          <w:lang w:val="hu-HU"/>
        </w:rPr>
        <w:t> </w:t>
      </w:r>
      <w:r w:rsidRPr="006F525B">
        <w:rPr>
          <w:lang w:val="hu-HU"/>
        </w:rPr>
        <w:t>1/1000</w:t>
      </w:r>
      <w:r w:rsidR="00A370EA" w:rsidRPr="006F525B">
        <w:rPr>
          <w:lang w:val="hu-HU"/>
        </w:rPr>
        <w:t xml:space="preserve"> –</w:t>
      </w:r>
      <w:r w:rsidRPr="006F525B">
        <w:rPr>
          <w:lang w:val="hu-HU"/>
        </w:rPr>
        <w:t xml:space="preserve"> &lt;</w:t>
      </w:r>
      <w:r w:rsidR="00A370EA" w:rsidRPr="006F525B">
        <w:rPr>
          <w:lang w:val="hu-HU"/>
        </w:rPr>
        <w:t> </w:t>
      </w:r>
      <w:r w:rsidRPr="006F525B">
        <w:rPr>
          <w:lang w:val="hu-HU"/>
        </w:rPr>
        <w:t>1/100); ritka (≥</w:t>
      </w:r>
      <w:r w:rsidR="00A370EA" w:rsidRPr="006F525B">
        <w:rPr>
          <w:lang w:val="hu-HU"/>
        </w:rPr>
        <w:t> </w:t>
      </w:r>
      <w:r w:rsidRPr="006F525B">
        <w:rPr>
          <w:lang w:val="hu-HU"/>
        </w:rPr>
        <w:t>1/10</w:t>
      </w:r>
      <w:r w:rsidR="00A370EA" w:rsidRPr="006F525B">
        <w:rPr>
          <w:lang w:val="hu-HU"/>
        </w:rPr>
        <w:t> </w:t>
      </w:r>
      <w:r w:rsidRPr="006F525B">
        <w:rPr>
          <w:lang w:val="hu-HU"/>
        </w:rPr>
        <w:t>000</w:t>
      </w:r>
      <w:r w:rsidR="004F382F">
        <w:rPr>
          <w:lang w:val="hu-HU"/>
        </w:rPr>
        <w:t xml:space="preserve"> – </w:t>
      </w:r>
      <w:r w:rsidRPr="006F525B">
        <w:rPr>
          <w:lang w:val="hu-HU"/>
        </w:rPr>
        <w:t>&lt;1/1000); nagyon ritka (&lt;</w:t>
      </w:r>
      <w:r w:rsidR="00A370EA" w:rsidRPr="006F525B">
        <w:rPr>
          <w:lang w:val="hu-HU"/>
        </w:rPr>
        <w:t> </w:t>
      </w:r>
      <w:r w:rsidRPr="006F525B">
        <w:rPr>
          <w:lang w:val="hu-HU"/>
        </w:rPr>
        <w:t>1/10</w:t>
      </w:r>
      <w:r w:rsidR="00A370EA" w:rsidRPr="006F525B">
        <w:rPr>
          <w:lang w:val="hu-HU"/>
        </w:rPr>
        <w:t> </w:t>
      </w:r>
      <w:r w:rsidRPr="006F525B">
        <w:rPr>
          <w:lang w:val="hu-HU"/>
        </w:rPr>
        <w:t>000)</w:t>
      </w:r>
      <w:r w:rsidR="00851F2C" w:rsidRPr="006F525B">
        <w:rPr>
          <w:lang w:val="hu-HU"/>
        </w:rPr>
        <w:t>,</w:t>
      </w:r>
      <w:r w:rsidRPr="006F525B">
        <w:rPr>
          <w:lang w:val="hu-HU"/>
        </w:rPr>
        <w:t xml:space="preserve"> és nem ismert (a</w:t>
      </w:r>
      <w:r w:rsidR="00851F2C" w:rsidRPr="006F525B">
        <w:rPr>
          <w:lang w:val="hu-HU"/>
        </w:rPr>
        <w:t xml:space="preserve"> gyakoriság a</w:t>
      </w:r>
      <w:r w:rsidRPr="006F525B">
        <w:rPr>
          <w:lang w:val="hu-HU"/>
        </w:rPr>
        <w:t xml:space="preserve"> rendelkezésre álló adatokból nem állapítható meg).</w:t>
      </w:r>
    </w:p>
    <w:p w14:paraId="2006F148" w14:textId="77777777" w:rsidR="00851F2C" w:rsidRPr="006F525B" w:rsidRDefault="00851F2C" w:rsidP="006F525B">
      <w:pPr>
        <w:tabs>
          <w:tab w:val="clear" w:pos="567"/>
        </w:tabs>
        <w:spacing w:line="240" w:lineRule="auto"/>
        <w:ind w:left="-5" w:right="8"/>
        <w:rPr>
          <w:lang w:val="hu-HU"/>
        </w:rPr>
      </w:pPr>
    </w:p>
    <w:p w14:paraId="45631BA4" w14:textId="77777777" w:rsidR="004E1960" w:rsidRPr="006F525B" w:rsidRDefault="004E1960" w:rsidP="007341C4">
      <w:pPr>
        <w:tabs>
          <w:tab w:val="clear" w:pos="567"/>
        </w:tabs>
        <w:spacing w:line="240" w:lineRule="auto"/>
        <w:rPr>
          <w:b/>
          <w:bCs/>
          <w:u w:color="000000"/>
          <w:lang w:val="hu-HU"/>
        </w:rPr>
      </w:pPr>
      <w:r w:rsidRPr="006F525B">
        <w:rPr>
          <w:b/>
          <w:bCs/>
          <w:u w:color="000000"/>
          <w:lang w:val="hu-HU"/>
        </w:rPr>
        <w:t>1. táblázat: A placebokontrollos, önmagában adott szitagliptint és metformint alkalmazó klinikai vizsgálatokban és a forgalomba hozatalt követően felismert mellékhatások gyakorisága</w:t>
      </w:r>
    </w:p>
    <w:tbl>
      <w:tblPr>
        <w:tblW w:w="9072" w:type="dxa"/>
        <w:tblCellMar>
          <w:left w:w="0" w:type="dxa"/>
          <w:right w:w="0" w:type="dxa"/>
        </w:tblCellMar>
        <w:tblLook w:val="04A0" w:firstRow="1" w:lastRow="0" w:firstColumn="1" w:lastColumn="0" w:noHBand="0" w:noVBand="1"/>
      </w:tblPr>
      <w:tblGrid>
        <w:gridCol w:w="4536"/>
        <w:gridCol w:w="4536"/>
      </w:tblGrid>
      <w:tr w:rsidR="00E86CB8" w:rsidRPr="002749E2" w14:paraId="599C1ECA" w14:textId="77777777" w:rsidTr="002749E2">
        <w:trPr>
          <w:trHeight w:val="528"/>
          <w:tblHeader/>
        </w:trPr>
        <w:tc>
          <w:tcPr>
            <w:tcW w:w="2500" w:type="pct"/>
            <w:tcBorders>
              <w:top w:val="single" w:sz="4" w:space="0" w:color="000000"/>
              <w:left w:val="single" w:sz="4" w:space="0" w:color="000000"/>
              <w:bottom w:val="single" w:sz="4" w:space="0" w:color="000000"/>
              <w:right w:val="single" w:sz="4" w:space="0" w:color="000000"/>
            </w:tcBorders>
          </w:tcPr>
          <w:p w14:paraId="06283D2C"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Mellékhatás</w:t>
            </w:r>
          </w:p>
        </w:tc>
        <w:tc>
          <w:tcPr>
            <w:tcW w:w="2500" w:type="pct"/>
            <w:tcBorders>
              <w:top w:val="single" w:sz="4" w:space="0" w:color="000000"/>
              <w:left w:val="single" w:sz="4" w:space="0" w:color="000000"/>
              <w:bottom w:val="single" w:sz="4" w:space="0" w:color="000000"/>
              <w:right w:val="single" w:sz="4" w:space="0" w:color="000000"/>
            </w:tcBorders>
          </w:tcPr>
          <w:p w14:paraId="50BF6540" w14:textId="77777777" w:rsidR="004E1960" w:rsidRPr="002749E2" w:rsidRDefault="004E1960" w:rsidP="002749E2">
            <w:pPr>
              <w:tabs>
                <w:tab w:val="clear" w:pos="567"/>
              </w:tabs>
              <w:spacing w:line="240" w:lineRule="auto"/>
              <w:ind w:left="7"/>
              <w:jc w:val="center"/>
              <w:rPr>
                <w:rFonts w:eastAsia="Times New Roman"/>
                <w:szCs w:val="22"/>
                <w:lang w:val="hu-HU"/>
              </w:rPr>
            </w:pPr>
            <w:r w:rsidRPr="002749E2">
              <w:rPr>
                <w:rFonts w:eastAsia="Times New Roman"/>
                <w:b/>
                <w:szCs w:val="22"/>
                <w:lang w:val="hu-HU"/>
              </w:rPr>
              <w:t>A mellékhatások gyakorisága</w:t>
            </w:r>
          </w:p>
        </w:tc>
      </w:tr>
      <w:tr w:rsidR="007341C4" w:rsidRPr="002749E2" w14:paraId="64A518BE"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555623B7"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6D3E603D"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2CB31521"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Vérképzőszervi és nyirokrendszeri betegségek és tünetek</w:t>
            </w:r>
          </w:p>
        </w:tc>
      </w:tr>
      <w:tr w:rsidR="007341C4" w:rsidRPr="002749E2" w14:paraId="3618196B"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0CFEE86B"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thrombocytopenia</w:t>
            </w:r>
          </w:p>
        </w:tc>
        <w:tc>
          <w:tcPr>
            <w:tcW w:w="2500" w:type="pct"/>
            <w:tcBorders>
              <w:top w:val="single" w:sz="4" w:space="0" w:color="000000"/>
              <w:left w:val="single" w:sz="4" w:space="0" w:color="000000"/>
              <w:bottom w:val="single" w:sz="4" w:space="0" w:color="000000"/>
              <w:right w:val="single" w:sz="4" w:space="0" w:color="000000"/>
            </w:tcBorders>
          </w:tcPr>
          <w:p w14:paraId="2A2705D9" w14:textId="77777777" w:rsidR="004E1960" w:rsidRPr="002749E2" w:rsidRDefault="00E77744" w:rsidP="002749E2">
            <w:pPr>
              <w:tabs>
                <w:tab w:val="clear" w:pos="567"/>
              </w:tabs>
              <w:spacing w:line="240" w:lineRule="auto"/>
              <w:ind w:left="7"/>
              <w:jc w:val="center"/>
              <w:rPr>
                <w:rFonts w:eastAsia="Times New Roman"/>
                <w:szCs w:val="22"/>
                <w:lang w:val="hu-HU"/>
              </w:rPr>
            </w:pPr>
            <w:r>
              <w:rPr>
                <w:rFonts w:eastAsia="Times New Roman"/>
                <w:szCs w:val="22"/>
                <w:lang w:val="hu-HU"/>
              </w:rPr>
              <w:t>r</w:t>
            </w:r>
            <w:r w:rsidR="004E1960" w:rsidRPr="002749E2">
              <w:rPr>
                <w:rFonts w:eastAsia="Times New Roman"/>
                <w:szCs w:val="22"/>
                <w:lang w:val="hu-HU"/>
              </w:rPr>
              <w:t>itka</w:t>
            </w:r>
          </w:p>
        </w:tc>
      </w:tr>
      <w:tr w:rsidR="007341C4" w:rsidRPr="002749E2" w14:paraId="511F7DBD"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5593F191"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27A71D65"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4906C807"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40279187"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Immunrendszeri betegségek és tünetek</w:t>
            </w:r>
          </w:p>
        </w:tc>
      </w:tr>
      <w:tr w:rsidR="007341C4" w:rsidRPr="002749E2" w14:paraId="7E7F45A3" w14:textId="77777777" w:rsidTr="002749E2">
        <w:trPr>
          <w:trHeight w:val="528"/>
        </w:trPr>
        <w:tc>
          <w:tcPr>
            <w:tcW w:w="2500" w:type="pct"/>
            <w:tcBorders>
              <w:top w:val="single" w:sz="4" w:space="0" w:color="000000"/>
              <w:left w:val="single" w:sz="4" w:space="0" w:color="000000"/>
              <w:bottom w:val="single" w:sz="4" w:space="0" w:color="000000"/>
              <w:right w:val="single" w:sz="4" w:space="0" w:color="000000"/>
            </w:tcBorders>
          </w:tcPr>
          <w:p w14:paraId="2434822C"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túlérzékenységi reakciók, beleértve az anaphylaxiás reakciókat is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vAlign w:val="center"/>
          </w:tcPr>
          <w:p w14:paraId="0D728C5B" w14:textId="77777777" w:rsidR="004E1960" w:rsidRPr="002749E2" w:rsidRDefault="00E77744" w:rsidP="002749E2">
            <w:pPr>
              <w:tabs>
                <w:tab w:val="clear" w:pos="567"/>
              </w:tabs>
              <w:spacing w:line="240" w:lineRule="auto"/>
              <w:ind w:left="7"/>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yakoriság nem ismert</w:t>
            </w:r>
          </w:p>
        </w:tc>
      </w:tr>
      <w:tr w:rsidR="007341C4" w:rsidRPr="002749E2" w14:paraId="0A1603E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739F8276"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495CD9A2"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13C7B913"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09A1806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Anyagcsere- és táplálkozási betegségek és tünetek</w:t>
            </w:r>
          </w:p>
        </w:tc>
      </w:tr>
      <w:tr w:rsidR="007341C4" w:rsidRPr="002749E2" w14:paraId="7F520E2A" w14:textId="77777777" w:rsidTr="002749E2">
        <w:trPr>
          <w:trHeight w:val="430"/>
        </w:trPr>
        <w:tc>
          <w:tcPr>
            <w:tcW w:w="2500" w:type="pct"/>
            <w:tcBorders>
              <w:top w:val="single" w:sz="4" w:space="0" w:color="000000"/>
              <w:left w:val="single" w:sz="4" w:space="0" w:color="000000"/>
              <w:bottom w:val="single" w:sz="4" w:space="0" w:color="000000"/>
              <w:right w:val="single" w:sz="4" w:space="0" w:color="000000"/>
            </w:tcBorders>
          </w:tcPr>
          <w:p w14:paraId="7013D695"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hypoglykaemia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441BF350" w14:textId="77777777" w:rsidR="004E1960" w:rsidRPr="002749E2" w:rsidRDefault="00E77744" w:rsidP="002749E2">
            <w:pPr>
              <w:tabs>
                <w:tab w:val="clear" w:pos="567"/>
              </w:tabs>
              <w:spacing w:line="240" w:lineRule="auto"/>
              <w:ind w:left="4"/>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w:t>
            </w:r>
          </w:p>
        </w:tc>
      </w:tr>
      <w:tr w:rsidR="00121D2F" w:rsidRPr="002749E2" w14:paraId="6C02B3CB" w14:textId="77777777" w:rsidTr="002749E2">
        <w:trPr>
          <w:trHeight w:val="430"/>
        </w:trPr>
        <w:tc>
          <w:tcPr>
            <w:tcW w:w="2500" w:type="pct"/>
            <w:tcBorders>
              <w:top w:val="single" w:sz="4" w:space="0" w:color="000000"/>
              <w:left w:val="single" w:sz="4" w:space="0" w:color="000000"/>
              <w:bottom w:val="single" w:sz="4" w:space="0" w:color="000000"/>
              <w:right w:val="single" w:sz="4" w:space="0" w:color="000000"/>
            </w:tcBorders>
          </w:tcPr>
          <w:p w14:paraId="2BB8845B" w14:textId="54897DBC" w:rsidR="00121D2F" w:rsidRPr="002749E2" w:rsidRDefault="005D5E8D" w:rsidP="002749E2">
            <w:pPr>
              <w:tabs>
                <w:tab w:val="clear" w:pos="567"/>
              </w:tabs>
              <w:spacing w:line="240" w:lineRule="auto"/>
              <w:rPr>
                <w:rFonts w:eastAsia="Times New Roman"/>
                <w:szCs w:val="22"/>
                <w:lang w:val="hu-HU"/>
              </w:rPr>
            </w:pPr>
            <w:r w:rsidRPr="0032371E">
              <w:t>B</w:t>
            </w:r>
            <w:r w:rsidRPr="0008679A">
              <w:rPr>
                <w:vertAlign w:val="subscript"/>
              </w:rPr>
              <w:t>12</w:t>
            </w:r>
            <w:r w:rsidR="000502DD">
              <w:t>-vitamin-szint csükkenése</w:t>
            </w:r>
            <w:r w:rsidR="00787416">
              <w:t>/</w:t>
            </w:r>
            <w:r w:rsidR="00787416" w:rsidRPr="0032371E">
              <w:t>B</w:t>
            </w:r>
            <w:r w:rsidR="00787416" w:rsidRPr="0008679A">
              <w:rPr>
                <w:vertAlign w:val="subscript"/>
              </w:rPr>
              <w:t>12</w:t>
            </w:r>
            <w:r w:rsidR="00787416">
              <w:t>-vitamin-hiány</w:t>
            </w:r>
            <w:r w:rsidRPr="004E45D7">
              <w:rPr>
                <w:vertAlign w:val="superscript"/>
              </w:rPr>
              <w:t>†</w:t>
            </w:r>
          </w:p>
        </w:tc>
        <w:tc>
          <w:tcPr>
            <w:tcW w:w="2500" w:type="pct"/>
            <w:tcBorders>
              <w:top w:val="single" w:sz="4" w:space="0" w:color="000000"/>
              <w:left w:val="single" w:sz="4" w:space="0" w:color="000000"/>
              <w:bottom w:val="single" w:sz="4" w:space="0" w:color="000000"/>
              <w:right w:val="single" w:sz="4" w:space="0" w:color="000000"/>
            </w:tcBorders>
          </w:tcPr>
          <w:p w14:paraId="60BA740B" w14:textId="042D5C0A" w:rsidR="00121D2F" w:rsidRDefault="005D5E8D" w:rsidP="002749E2">
            <w:pPr>
              <w:tabs>
                <w:tab w:val="clear" w:pos="567"/>
              </w:tabs>
              <w:spacing w:line="240" w:lineRule="auto"/>
              <w:ind w:left="4"/>
              <w:jc w:val="center"/>
              <w:rPr>
                <w:rFonts w:eastAsia="Times New Roman"/>
                <w:szCs w:val="22"/>
                <w:lang w:val="hu-HU"/>
              </w:rPr>
            </w:pPr>
            <w:r>
              <w:rPr>
                <w:rFonts w:eastAsia="Times New Roman"/>
                <w:szCs w:val="22"/>
                <w:lang w:val="hu-HU"/>
              </w:rPr>
              <w:t>gyakori</w:t>
            </w:r>
          </w:p>
        </w:tc>
      </w:tr>
      <w:tr w:rsidR="007341C4" w:rsidRPr="002749E2" w14:paraId="49F7B535"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09F653C0"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04D5FDCD"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3EEF7E8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Idegrendszeri betegségek és tünetek</w:t>
            </w:r>
          </w:p>
        </w:tc>
      </w:tr>
      <w:tr w:rsidR="007341C4" w:rsidRPr="002749E2" w14:paraId="028B1082"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0766583"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aluszékonyság</w:t>
            </w:r>
          </w:p>
        </w:tc>
        <w:tc>
          <w:tcPr>
            <w:tcW w:w="2500" w:type="pct"/>
            <w:tcBorders>
              <w:top w:val="single" w:sz="4" w:space="0" w:color="000000"/>
              <w:left w:val="single" w:sz="4" w:space="0" w:color="000000"/>
              <w:bottom w:val="single" w:sz="4" w:space="0" w:color="000000"/>
              <w:right w:val="single" w:sz="4" w:space="0" w:color="000000"/>
            </w:tcBorders>
          </w:tcPr>
          <w:p w14:paraId="7921035D" w14:textId="77777777" w:rsidR="004E1960" w:rsidRPr="002749E2" w:rsidRDefault="00E77744" w:rsidP="002749E2">
            <w:pPr>
              <w:tabs>
                <w:tab w:val="clear" w:pos="567"/>
              </w:tabs>
              <w:spacing w:line="240" w:lineRule="auto"/>
              <w:ind w:left="6"/>
              <w:jc w:val="center"/>
              <w:rPr>
                <w:rFonts w:eastAsia="Times New Roman"/>
                <w:szCs w:val="22"/>
                <w:lang w:val="hu-HU"/>
              </w:rPr>
            </w:pPr>
            <w:r>
              <w:rPr>
                <w:rFonts w:eastAsia="Times New Roman"/>
                <w:szCs w:val="22"/>
                <w:lang w:val="hu-HU"/>
              </w:rPr>
              <w:t>n</w:t>
            </w:r>
            <w:r w:rsidR="004E1960" w:rsidRPr="002749E2">
              <w:rPr>
                <w:rFonts w:eastAsia="Times New Roman"/>
                <w:szCs w:val="22"/>
                <w:lang w:val="hu-HU"/>
              </w:rPr>
              <w:t>em gyakori</w:t>
            </w:r>
          </w:p>
        </w:tc>
      </w:tr>
      <w:tr w:rsidR="007341C4" w:rsidRPr="002749E2" w14:paraId="1E49BB14"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C04F94F"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55DD1A60"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04971585"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0D9ABED1"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Légzőrendszeri, mellkasi és mediastinalis betegségek és tünetek</w:t>
            </w:r>
          </w:p>
        </w:tc>
      </w:tr>
      <w:tr w:rsidR="007341C4" w:rsidRPr="002749E2" w14:paraId="652C37FC"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33214EA2"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interstitialis tüdőbetegség</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1FD262FD" w14:textId="77777777" w:rsidR="004E1960" w:rsidRPr="002749E2" w:rsidRDefault="00E77744" w:rsidP="002749E2">
            <w:pPr>
              <w:tabs>
                <w:tab w:val="clear" w:pos="567"/>
              </w:tabs>
              <w:spacing w:line="240" w:lineRule="auto"/>
              <w:ind w:left="7"/>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yakoriság nem ismert</w:t>
            </w:r>
          </w:p>
        </w:tc>
      </w:tr>
      <w:tr w:rsidR="007341C4" w:rsidRPr="002749E2" w14:paraId="1E806FBB"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6C6CA19A"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1E9FF659"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404B2A3B"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Emésztőrendszeri betegségek és tünetek</w:t>
            </w:r>
          </w:p>
        </w:tc>
      </w:tr>
      <w:tr w:rsidR="007341C4" w:rsidRPr="002749E2" w14:paraId="3746846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79BA70CC"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hasmenés</w:t>
            </w:r>
          </w:p>
        </w:tc>
        <w:tc>
          <w:tcPr>
            <w:tcW w:w="2500" w:type="pct"/>
            <w:tcBorders>
              <w:top w:val="single" w:sz="4" w:space="0" w:color="000000"/>
              <w:left w:val="single" w:sz="4" w:space="0" w:color="000000"/>
              <w:bottom w:val="single" w:sz="4" w:space="0" w:color="000000"/>
              <w:right w:val="single" w:sz="4" w:space="0" w:color="000000"/>
            </w:tcBorders>
          </w:tcPr>
          <w:p w14:paraId="0086325B" w14:textId="77777777" w:rsidR="004E1960" w:rsidRPr="002749E2" w:rsidRDefault="00E77744" w:rsidP="002749E2">
            <w:pPr>
              <w:tabs>
                <w:tab w:val="clear" w:pos="567"/>
              </w:tabs>
              <w:spacing w:line="240" w:lineRule="auto"/>
              <w:ind w:left="6"/>
              <w:jc w:val="center"/>
              <w:rPr>
                <w:rFonts w:eastAsia="Times New Roman"/>
                <w:szCs w:val="22"/>
                <w:lang w:val="hu-HU"/>
              </w:rPr>
            </w:pPr>
            <w:r>
              <w:rPr>
                <w:rFonts w:eastAsia="Times New Roman"/>
                <w:szCs w:val="22"/>
                <w:lang w:val="hu-HU"/>
              </w:rPr>
              <w:t>n</w:t>
            </w:r>
            <w:r w:rsidR="004E1960" w:rsidRPr="002749E2">
              <w:rPr>
                <w:rFonts w:eastAsia="Times New Roman"/>
                <w:szCs w:val="22"/>
                <w:lang w:val="hu-HU"/>
              </w:rPr>
              <w:t>em gyakori</w:t>
            </w:r>
          </w:p>
        </w:tc>
      </w:tr>
      <w:tr w:rsidR="007341C4" w:rsidRPr="002749E2" w14:paraId="091BDD09"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75352B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hányinger</w:t>
            </w:r>
          </w:p>
        </w:tc>
        <w:tc>
          <w:tcPr>
            <w:tcW w:w="2500" w:type="pct"/>
            <w:tcBorders>
              <w:top w:val="single" w:sz="4" w:space="0" w:color="000000"/>
              <w:left w:val="single" w:sz="4" w:space="0" w:color="000000"/>
              <w:bottom w:val="single" w:sz="4" w:space="0" w:color="000000"/>
              <w:right w:val="single" w:sz="4" w:space="0" w:color="000000"/>
            </w:tcBorders>
          </w:tcPr>
          <w:p w14:paraId="42992B38" w14:textId="77777777" w:rsidR="004E1960" w:rsidRPr="002749E2" w:rsidRDefault="00E77744" w:rsidP="002749E2">
            <w:pPr>
              <w:tabs>
                <w:tab w:val="clear" w:pos="567"/>
              </w:tabs>
              <w:spacing w:line="240" w:lineRule="auto"/>
              <w:ind w:left="4"/>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w:t>
            </w:r>
          </w:p>
        </w:tc>
      </w:tr>
      <w:tr w:rsidR="007341C4" w:rsidRPr="002749E2" w14:paraId="43A9A51D"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0CFB6602" w14:textId="77777777" w:rsidR="004E1960" w:rsidRPr="002749E2" w:rsidRDefault="004C2591" w:rsidP="002749E2">
            <w:pPr>
              <w:tabs>
                <w:tab w:val="clear" w:pos="567"/>
              </w:tabs>
              <w:spacing w:line="240" w:lineRule="auto"/>
              <w:rPr>
                <w:rFonts w:eastAsia="Times New Roman"/>
                <w:szCs w:val="22"/>
                <w:lang w:val="hu-HU"/>
              </w:rPr>
            </w:pPr>
            <w:r>
              <w:rPr>
                <w:rFonts w:eastAsia="Times New Roman"/>
                <w:szCs w:val="22"/>
                <w:lang w:val="hu-HU"/>
              </w:rPr>
              <w:t>puffadás</w:t>
            </w:r>
          </w:p>
        </w:tc>
        <w:tc>
          <w:tcPr>
            <w:tcW w:w="2500" w:type="pct"/>
            <w:tcBorders>
              <w:top w:val="single" w:sz="4" w:space="0" w:color="000000"/>
              <w:left w:val="single" w:sz="4" w:space="0" w:color="000000"/>
              <w:bottom w:val="single" w:sz="4" w:space="0" w:color="000000"/>
              <w:right w:val="single" w:sz="4" w:space="0" w:color="000000"/>
            </w:tcBorders>
          </w:tcPr>
          <w:p w14:paraId="238515FF" w14:textId="77777777" w:rsidR="004E1960" w:rsidRPr="002749E2" w:rsidRDefault="00E77744" w:rsidP="002749E2">
            <w:pPr>
              <w:tabs>
                <w:tab w:val="clear" w:pos="567"/>
              </w:tabs>
              <w:spacing w:line="240" w:lineRule="auto"/>
              <w:ind w:left="4"/>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w:t>
            </w:r>
          </w:p>
        </w:tc>
      </w:tr>
      <w:tr w:rsidR="007341C4" w:rsidRPr="002749E2" w14:paraId="1A835187"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5E301C54"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székrekedés</w:t>
            </w:r>
          </w:p>
        </w:tc>
        <w:tc>
          <w:tcPr>
            <w:tcW w:w="2500" w:type="pct"/>
            <w:tcBorders>
              <w:top w:val="single" w:sz="4" w:space="0" w:color="000000"/>
              <w:left w:val="single" w:sz="4" w:space="0" w:color="000000"/>
              <w:bottom w:val="single" w:sz="4" w:space="0" w:color="000000"/>
              <w:right w:val="single" w:sz="4" w:space="0" w:color="000000"/>
            </w:tcBorders>
          </w:tcPr>
          <w:p w14:paraId="76BBB7B3" w14:textId="77777777" w:rsidR="004E1960" w:rsidRPr="002749E2" w:rsidRDefault="00E77744" w:rsidP="002749E2">
            <w:pPr>
              <w:tabs>
                <w:tab w:val="clear" w:pos="567"/>
              </w:tabs>
              <w:spacing w:line="240" w:lineRule="auto"/>
              <w:ind w:left="6"/>
              <w:jc w:val="center"/>
              <w:rPr>
                <w:rFonts w:eastAsia="Times New Roman"/>
                <w:szCs w:val="22"/>
                <w:lang w:val="hu-HU"/>
              </w:rPr>
            </w:pPr>
            <w:r>
              <w:rPr>
                <w:rFonts w:eastAsia="Times New Roman"/>
                <w:szCs w:val="22"/>
                <w:lang w:val="hu-HU"/>
              </w:rPr>
              <w:t>n</w:t>
            </w:r>
            <w:r w:rsidR="004E1960" w:rsidRPr="002749E2">
              <w:rPr>
                <w:rFonts w:eastAsia="Times New Roman"/>
                <w:szCs w:val="22"/>
                <w:lang w:val="hu-HU"/>
              </w:rPr>
              <w:t>em gyakori</w:t>
            </w:r>
          </w:p>
        </w:tc>
      </w:tr>
      <w:tr w:rsidR="007341C4" w:rsidRPr="002749E2" w14:paraId="2DE10D91"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3ADB797E" w14:textId="77777777" w:rsidR="004E1960" w:rsidRPr="002749E2" w:rsidRDefault="004C2591" w:rsidP="002749E2">
            <w:pPr>
              <w:tabs>
                <w:tab w:val="clear" w:pos="567"/>
              </w:tabs>
              <w:spacing w:line="240" w:lineRule="auto"/>
              <w:rPr>
                <w:rFonts w:eastAsia="Times New Roman"/>
                <w:szCs w:val="22"/>
                <w:lang w:val="hu-HU"/>
              </w:rPr>
            </w:pPr>
            <w:r>
              <w:rPr>
                <w:rFonts w:eastAsia="Times New Roman"/>
                <w:szCs w:val="22"/>
                <w:lang w:val="hu-HU"/>
              </w:rPr>
              <w:t xml:space="preserve">gyomortáji </w:t>
            </w:r>
            <w:r w:rsidR="004E1960" w:rsidRPr="002749E2">
              <w:rPr>
                <w:rFonts w:eastAsia="Times New Roman"/>
                <w:szCs w:val="22"/>
                <w:lang w:val="hu-HU"/>
              </w:rPr>
              <w:t>fájdalom</w:t>
            </w:r>
          </w:p>
        </w:tc>
        <w:tc>
          <w:tcPr>
            <w:tcW w:w="2500" w:type="pct"/>
            <w:tcBorders>
              <w:top w:val="single" w:sz="4" w:space="0" w:color="000000"/>
              <w:left w:val="single" w:sz="4" w:space="0" w:color="000000"/>
              <w:bottom w:val="single" w:sz="4" w:space="0" w:color="000000"/>
              <w:right w:val="single" w:sz="4" w:space="0" w:color="000000"/>
            </w:tcBorders>
          </w:tcPr>
          <w:p w14:paraId="10D09B43" w14:textId="77777777" w:rsidR="004E1960" w:rsidRPr="002749E2" w:rsidRDefault="00E77744" w:rsidP="002749E2">
            <w:pPr>
              <w:tabs>
                <w:tab w:val="clear" w:pos="567"/>
              </w:tabs>
              <w:spacing w:line="240" w:lineRule="auto"/>
              <w:ind w:left="6"/>
              <w:jc w:val="center"/>
              <w:rPr>
                <w:rFonts w:eastAsia="Times New Roman"/>
                <w:szCs w:val="22"/>
                <w:lang w:val="hu-HU"/>
              </w:rPr>
            </w:pPr>
            <w:r>
              <w:rPr>
                <w:rFonts w:eastAsia="Times New Roman"/>
                <w:szCs w:val="22"/>
                <w:lang w:val="hu-HU"/>
              </w:rPr>
              <w:t>n</w:t>
            </w:r>
            <w:r w:rsidR="004E1960" w:rsidRPr="002749E2">
              <w:rPr>
                <w:rFonts w:eastAsia="Times New Roman"/>
                <w:szCs w:val="22"/>
                <w:lang w:val="hu-HU"/>
              </w:rPr>
              <w:t>em gyakori</w:t>
            </w:r>
          </w:p>
        </w:tc>
      </w:tr>
      <w:tr w:rsidR="007341C4" w:rsidRPr="002749E2" w14:paraId="0AD3E5B7"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DD23E4E"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hányás</w:t>
            </w:r>
          </w:p>
        </w:tc>
        <w:tc>
          <w:tcPr>
            <w:tcW w:w="2500" w:type="pct"/>
            <w:tcBorders>
              <w:top w:val="single" w:sz="4" w:space="0" w:color="000000"/>
              <w:left w:val="single" w:sz="4" w:space="0" w:color="000000"/>
              <w:bottom w:val="single" w:sz="4" w:space="0" w:color="000000"/>
              <w:right w:val="single" w:sz="4" w:space="0" w:color="000000"/>
            </w:tcBorders>
          </w:tcPr>
          <w:p w14:paraId="75AD0CE0" w14:textId="77777777" w:rsidR="004E1960" w:rsidRPr="002749E2" w:rsidRDefault="00E77744" w:rsidP="002749E2">
            <w:pPr>
              <w:tabs>
                <w:tab w:val="clear" w:pos="567"/>
              </w:tabs>
              <w:spacing w:line="240" w:lineRule="auto"/>
              <w:ind w:left="4"/>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w:t>
            </w:r>
          </w:p>
        </w:tc>
      </w:tr>
      <w:tr w:rsidR="007341C4" w:rsidRPr="002749E2" w14:paraId="61286E21"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7E20462A"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acut pancreatitis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3730AB4D" w14:textId="77777777" w:rsidR="004E1960" w:rsidRPr="002749E2" w:rsidRDefault="00E77744" w:rsidP="002749E2">
            <w:pPr>
              <w:tabs>
                <w:tab w:val="clear" w:pos="567"/>
              </w:tabs>
              <w:spacing w:line="240" w:lineRule="auto"/>
              <w:ind w:left="7"/>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yakoriság nem ismert</w:t>
            </w:r>
          </w:p>
        </w:tc>
      </w:tr>
      <w:tr w:rsidR="007341C4" w:rsidRPr="002749E2" w14:paraId="6553D1B2" w14:textId="77777777" w:rsidTr="002749E2">
        <w:trPr>
          <w:trHeight w:val="528"/>
        </w:trPr>
        <w:tc>
          <w:tcPr>
            <w:tcW w:w="2500" w:type="pct"/>
            <w:tcBorders>
              <w:top w:val="single" w:sz="4" w:space="0" w:color="000000"/>
              <w:left w:val="single" w:sz="4" w:space="0" w:color="000000"/>
              <w:bottom w:val="single" w:sz="4" w:space="0" w:color="000000"/>
              <w:right w:val="single" w:sz="4" w:space="0" w:color="000000"/>
            </w:tcBorders>
          </w:tcPr>
          <w:p w14:paraId="6715DAED"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lastRenderedPageBreak/>
              <w:t>fatális és nem fatális kimenetelű haemorrhagiás és nekrotizáló pancreatitis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vAlign w:val="center"/>
          </w:tcPr>
          <w:p w14:paraId="4C7CA85D" w14:textId="77777777" w:rsidR="004E1960" w:rsidRPr="002749E2" w:rsidRDefault="00E77744" w:rsidP="002749E2">
            <w:pPr>
              <w:tabs>
                <w:tab w:val="clear" w:pos="567"/>
              </w:tabs>
              <w:spacing w:line="240" w:lineRule="auto"/>
              <w:ind w:left="7"/>
              <w:jc w:val="center"/>
              <w:rPr>
                <w:rFonts w:eastAsia="Times New Roman"/>
                <w:szCs w:val="22"/>
                <w:lang w:val="hu-HU"/>
              </w:rPr>
            </w:pPr>
            <w:r>
              <w:rPr>
                <w:rFonts w:eastAsia="Times New Roman"/>
                <w:szCs w:val="22"/>
                <w:lang w:val="hu-HU"/>
              </w:rPr>
              <w:t>g</w:t>
            </w:r>
            <w:r w:rsidR="004E1960" w:rsidRPr="002749E2">
              <w:rPr>
                <w:rFonts w:eastAsia="Times New Roman"/>
                <w:szCs w:val="22"/>
                <w:lang w:val="hu-HU"/>
              </w:rPr>
              <w:t>yakoriság nem ismert</w:t>
            </w:r>
          </w:p>
        </w:tc>
      </w:tr>
      <w:tr w:rsidR="007341C4" w:rsidRPr="002749E2" w14:paraId="16C1A3E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5BA098AB"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3B0DAD64"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1D0CC90A"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1DBAA9B2"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A bőr és a bőr alatti szövet betegségei és tünetei</w:t>
            </w:r>
          </w:p>
        </w:tc>
      </w:tr>
      <w:tr w:rsidR="007341C4" w:rsidRPr="002749E2" w14:paraId="399D7FD9"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0E894107"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pruritus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42906C74" w14:textId="77777777" w:rsidR="004E1960" w:rsidRPr="002749E2" w:rsidRDefault="00E77744" w:rsidP="002749E2">
            <w:pPr>
              <w:tabs>
                <w:tab w:val="clear" w:pos="567"/>
              </w:tabs>
              <w:spacing w:line="240" w:lineRule="auto"/>
              <w:ind w:left="6"/>
              <w:jc w:val="center"/>
              <w:rPr>
                <w:rFonts w:eastAsia="Times New Roman"/>
                <w:szCs w:val="22"/>
                <w:lang w:val="hu-HU"/>
              </w:rPr>
            </w:pPr>
            <w:r w:rsidRPr="002749E2">
              <w:rPr>
                <w:rFonts w:eastAsia="Times New Roman"/>
                <w:szCs w:val="22"/>
                <w:lang w:val="hu-HU"/>
              </w:rPr>
              <w:t>nem gyakori</w:t>
            </w:r>
          </w:p>
        </w:tc>
      </w:tr>
      <w:tr w:rsidR="007341C4" w:rsidRPr="002749E2" w14:paraId="7E2A90CA"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6A3E7C46"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angiooedema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7A327E77"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00E2C9B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4201956F"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kiütés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51CEAD7F" w14:textId="77777777" w:rsidR="004E1960" w:rsidRPr="002749E2" w:rsidRDefault="00E77744" w:rsidP="002749E2">
            <w:pPr>
              <w:tabs>
                <w:tab w:val="clear" w:pos="567"/>
              </w:tabs>
              <w:spacing w:line="240" w:lineRule="auto"/>
              <w:ind w:left="6"/>
              <w:jc w:val="center"/>
              <w:rPr>
                <w:rFonts w:eastAsia="Times New Roman"/>
                <w:szCs w:val="22"/>
                <w:lang w:val="hu-HU"/>
              </w:rPr>
            </w:pPr>
            <w:r w:rsidRPr="002749E2">
              <w:rPr>
                <w:rFonts w:eastAsia="Times New Roman"/>
                <w:szCs w:val="22"/>
                <w:lang w:val="hu-HU"/>
              </w:rPr>
              <w:t>gyakoriság nem ismert</w:t>
            </w:r>
          </w:p>
        </w:tc>
      </w:tr>
      <w:tr w:rsidR="007341C4" w:rsidRPr="002749E2" w14:paraId="5A75F5E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17622105"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urticaria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2A9969A0"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46FCF047"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7A6882A3"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cutan vasculitis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1668A133"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0BDB3681" w14:textId="77777777" w:rsidTr="002749E2">
        <w:trPr>
          <w:trHeight w:val="528"/>
        </w:trPr>
        <w:tc>
          <w:tcPr>
            <w:tcW w:w="2500" w:type="pct"/>
            <w:tcBorders>
              <w:top w:val="single" w:sz="4" w:space="0" w:color="000000"/>
              <w:left w:val="single" w:sz="4" w:space="0" w:color="000000"/>
              <w:bottom w:val="single" w:sz="4" w:space="0" w:color="000000"/>
              <w:right w:val="single" w:sz="4" w:space="0" w:color="000000"/>
            </w:tcBorders>
          </w:tcPr>
          <w:p w14:paraId="709AA9F5"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exfoliatív bőrelváltozások, beleértve a Stevens–Johnson-szindrómát is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vAlign w:val="center"/>
          </w:tcPr>
          <w:p w14:paraId="787717DB"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702D97A8"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73C6B5C5"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bullosus pemphigoid</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29384EA3"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56DD6E04"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01FFD12"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063C6AE4"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2E46721C"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07D26A5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A csont- és izomrendszer, valamint a kötőszövet betegségei és tünetei</w:t>
            </w:r>
          </w:p>
        </w:tc>
      </w:tr>
      <w:tr w:rsidR="007341C4" w:rsidRPr="002749E2" w14:paraId="5F253918"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5F94623A"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arthralgia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5A8944E7"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300C6A7C"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320C2C21"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myalgia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1805C2BC"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123989B0"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675DD5C3"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végtagfájdalom</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15DE74F5"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08EA0F07"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4463DEA2"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hátfájás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4660C172"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7BECD85E"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164F4681"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arthropathia</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7A5076DC"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16B11A13"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4835977E" w14:textId="77777777" w:rsidR="004E1960" w:rsidRPr="002749E2" w:rsidRDefault="004E1960" w:rsidP="002749E2">
            <w:pPr>
              <w:tabs>
                <w:tab w:val="clear" w:pos="567"/>
              </w:tabs>
              <w:spacing w:line="240" w:lineRule="auto"/>
              <w:rPr>
                <w:rFonts w:eastAsia="Times New Roman"/>
                <w:szCs w:val="22"/>
                <w:lang w:val="hu-HU"/>
              </w:rPr>
            </w:pPr>
          </w:p>
        </w:tc>
        <w:tc>
          <w:tcPr>
            <w:tcW w:w="2500" w:type="pct"/>
            <w:tcBorders>
              <w:top w:val="single" w:sz="4" w:space="0" w:color="000000"/>
              <w:left w:val="single" w:sz="4" w:space="0" w:color="000000"/>
              <w:bottom w:val="single" w:sz="4" w:space="0" w:color="000000"/>
              <w:right w:val="single" w:sz="4" w:space="0" w:color="000000"/>
            </w:tcBorders>
          </w:tcPr>
          <w:p w14:paraId="4B0194AA" w14:textId="77777777" w:rsidR="004E1960" w:rsidRPr="002749E2" w:rsidRDefault="004E1960" w:rsidP="002749E2">
            <w:pPr>
              <w:tabs>
                <w:tab w:val="clear" w:pos="567"/>
              </w:tabs>
              <w:spacing w:line="240" w:lineRule="auto"/>
              <w:rPr>
                <w:rFonts w:eastAsia="Times New Roman"/>
                <w:szCs w:val="22"/>
                <w:lang w:val="hu-HU"/>
              </w:rPr>
            </w:pPr>
          </w:p>
        </w:tc>
      </w:tr>
      <w:tr w:rsidR="007341C4" w:rsidRPr="002749E2" w14:paraId="3486AF65" w14:textId="77777777" w:rsidTr="002749E2">
        <w:trPr>
          <w:trHeight w:val="269"/>
        </w:trPr>
        <w:tc>
          <w:tcPr>
            <w:tcW w:w="5000" w:type="pct"/>
            <w:gridSpan w:val="2"/>
            <w:tcBorders>
              <w:top w:val="single" w:sz="4" w:space="0" w:color="000000"/>
              <w:left w:val="single" w:sz="4" w:space="0" w:color="000000"/>
              <w:bottom w:val="single" w:sz="4" w:space="0" w:color="000000"/>
              <w:right w:val="single" w:sz="4" w:space="0" w:color="000000"/>
            </w:tcBorders>
          </w:tcPr>
          <w:p w14:paraId="2341F5FD"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Vese- és húgyúti betegségek és tünetek</w:t>
            </w:r>
          </w:p>
        </w:tc>
      </w:tr>
      <w:tr w:rsidR="007341C4" w:rsidRPr="002749E2" w14:paraId="24CFC990"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2E03904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vesekárosodás</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59C2E4C9"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r w:rsidR="007341C4" w:rsidRPr="002749E2" w14:paraId="7E7E52F9" w14:textId="77777777" w:rsidTr="002749E2">
        <w:trPr>
          <w:trHeight w:val="269"/>
        </w:trPr>
        <w:tc>
          <w:tcPr>
            <w:tcW w:w="2500" w:type="pct"/>
            <w:tcBorders>
              <w:top w:val="single" w:sz="4" w:space="0" w:color="000000"/>
              <w:left w:val="single" w:sz="4" w:space="0" w:color="000000"/>
              <w:bottom w:val="single" w:sz="4" w:space="0" w:color="000000"/>
              <w:right w:val="single" w:sz="4" w:space="0" w:color="000000"/>
            </w:tcBorders>
          </w:tcPr>
          <w:p w14:paraId="52746B49"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a</w:t>
            </w:r>
            <w:r w:rsidR="00A91CB5">
              <w:rPr>
                <w:rFonts w:eastAsia="Times New Roman"/>
                <w:szCs w:val="22"/>
                <w:lang w:val="hu-HU"/>
              </w:rPr>
              <w:t>k</w:t>
            </w:r>
            <w:r w:rsidRPr="002749E2">
              <w:rPr>
                <w:rFonts w:eastAsia="Times New Roman"/>
                <w:szCs w:val="22"/>
                <w:lang w:val="hu-HU"/>
              </w:rPr>
              <w:t>ut veseelégtelenség</w:t>
            </w:r>
            <w:r w:rsidRPr="002749E2">
              <w:rPr>
                <w:rFonts w:eastAsia="Times New Roman"/>
                <w:szCs w:val="22"/>
                <w:vertAlign w:val="superscript"/>
                <w:lang w:val="hu-HU"/>
              </w:rPr>
              <w:t>*</w:t>
            </w:r>
          </w:p>
        </w:tc>
        <w:tc>
          <w:tcPr>
            <w:tcW w:w="2500" w:type="pct"/>
            <w:tcBorders>
              <w:top w:val="single" w:sz="4" w:space="0" w:color="000000"/>
              <w:left w:val="single" w:sz="4" w:space="0" w:color="000000"/>
              <w:bottom w:val="single" w:sz="4" w:space="0" w:color="000000"/>
              <w:right w:val="single" w:sz="4" w:space="0" w:color="000000"/>
            </w:tcBorders>
          </w:tcPr>
          <w:p w14:paraId="57449E6B" w14:textId="77777777" w:rsidR="004E1960" w:rsidRPr="002749E2" w:rsidRDefault="00E77744" w:rsidP="002749E2">
            <w:pPr>
              <w:tabs>
                <w:tab w:val="clear" w:pos="567"/>
              </w:tabs>
              <w:spacing w:line="240" w:lineRule="auto"/>
              <w:ind w:left="7"/>
              <w:jc w:val="center"/>
              <w:rPr>
                <w:rFonts w:eastAsia="Times New Roman"/>
                <w:szCs w:val="22"/>
                <w:lang w:val="hu-HU"/>
              </w:rPr>
            </w:pPr>
            <w:r w:rsidRPr="002749E2">
              <w:rPr>
                <w:rFonts w:eastAsia="Times New Roman"/>
                <w:szCs w:val="22"/>
                <w:lang w:val="hu-HU"/>
              </w:rPr>
              <w:t>gyakoriság nem ismert</w:t>
            </w:r>
          </w:p>
        </w:tc>
      </w:tr>
    </w:tbl>
    <w:p w14:paraId="4F420E12" w14:textId="77777777" w:rsidR="004E1960" w:rsidRPr="006F525B" w:rsidRDefault="004E1960" w:rsidP="006F525B">
      <w:pPr>
        <w:tabs>
          <w:tab w:val="clear" w:pos="567"/>
        </w:tabs>
        <w:spacing w:line="240" w:lineRule="auto"/>
        <w:ind w:left="-5"/>
        <w:rPr>
          <w:lang w:val="hu-HU"/>
        </w:rPr>
      </w:pPr>
      <w:r w:rsidRPr="006F525B">
        <w:rPr>
          <w:vertAlign w:val="superscript"/>
          <w:lang w:val="hu-HU"/>
        </w:rPr>
        <w:t>*</w:t>
      </w:r>
      <w:r w:rsidRPr="006F525B">
        <w:rPr>
          <w:lang w:val="hu-HU"/>
        </w:rPr>
        <w:t>A mellékhatásokat a forgalomba hozatalt követő felügyelet során azonosították.</w:t>
      </w:r>
    </w:p>
    <w:p w14:paraId="3422ACDE" w14:textId="77777777" w:rsidR="004E1960" w:rsidRPr="005D5E8D" w:rsidRDefault="004E1960" w:rsidP="006F525B">
      <w:pPr>
        <w:tabs>
          <w:tab w:val="clear" w:pos="567"/>
        </w:tabs>
        <w:spacing w:line="240" w:lineRule="auto"/>
        <w:ind w:left="-5"/>
        <w:rPr>
          <w:lang w:val="hu-HU"/>
        </w:rPr>
      </w:pPr>
      <w:r w:rsidRPr="005D5E8D">
        <w:rPr>
          <w:lang w:val="hu-HU"/>
        </w:rPr>
        <w:t>†</w:t>
      </w:r>
      <w:r w:rsidRPr="0008679A">
        <w:rPr>
          <w:lang w:val="hu-HU"/>
        </w:rPr>
        <w:t>Lásd 4.4 pont.</w:t>
      </w:r>
    </w:p>
    <w:p w14:paraId="314EA2CE" w14:textId="77777777" w:rsidR="004E1960" w:rsidRPr="006F525B" w:rsidRDefault="004E1960" w:rsidP="006F525B">
      <w:pPr>
        <w:tabs>
          <w:tab w:val="clear" w:pos="567"/>
        </w:tabs>
        <w:spacing w:line="240" w:lineRule="auto"/>
        <w:ind w:left="-5"/>
        <w:rPr>
          <w:lang w:val="hu-HU"/>
        </w:rPr>
      </w:pPr>
      <w:r w:rsidRPr="006F525B">
        <w:rPr>
          <w:lang w:val="hu-HU"/>
        </w:rPr>
        <w:t xml:space="preserve">‡ Lásd alább, a </w:t>
      </w:r>
      <w:r w:rsidRPr="006F525B">
        <w:rPr>
          <w:i/>
          <w:lang w:val="hu-HU"/>
        </w:rPr>
        <w:t xml:space="preserve">TECOS cardiovascularis biztonságossági vizsgálatra </w:t>
      </w:r>
      <w:r w:rsidRPr="006F525B">
        <w:rPr>
          <w:lang w:val="hu-HU"/>
        </w:rPr>
        <w:t>vonatkozó részt.</w:t>
      </w:r>
    </w:p>
    <w:p w14:paraId="30C890BA" w14:textId="77777777" w:rsidR="007B4F5F" w:rsidRPr="006F525B" w:rsidRDefault="007B4F5F" w:rsidP="006F525B">
      <w:pPr>
        <w:tabs>
          <w:tab w:val="clear" w:pos="567"/>
        </w:tabs>
        <w:spacing w:line="240" w:lineRule="auto"/>
        <w:ind w:left="-5"/>
        <w:rPr>
          <w:lang w:val="hu-HU"/>
        </w:rPr>
      </w:pPr>
    </w:p>
    <w:p w14:paraId="19650BE2"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A kiválasztott mellékhatások leírása</w:t>
      </w:r>
    </w:p>
    <w:p w14:paraId="5485AE8C" w14:textId="77777777" w:rsidR="004E1960" w:rsidRPr="006F525B" w:rsidRDefault="004E1960" w:rsidP="006F525B">
      <w:pPr>
        <w:tabs>
          <w:tab w:val="clear" w:pos="567"/>
        </w:tabs>
        <w:spacing w:line="240" w:lineRule="auto"/>
        <w:ind w:left="-5" w:right="8"/>
        <w:rPr>
          <w:lang w:val="hu-HU"/>
        </w:rPr>
      </w:pPr>
      <w:r w:rsidRPr="006F525B">
        <w:rPr>
          <w:lang w:val="hu-HU"/>
        </w:rPr>
        <w:t>A más antidiabetikumokkal együtt adott szitagliptin és metformin kombinációjának alkalmazását értékelő vizsgálatok során egyes mellékhatásokat gyakrabban figyeltek meg, mint az önmagában adott szitagliptint és metformint alkalmazó klinikai vizsgálatokban. Ezek közé tartozik a hypoglykaemia (szulfonilurea vagy inzulin mellett gyakorisága „nagyon gyakori” volt), székrekedés (szulfonilurea mellett „gyakori” volt), perifériás oedema (pioglitazon mellett „gyakori” volt), valamint a fejfájás és szájszárazság (inzulin mellett „nem gyakori” volt).</w:t>
      </w:r>
    </w:p>
    <w:p w14:paraId="27861BB5" w14:textId="77777777" w:rsidR="007B4F5F" w:rsidRPr="006F525B" w:rsidRDefault="007B4F5F" w:rsidP="006F525B">
      <w:pPr>
        <w:tabs>
          <w:tab w:val="clear" w:pos="567"/>
        </w:tabs>
        <w:spacing w:line="240" w:lineRule="auto"/>
        <w:ind w:left="-5" w:right="8"/>
        <w:rPr>
          <w:lang w:val="hu-HU"/>
        </w:rPr>
      </w:pPr>
    </w:p>
    <w:p w14:paraId="5EE1C957"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Szitagliptin</w:t>
      </w:r>
    </w:p>
    <w:p w14:paraId="16F5FF9A" w14:textId="77777777" w:rsidR="004E1960" w:rsidRPr="006F525B" w:rsidRDefault="004E1960" w:rsidP="006F525B">
      <w:pPr>
        <w:tabs>
          <w:tab w:val="clear" w:pos="567"/>
        </w:tabs>
        <w:spacing w:line="240" w:lineRule="auto"/>
        <w:ind w:left="-5" w:right="8"/>
        <w:rPr>
          <w:lang w:val="hu-HU"/>
        </w:rPr>
      </w:pPr>
      <w:r w:rsidRPr="006F525B">
        <w:rPr>
          <w:lang w:val="hu-HU"/>
        </w:rPr>
        <w:t xml:space="preserve">Napi egyszer </w:t>
      </w:r>
      <w:r w:rsidR="004F72D1" w:rsidRPr="006F525B">
        <w:rPr>
          <w:lang w:val="hu-HU"/>
        </w:rPr>
        <w:t>100 mg</w:t>
      </w:r>
      <w:r w:rsidRPr="006F525B">
        <w:rPr>
          <w:lang w:val="hu-HU"/>
        </w:rPr>
        <w:t xml:space="preserve"> szitagliptint a placebóval összehasonlító monoterápiás vizsgálatok során a jelentett mellékhatások a fejfájás, a hypoglykaemia, a székrekedés és a szédülés voltak.</w:t>
      </w:r>
    </w:p>
    <w:p w14:paraId="765B671F" w14:textId="77777777" w:rsidR="007B4F5F" w:rsidRPr="006F525B" w:rsidRDefault="007B4F5F" w:rsidP="006F525B">
      <w:pPr>
        <w:tabs>
          <w:tab w:val="clear" w:pos="567"/>
        </w:tabs>
        <w:spacing w:line="240" w:lineRule="auto"/>
        <w:ind w:left="-5" w:right="8"/>
        <w:rPr>
          <w:lang w:val="hu-HU"/>
        </w:rPr>
      </w:pPr>
    </w:p>
    <w:p w14:paraId="2B900899" w14:textId="77777777" w:rsidR="004E1960" w:rsidRPr="006F525B" w:rsidRDefault="004E1960" w:rsidP="006F525B">
      <w:pPr>
        <w:tabs>
          <w:tab w:val="clear" w:pos="567"/>
        </w:tabs>
        <w:spacing w:line="240" w:lineRule="auto"/>
        <w:ind w:left="-5" w:right="8"/>
        <w:rPr>
          <w:lang w:val="hu-HU"/>
        </w:rPr>
      </w:pPr>
      <w:r w:rsidRPr="006F525B">
        <w:rPr>
          <w:lang w:val="hu-HU"/>
        </w:rPr>
        <w:t>Ezeknek a betegeknek legalább 5%-ánál jelentett nemkívánatos események között, melyeket az ok-okozati viszony feltüntetése nélkül jelentettek, szerepel a felső légúti fertőzés és a nasopharyngitis. Továbbá, „nem gyakori” besorolással osteoarthritist és végtagfájdalmat jelentettek (a szitagliptinnel kezelt csoportban a kontrollcsoporthoz képest 0,5%-kal gyakrabban).</w:t>
      </w:r>
    </w:p>
    <w:p w14:paraId="4FA6A4A1" w14:textId="77777777" w:rsidR="007B4F5F" w:rsidRPr="006F525B" w:rsidRDefault="007B4F5F" w:rsidP="006F525B">
      <w:pPr>
        <w:tabs>
          <w:tab w:val="clear" w:pos="567"/>
        </w:tabs>
        <w:spacing w:line="240" w:lineRule="auto"/>
        <w:ind w:left="-5" w:right="8"/>
        <w:rPr>
          <w:lang w:val="hu-HU"/>
        </w:rPr>
      </w:pPr>
    </w:p>
    <w:p w14:paraId="4706A687"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Metformin</w:t>
      </w:r>
    </w:p>
    <w:p w14:paraId="37955185" w14:textId="519FD715" w:rsidR="008F4B60" w:rsidRDefault="004E1960" w:rsidP="006F525B">
      <w:pPr>
        <w:tabs>
          <w:tab w:val="clear" w:pos="567"/>
        </w:tabs>
        <w:spacing w:line="240" w:lineRule="auto"/>
        <w:ind w:left="-5" w:right="8"/>
        <w:rPr>
          <w:lang w:val="hu-HU"/>
        </w:rPr>
      </w:pPr>
      <w:r w:rsidRPr="006F525B">
        <w:rPr>
          <w:lang w:val="hu-HU"/>
        </w:rPr>
        <w:t>Nagyon gyakran jelentettek emésztőrendszeri tüneteket a metforminnal végzett klinikai vizsgálatokban és a forgalomba hozatalt követő felügyelet során. Az emésztőrendszeri tünetek, mint pl. a hányinger, hányás, hasmenés, hasfájás és étvágycsökkenés leggyakrabban a terápia megkezdésekor jelentkeznek, és a legtöbb esetben maguktól elmúlnak. A metforminnal összefüggő további mellékhatások közé tartozik a fémes íz érz</w:t>
      </w:r>
      <w:r w:rsidR="00C32116">
        <w:rPr>
          <w:lang w:val="hu-HU"/>
        </w:rPr>
        <w:t>ése</w:t>
      </w:r>
      <w:r w:rsidRPr="006F525B">
        <w:rPr>
          <w:lang w:val="hu-HU"/>
        </w:rPr>
        <w:t xml:space="preserve"> (gyakori); tejsavas acidózis, májfunkciós rendellenességek, hepatitis, csalánkiütés, erythema és pruritus (nagyon ritka). </w:t>
      </w:r>
    </w:p>
    <w:p w14:paraId="652F746A" w14:textId="0255FB46" w:rsidR="004E1960" w:rsidRPr="006F525B" w:rsidRDefault="004E1960" w:rsidP="006F525B">
      <w:pPr>
        <w:tabs>
          <w:tab w:val="clear" w:pos="567"/>
        </w:tabs>
        <w:spacing w:line="240" w:lineRule="auto"/>
        <w:ind w:left="-5" w:right="8"/>
        <w:rPr>
          <w:lang w:val="hu-HU"/>
        </w:rPr>
      </w:pPr>
      <w:r w:rsidRPr="006F525B">
        <w:rPr>
          <w:lang w:val="hu-HU"/>
        </w:rPr>
        <w:t>A gyakorisági kategóriák az EU területén a metforminról elérhető alkalmazási előírásokban szereplő információkon alapulnak.</w:t>
      </w:r>
    </w:p>
    <w:p w14:paraId="6891EB82" w14:textId="77777777" w:rsidR="00715047" w:rsidRPr="006F525B" w:rsidRDefault="00715047" w:rsidP="006F525B">
      <w:pPr>
        <w:tabs>
          <w:tab w:val="clear" w:pos="567"/>
        </w:tabs>
        <w:spacing w:line="240" w:lineRule="auto"/>
        <w:ind w:left="-5" w:right="8"/>
        <w:rPr>
          <w:lang w:val="hu-HU"/>
        </w:rPr>
      </w:pPr>
    </w:p>
    <w:p w14:paraId="4104D4BC"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Gyermekek és serdülők</w:t>
      </w:r>
    </w:p>
    <w:p w14:paraId="71620975" w14:textId="77777777" w:rsidR="004E1960" w:rsidRPr="006F525B" w:rsidRDefault="004E1960" w:rsidP="006F525B">
      <w:pPr>
        <w:tabs>
          <w:tab w:val="clear" w:pos="567"/>
        </w:tabs>
        <w:spacing w:line="240" w:lineRule="auto"/>
        <w:ind w:left="-5" w:right="8"/>
        <w:rPr>
          <w:lang w:val="hu-HU"/>
        </w:rPr>
      </w:pPr>
      <w:r w:rsidRPr="006F525B">
        <w:rPr>
          <w:lang w:val="hu-HU"/>
        </w:rPr>
        <w:t xml:space="preserve">A </w:t>
      </w:r>
      <w:r w:rsidR="00715047" w:rsidRPr="006F525B">
        <w:rPr>
          <w:lang w:val="hu-HU"/>
        </w:rPr>
        <w:t>szitagliptin és metformin kombinációjával</w:t>
      </w:r>
      <w:r w:rsidRPr="006F525B">
        <w:rPr>
          <w:lang w:val="hu-HU"/>
        </w:rPr>
        <w:t xml:space="preserve"> végzett klinikai vizsgálatokban, amelyekben 2-es típusú diabetes mellitusban szenvedő 10</w:t>
      </w:r>
      <w:r w:rsidR="003B1951" w:rsidRPr="006F525B">
        <w:rPr>
          <w:lang w:val="hu-HU"/>
        </w:rPr>
        <w:t xml:space="preserve"> és </w:t>
      </w:r>
      <w:r w:rsidR="001A0CAE" w:rsidRPr="006F525B">
        <w:rPr>
          <w:lang w:val="hu-HU"/>
        </w:rPr>
        <w:t xml:space="preserve">betöltött </w:t>
      </w:r>
      <w:r w:rsidRPr="006F525B">
        <w:rPr>
          <w:lang w:val="hu-HU"/>
        </w:rPr>
        <w:t>18</w:t>
      </w:r>
      <w:r w:rsidR="003B1951" w:rsidRPr="006F525B">
        <w:rPr>
          <w:lang w:val="hu-HU"/>
        </w:rPr>
        <w:t>.</w:t>
      </w:r>
      <w:r w:rsidRPr="006F525B">
        <w:rPr>
          <w:lang w:val="hu-HU"/>
        </w:rPr>
        <w:t xml:space="preserve"> </w:t>
      </w:r>
      <w:r w:rsidR="00733CC8" w:rsidRPr="006F525B">
        <w:rPr>
          <w:lang w:val="hu-HU"/>
        </w:rPr>
        <w:t>élet</w:t>
      </w:r>
      <w:r w:rsidRPr="006F525B">
        <w:rPr>
          <w:lang w:val="hu-HU"/>
        </w:rPr>
        <w:t>év</w:t>
      </w:r>
      <w:r w:rsidR="001A0CAE" w:rsidRPr="006F525B">
        <w:rPr>
          <w:lang w:val="hu-HU"/>
        </w:rPr>
        <w:t xml:space="preserve"> </w:t>
      </w:r>
      <w:r w:rsidR="003B1951" w:rsidRPr="006F525B">
        <w:rPr>
          <w:lang w:val="hu-HU"/>
        </w:rPr>
        <w:t xml:space="preserve">közötti </w:t>
      </w:r>
      <w:r w:rsidRPr="006F525B">
        <w:rPr>
          <w:lang w:val="hu-HU"/>
        </w:rPr>
        <w:t>gyermekek és serdülők vettek részt, a mellékhatásprofil általában hasonló volt a felnőtteknél megfigyelthez. Gyermekeknél és serdülőknél a szitagliptin alkalmazását a hypoglykaemia előfordulásának emelkedett kockázatával hozták összefüggésbe függetlenül attól, hogy bázis inzulin</w:t>
      </w:r>
      <w:r w:rsidR="00AE2077">
        <w:rPr>
          <w:lang w:val="hu-HU"/>
        </w:rPr>
        <w:t>-</w:t>
      </w:r>
      <w:r w:rsidRPr="006F525B">
        <w:rPr>
          <w:lang w:val="hu-HU"/>
        </w:rPr>
        <w:t>kezelésben részesültek vagy sem.</w:t>
      </w:r>
    </w:p>
    <w:p w14:paraId="5911D38D" w14:textId="77777777" w:rsidR="001A0CAE" w:rsidRPr="006F525B" w:rsidRDefault="001A0CAE" w:rsidP="006F525B">
      <w:pPr>
        <w:tabs>
          <w:tab w:val="clear" w:pos="567"/>
        </w:tabs>
        <w:spacing w:line="240" w:lineRule="auto"/>
        <w:ind w:left="-5" w:right="8"/>
        <w:rPr>
          <w:lang w:val="hu-HU"/>
        </w:rPr>
      </w:pPr>
    </w:p>
    <w:p w14:paraId="1BEDA06A"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TECOS cardiovascularis biztonságossági vizsgálat</w:t>
      </w:r>
    </w:p>
    <w:p w14:paraId="062FD455" w14:textId="77777777" w:rsidR="004E1960" w:rsidRPr="006F525B" w:rsidRDefault="004E1960" w:rsidP="006F525B">
      <w:pPr>
        <w:tabs>
          <w:tab w:val="clear" w:pos="567"/>
        </w:tabs>
        <w:spacing w:line="240" w:lineRule="auto"/>
        <w:ind w:left="-5" w:right="8"/>
        <w:rPr>
          <w:lang w:val="hu-HU"/>
        </w:rPr>
      </w:pPr>
      <w:r w:rsidRPr="006F525B">
        <w:rPr>
          <w:lang w:val="hu-HU"/>
        </w:rPr>
        <w:t xml:space="preserve">A szitagliptin mellett megfigyelt cardiovascularis végpontokat értékelő vizsgálatban (TECOS – Trial Evaluating Cardiovascular Outcomes with sitagliptin) 7332, napi </w:t>
      </w:r>
      <w:r w:rsidR="004F72D1" w:rsidRPr="006F525B">
        <w:rPr>
          <w:lang w:val="hu-HU"/>
        </w:rPr>
        <w:t>100 mg</w:t>
      </w:r>
      <w:r w:rsidRPr="006F525B">
        <w:rPr>
          <w:lang w:val="hu-HU"/>
        </w:rPr>
        <w:t xml:space="preserve"> (vagy ≥</w:t>
      </w:r>
      <w:r w:rsidR="001A0CAE" w:rsidRPr="006F525B">
        <w:rPr>
          <w:lang w:val="hu-HU"/>
        </w:rPr>
        <w:t> </w:t>
      </w:r>
      <w:r w:rsidRPr="006F525B">
        <w:rPr>
          <w:lang w:val="hu-HU"/>
        </w:rPr>
        <w:t>30 és &lt;</w:t>
      </w:r>
      <w:r w:rsidR="001A0CAE" w:rsidRPr="006F525B">
        <w:rPr>
          <w:lang w:val="hu-HU"/>
        </w:rPr>
        <w:t> </w:t>
      </w:r>
      <w:r w:rsidRPr="006F525B">
        <w:rPr>
          <w:lang w:val="hu-HU"/>
        </w:rPr>
        <w:t>50</w:t>
      </w:r>
      <w:r w:rsidR="002F3067">
        <w:rPr>
          <w:lang w:val="hu-HU"/>
        </w:rPr>
        <w:t> </w:t>
      </w:r>
      <w:r w:rsidRPr="006F525B">
        <w:rPr>
          <w:lang w:val="hu-HU"/>
        </w:rPr>
        <w:t>ml/perc/1,73</w:t>
      </w:r>
      <w:r w:rsidR="001A0CAE" w:rsidRPr="006F525B">
        <w:rPr>
          <w:lang w:val="hu-HU"/>
        </w:rPr>
        <w:t> </w:t>
      </w:r>
      <w:r w:rsidRPr="006F525B">
        <w:rPr>
          <w:lang w:val="hu-HU"/>
        </w:rPr>
        <w:t>m</w:t>
      </w:r>
      <w:r w:rsidRPr="006F525B">
        <w:rPr>
          <w:vertAlign w:val="superscript"/>
          <w:lang w:val="hu-HU"/>
        </w:rPr>
        <w:t xml:space="preserve">2 </w:t>
      </w:r>
      <w:r w:rsidRPr="006F525B">
        <w:rPr>
          <w:lang w:val="hu-HU"/>
        </w:rPr>
        <w:t xml:space="preserve">értékű kiindulási eGFR esetén napi </w:t>
      </w:r>
      <w:r w:rsidR="004F72D1" w:rsidRPr="006F525B">
        <w:rPr>
          <w:lang w:val="hu-HU"/>
        </w:rPr>
        <w:t>50 mg</w:t>
      </w:r>
      <w:r w:rsidRPr="006F525B">
        <w:rPr>
          <w:lang w:val="hu-HU"/>
        </w:rPr>
        <w:t>) szitagliptinnel kezelt, valamint</w:t>
      </w:r>
      <w:r w:rsidR="001A0CAE" w:rsidRPr="006F525B">
        <w:rPr>
          <w:lang w:val="hu-HU"/>
        </w:rPr>
        <w:t xml:space="preserve"> </w:t>
      </w:r>
      <w:r w:rsidRPr="006F525B">
        <w:rPr>
          <w:lang w:val="hu-HU"/>
        </w:rPr>
        <w:t>7339, placebóval kezelt beteg vett részt a beválasztás szerinti populációban. Mindkét kezelést a HbA</w:t>
      </w:r>
      <w:r w:rsidRPr="006F525B">
        <w:rPr>
          <w:vertAlign w:val="subscript"/>
          <w:lang w:val="hu-HU"/>
        </w:rPr>
        <w:t xml:space="preserve">1c </w:t>
      </w:r>
      <w:r w:rsidRPr="006F525B">
        <w:rPr>
          <w:lang w:val="hu-HU"/>
        </w:rPr>
        <w:t>és CV kockázati tényezőkre vonatkozó regionális standardokat célzó általános kezelés mellett alkalmazták. A szitagliptint kapó betegeknél fellépő, súlyos nemkívánatos események összesített előfordulási aránya hasonló volt a placebót kapóknál megfigyelthez.</w:t>
      </w:r>
    </w:p>
    <w:p w14:paraId="73F181D7" w14:textId="77777777" w:rsidR="000E59F4" w:rsidRPr="006F525B" w:rsidRDefault="000E59F4" w:rsidP="006F525B">
      <w:pPr>
        <w:tabs>
          <w:tab w:val="clear" w:pos="567"/>
        </w:tabs>
        <w:spacing w:line="240" w:lineRule="auto"/>
        <w:ind w:left="-5" w:right="8"/>
        <w:rPr>
          <w:lang w:val="hu-HU"/>
        </w:rPr>
      </w:pPr>
    </w:p>
    <w:p w14:paraId="130F0174" w14:textId="77777777" w:rsidR="004E1960" w:rsidRPr="006F525B" w:rsidRDefault="004E1960" w:rsidP="006F525B">
      <w:pPr>
        <w:tabs>
          <w:tab w:val="clear" w:pos="567"/>
        </w:tabs>
        <w:spacing w:line="240" w:lineRule="auto"/>
        <w:ind w:left="-5" w:right="8"/>
        <w:rPr>
          <w:lang w:val="hu-HU"/>
        </w:rPr>
      </w:pPr>
      <w:r w:rsidRPr="006F525B">
        <w:rPr>
          <w:lang w:val="hu-HU"/>
        </w:rPr>
        <w:t>A beválasztás szerinti populációban a kiinduláskor inzulint és/vagy szulfonilureát kapó betegeknél a súlyos hypoglykaemia előfordulási aránya 2,7% volt a szitagliptinnel kezelt betegeknél, és 2,5% a placebóval kezelteknél. Az inzulint és/vagy szulfonilureát a kiinduláskor nem kapó betegeknél a súlyos hypoglykaemia előfordulási aránya 1,0% volt a szitagliptinnel kezelt betegeknél, és 0,7% a placebóval kezelteknél. Az igazolt pancreatitis események előfordulási aránya 0,3% volt a szitagliptinnel kezelt betegeknél, és 0,2% a placebóval kezelteknél.</w:t>
      </w:r>
    </w:p>
    <w:p w14:paraId="41B78BCB" w14:textId="77777777" w:rsidR="000E59F4" w:rsidRPr="006F525B" w:rsidRDefault="000E59F4" w:rsidP="006F525B">
      <w:pPr>
        <w:tabs>
          <w:tab w:val="clear" w:pos="567"/>
        </w:tabs>
        <w:spacing w:line="240" w:lineRule="auto"/>
        <w:ind w:left="-5" w:right="8"/>
        <w:rPr>
          <w:lang w:val="hu-HU"/>
        </w:rPr>
      </w:pPr>
    </w:p>
    <w:p w14:paraId="397ABD9E"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Feltételezett mellékhatások bejelentése</w:t>
      </w:r>
    </w:p>
    <w:p w14:paraId="34C92C31" w14:textId="20F31C8C" w:rsidR="004E1960" w:rsidRPr="006F525B" w:rsidRDefault="004E1960" w:rsidP="006F525B">
      <w:pPr>
        <w:tabs>
          <w:tab w:val="clear" w:pos="567"/>
        </w:tabs>
        <w:spacing w:line="240" w:lineRule="auto"/>
        <w:ind w:left="-5" w:right="8"/>
        <w:rPr>
          <w:lang w:val="hu-HU"/>
        </w:rPr>
      </w:pPr>
      <w:r w:rsidRPr="006F525B">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r w:rsidRPr="006F525B">
          <w:rPr>
            <w:u w:val="single" w:color="0000FF"/>
            <w:shd w:val="clear" w:color="auto" w:fill="BFBFBF"/>
            <w:lang w:val="hu-HU"/>
          </w:rPr>
          <w:t>V.</w:t>
        </w:r>
      </w:hyperlink>
      <w:r w:rsidRPr="006F525B">
        <w:rPr>
          <w:u w:val="single" w:color="0000FF"/>
          <w:shd w:val="clear" w:color="auto" w:fill="BFBFBF"/>
          <w:lang w:val="hu-HU"/>
        </w:rPr>
        <w:t xml:space="preserve"> </w:t>
      </w:r>
      <w:hyperlink r:id="rId12">
        <w:r w:rsidRPr="006F525B">
          <w:rPr>
            <w:u w:val="single" w:color="0000FF"/>
            <w:shd w:val="clear" w:color="auto" w:fill="BFBFBF"/>
            <w:lang w:val="hu-HU"/>
          </w:rPr>
          <w:t>függelékben</w:t>
        </w:r>
      </w:hyperlink>
      <w:r w:rsidRPr="006F525B">
        <w:rPr>
          <w:u w:val="single" w:color="0000FF"/>
          <w:shd w:val="clear" w:color="auto" w:fill="BFBFBF"/>
          <w:lang w:val="hu-HU"/>
        </w:rPr>
        <w:t xml:space="preserve"> </w:t>
      </w:r>
      <w:r w:rsidRPr="006F525B">
        <w:rPr>
          <w:shd w:val="clear" w:color="auto" w:fill="BFBFBF"/>
          <w:lang w:val="hu-HU"/>
        </w:rPr>
        <w:t>található elérhetőségek valamelyikén keresztül</w:t>
      </w:r>
      <w:r w:rsidRPr="006F525B">
        <w:rPr>
          <w:lang w:val="hu-HU"/>
        </w:rPr>
        <w:t>.</w:t>
      </w:r>
    </w:p>
    <w:p w14:paraId="24B12CD1" w14:textId="77777777" w:rsidR="000E59F4" w:rsidRPr="006F525B" w:rsidRDefault="000E59F4" w:rsidP="006F525B">
      <w:pPr>
        <w:tabs>
          <w:tab w:val="clear" w:pos="567"/>
        </w:tabs>
        <w:spacing w:line="240" w:lineRule="auto"/>
        <w:ind w:left="-5" w:right="8"/>
        <w:rPr>
          <w:lang w:val="hu-HU"/>
        </w:rPr>
      </w:pPr>
    </w:p>
    <w:p w14:paraId="3C111FAC" w14:textId="77777777" w:rsidR="004E1960" w:rsidRPr="006F525B" w:rsidRDefault="004E1960" w:rsidP="006F525B">
      <w:pPr>
        <w:tabs>
          <w:tab w:val="clear" w:pos="567"/>
        </w:tabs>
        <w:spacing w:line="240" w:lineRule="auto"/>
        <w:ind w:left="-15"/>
        <w:rPr>
          <w:b/>
          <w:lang w:val="hu-HU"/>
        </w:rPr>
      </w:pPr>
      <w:r w:rsidRPr="006F525B">
        <w:rPr>
          <w:b/>
          <w:lang w:val="hu-HU"/>
        </w:rPr>
        <w:t>4.9</w:t>
      </w:r>
      <w:r w:rsidRPr="006F525B">
        <w:rPr>
          <w:b/>
          <w:lang w:val="hu-HU"/>
        </w:rPr>
        <w:tab/>
        <w:t>Túladagolás</w:t>
      </w:r>
    </w:p>
    <w:p w14:paraId="77F8E9D7" w14:textId="77777777" w:rsidR="00CD2C02" w:rsidRPr="006F525B" w:rsidRDefault="00CD2C02" w:rsidP="006F525B">
      <w:pPr>
        <w:tabs>
          <w:tab w:val="clear" w:pos="567"/>
        </w:tabs>
        <w:spacing w:line="240" w:lineRule="auto"/>
        <w:ind w:left="-5" w:right="8"/>
        <w:rPr>
          <w:lang w:val="hu-HU"/>
        </w:rPr>
      </w:pPr>
    </w:p>
    <w:p w14:paraId="232FCD93" w14:textId="77777777" w:rsidR="004E1960" w:rsidRPr="006F525B" w:rsidRDefault="004E1960" w:rsidP="006F525B">
      <w:pPr>
        <w:tabs>
          <w:tab w:val="clear" w:pos="567"/>
        </w:tabs>
        <w:spacing w:line="240" w:lineRule="auto"/>
        <w:ind w:left="-5" w:right="8"/>
        <w:rPr>
          <w:lang w:val="hu-HU"/>
        </w:rPr>
      </w:pPr>
      <w:r w:rsidRPr="006F525B">
        <w:rPr>
          <w:lang w:val="hu-HU"/>
        </w:rPr>
        <w:t>A kontrollos klinikai vizsgálatok során egészséges résztvevők legfeljebb 800</w:t>
      </w:r>
      <w:r w:rsidR="000E59F4" w:rsidRPr="006F525B">
        <w:rPr>
          <w:lang w:val="hu-HU"/>
        </w:rPr>
        <w:t> </w:t>
      </w:r>
      <w:r w:rsidRPr="006F525B">
        <w:rPr>
          <w:lang w:val="hu-HU"/>
        </w:rPr>
        <w:t>mg, egyszeri szitagliptin dózist kaptak. Egy vizsgálatban a szitagliptin 800</w:t>
      </w:r>
      <w:r w:rsidR="00CD2C02" w:rsidRPr="006F525B">
        <w:rPr>
          <w:lang w:val="hu-HU"/>
        </w:rPr>
        <w:t> </w:t>
      </w:r>
      <w:r w:rsidRPr="006F525B">
        <w:rPr>
          <w:lang w:val="hu-HU"/>
        </w:rPr>
        <w:t xml:space="preserve">mg-os </w:t>
      </w:r>
      <w:r w:rsidR="00AE2077">
        <w:rPr>
          <w:lang w:val="hu-HU"/>
        </w:rPr>
        <w:t>dózisa</w:t>
      </w:r>
      <w:r w:rsidR="00AE2077" w:rsidRPr="006F525B">
        <w:rPr>
          <w:lang w:val="hu-HU"/>
        </w:rPr>
        <w:t xml:space="preserve"> </w:t>
      </w:r>
      <w:r w:rsidRPr="006F525B">
        <w:rPr>
          <w:lang w:val="hu-HU"/>
        </w:rPr>
        <w:t>mellett minimális, klinikailag nem releváns mértékű QTc emelkedést figyeltek meg. Klinikai vizsgálatokban 800</w:t>
      </w:r>
      <w:r w:rsidR="00CD2C02" w:rsidRPr="006F525B">
        <w:rPr>
          <w:lang w:val="hu-HU"/>
        </w:rPr>
        <w:t> </w:t>
      </w:r>
      <w:r w:rsidRPr="006F525B">
        <w:rPr>
          <w:lang w:val="hu-HU"/>
        </w:rPr>
        <w:t>mg feletti dózissal kapcsolatban nincs tapasztalat. I-es fázisú, különböző dózist alkalmazó vizsgálatokban legfeljebb 10</w:t>
      </w:r>
      <w:r w:rsidR="00CD2C02" w:rsidRPr="006F525B">
        <w:rPr>
          <w:lang w:val="hu-HU"/>
        </w:rPr>
        <w:t> </w:t>
      </w:r>
      <w:r w:rsidRPr="006F525B">
        <w:rPr>
          <w:lang w:val="hu-HU"/>
        </w:rPr>
        <w:t>napon át adott maximum napi 600</w:t>
      </w:r>
      <w:r w:rsidR="00CD2C02" w:rsidRPr="006F525B">
        <w:rPr>
          <w:lang w:val="hu-HU"/>
        </w:rPr>
        <w:t> </w:t>
      </w:r>
      <w:r w:rsidRPr="006F525B">
        <w:rPr>
          <w:lang w:val="hu-HU"/>
        </w:rPr>
        <w:t>mg szitagliptin</w:t>
      </w:r>
      <w:r w:rsidR="00E77744">
        <w:rPr>
          <w:lang w:val="hu-HU"/>
        </w:rPr>
        <w:t>,</w:t>
      </w:r>
      <w:r w:rsidRPr="006F525B">
        <w:rPr>
          <w:lang w:val="hu-HU"/>
        </w:rPr>
        <w:t xml:space="preserve"> illetve legfeljebb 28</w:t>
      </w:r>
      <w:r w:rsidR="00CD2C02" w:rsidRPr="006F525B">
        <w:rPr>
          <w:lang w:val="hu-HU"/>
        </w:rPr>
        <w:t> </w:t>
      </w:r>
      <w:r w:rsidRPr="006F525B">
        <w:rPr>
          <w:lang w:val="hu-HU"/>
        </w:rPr>
        <w:t>napon át adott napi 400</w:t>
      </w:r>
      <w:r w:rsidR="00CD2C02" w:rsidRPr="006F525B">
        <w:rPr>
          <w:lang w:val="hu-HU"/>
        </w:rPr>
        <w:t> </w:t>
      </w:r>
      <w:r w:rsidRPr="006F525B">
        <w:rPr>
          <w:lang w:val="hu-HU"/>
        </w:rPr>
        <w:t>mg szitagliptin alkalmazása mellett nem figyeltek meg dózisfüggő klinikai mellékhatásokat.</w:t>
      </w:r>
    </w:p>
    <w:p w14:paraId="7BEE4C9A" w14:textId="77777777" w:rsidR="00CD2C02" w:rsidRPr="006F525B" w:rsidRDefault="00CD2C02" w:rsidP="006F525B">
      <w:pPr>
        <w:tabs>
          <w:tab w:val="clear" w:pos="567"/>
        </w:tabs>
        <w:spacing w:line="240" w:lineRule="auto"/>
        <w:ind w:left="-5" w:right="8"/>
        <w:rPr>
          <w:lang w:val="hu-HU"/>
        </w:rPr>
      </w:pPr>
    </w:p>
    <w:p w14:paraId="7FFDA5BB" w14:textId="77777777" w:rsidR="004E1960" w:rsidRPr="006F525B" w:rsidRDefault="004E1960" w:rsidP="006F525B">
      <w:pPr>
        <w:tabs>
          <w:tab w:val="clear" w:pos="567"/>
        </w:tabs>
        <w:spacing w:line="240" w:lineRule="auto"/>
        <w:ind w:left="-5" w:right="8"/>
        <w:rPr>
          <w:lang w:val="hu-HU"/>
        </w:rPr>
      </w:pPr>
      <w:r w:rsidRPr="006F525B">
        <w:rPr>
          <w:lang w:val="hu-HU"/>
        </w:rPr>
        <w:t>Metformin nagymértékű túladagolása (vagy a tejsavas acidózis kockázati tényezőinek együttes fennállása) tejsavas acidózishoz vezethet, mely vészhelyzetnek minősül és kórházi kezelést igényel. A laktát és a metformin eltávolításának leghatékonyabb módja a hemodialízis.</w:t>
      </w:r>
    </w:p>
    <w:p w14:paraId="40CBE574" w14:textId="77777777" w:rsidR="00CD2C02" w:rsidRPr="006F525B" w:rsidRDefault="00CD2C02" w:rsidP="006F525B">
      <w:pPr>
        <w:tabs>
          <w:tab w:val="clear" w:pos="567"/>
        </w:tabs>
        <w:spacing w:line="240" w:lineRule="auto"/>
        <w:ind w:left="-5" w:right="8"/>
        <w:rPr>
          <w:lang w:val="hu-HU"/>
        </w:rPr>
      </w:pPr>
    </w:p>
    <w:p w14:paraId="692E69FB" w14:textId="77777777" w:rsidR="004E1960" w:rsidRPr="006F525B" w:rsidRDefault="004E1960" w:rsidP="006F525B">
      <w:pPr>
        <w:tabs>
          <w:tab w:val="clear" w:pos="567"/>
        </w:tabs>
        <w:spacing w:line="240" w:lineRule="auto"/>
        <w:ind w:left="-5" w:right="8"/>
        <w:rPr>
          <w:lang w:val="hu-HU"/>
        </w:rPr>
      </w:pPr>
      <w:r w:rsidRPr="006F525B">
        <w:rPr>
          <w:lang w:val="hu-HU"/>
        </w:rPr>
        <w:t>A klinikai vizsgálatokban a dózis hozzávetőleg 13,5%-a volt eltávolítható egy 3</w:t>
      </w:r>
      <w:r w:rsidR="00CD2C02" w:rsidRPr="006F525B">
        <w:rPr>
          <w:lang w:val="hu-HU"/>
        </w:rPr>
        <w:t>–</w:t>
      </w:r>
      <w:r w:rsidRPr="006F525B">
        <w:rPr>
          <w:lang w:val="hu-HU"/>
        </w:rPr>
        <w:t>4</w:t>
      </w:r>
      <w:r w:rsidR="00CD2C02" w:rsidRPr="006F525B">
        <w:rPr>
          <w:lang w:val="hu-HU"/>
        </w:rPr>
        <w:t> </w:t>
      </w:r>
      <w:r w:rsidRPr="006F525B">
        <w:rPr>
          <w:lang w:val="hu-HU"/>
        </w:rPr>
        <w:t>órás hemodialízis kezelés során. Amennyiben klinikailag indokolt, fontolóra kell venni a hosszabb ideig tartó hemodialízis lehetőségét. Nem ismert, hogy a szitagliptin dializálható-e peritoneális dialízissel.</w:t>
      </w:r>
    </w:p>
    <w:p w14:paraId="34A4B008" w14:textId="77777777" w:rsidR="00CD2C02" w:rsidRPr="006F525B" w:rsidRDefault="00CD2C02" w:rsidP="006F525B">
      <w:pPr>
        <w:tabs>
          <w:tab w:val="clear" w:pos="567"/>
        </w:tabs>
        <w:spacing w:line="240" w:lineRule="auto"/>
        <w:ind w:left="-5" w:right="8"/>
        <w:rPr>
          <w:lang w:val="hu-HU"/>
        </w:rPr>
      </w:pPr>
    </w:p>
    <w:p w14:paraId="2D01E153" w14:textId="77777777" w:rsidR="004E1960" w:rsidRPr="006F525B" w:rsidRDefault="004E1960" w:rsidP="006F525B">
      <w:pPr>
        <w:tabs>
          <w:tab w:val="clear" w:pos="567"/>
        </w:tabs>
        <w:spacing w:line="240" w:lineRule="auto"/>
        <w:ind w:left="-5" w:right="8"/>
        <w:rPr>
          <w:lang w:val="hu-HU"/>
        </w:rPr>
      </w:pPr>
      <w:r w:rsidRPr="006F525B">
        <w:rPr>
          <w:lang w:val="hu-HU"/>
        </w:rPr>
        <w:t>Túladagolás esetén helyénvaló az általános szupportív eljárások alkalmazása pl.: a fel nem szívódott anyag eltávolítása a tápcsatornából, klinikai megfigyelés (</w:t>
      </w:r>
      <w:r w:rsidR="00356909">
        <w:rPr>
          <w:lang w:val="hu-HU"/>
        </w:rPr>
        <w:t>EKG</w:t>
      </w:r>
      <w:r w:rsidR="00356909" w:rsidRPr="006F525B">
        <w:rPr>
          <w:lang w:val="hu-HU"/>
        </w:rPr>
        <w:t xml:space="preserve"> </w:t>
      </w:r>
      <w:r w:rsidRPr="006F525B">
        <w:rPr>
          <w:lang w:val="hu-HU"/>
        </w:rPr>
        <w:t>készítését is beleértve) valamint szükség esetén szupportív terápia bevezetése.</w:t>
      </w:r>
    </w:p>
    <w:p w14:paraId="3C2DEC64" w14:textId="77777777" w:rsidR="00CD2C02" w:rsidRPr="006F525B" w:rsidRDefault="00CD2C02" w:rsidP="006F525B">
      <w:pPr>
        <w:tabs>
          <w:tab w:val="clear" w:pos="567"/>
        </w:tabs>
        <w:spacing w:line="240" w:lineRule="auto"/>
        <w:ind w:left="-5" w:right="8"/>
        <w:rPr>
          <w:lang w:val="hu-HU"/>
        </w:rPr>
      </w:pPr>
    </w:p>
    <w:p w14:paraId="48D29DDB" w14:textId="77777777" w:rsidR="00CD2C02" w:rsidRPr="006F525B" w:rsidRDefault="00CD2C02" w:rsidP="006F525B">
      <w:pPr>
        <w:tabs>
          <w:tab w:val="clear" w:pos="567"/>
        </w:tabs>
        <w:spacing w:line="240" w:lineRule="auto"/>
        <w:ind w:left="-5" w:right="8"/>
        <w:rPr>
          <w:lang w:val="hu-HU"/>
        </w:rPr>
      </w:pPr>
    </w:p>
    <w:p w14:paraId="52FEB91E" w14:textId="77777777" w:rsidR="004E1960" w:rsidRPr="006F525B" w:rsidRDefault="004E1960" w:rsidP="006F525B">
      <w:pPr>
        <w:widowControl w:val="0"/>
        <w:tabs>
          <w:tab w:val="clear" w:pos="567"/>
        </w:tabs>
        <w:suppressAutoHyphens/>
        <w:spacing w:line="240" w:lineRule="auto"/>
        <w:ind w:left="567" w:hanging="567"/>
        <w:rPr>
          <w:rFonts w:eastAsia="Times New Roman"/>
          <w:b/>
          <w:snapToGrid/>
          <w:szCs w:val="22"/>
          <w:lang w:val="hu-HU" w:eastAsia="en-US"/>
        </w:rPr>
      </w:pPr>
      <w:r w:rsidRPr="006F525B">
        <w:rPr>
          <w:rFonts w:eastAsia="Times New Roman"/>
          <w:b/>
          <w:snapToGrid/>
          <w:szCs w:val="22"/>
          <w:lang w:val="hu-HU" w:eastAsia="en-US"/>
        </w:rPr>
        <w:t>5.</w:t>
      </w:r>
      <w:r w:rsidRPr="006F525B">
        <w:rPr>
          <w:rFonts w:eastAsia="Times New Roman"/>
          <w:b/>
          <w:snapToGrid/>
          <w:szCs w:val="22"/>
          <w:lang w:val="hu-HU" w:eastAsia="en-US"/>
        </w:rPr>
        <w:tab/>
        <w:t>FARMAKOLÓGIAI TULAJDONSÁGOK</w:t>
      </w:r>
    </w:p>
    <w:p w14:paraId="11109695" w14:textId="77777777" w:rsidR="00F832D2" w:rsidRPr="006F525B" w:rsidRDefault="00F832D2" w:rsidP="006F525B">
      <w:pPr>
        <w:widowControl w:val="0"/>
        <w:tabs>
          <w:tab w:val="clear" w:pos="567"/>
        </w:tabs>
        <w:suppressAutoHyphens/>
        <w:spacing w:line="240" w:lineRule="auto"/>
        <w:ind w:left="567" w:hanging="567"/>
        <w:rPr>
          <w:rFonts w:eastAsia="Times New Roman"/>
          <w:bCs/>
          <w:snapToGrid/>
          <w:szCs w:val="22"/>
          <w:lang w:val="hu-HU" w:eastAsia="en-US"/>
        </w:rPr>
      </w:pPr>
    </w:p>
    <w:p w14:paraId="446D8E12" w14:textId="77777777" w:rsidR="004E1960" w:rsidRPr="006F525B" w:rsidRDefault="004E1960" w:rsidP="006F525B">
      <w:pPr>
        <w:tabs>
          <w:tab w:val="clear" w:pos="567"/>
        </w:tabs>
        <w:spacing w:line="240" w:lineRule="auto"/>
        <w:ind w:left="-15"/>
        <w:rPr>
          <w:b/>
          <w:lang w:val="hu-HU"/>
        </w:rPr>
      </w:pPr>
      <w:r w:rsidRPr="006F525B">
        <w:rPr>
          <w:b/>
          <w:lang w:val="hu-HU"/>
        </w:rPr>
        <w:t>5.1</w:t>
      </w:r>
      <w:r w:rsidRPr="006F525B">
        <w:rPr>
          <w:b/>
          <w:lang w:val="hu-HU"/>
        </w:rPr>
        <w:tab/>
        <w:t>Farmakodinámiás tulajdonságok</w:t>
      </w:r>
    </w:p>
    <w:p w14:paraId="39F02E5E" w14:textId="77777777" w:rsidR="00F832D2" w:rsidRPr="006F525B" w:rsidRDefault="00F832D2" w:rsidP="006F525B">
      <w:pPr>
        <w:tabs>
          <w:tab w:val="clear" w:pos="567"/>
        </w:tabs>
        <w:spacing w:line="240" w:lineRule="auto"/>
        <w:ind w:left="-5" w:right="8"/>
        <w:rPr>
          <w:lang w:val="hu-HU"/>
        </w:rPr>
      </w:pPr>
    </w:p>
    <w:p w14:paraId="4E2FA038" w14:textId="77777777" w:rsidR="004E1960" w:rsidRPr="006F525B" w:rsidRDefault="004E1960" w:rsidP="006F525B">
      <w:pPr>
        <w:tabs>
          <w:tab w:val="clear" w:pos="567"/>
        </w:tabs>
        <w:spacing w:line="240" w:lineRule="auto"/>
        <w:ind w:left="-5" w:right="8"/>
        <w:rPr>
          <w:lang w:val="hu-HU"/>
        </w:rPr>
      </w:pPr>
      <w:r w:rsidRPr="006F525B">
        <w:rPr>
          <w:lang w:val="hu-HU"/>
        </w:rPr>
        <w:t>Farmakoterápiás csoport: Antidiabetikus gyógyszer, Orális antidiabetikumok kombinációi,</w:t>
      </w:r>
      <w:r w:rsidR="00E77744">
        <w:rPr>
          <w:lang w:val="hu-HU"/>
        </w:rPr>
        <w:t xml:space="preserve"> </w:t>
      </w:r>
      <w:r w:rsidRPr="006F525B">
        <w:rPr>
          <w:lang w:val="hu-HU"/>
        </w:rPr>
        <w:t>ATC kód: A10BD07</w:t>
      </w:r>
    </w:p>
    <w:p w14:paraId="1422568B" w14:textId="77777777" w:rsidR="00F832D2" w:rsidRPr="006F525B" w:rsidRDefault="00F832D2" w:rsidP="006F525B">
      <w:pPr>
        <w:tabs>
          <w:tab w:val="clear" w:pos="567"/>
        </w:tabs>
        <w:spacing w:line="240" w:lineRule="auto"/>
        <w:ind w:left="-5" w:right="8"/>
        <w:rPr>
          <w:lang w:val="hu-HU"/>
        </w:rPr>
      </w:pPr>
    </w:p>
    <w:p w14:paraId="045ECFF1" w14:textId="50EC404D" w:rsidR="004E1960" w:rsidRPr="001B70E1" w:rsidRDefault="004E1960" w:rsidP="006F525B">
      <w:pPr>
        <w:tabs>
          <w:tab w:val="clear" w:pos="567"/>
        </w:tabs>
        <w:spacing w:line="240" w:lineRule="auto"/>
        <w:ind w:left="-5" w:right="8"/>
        <w:rPr>
          <w:lang w:val="hu-HU"/>
        </w:rPr>
      </w:pPr>
      <w:r w:rsidRPr="006F525B">
        <w:rPr>
          <w:lang w:val="hu-HU"/>
        </w:rPr>
        <w:t xml:space="preserve">A </w:t>
      </w:r>
      <w:r w:rsidR="00200067">
        <w:rPr>
          <w:lang w:val="hu-HU"/>
        </w:rPr>
        <w:t>JUZIMETTE</w:t>
      </w:r>
      <w:r w:rsidRPr="006F525B">
        <w:rPr>
          <w:lang w:val="hu-HU"/>
        </w:rPr>
        <w:t xml:space="preserve"> két, egymást kiegészítő hatásmechanizmusú, 2-es típusú diabéteszben szenvedő betegek glykaemiás kontrolljának javítására szolgáló antihyperglykaemiás gyógyszer, a dipeptidil-</w:t>
      </w:r>
      <w:r w:rsidRPr="001B70E1">
        <w:rPr>
          <w:lang w:val="hu-HU"/>
        </w:rPr>
        <w:t>peptidáz-4</w:t>
      </w:r>
      <w:r w:rsidR="007713C8" w:rsidRPr="001B70E1">
        <w:rPr>
          <w:lang w:val="hu-HU"/>
        </w:rPr>
        <w:t>-</w:t>
      </w:r>
      <w:r w:rsidRPr="001B70E1">
        <w:rPr>
          <w:lang w:val="hu-HU"/>
        </w:rPr>
        <w:t xml:space="preserve"> (DPP-4)</w:t>
      </w:r>
      <w:r w:rsidR="007713C8" w:rsidRPr="001B70E1">
        <w:rPr>
          <w:lang w:val="hu-HU"/>
        </w:rPr>
        <w:t xml:space="preserve"> </w:t>
      </w:r>
      <w:r w:rsidRPr="001B70E1">
        <w:rPr>
          <w:lang w:val="hu-HU"/>
        </w:rPr>
        <w:t>gátlók csoportjába tartozó szitagliptin- és a biguanidok osztályába sorolható metformin-hidroklorid kombinációja.</w:t>
      </w:r>
    </w:p>
    <w:p w14:paraId="445C01EE" w14:textId="77777777" w:rsidR="00DC77F4" w:rsidRPr="001B70E1" w:rsidRDefault="00DC77F4" w:rsidP="006F525B">
      <w:pPr>
        <w:tabs>
          <w:tab w:val="clear" w:pos="567"/>
        </w:tabs>
        <w:spacing w:line="240" w:lineRule="auto"/>
        <w:ind w:left="-5" w:right="8"/>
        <w:rPr>
          <w:lang w:val="hu-HU"/>
        </w:rPr>
      </w:pPr>
    </w:p>
    <w:p w14:paraId="18C2D5D7" w14:textId="77777777" w:rsidR="004E1960" w:rsidRPr="001B70E1" w:rsidRDefault="004E1960" w:rsidP="006F525B">
      <w:pPr>
        <w:tabs>
          <w:tab w:val="clear" w:pos="567"/>
        </w:tabs>
        <w:spacing w:line="240" w:lineRule="auto"/>
        <w:ind w:left="-5" w:right="124"/>
        <w:rPr>
          <w:u w:val="single" w:color="000000"/>
          <w:lang w:val="hu-HU"/>
        </w:rPr>
      </w:pPr>
      <w:r w:rsidRPr="001B70E1">
        <w:rPr>
          <w:u w:val="single" w:color="000000"/>
          <w:lang w:val="hu-HU"/>
        </w:rPr>
        <w:t>Szitagliptin</w:t>
      </w:r>
    </w:p>
    <w:p w14:paraId="05924C6F" w14:textId="77777777" w:rsidR="004E1960" w:rsidRPr="001B70E1" w:rsidRDefault="004E1960" w:rsidP="006F525B">
      <w:pPr>
        <w:tabs>
          <w:tab w:val="clear" w:pos="567"/>
        </w:tabs>
        <w:spacing w:line="240" w:lineRule="auto"/>
        <w:ind w:left="-5" w:right="124"/>
        <w:rPr>
          <w:i/>
          <w:iCs/>
          <w:u w:color="000000"/>
          <w:lang w:val="hu-HU"/>
        </w:rPr>
      </w:pPr>
      <w:r w:rsidRPr="001B70E1">
        <w:rPr>
          <w:i/>
          <w:iCs/>
          <w:u w:color="000000"/>
          <w:lang w:val="hu-HU"/>
        </w:rPr>
        <w:t>Hatásmechanizmus</w:t>
      </w:r>
    </w:p>
    <w:p w14:paraId="588B020F" w14:textId="459DBE10" w:rsidR="004E1960" w:rsidRPr="006F525B" w:rsidRDefault="004E1960" w:rsidP="00202958">
      <w:pPr>
        <w:tabs>
          <w:tab w:val="clear" w:pos="567"/>
        </w:tabs>
        <w:spacing w:line="240" w:lineRule="auto"/>
        <w:ind w:left="-5" w:right="8"/>
        <w:rPr>
          <w:lang w:val="hu-HU"/>
        </w:rPr>
      </w:pPr>
      <w:r w:rsidRPr="001B70E1">
        <w:rPr>
          <w:lang w:val="hu-HU"/>
        </w:rPr>
        <w:t>A szitagliptin- egy orálisan aktív, hatékony és igen szelektív dipeptidil-peptidáz-4</w:t>
      </w:r>
      <w:r w:rsidRPr="006F525B">
        <w:rPr>
          <w:lang w:val="hu-HU"/>
        </w:rPr>
        <w:t xml:space="preserve"> (DPP-4) enzim gátló, amelyet a 2-es típusú diabétesz kezelésére </w:t>
      </w:r>
      <w:r w:rsidR="007713C8">
        <w:rPr>
          <w:lang w:val="hu-HU"/>
        </w:rPr>
        <w:t>alkalmaznak</w:t>
      </w:r>
      <w:r w:rsidRPr="006F525B">
        <w:rPr>
          <w:lang w:val="hu-HU"/>
        </w:rPr>
        <w:t>. A DPP-4-gátlók az inkretinszint-növelők osztályába tartoznak. A DPP-4 enzim gátlásával a szitagliptin emeli a két ismert aktív inkretin hormon, a gl</w:t>
      </w:r>
      <w:r w:rsidR="007713C8">
        <w:rPr>
          <w:lang w:val="hu-HU"/>
        </w:rPr>
        <w:t>ü</w:t>
      </w:r>
      <w:r w:rsidRPr="006F525B">
        <w:rPr>
          <w:lang w:val="hu-HU"/>
        </w:rPr>
        <w:t xml:space="preserve">kagonszerű peptid </w:t>
      </w:r>
      <w:r w:rsidR="007713C8">
        <w:rPr>
          <w:lang w:val="hu-HU"/>
        </w:rPr>
        <w:t xml:space="preserve">1 </w:t>
      </w:r>
      <w:r w:rsidRPr="006F525B">
        <w:rPr>
          <w:lang w:val="hu-HU"/>
        </w:rPr>
        <w:t>(GLP-1) és a glükózdependens inzulinotróp polipeptid (GIP) szintjét. Az inkretinek a glükózhomeosztázis fiziológiai szabályozásában szerepet játszó endogén rendszer részei. Normális vagy emelkedett vércukor-koncentráció esetén a GLP-1 és a GIP fokozzák a pancreas béta-sejtjeiben az inzulin termelését és felszabadulását. A GLP-1 ezen kívül csökkenti a pancreas alfa-sejtjeinek gl</w:t>
      </w:r>
      <w:r w:rsidR="007713C8">
        <w:rPr>
          <w:lang w:val="hu-HU"/>
        </w:rPr>
        <w:t>ü</w:t>
      </w:r>
      <w:r w:rsidRPr="006F525B">
        <w:rPr>
          <w:lang w:val="hu-HU"/>
        </w:rPr>
        <w:t>kagonkiválasztását, mely a máj glükóztermelésének visszaeséséhez vezet. Alacsony vércukorszint esetén nem stimulálja az inzulinfelszabadulást és nem szupprimálja a gl</w:t>
      </w:r>
      <w:r w:rsidR="007713C8">
        <w:rPr>
          <w:lang w:val="hu-HU"/>
        </w:rPr>
        <w:t>ü</w:t>
      </w:r>
      <w:r w:rsidRPr="006F525B">
        <w:rPr>
          <w:lang w:val="hu-HU"/>
        </w:rPr>
        <w:t>kagonelválasztást. A szitagliptin a DPP-4 enzim hatékony és igen szelektív inhibitora, és terápiás koncentrációban nem gátolja a nagyon hasonló DPP-8 és DPP-9 enzimeket. A szitagliptin és a GLP-1 analógok, az inzulin, a szulfonilureák vagy meglitinidek, biguanidok, peroxiszóma proliferátor-aktivált receptor gamma</w:t>
      </w:r>
      <w:r w:rsidR="007713C8">
        <w:rPr>
          <w:lang w:val="hu-HU"/>
        </w:rPr>
        <w:t>-</w:t>
      </w:r>
      <w:r w:rsidRPr="006F525B">
        <w:rPr>
          <w:lang w:val="hu-HU"/>
        </w:rPr>
        <w:t xml:space="preserve"> (PPAR</w:t>
      </w:r>
      <w:r w:rsidRPr="006F525B">
        <w:rPr>
          <w:rFonts w:eastAsia="Segoe UI Symbol" w:cs="Segoe UI Symbol"/>
          <w:lang w:val="hu-HU"/>
        </w:rPr>
        <w:sym w:font="Symbol" w:char="F067"/>
      </w:r>
      <w:r w:rsidRPr="006F525B">
        <w:rPr>
          <w:lang w:val="hu-HU"/>
        </w:rPr>
        <w:t>)</w:t>
      </w:r>
      <w:r w:rsidR="007713C8">
        <w:rPr>
          <w:lang w:val="hu-HU"/>
        </w:rPr>
        <w:t xml:space="preserve"> </w:t>
      </w:r>
      <w:r w:rsidRPr="006F525B">
        <w:rPr>
          <w:lang w:val="hu-HU"/>
        </w:rPr>
        <w:t>agonisták, alfa-gl</w:t>
      </w:r>
      <w:r w:rsidR="007713C8">
        <w:rPr>
          <w:lang w:val="hu-HU"/>
        </w:rPr>
        <w:t>ü</w:t>
      </w:r>
      <w:r w:rsidRPr="006F525B">
        <w:rPr>
          <w:lang w:val="hu-HU"/>
        </w:rPr>
        <w:t>kozidáz</w:t>
      </w:r>
      <w:r w:rsidR="007713C8">
        <w:rPr>
          <w:lang w:val="hu-HU"/>
        </w:rPr>
        <w:t>-</w:t>
      </w:r>
      <w:r w:rsidRPr="006F525B">
        <w:rPr>
          <w:lang w:val="hu-HU"/>
        </w:rPr>
        <w:t>gátlók és amilin analógok kémiai szerkezete és farmakológiai hatásmechanizmusa eltér egymástól.</w:t>
      </w:r>
    </w:p>
    <w:p w14:paraId="67DADB14" w14:textId="77777777" w:rsidR="00013DF9" w:rsidRPr="006F525B" w:rsidRDefault="00013DF9" w:rsidP="006F525B">
      <w:pPr>
        <w:tabs>
          <w:tab w:val="clear" w:pos="567"/>
        </w:tabs>
        <w:spacing w:line="240" w:lineRule="auto"/>
        <w:ind w:left="-5"/>
        <w:jc w:val="both"/>
        <w:rPr>
          <w:lang w:val="hu-HU"/>
        </w:rPr>
      </w:pPr>
    </w:p>
    <w:p w14:paraId="5213821B" w14:textId="77777777" w:rsidR="004E1960" w:rsidRPr="006F525B" w:rsidRDefault="004E1960" w:rsidP="006F525B">
      <w:pPr>
        <w:tabs>
          <w:tab w:val="clear" w:pos="567"/>
        </w:tabs>
        <w:spacing w:line="240" w:lineRule="auto"/>
        <w:ind w:left="-5" w:right="8"/>
        <w:rPr>
          <w:lang w:val="hu-HU"/>
        </w:rPr>
      </w:pPr>
      <w:r w:rsidRPr="006F525B">
        <w:rPr>
          <w:lang w:val="hu-HU"/>
        </w:rPr>
        <w:t>Egy egészséges résztvevőkkel folytatott, kétnapos vizsgálat során, az önmagában adagolt szitagliptin növelte az aktív GLP-1-koncentrációkat, míg az önmagában adagolt metformin hasonló mértékben növelte mind a teljes, mind pedig az aktív GLP-1-koncentrációkat. A szitagliptin metforminnal történő együttes adása additív hatással volt az aktív GLP-1-koncentrációkra. Az aktív GIP-koncentrációkat a szitagliptin növelte, de a metformin nem.</w:t>
      </w:r>
    </w:p>
    <w:p w14:paraId="5173189B" w14:textId="77777777" w:rsidR="001A287F" w:rsidRPr="006F525B" w:rsidRDefault="001A287F" w:rsidP="006F525B">
      <w:pPr>
        <w:tabs>
          <w:tab w:val="clear" w:pos="567"/>
        </w:tabs>
        <w:spacing w:line="240" w:lineRule="auto"/>
        <w:ind w:left="-5" w:right="8"/>
        <w:rPr>
          <w:lang w:val="hu-HU"/>
        </w:rPr>
      </w:pPr>
    </w:p>
    <w:p w14:paraId="4783C122"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Klinikai hatásosság és biztonságosság</w:t>
      </w:r>
    </w:p>
    <w:p w14:paraId="2495127D" w14:textId="77777777" w:rsidR="004E1960" w:rsidRPr="006F525B" w:rsidRDefault="004E1960" w:rsidP="006F525B">
      <w:pPr>
        <w:tabs>
          <w:tab w:val="clear" w:pos="567"/>
        </w:tabs>
        <w:spacing w:line="240" w:lineRule="auto"/>
        <w:ind w:left="-5" w:right="8"/>
        <w:rPr>
          <w:lang w:val="hu-HU"/>
        </w:rPr>
      </w:pPr>
      <w:r w:rsidRPr="006F525B">
        <w:rPr>
          <w:lang w:val="hu-HU"/>
        </w:rPr>
        <w:t>Összességében véve, a szitagliptin monoterápiában vagy kombinációs terápiában történő alkalmazása javította a glykaemiás kontrollt a 2-es típusú diabéteszben szenvedő felnőttek esetében.</w:t>
      </w:r>
    </w:p>
    <w:p w14:paraId="05F316C9" w14:textId="77777777" w:rsidR="001A287F" w:rsidRPr="006F525B" w:rsidRDefault="001A287F" w:rsidP="006F525B">
      <w:pPr>
        <w:tabs>
          <w:tab w:val="clear" w:pos="567"/>
        </w:tabs>
        <w:spacing w:line="240" w:lineRule="auto"/>
        <w:ind w:left="-5" w:right="8"/>
        <w:rPr>
          <w:lang w:val="hu-HU"/>
        </w:rPr>
      </w:pPr>
    </w:p>
    <w:p w14:paraId="59BDDA89" w14:textId="77777777" w:rsidR="004E1960" w:rsidRPr="006F525B" w:rsidRDefault="004E1960" w:rsidP="006F525B">
      <w:pPr>
        <w:tabs>
          <w:tab w:val="clear" w:pos="567"/>
        </w:tabs>
        <w:spacing w:line="240" w:lineRule="auto"/>
        <w:ind w:left="-5" w:right="8"/>
        <w:rPr>
          <w:lang w:val="hu-HU"/>
        </w:rPr>
      </w:pPr>
      <w:r w:rsidRPr="006F525B">
        <w:rPr>
          <w:lang w:val="hu-HU"/>
        </w:rPr>
        <w:t>Klinikai vizsgálatokban a monoterápiában adott szitagliptin javította a glykaemiás kontrollt a hemoglobin A</w:t>
      </w:r>
      <w:r w:rsidRPr="006F525B">
        <w:rPr>
          <w:vertAlign w:val="subscript"/>
          <w:lang w:val="hu-HU"/>
        </w:rPr>
        <w:t xml:space="preserve">1c </w:t>
      </w:r>
      <w:r w:rsidRPr="006F525B">
        <w:rPr>
          <w:lang w:val="hu-HU"/>
        </w:rPr>
        <w:t>(HbA</w:t>
      </w:r>
      <w:r w:rsidRPr="006F525B">
        <w:rPr>
          <w:vertAlign w:val="subscript"/>
          <w:lang w:val="hu-HU"/>
        </w:rPr>
        <w:t>1c</w:t>
      </w:r>
      <w:r w:rsidRPr="006F525B">
        <w:rPr>
          <w:lang w:val="hu-HU"/>
        </w:rPr>
        <w:t>), az éhomi és az étkezés utáni glükóz szintjének szignifikáns csökkentésével. Az éhomi plazma</w:t>
      </w:r>
      <w:r w:rsidR="00E6123A">
        <w:rPr>
          <w:lang w:val="hu-HU"/>
        </w:rPr>
        <w:t xml:space="preserve"> </w:t>
      </w:r>
      <w:r w:rsidRPr="006F525B">
        <w:rPr>
          <w:lang w:val="hu-HU"/>
        </w:rPr>
        <w:t>glükóz</w:t>
      </w:r>
      <w:r w:rsidR="00E6123A">
        <w:rPr>
          <w:lang w:val="hu-HU"/>
        </w:rPr>
        <w:t>-</w:t>
      </w:r>
      <w:r w:rsidRPr="006F525B">
        <w:rPr>
          <w:lang w:val="hu-HU"/>
        </w:rPr>
        <w:t xml:space="preserve"> (FPG) szint csökkenését három hét után figyelték meg, ez volt az első időpont, amikor az FPG-t mérték. A szitagliptinnel kezelt betegek között előforduló hypoglykaemiás esetek száma hasonló volt a placebóval kezeltek közt megfigyelthez. Szitagliptin</w:t>
      </w:r>
      <w:r w:rsidR="00E6123A">
        <w:rPr>
          <w:lang w:val="hu-HU"/>
        </w:rPr>
        <w:t>-</w:t>
      </w:r>
      <w:r w:rsidRPr="006F525B">
        <w:rPr>
          <w:lang w:val="hu-HU"/>
        </w:rPr>
        <w:t>terápia mellett a vizsgálat elején megfigyelthez képest nem nőtt a test</w:t>
      </w:r>
      <w:r w:rsidR="00E6123A">
        <w:rPr>
          <w:lang w:val="hu-HU"/>
        </w:rPr>
        <w:t>tömeg</w:t>
      </w:r>
      <w:r w:rsidRPr="006F525B">
        <w:rPr>
          <w:lang w:val="hu-HU"/>
        </w:rPr>
        <w:t>. Javulást figyeltek meg a bétasejt-funkció egyéb markerei terén, beleértve a HOMA-β-t (Homeostasis Model Assessment-β), proinzulin-inzulin arányt, valamint a gyakori mintavétellel járó étkezési toleranciateszttel mért bétasejt-válaszkészség értékeit.</w:t>
      </w:r>
    </w:p>
    <w:p w14:paraId="6375987A" w14:textId="77777777" w:rsidR="001A287F" w:rsidRPr="006F525B" w:rsidRDefault="001A287F" w:rsidP="006F525B">
      <w:pPr>
        <w:tabs>
          <w:tab w:val="clear" w:pos="567"/>
        </w:tabs>
        <w:spacing w:line="240" w:lineRule="auto"/>
        <w:ind w:left="-5" w:right="8"/>
        <w:rPr>
          <w:lang w:val="hu-HU"/>
        </w:rPr>
      </w:pPr>
    </w:p>
    <w:p w14:paraId="316770F0"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Vizsgálatok szitagliptin és metformin kombinációjával</w:t>
      </w:r>
    </w:p>
    <w:p w14:paraId="68648140" w14:textId="77777777" w:rsidR="004E1960" w:rsidRPr="006F525B" w:rsidRDefault="004E1960" w:rsidP="006F525B">
      <w:pPr>
        <w:tabs>
          <w:tab w:val="clear" w:pos="567"/>
        </w:tabs>
        <w:spacing w:line="240" w:lineRule="auto"/>
        <w:ind w:left="-5" w:right="8"/>
        <w:rPr>
          <w:lang w:val="hu-HU"/>
        </w:rPr>
      </w:pPr>
      <w:r w:rsidRPr="006F525B">
        <w:rPr>
          <w:lang w:val="hu-HU"/>
        </w:rPr>
        <w:t xml:space="preserve">Egy 24 hetes, placebokontrollos klinikai vizsgálatban, amelyben a folyamatosan szedett metformin mellé naponta egyszer adott </w:t>
      </w:r>
      <w:r w:rsidR="004F72D1" w:rsidRPr="006F525B">
        <w:rPr>
          <w:lang w:val="hu-HU"/>
        </w:rPr>
        <w:t>100 mg</w:t>
      </w:r>
      <w:r w:rsidRPr="006F525B">
        <w:rPr>
          <w:lang w:val="hu-HU"/>
        </w:rPr>
        <w:t xml:space="preserve"> szitagliptin hatásosságát és biztonságosságát vizsgálták, a szitagliptin szignifikáns glykaemiás javulást eredményezett a placebóhoz képest. A vizsgálat elején megfigyelthez képest elért test</w:t>
      </w:r>
      <w:r w:rsidR="00E6123A">
        <w:rPr>
          <w:lang w:val="hu-HU"/>
        </w:rPr>
        <w:t>tömeg</w:t>
      </w:r>
      <w:r w:rsidRPr="006F525B">
        <w:rPr>
          <w:lang w:val="hu-HU"/>
        </w:rPr>
        <w:t>változás a szitagliptinnel és a placebóval kezelt betegek esetében hasonló volt. E vizsgálatokban a szitagliptinnel vagy placebóval kezelt betegek között jelentett hypoglykaemiás esetek előfordulási aránya hasonló volt.</w:t>
      </w:r>
    </w:p>
    <w:p w14:paraId="72BF5AD3" w14:textId="77777777" w:rsidR="001A287F" w:rsidRPr="006F525B" w:rsidRDefault="001A287F" w:rsidP="006F525B">
      <w:pPr>
        <w:tabs>
          <w:tab w:val="clear" w:pos="567"/>
        </w:tabs>
        <w:spacing w:line="240" w:lineRule="auto"/>
        <w:ind w:left="-5" w:right="8"/>
        <w:rPr>
          <w:lang w:val="hu-HU"/>
        </w:rPr>
      </w:pPr>
    </w:p>
    <w:p w14:paraId="320C440B" w14:textId="77777777" w:rsidR="004E1960" w:rsidRPr="006F525B" w:rsidRDefault="004E1960" w:rsidP="006F525B">
      <w:pPr>
        <w:tabs>
          <w:tab w:val="clear" w:pos="567"/>
        </w:tabs>
        <w:spacing w:line="240" w:lineRule="auto"/>
        <w:ind w:left="-5" w:right="8"/>
        <w:rPr>
          <w:lang w:val="hu-HU"/>
        </w:rPr>
      </w:pPr>
      <w:r w:rsidRPr="006F525B">
        <w:rPr>
          <w:lang w:val="hu-HU"/>
        </w:rPr>
        <w:t>A kezdő kezelés egy 24 hetes, placebokontrollos, faktoriális elrendezésű vizsgálata során a metforminnal (napi kétszer 500</w:t>
      </w:r>
      <w:r w:rsidR="001A287F" w:rsidRPr="006F525B">
        <w:rPr>
          <w:lang w:val="hu-HU"/>
        </w:rPr>
        <w:t> </w:t>
      </w:r>
      <w:r w:rsidRPr="006F525B">
        <w:rPr>
          <w:lang w:val="hu-HU"/>
        </w:rPr>
        <w:t xml:space="preserve">mg vagy </w:t>
      </w:r>
      <w:r w:rsidR="004F72D1" w:rsidRPr="006F525B">
        <w:rPr>
          <w:lang w:val="hu-HU"/>
        </w:rPr>
        <w:t>1000 mg</w:t>
      </w:r>
      <w:r w:rsidRPr="006F525B">
        <w:rPr>
          <w:lang w:val="hu-HU"/>
        </w:rPr>
        <w:t xml:space="preserve">) kombinációban adott napi kétszer </w:t>
      </w:r>
      <w:r w:rsidR="004F72D1" w:rsidRPr="006F525B">
        <w:rPr>
          <w:lang w:val="hu-HU"/>
        </w:rPr>
        <w:t>50 mg</w:t>
      </w:r>
      <w:r w:rsidRPr="006F525B">
        <w:rPr>
          <w:lang w:val="hu-HU"/>
        </w:rPr>
        <w:t xml:space="preserve"> szitagliptin bármelyik monoterápiával összehasonlítva jelentős javulást eredményezett a glykaemiás paraméterekben. A szitagliptin és metformin kombinációjával elért test</w:t>
      </w:r>
      <w:r w:rsidR="00E6123A">
        <w:rPr>
          <w:lang w:val="hu-HU"/>
        </w:rPr>
        <w:t>tömeg</w:t>
      </w:r>
      <w:r w:rsidRPr="006F525B">
        <w:rPr>
          <w:lang w:val="hu-HU"/>
        </w:rPr>
        <w:t>csökkenés hasonló volt a csak metformin vagy placebó alkalmazása mellett megfigyelthez, míg a szitagliptin önmagában történő alkalmazásakor az alapértékekben nem mutatkozott változás. A hypoglykaemia az egyes kezelési csoportokban hasonló arányban fordult elő.</w:t>
      </w:r>
    </w:p>
    <w:p w14:paraId="1B9B2959" w14:textId="77777777" w:rsidR="001A287F" w:rsidRPr="006F525B" w:rsidRDefault="001A287F" w:rsidP="006F525B">
      <w:pPr>
        <w:tabs>
          <w:tab w:val="clear" w:pos="567"/>
        </w:tabs>
        <w:spacing w:line="240" w:lineRule="auto"/>
        <w:ind w:left="-5" w:right="8"/>
        <w:rPr>
          <w:lang w:val="hu-HU"/>
        </w:rPr>
      </w:pPr>
    </w:p>
    <w:p w14:paraId="2A8DFC85"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Vizsgálatok szitagliptinhez adott metformin és szulfonilurea kombinációjával</w:t>
      </w:r>
    </w:p>
    <w:p w14:paraId="241D5535" w14:textId="77777777" w:rsidR="004E1960" w:rsidRPr="006F525B" w:rsidRDefault="004E1960" w:rsidP="006F525B">
      <w:pPr>
        <w:tabs>
          <w:tab w:val="clear" w:pos="567"/>
        </w:tabs>
        <w:spacing w:line="240" w:lineRule="auto"/>
        <w:ind w:left="-5" w:right="8"/>
        <w:rPr>
          <w:lang w:val="hu-HU"/>
        </w:rPr>
      </w:pPr>
      <w:r w:rsidRPr="006F525B">
        <w:rPr>
          <w:lang w:val="hu-HU"/>
        </w:rPr>
        <w:t>Elvégeztek egy 24</w:t>
      </w:r>
      <w:r w:rsidR="00B06DD1" w:rsidRPr="006F525B">
        <w:rPr>
          <w:lang w:val="hu-HU"/>
        </w:rPr>
        <w:t> </w:t>
      </w:r>
      <w:r w:rsidRPr="006F525B">
        <w:rPr>
          <w:lang w:val="hu-HU"/>
        </w:rPr>
        <w:t xml:space="preserve">hetes, placebokontrollos vizsgálatot az (önmagában vagy metforminnal kombinációban alkalmazott) glimepiridhez hozzáadott (naponta egyszer </w:t>
      </w:r>
      <w:r w:rsidR="004F72D1" w:rsidRPr="006F525B">
        <w:rPr>
          <w:lang w:val="hu-HU"/>
        </w:rPr>
        <w:t>100 mg</w:t>
      </w:r>
      <w:r w:rsidRPr="006F525B">
        <w:rPr>
          <w:lang w:val="hu-HU"/>
        </w:rPr>
        <w:t>) szitagliptin hatásosságának és biztonságosságának értékelésére. A szitagliptin hozzáadása a glimepiridhez és metforminhoz szignifikáns glykaemiás javulást eredményezett. A szitagliptinnel kezelt betegek test</w:t>
      </w:r>
      <w:r w:rsidR="005B0689">
        <w:rPr>
          <w:lang w:val="hu-HU"/>
        </w:rPr>
        <w:t>tömege</w:t>
      </w:r>
      <w:r w:rsidRPr="006F525B">
        <w:rPr>
          <w:lang w:val="hu-HU"/>
        </w:rPr>
        <w:t xml:space="preserve"> kissé emelkedett (+1,1</w:t>
      </w:r>
      <w:r w:rsidR="00B06DD1" w:rsidRPr="006F525B">
        <w:rPr>
          <w:lang w:val="hu-HU"/>
        </w:rPr>
        <w:t> </w:t>
      </w:r>
      <w:r w:rsidRPr="006F525B">
        <w:rPr>
          <w:lang w:val="hu-HU"/>
        </w:rPr>
        <w:t>kg) a placebóval kezelt betegekéhez képest.</w:t>
      </w:r>
    </w:p>
    <w:p w14:paraId="145A9265" w14:textId="77777777" w:rsidR="00B06DD1" w:rsidRPr="006F525B" w:rsidRDefault="00B06DD1" w:rsidP="006F525B">
      <w:pPr>
        <w:tabs>
          <w:tab w:val="clear" w:pos="567"/>
        </w:tabs>
        <w:spacing w:line="240" w:lineRule="auto"/>
        <w:ind w:left="-5" w:right="8"/>
        <w:rPr>
          <w:lang w:val="hu-HU"/>
        </w:rPr>
      </w:pPr>
    </w:p>
    <w:p w14:paraId="71AEF2BF"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Vizsgálatok a szitagliptinhez adott metformin és egy PPAR</w:t>
      </w:r>
      <w:r w:rsidRPr="006F525B">
        <w:rPr>
          <w:u w:val="single" w:color="000000"/>
          <w:lang w:val="hu-HU"/>
        </w:rPr>
        <w:sym w:font="Symbol" w:char="F067"/>
      </w:r>
      <w:r w:rsidRPr="006F525B">
        <w:rPr>
          <w:u w:val="single" w:color="000000"/>
          <w:lang w:val="hu-HU"/>
        </w:rPr>
        <w:t>-agonista kombinációjával</w:t>
      </w:r>
    </w:p>
    <w:p w14:paraId="5FA38338" w14:textId="77777777" w:rsidR="004E1960" w:rsidRPr="006F525B" w:rsidRDefault="004E1960" w:rsidP="006F525B">
      <w:pPr>
        <w:tabs>
          <w:tab w:val="clear" w:pos="567"/>
        </w:tabs>
        <w:spacing w:line="240" w:lineRule="auto"/>
        <w:ind w:left="-5" w:right="8"/>
        <w:rPr>
          <w:lang w:val="hu-HU"/>
        </w:rPr>
      </w:pPr>
      <w:r w:rsidRPr="006F525B">
        <w:rPr>
          <w:lang w:val="hu-HU"/>
        </w:rPr>
        <w:t>Pioglitazon és metformin kombinációjához adott (napi egyszer 100</w:t>
      </w:r>
      <w:r w:rsidR="00B06DD1" w:rsidRPr="006F525B">
        <w:rPr>
          <w:lang w:val="hu-HU"/>
        </w:rPr>
        <w:t> </w:t>
      </w:r>
      <w:r w:rsidRPr="006F525B">
        <w:rPr>
          <w:lang w:val="hu-HU"/>
        </w:rPr>
        <w:t>mg) szitagliptin hatásosságának és biztonságosságának értékelésére egy 26</w:t>
      </w:r>
      <w:r w:rsidR="00B06DD1" w:rsidRPr="006F525B">
        <w:rPr>
          <w:lang w:val="hu-HU"/>
        </w:rPr>
        <w:t> </w:t>
      </w:r>
      <w:r w:rsidRPr="006F525B">
        <w:rPr>
          <w:lang w:val="hu-HU"/>
        </w:rPr>
        <w:t>hetes, placebokontrollos vizsgálatot terveztek. A pioglitazon és metformin kombinációjához adott szitagliptin a glykaemiás paraméterek jelentős javulását eredményezte. A kiindulási test</w:t>
      </w:r>
      <w:r w:rsidR="005B0689">
        <w:rPr>
          <w:lang w:val="hu-HU"/>
        </w:rPr>
        <w:t>tömeg</w:t>
      </w:r>
      <w:r w:rsidRPr="006F525B">
        <w:rPr>
          <w:lang w:val="hu-HU"/>
        </w:rPr>
        <w:t>értékekben bekövetkező változás hasonló volt a szitagliptinnel kezelt betegek és a placebót kapó betegek esetében. A hypoglykaemia előfordulási gyakorisága szintén hasonló volt a szitagliptinnel kezelt betegek és a placebót kapó betegek esetében.</w:t>
      </w:r>
    </w:p>
    <w:p w14:paraId="1EEDE2AC" w14:textId="77777777" w:rsidR="00B06DD1" w:rsidRPr="006F525B" w:rsidRDefault="00B06DD1" w:rsidP="006F525B">
      <w:pPr>
        <w:tabs>
          <w:tab w:val="clear" w:pos="567"/>
        </w:tabs>
        <w:spacing w:line="240" w:lineRule="auto"/>
        <w:ind w:left="-5" w:right="8"/>
        <w:rPr>
          <w:lang w:val="hu-HU"/>
        </w:rPr>
      </w:pPr>
    </w:p>
    <w:p w14:paraId="271DA678"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Vizsgálatok a metformin és inzulin kombinációjához adott szitagliptinnel</w:t>
      </w:r>
    </w:p>
    <w:p w14:paraId="37881619" w14:textId="77777777" w:rsidR="004E1960" w:rsidRPr="006F525B" w:rsidRDefault="004E1960" w:rsidP="006F525B">
      <w:pPr>
        <w:tabs>
          <w:tab w:val="clear" w:pos="567"/>
        </w:tabs>
        <w:spacing w:line="240" w:lineRule="auto"/>
        <w:ind w:left="-5" w:right="8"/>
        <w:rPr>
          <w:lang w:val="hu-HU"/>
        </w:rPr>
      </w:pPr>
      <w:r w:rsidRPr="006F525B">
        <w:rPr>
          <w:lang w:val="hu-HU"/>
        </w:rPr>
        <w:t>Egy 24 hetes, placebokontrollos vizsgálatot terveztek (legalább 10</w:t>
      </w:r>
      <w:r w:rsidR="00B06DD1" w:rsidRPr="006F525B">
        <w:rPr>
          <w:lang w:val="hu-HU"/>
        </w:rPr>
        <w:t> </w:t>
      </w:r>
      <w:r w:rsidRPr="006F525B">
        <w:rPr>
          <w:lang w:val="hu-HU"/>
        </w:rPr>
        <w:t>hete állandó adagolású) inzulin mellett és (legalább 1500</w:t>
      </w:r>
      <w:r w:rsidR="00B06DD1" w:rsidRPr="006F525B">
        <w:rPr>
          <w:lang w:val="hu-HU"/>
        </w:rPr>
        <w:t> </w:t>
      </w:r>
      <w:r w:rsidRPr="006F525B">
        <w:rPr>
          <w:lang w:val="hu-HU"/>
        </w:rPr>
        <w:t>mg) metforminnal vagy anélkül adott szitagliptin (</w:t>
      </w:r>
      <w:r w:rsidR="004F72D1" w:rsidRPr="006F525B">
        <w:rPr>
          <w:lang w:val="hu-HU"/>
        </w:rPr>
        <w:t>100 mg</w:t>
      </w:r>
      <w:r w:rsidRPr="006F525B">
        <w:rPr>
          <w:lang w:val="hu-HU"/>
        </w:rPr>
        <w:t xml:space="preserve"> naponta egyszer) hatásosságának és biztonságosságának megállapítása céljából. Az előkevert inzulint alkalmazó betegeknél az átlagos napi </w:t>
      </w:r>
      <w:r w:rsidR="005B0689">
        <w:rPr>
          <w:lang w:val="hu-HU"/>
        </w:rPr>
        <w:t>dózis</w:t>
      </w:r>
      <w:r w:rsidR="005B0689" w:rsidRPr="006F525B">
        <w:rPr>
          <w:lang w:val="hu-HU"/>
        </w:rPr>
        <w:t xml:space="preserve"> </w:t>
      </w:r>
      <w:r w:rsidRPr="006F525B">
        <w:rPr>
          <w:lang w:val="hu-HU"/>
        </w:rPr>
        <w:t>70,9</w:t>
      </w:r>
      <w:r w:rsidR="00B06DD1" w:rsidRPr="006F525B">
        <w:rPr>
          <w:lang w:val="hu-HU"/>
        </w:rPr>
        <w:t> </w:t>
      </w:r>
      <w:r w:rsidRPr="006F525B">
        <w:rPr>
          <w:lang w:val="hu-HU"/>
        </w:rPr>
        <w:t xml:space="preserve">E volt. A nem előkevert (közepes/hosszú hatású) inzulint alkalmazó betegeknél az átlagos napi </w:t>
      </w:r>
      <w:r w:rsidR="005B0689">
        <w:rPr>
          <w:lang w:val="hu-HU"/>
        </w:rPr>
        <w:t>dózis</w:t>
      </w:r>
      <w:r w:rsidR="005B0689" w:rsidRPr="006F525B">
        <w:rPr>
          <w:lang w:val="hu-HU"/>
        </w:rPr>
        <w:t xml:space="preserve"> </w:t>
      </w:r>
      <w:r w:rsidRPr="006F525B">
        <w:rPr>
          <w:lang w:val="hu-HU"/>
        </w:rPr>
        <w:t>44,3</w:t>
      </w:r>
      <w:r w:rsidR="00B06DD1" w:rsidRPr="006F525B">
        <w:rPr>
          <w:lang w:val="hu-HU"/>
        </w:rPr>
        <w:t> </w:t>
      </w:r>
      <w:r w:rsidRPr="006F525B">
        <w:rPr>
          <w:lang w:val="hu-HU"/>
        </w:rPr>
        <w:t>E volt. A betegek 73%-a metformint is szedett, a róluk szóló adatokat a 2. táblázat foglalja össze. Szitagliptin inzulinhoz történő hozzáadása a glykaemiás paraméterek szignifikáns javulását eredményezte. A vizsgálat megkezdésekor mért testtömegben egyik csoportban sem következett be jelentős változás.</w:t>
      </w:r>
    </w:p>
    <w:p w14:paraId="7AC48203" w14:textId="77777777" w:rsidR="00B06DD1" w:rsidRPr="006F525B" w:rsidRDefault="00B06DD1" w:rsidP="006F525B">
      <w:pPr>
        <w:tabs>
          <w:tab w:val="clear" w:pos="567"/>
        </w:tabs>
        <w:spacing w:line="240" w:lineRule="auto"/>
        <w:ind w:left="-5" w:right="8"/>
        <w:rPr>
          <w:lang w:val="hu-HU"/>
        </w:rPr>
      </w:pPr>
    </w:p>
    <w:p w14:paraId="5FBCB17D" w14:textId="77777777" w:rsidR="004E1960" w:rsidRPr="006F525B" w:rsidRDefault="004E1960" w:rsidP="006F525B">
      <w:pPr>
        <w:tabs>
          <w:tab w:val="clear" w:pos="567"/>
        </w:tabs>
        <w:spacing w:line="240" w:lineRule="auto"/>
        <w:ind w:left="-5" w:right="124"/>
        <w:rPr>
          <w:b/>
          <w:bCs/>
          <w:u w:color="000000"/>
          <w:lang w:val="hu-HU"/>
        </w:rPr>
      </w:pPr>
      <w:r w:rsidRPr="006F525B">
        <w:rPr>
          <w:b/>
          <w:bCs/>
          <w:u w:color="000000"/>
          <w:lang w:val="hu-HU"/>
        </w:rPr>
        <w:t>2. táblázat: A placebokontrollos, szitagliptin és metformin kombinációs terápiát alkalmazó vizsgálatokban mért HbA</w:t>
      </w:r>
      <w:r w:rsidRPr="002A1E85">
        <w:rPr>
          <w:b/>
          <w:bCs/>
          <w:u w:color="000000"/>
          <w:vertAlign w:val="subscript"/>
          <w:lang w:val="hu-HU"/>
        </w:rPr>
        <w:t>1c</w:t>
      </w:r>
      <w:r w:rsidRPr="006F525B">
        <w:rPr>
          <w:b/>
          <w:bCs/>
          <w:u w:color="000000"/>
          <w:lang w:val="hu-HU"/>
        </w:rPr>
        <w:t xml:space="preserve"> eredmények*</w:t>
      </w:r>
    </w:p>
    <w:tbl>
      <w:tblPr>
        <w:tblW w:w="9072" w:type="dxa"/>
        <w:tblCellMar>
          <w:top w:w="58" w:type="dxa"/>
          <w:right w:w="71" w:type="dxa"/>
        </w:tblCellMar>
        <w:tblLook w:val="04A0" w:firstRow="1" w:lastRow="0" w:firstColumn="1" w:lastColumn="0" w:noHBand="0" w:noVBand="1"/>
      </w:tblPr>
      <w:tblGrid>
        <w:gridCol w:w="2577"/>
        <w:gridCol w:w="1416"/>
        <w:gridCol w:w="2067"/>
        <w:gridCol w:w="3012"/>
      </w:tblGrid>
      <w:tr w:rsidR="006F525B" w:rsidRPr="002749E2" w14:paraId="6A236410" w14:textId="77777777" w:rsidTr="002749E2">
        <w:trPr>
          <w:trHeight w:val="1174"/>
          <w:tblHeader/>
        </w:trPr>
        <w:tc>
          <w:tcPr>
            <w:tcW w:w="1411" w:type="pct"/>
            <w:tcBorders>
              <w:top w:val="single" w:sz="4" w:space="0" w:color="000000"/>
              <w:left w:val="single" w:sz="4" w:space="0" w:color="000000"/>
              <w:bottom w:val="single" w:sz="4" w:space="0" w:color="000000"/>
              <w:right w:val="single" w:sz="4" w:space="0" w:color="000000"/>
            </w:tcBorders>
            <w:vAlign w:val="center"/>
          </w:tcPr>
          <w:p w14:paraId="64F1E0C0"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b/>
                <w:szCs w:val="22"/>
                <w:lang w:val="hu-HU"/>
              </w:rPr>
              <w:t>Vizsgálat</w:t>
            </w:r>
          </w:p>
        </w:tc>
        <w:tc>
          <w:tcPr>
            <w:tcW w:w="784" w:type="pct"/>
            <w:tcBorders>
              <w:top w:val="single" w:sz="4" w:space="0" w:color="000000"/>
              <w:left w:val="single" w:sz="4" w:space="0" w:color="000000"/>
              <w:bottom w:val="single" w:sz="4" w:space="0" w:color="000000"/>
              <w:right w:val="single" w:sz="4" w:space="0" w:color="000000"/>
            </w:tcBorders>
            <w:vAlign w:val="center"/>
          </w:tcPr>
          <w:p w14:paraId="2E480582" w14:textId="77777777" w:rsidR="004E1960" w:rsidRPr="002749E2" w:rsidRDefault="004E1960" w:rsidP="002749E2">
            <w:pPr>
              <w:tabs>
                <w:tab w:val="clear" w:pos="567"/>
              </w:tabs>
              <w:spacing w:line="240" w:lineRule="auto"/>
              <w:jc w:val="center"/>
              <w:rPr>
                <w:rFonts w:eastAsia="Times New Roman"/>
                <w:szCs w:val="22"/>
                <w:lang w:val="hu-HU"/>
              </w:rPr>
            </w:pPr>
            <w:r w:rsidRPr="002749E2">
              <w:rPr>
                <w:rFonts w:eastAsia="Times New Roman"/>
                <w:b/>
                <w:szCs w:val="22"/>
                <w:lang w:val="hu-HU"/>
              </w:rPr>
              <w:t>A vizsgálat elején mért átlagos HbA</w:t>
            </w:r>
            <w:r w:rsidRPr="002749E2">
              <w:rPr>
                <w:rFonts w:eastAsia="Times New Roman"/>
                <w:b/>
                <w:szCs w:val="22"/>
                <w:vertAlign w:val="subscript"/>
                <w:lang w:val="hu-HU"/>
              </w:rPr>
              <w:t>1c</w:t>
            </w:r>
          </w:p>
          <w:p w14:paraId="1C082B50" w14:textId="77777777" w:rsidR="004E1960" w:rsidRPr="002749E2" w:rsidRDefault="004E1960" w:rsidP="002749E2">
            <w:pPr>
              <w:tabs>
                <w:tab w:val="clear" w:pos="567"/>
              </w:tabs>
              <w:spacing w:line="240" w:lineRule="auto"/>
              <w:ind w:right="38"/>
              <w:jc w:val="center"/>
              <w:rPr>
                <w:rFonts w:eastAsia="Times New Roman"/>
                <w:szCs w:val="22"/>
                <w:lang w:val="hu-HU"/>
              </w:rPr>
            </w:pPr>
            <w:r w:rsidRPr="002749E2">
              <w:rPr>
                <w:rFonts w:eastAsia="Times New Roman"/>
                <w:b/>
                <w:szCs w:val="22"/>
                <w:lang w:val="hu-HU"/>
              </w:rPr>
              <w:t>(%)</w:t>
            </w:r>
          </w:p>
        </w:tc>
        <w:tc>
          <w:tcPr>
            <w:tcW w:w="1142" w:type="pct"/>
            <w:tcBorders>
              <w:top w:val="single" w:sz="4" w:space="0" w:color="000000"/>
              <w:left w:val="single" w:sz="4" w:space="0" w:color="000000"/>
              <w:bottom w:val="single" w:sz="4" w:space="0" w:color="000000"/>
              <w:right w:val="single" w:sz="4" w:space="0" w:color="000000"/>
            </w:tcBorders>
          </w:tcPr>
          <w:p w14:paraId="007262CD" w14:textId="77777777" w:rsidR="004E1960" w:rsidRPr="002749E2" w:rsidRDefault="004E1960" w:rsidP="002749E2">
            <w:pPr>
              <w:tabs>
                <w:tab w:val="clear" w:pos="567"/>
              </w:tabs>
              <w:spacing w:line="240" w:lineRule="auto"/>
              <w:ind w:left="4"/>
              <w:jc w:val="center"/>
              <w:rPr>
                <w:rFonts w:eastAsia="Times New Roman"/>
                <w:szCs w:val="22"/>
                <w:lang w:val="hu-HU"/>
              </w:rPr>
            </w:pPr>
            <w:r w:rsidRPr="002749E2">
              <w:rPr>
                <w:rFonts w:eastAsia="Times New Roman"/>
                <w:b/>
                <w:szCs w:val="22"/>
                <w:lang w:val="hu-HU"/>
              </w:rPr>
              <w:t>A vizsgálat elején mért HbA</w:t>
            </w:r>
            <w:r w:rsidRPr="002749E2">
              <w:rPr>
                <w:rFonts w:eastAsia="Times New Roman"/>
                <w:b/>
                <w:szCs w:val="22"/>
                <w:vertAlign w:val="subscript"/>
                <w:lang w:val="hu-HU"/>
              </w:rPr>
              <w:t xml:space="preserve">1c </w:t>
            </w:r>
            <w:r w:rsidRPr="002749E2">
              <w:rPr>
                <w:rFonts w:eastAsia="Times New Roman"/>
                <w:b/>
                <w:szCs w:val="22"/>
                <w:lang w:val="hu-HU"/>
              </w:rPr>
              <w:t xml:space="preserve">(%) </w:t>
            </w:r>
          </w:p>
          <w:p w14:paraId="3F44F191"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b/>
                <w:szCs w:val="22"/>
                <w:lang w:val="hu-HU"/>
              </w:rPr>
              <w:t xml:space="preserve">értékekhez képest </w:t>
            </w:r>
          </w:p>
          <w:p w14:paraId="52F43020" w14:textId="77777777" w:rsidR="004E1960" w:rsidRPr="002749E2" w:rsidRDefault="004E1960" w:rsidP="002749E2">
            <w:pPr>
              <w:tabs>
                <w:tab w:val="clear" w:pos="567"/>
              </w:tabs>
              <w:spacing w:line="240" w:lineRule="auto"/>
              <w:jc w:val="center"/>
              <w:rPr>
                <w:rFonts w:eastAsia="Times New Roman"/>
                <w:szCs w:val="22"/>
                <w:lang w:val="hu-HU"/>
              </w:rPr>
            </w:pPr>
            <w:r w:rsidRPr="002749E2">
              <w:rPr>
                <w:rFonts w:eastAsia="Times New Roman"/>
                <w:b/>
                <w:szCs w:val="22"/>
                <w:lang w:val="hu-HU"/>
              </w:rPr>
              <w:t>mutatkozó átlagos eltérés</w:t>
            </w:r>
          </w:p>
        </w:tc>
        <w:tc>
          <w:tcPr>
            <w:tcW w:w="1663" w:type="pct"/>
            <w:tcBorders>
              <w:top w:val="single" w:sz="4" w:space="0" w:color="000000"/>
              <w:left w:val="single" w:sz="4" w:space="0" w:color="000000"/>
              <w:bottom w:val="single" w:sz="4" w:space="0" w:color="000000"/>
              <w:right w:val="single" w:sz="4" w:space="0" w:color="000000"/>
            </w:tcBorders>
            <w:vAlign w:val="center"/>
          </w:tcPr>
          <w:p w14:paraId="7CE728DE" w14:textId="77777777" w:rsidR="004E1960" w:rsidRPr="002749E2" w:rsidRDefault="004E1960" w:rsidP="002749E2">
            <w:pPr>
              <w:tabs>
                <w:tab w:val="clear" w:pos="567"/>
              </w:tabs>
              <w:spacing w:line="240" w:lineRule="auto"/>
              <w:jc w:val="center"/>
              <w:rPr>
                <w:rFonts w:eastAsia="Times New Roman"/>
                <w:szCs w:val="22"/>
                <w:lang w:val="hu-HU"/>
              </w:rPr>
            </w:pPr>
            <w:r w:rsidRPr="002749E2">
              <w:rPr>
                <w:rFonts w:eastAsia="Times New Roman"/>
                <w:b/>
                <w:szCs w:val="22"/>
                <w:lang w:val="hu-HU"/>
              </w:rPr>
              <w:t>A placebóra korrigált HbA</w:t>
            </w:r>
            <w:r w:rsidRPr="002749E2">
              <w:rPr>
                <w:rFonts w:eastAsia="Times New Roman"/>
                <w:b/>
                <w:szCs w:val="22"/>
                <w:vertAlign w:val="subscript"/>
                <w:lang w:val="hu-HU"/>
              </w:rPr>
              <w:t xml:space="preserve">1c </w:t>
            </w:r>
            <w:r w:rsidRPr="002749E2">
              <w:rPr>
                <w:rFonts w:eastAsia="Times New Roman"/>
                <w:b/>
                <w:szCs w:val="22"/>
                <w:lang w:val="hu-HU"/>
              </w:rPr>
              <w:t>(%) értékek terén mutatkozó átlagos eltérés</w:t>
            </w:r>
          </w:p>
          <w:p w14:paraId="4B17C668" w14:textId="77777777" w:rsidR="004E1960" w:rsidRPr="002749E2" w:rsidRDefault="004E1960" w:rsidP="002749E2">
            <w:pPr>
              <w:tabs>
                <w:tab w:val="clear" w:pos="567"/>
              </w:tabs>
              <w:spacing w:line="240" w:lineRule="auto"/>
              <w:ind w:right="38"/>
              <w:jc w:val="center"/>
              <w:rPr>
                <w:rFonts w:eastAsia="Times New Roman"/>
                <w:szCs w:val="22"/>
                <w:lang w:val="hu-HU"/>
              </w:rPr>
            </w:pPr>
            <w:r w:rsidRPr="002749E2">
              <w:rPr>
                <w:rFonts w:eastAsia="Times New Roman"/>
                <w:b/>
                <w:szCs w:val="22"/>
                <w:lang w:val="hu-HU"/>
              </w:rPr>
              <w:t>(95%</w:t>
            </w:r>
            <w:r w:rsidR="005B0689">
              <w:rPr>
                <w:rFonts w:eastAsia="Times New Roman"/>
                <w:b/>
                <w:szCs w:val="22"/>
                <w:lang w:val="hu-HU"/>
              </w:rPr>
              <w:t>-os</w:t>
            </w:r>
            <w:r w:rsidRPr="002749E2">
              <w:rPr>
                <w:rFonts w:eastAsia="Times New Roman"/>
                <w:b/>
                <w:szCs w:val="22"/>
                <w:lang w:val="hu-HU"/>
              </w:rPr>
              <w:t xml:space="preserve"> CI)</w:t>
            </w:r>
          </w:p>
        </w:tc>
      </w:tr>
      <w:tr w:rsidR="006F525B" w:rsidRPr="002749E2" w14:paraId="75EBEA0E" w14:textId="77777777" w:rsidTr="002749E2">
        <w:trPr>
          <w:trHeight w:val="1306"/>
        </w:trPr>
        <w:tc>
          <w:tcPr>
            <w:tcW w:w="1411" w:type="pct"/>
            <w:tcBorders>
              <w:top w:val="single" w:sz="4" w:space="0" w:color="000000"/>
              <w:left w:val="single" w:sz="4" w:space="0" w:color="000000"/>
              <w:bottom w:val="single" w:sz="4" w:space="0" w:color="000000"/>
              <w:right w:val="single" w:sz="4" w:space="0" w:color="000000"/>
            </w:tcBorders>
          </w:tcPr>
          <w:p w14:paraId="6AC2A34F" w14:textId="77777777" w:rsidR="004E1960" w:rsidRPr="002749E2" w:rsidRDefault="004E1960" w:rsidP="002749E2">
            <w:pPr>
              <w:tabs>
                <w:tab w:val="clear" w:pos="567"/>
              </w:tabs>
              <w:spacing w:line="240" w:lineRule="auto"/>
              <w:ind w:right="99"/>
              <w:rPr>
                <w:rFonts w:eastAsia="Times New Roman"/>
                <w:szCs w:val="22"/>
                <w:lang w:val="hu-HU"/>
              </w:rPr>
            </w:pPr>
            <w:r w:rsidRPr="002749E2">
              <w:rPr>
                <w:rFonts w:eastAsia="Times New Roman"/>
                <w:szCs w:val="22"/>
                <w:lang w:val="hu-HU"/>
              </w:rPr>
              <w:t xml:space="preserve">Napi egyszer </w:t>
            </w:r>
            <w:r w:rsidR="004F72D1" w:rsidRPr="002749E2">
              <w:rPr>
                <w:rFonts w:eastAsia="Times New Roman"/>
                <w:szCs w:val="22"/>
                <w:lang w:val="hu-HU"/>
              </w:rPr>
              <w:t>100 mg</w:t>
            </w:r>
            <w:r w:rsidRPr="002749E2">
              <w:rPr>
                <w:rFonts w:eastAsia="Times New Roman"/>
                <w:szCs w:val="22"/>
                <w:lang w:val="hu-HU"/>
              </w:rPr>
              <w:t xml:space="preserve"> szitagliptin a folyamatban lévő metformin</w:t>
            </w:r>
            <w:r w:rsidR="005B0689">
              <w:rPr>
                <w:rFonts w:eastAsia="Times New Roman"/>
                <w:szCs w:val="22"/>
                <w:lang w:val="hu-HU"/>
              </w:rPr>
              <w:t>-</w:t>
            </w:r>
            <w:r w:rsidRPr="002749E2">
              <w:rPr>
                <w:rFonts w:eastAsia="Times New Roman"/>
                <w:szCs w:val="22"/>
                <w:lang w:val="hu-HU"/>
              </w:rPr>
              <w:t>terápiához adva</w:t>
            </w:r>
            <w:r w:rsidR="00E84DEC" w:rsidRPr="002749E2">
              <w:rPr>
                <w:rFonts w:eastAsia="Calibri"/>
                <w:snapToGrid/>
                <w:szCs w:val="22"/>
                <w:vertAlign w:val="superscript"/>
                <w:lang w:eastAsia="hu-HU"/>
              </w:rPr>
              <w:t>‖</w:t>
            </w:r>
            <w:r w:rsidR="00E84DEC" w:rsidRPr="002749E2">
              <w:rPr>
                <w:rFonts w:eastAsia="Times New Roman"/>
                <w:szCs w:val="22"/>
                <w:lang w:val="hu-HU"/>
              </w:rPr>
              <w:t xml:space="preserve"> </w:t>
            </w:r>
            <w:r w:rsidRPr="002749E2">
              <w:rPr>
                <w:rFonts w:eastAsia="Times New Roman"/>
                <w:szCs w:val="22"/>
                <w:lang w:val="hu-HU"/>
              </w:rPr>
              <w:t>(N=453)</w:t>
            </w:r>
          </w:p>
        </w:tc>
        <w:tc>
          <w:tcPr>
            <w:tcW w:w="784" w:type="pct"/>
            <w:tcBorders>
              <w:top w:val="single" w:sz="4" w:space="0" w:color="000000"/>
              <w:left w:val="single" w:sz="4" w:space="0" w:color="000000"/>
              <w:bottom w:val="single" w:sz="4" w:space="0" w:color="000000"/>
              <w:right w:val="single" w:sz="4" w:space="0" w:color="000000"/>
            </w:tcBorders>
            <w:vAlign w:val="center"/>
          </w:tcPr>
          <w:p w14:paraId="4800044F"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8,0</w:t>
            </w:r>
          </w:p>
        </w:tc>
        <w:tc>
          <w:tcPr>
            <w:tcW w:w="1142" w:type="pct"/>
            <w:tcBorders>
              <w:top w:val="single" w:sz="4" w:space="0" w:color="000000"/>
              <w:left w:val="single" w:sz="4" w:space="0" w:color="000000"/>
              <w:bottom w:val="single" w:sz="4" w:space="0" w:color="000000"/>
              <w:right w:val="single" w:sz="4" w:space="0" w:color="000000"/>
            </w:tcBorders>
            <w:vAlign w:val="center"/>
          </w:tcPr>
          <w:p w14:paraId="43B23925"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-0,7</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vAlign w:val="center"/>
          </w:tcPr>
          <w:p w14:paraId="2747103E"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-0,7</w:t>
            </w:r>
            <w:r w:rsidRPr="002749E2">
              <w:rPr>
                <w:rFonts w:eastAsia="Times New Roman"/>
                <w:szCs w:val="22"/>
                <w:vertAlign w:val="superscript"/>
                <w:lang w:val="hu-HU"/>
              </w:rPr>
              <w:t>†,‡</w:t>
            </w:r>
          </w:p>
          <w:p w14:paraId="6C46DF28"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szCs w:val="22"/>
                <w:lang w:val="hu-HU"/>
              </w:rPr>
              <w:t>(-0,8</w:t>
            </w:r>
            <w:r w:rsidR="005B0689">
              <w:rPr>
                <w:rFonts w:eastAsia="Times New Roman"/>
                <w:szCs w:val="22"/>
                <w:lang w:val="hu-HU"/>
              </w:rPr>
              <w:t>;</w:t>
            </w:r>
            <w:r w:rsidRPr="002749E2">
              <w:rPr>
                <w:rFonts w:eastAsia="Times New Roman"/>
                <w:szCs w:val="22"/>
                <w:lang w:val="hu-HU"/>
              </w:rPr>
              <w:t xml:space="preserve"> -0,5)</w:t>
            </w:r>
          </w:p>
        </w:tc>
      </w:tr>
      <w:tr w:rsidR="006F525B" w:rsidRPr="002749E2" w14:paraId="3608B8FE" w14:textId="77777777" w:rsidTr="002749E2">
        <w:trPr>
          <w:trHeight w:val="1565"/>
        </w:trPr>
        <w:tc>
          <w:tcPr>
            <w:tcW w:w="1411" w:type="pct"/>
            <w:tcBorders>
              <w:top w:val="single" w:sz="4" w:space="0" w:color="000000"/>
              <w:left w:val="single" w:sz="4" w:space="0" w:color="000000"/>
              <w:bottom w:val="single" w:sz="4" w:space="0" w:color="000000"/>
              <w:right w:val="single" w:sz="4" w:space="0" w:color="000000"/>
            </w:tcBorders>
          </w:tcPr>
          <w:p w14:paraId="767F03E8" w14:textId="77777777" w:rsidR="00671F12" w:rsidRPr="002749E2" w:rsidRDefault="004E1960" w:rsidP="002749E2">
            <w:pPr>
              <w:tabs>
                <w:tab w:val="clear" w:pos="567"/>
              </w:tabs>
              <w:spacing w:line="240" w:lineRule="auto"/>
              <w:ind w:right="147"/>
              <w:rPr>
                <w:rFonts w:eastAsia="Calibri"/>
                <w:snapToGrid/>
                <w:szCs w:val="22"/>
                <w:vertAlign w:val="superscript"/>
                <w:lang w:eastAsia="hu-HU"/>
              </w:rPr>
            </w:pPr>
            <w:r w:rsidRPr="002749E2">
              <w:rPr>
                <w:rFonts w:eastAsia="Times New Roman"/>
                <w:szCs w:val="22"/>
                <w:lang w:val="hu-HU"/>
              </w:rPr>
              <w:t xml:space="preserve">Napi egyszer </w:t>
            </w:r>
            <w:r w:rsidR="004F72D1" w:rsidRPr="002749E2">
              <w:rPr>
                <w:rFonts w:eastAsia="Times New Roman"/>
                <w:szCs w:val="22"/>
                <w:lang w:val="hu-HU"/>
              </w:rPr>
              <w:t>100 mg</w:t>
            </w:r>
            <w:r w:rsidRPr="002749E2">
              <w:rPr>
                <w:rFonts w:eastAsia="Times New Roman"/>
                <w:szCs w:val="22"/>
                <w:lang w:val="hu-HU"/>
              </w:rPr>
              <w:t xml:space="preserve"> szitagliptin a folyamatban lévő glimepiride</w:t>
            </w:r>
            <w:r w:rsidR="00671F12" w:rsidRPr="002749E2">
              <w:rPr>
                <w:rFonts w:eastAsia="Times New Roman"/>
                <w:szCs w:val="22"/>
                <w:lang w:val="hu-HU"/>
              </w:rPr>
              <w:t> </w:t>
            </w:r>
            <w:r w:rsidRPr="002749E2">
              <w:rPr>
                <w:rFonts w:eastAsia="Times New Roman"/>
                <w:szCs w:val="22"/>
                <w:lang w:val="hu-HU"/>
              </w:rPr>
              <w:t>+</w:t>
            </w:r>
            <w:r w:rsidR="00671F12" w:rsidRPr="002749E2">
              <w:rPr>
                <w:rFonts w:eastAsia="Times New Roman"/>
                <w:szCs w:val="22"/>
                <w:lang w:val="hu-HU"/>
              </w:rPr>
              <w:t> </w:t>
            </w:r>
            <w:r w:rsidRPr="002749E2">
              <w:rPr>
                <w:rFonts w:eastAsia="Times New Roman"/>
                <w:szCs w:val="22"/>
                <w:lang w:val="hu-HU"/>
              </w:rPr>
              <w:t>metformin</w:t>
            </w:r>
            <w:r w:rsidR="005B0689">
              <w:rPr>
                <w:rFonts w:eastAsia="Times New Roman"/>
                <w:szCs w:val="22"/>
                <w:lang w:val="hu-HU"/>
              </w:rPr>
              <w:t>-</w:t>
            </w:r>
            <w:r w:rsidRPr="002749E2">
              <w:rPr>
                <w:rFonts w:eastAsia="Times New Roman"/>
                <w:szCs w:val="22"/>
                <w:lang w:val="hu-HU"/>
              </w:rPr>
              <w:t>terápiához adva</w:t>
            </w:r>
            <w:r w:rsidR="00671F12" w:rsidRPr="002749E2">
              <w:rPr>
                <w:rFonts w:eastAsia="Calibri"/>
                <w:snapToGrid/>
                <w:szCs w:val="22"/>
                <w:vertAlign w:val="superscript"/>
                <w:lang w:eastAsia="hu-HU"/>
              </w:rPr>
              <w:t xml:space="preserve">‖ </w:t>
            </w:r>
          </w:p>
          <w:p w14:paraId="01C5DFFC" w14:textId="77777777" w:rsidR="004E1960" w:rsidRPr="002749E2" w:rsidRDefault="004E1960" w:rsidP="002749E2">
            <w:pPr>
              <w:tabs>
                <w:tab w:val="clear" w:pos="567"/>
              </w:tabs>
              <w:spacing w:line="240" w:lineRule="auto"/>
              <w:ind w:right="147"/>
              <w:rPr>
                <w:rFonts w:eastAsia="Times New Roman"/>
                <w:szCs w:val="22"/>
                <w:lang w:val="hu-HU"/>
              </w:rPr>
            </w:pPr>
            <w:r w:rsidRPr="002749E2">
              <w:rPr>
                <w:rFonts w:eastAsia="Calibri" w:cs="Calibri"/>
                <w:szCs w:val="22"/>
                <w:vertAlign w:val="superscript"/>
                <w:lang w:val="hu-HU"/>
              </w:rPr>
              <w:t xml:space="preserve"> </w:t>
            </w:r>
            <w:r w:rsidRPr="002749E2">
              <w:rPr>
                <w:rFonts w:eastAsia="Times New Roman"/>
                <w:szCs w:val="22"/>
                <w:lang w:val="hu-HU"/>
              </w:rPr>
              <w:t>(N=115)</w:t>
            </w:r>
          </w:p>
        </w:tc>
        <w:tc>
          <w:tcPr>
            <w:tcW w:w="784" w:type="pct"/>
            <w:tcBorders>
              <w:top w:val="single" w:sz="4" w:space="0" w:color="000000"/>
              <w:left w:val="single" w:sz="4" w:space="0" w:color="000000"/>
              <w:bottom w:val="single" w:sz="4" w:space="0" w:color="000000"/>
              <w:right w:val="single" w:sz="4" w:space="0" w:color="000000"/>
            </w:tcBorders>
            <w:vAlign w:val="center"/>
          </w:tcPr>
          <w:p w14:paraId="1F2E6E09"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8,3</w:t>
            </w:r>
          </w:p>
        </w:tc>
        <w:tc>
          <w:tcPr>
            <w:tcW w:w="1142" w:type="pct"/>
            <w:tcBorders>
              <w:top w:val="single" w:sz="4" w:space="0" w:color="000000"/>
              <w:left w:val="single" w:sz="4" w:space="0" w:color="000000"/>
              <w:bottom w:val="single" w:sz="4" w:space="0" w:color="000000"/>
              <w:right w:val="single" w:sz="4" w:space="0" w:color="000000"/>
            </w:tcBorders>
            <w:vAlign w:val="center"/>
          </w:tcPr>
          <w:p w14:paraId="53401E8C"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-0,6</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vAlign w:val="center"/>
          </w:tcPr>
          <w:p w14:paraId="5DE0B215"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-0,9</w:t>
            </w:r>
            <w:r w:rsidRPr="002749E2">
              <w:rPr>
                <w:rFonts w:eastAsia="Times New Roman"/>
                <w:szCs w:val="22"/>
                <w:vertAlign w:val="superscript"/>
                <w:lang w:val="hu-HU"/>
              </w:rPr>
              <w:t>†,‡</w:t>
            </w:r>
          </w:p>
          <w:p w14:paraId="101CA593"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szCs w:val="22"/>
                <w:lang w:val="hu-HU"/>
              </w:rPr>
              <w:t>(-1,1</w:t>
            </w:r>
            <w:r w:rsidR="005B0689">
              <w:rPr>
                <w:rFonts w:eastAsia="Times New Roman"/>
                <w:szCs w:val="22"/>
                <w:lang w:val="hu-HU"/>
              </w:rPr>
              <w:t>;</w:t>
            </w:r>
            <w:r w:rsidRPr="002749E2">
              <w:rPr>
                <w:rFonts w:eastAsia="Times New Roman"/>
                <w:szCs w:val="22"/>
                <w:lang w:val="hu-HU"/>
              </w:rPr>
              <w:t xml:space="preserve"> -0,7)</w:t>
            </w:r>
          </w:p>
        </w:tc>
      </w:tr>
      <w:tr w:rsidR="006F525B" w:rsidRPr="002749E2" w14:paraId="623ECB8C" w14:textId="77777777" w:rsidTr="002749E2">
        <w:trPr>
          <w:trHeight w:val="1565"/>
        </w:trPr>
        <w:tc>
          <w:tcPr>
            <w:tcW w:w="1411" w:type="pct"/>
            <w:tcBorders>
              <w:top w:val="single" w:sz="4" w:space="0" w:color="000000"/>
              <w:left w:val="single" w:sz="4" w:space="0" w:color="000000"/>
              <w:bottom w:val="single" w:sz="4" w:space="0" w:color="000000"/>
              <w:right w:val="single" w:sz="4" w:space="0" w:color="000000"/>
            </w:tcBorders>
          </w:tcPr>
          <w:p w14:paraId="07ADB1C8"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 xml:space="preserve">Napi egyszer </w:t>
            </w:r>
            <w:r w:rsidR="004F72D1" w:rsidRPr="002749E2">
              <w:rPr>
                <w:rFonts w:eastAsia="Times New Roman"/>
                <w:szCs w:val="22"/>
                <w:lang w:val="hu-HU"/>
              </w:rPr>
              <w:t>100 mg</w:t>
            </w:r>
            <w:r w:rsidRPr="002749E2">
              <w:rPr>
                <w:rFonts w:eastAsia="Times New Roman"/>
                <w:szCs w:val="22"/>
                <w:lang w:val="hu-HU"/>
              </w:rPr>
              <w:t xml:space="preserve"> </w:t>
            </w:r>
          </w:p>
          <w:p w14:paraId="2D8A0067" w14:textId="77777777" w:rsidR="00AC5B53" w:rsidRPr="002749E2" w:rsidRDefault="004E1960" w:rsidP="002749E2">
            <w:pPr>
              <w:tabs>
                <w:tab w:val="clear" w:pos="567"/>
              </w:tabs>
              <w:spacing w:line="240" w:lineRule="auto"/>
              <w:ind w:right="3"/>
              <w:rPr>
                <w:rFonts w:eastAsia="Times New Roman"/>
                <w:szCs w:val="22"/>
                <w:vertAlign w:val="superscript"/>
                <w:lang w:val="hu-HU"/>
              </w:rPr>
            </w:pPr>
            <w:r w:rsidRPr="002749E2">
              <w:rPr>
                <w:rFonts w:eastAsia="Times New Roman"/>
                <w:szCs w:val="22"/>
                <w:lang w:val="hu-HU"/>
              </w:rPr>
              <w:t>szitagliptin a folyamatban lévő pioglitazon</w:t>
            </w:r>
            <w:r w:rsidR="00671F12" w:rsidRPr="002749E2">
              <w:rPr>
                <w:rFonts w:eastAsia="Times New Roman"/>
                <w:szCs w:val="22"/>
                <w:lang w:val="hu-HU"/>
              </w:rPr>
              <w:t> </w:t>
            </w:r>
            <w:r w:rsidRPr="002749E2">
              <w:rPr>
                <w:rFonts w:eastAsia="Times New Roman"/>
                <w:szCs w:val="22"/>
                <w:lang w:val="hu-HU"/>
              </w:rPr>
              <w:t>+</w:t>
            </w:r>
            <w:r w:rsidR="00671F12" w:rsidRPr="002749E2">
              <w:rPr>
                <w:rFonts w:eastAsia="Times New Roman"/>
                <w:szCs w:val="22"/>
                <w:lang w:val="hu-HU"/>
              </w:rPr>
              <w:t> </w:t>
            </w:r>
            <w:r w:rsidRPr="002749E2">
              <w:rPr>
                <w:rFonts w:eastAsia="Times New Roman"/>
                <w:szCs w:val="22"/>
                <w:lang w:val="hu-HU"/>
              </w:rPr>
              <w:t>metformin</w:t>
            </w:r>
            <w:r w:rsidR="00ED58B7">
              <w:rPr>
                <w:rFonts w:eastAsia="Times New Roman"/>
                <w:szCs w:val="22"/>
                <w:lang w:val="hu-HU"/>
              </w:rPr>
              <w:t>-</w:t>
            </w:r>
            <w:r w:rsidRPr="002749E2">
              <w:rPr>
                <w:rFonts w:eastAsia="Times New Roman"/>
                <w:szCs w:val="22"/>
                <w:lang w:val="hu-HU"/>
              </w:rPr>
              <w:t>terápiához adva</w:t>
            </w:r>
            <w:r w:rsidRPr="002749E2">
              <w:rPr>
                <w:rFonts w:eastAsia="Times New Roman"/>
                <w:szCs w:val="22"/>
                <w:vertAlign w:val="superscript"/>
                <w:lang w:val="hu-HU"/>
              </w:rPr>
              <w:t xml:space="preserve">¶ </w:t>
            </w:r>
          </w:p>
          <w:p w14:paraId="223E327B" w14:textId="77777777" w:rsidR="004E1960" w:rsidRPr="002749E2" w:rsidRDefault="004E1960" w:rsidP="002749E2">
            <w:pPr>
              <w:tabs>
                <w:tab w:val="clear" w:pos="567"/>
              </w:tabs>
              <w:spacing w:line="240" w:lineRule="auto"/>
              <w:ind w:right="3"/>
              <w:rPr>
                <w:rFonts w:eastAsia="Times New Roman"/>
                <w:szCs w:val="22"/>
                <w:lang w:val="hu-HU"/>
              </w:rPr>
            </w:pPr>
            <w:r w:rsidRPr="002749E2">
              <w:rPr>
                <w:rFonts w:eastAsia="Times New Roman"/>
                <w:szCs w:val="22"/>
                <w:lang w:val="hu-HU"/>
              </w:rPr>
              <w:t>(N=152)</w:t>
            </w:r>
          </w:p>
        </w:tc>
        <w:tc>
          <w:tcPr>
            <w:tcW w:w="784" w:type="pct"/>
            <w:tcBorders>
              <w:top w:val="single" w:sz="4" w:space="0" w:color="000000"/>
              <w:left w:val="single" w:sz="4" w:space="0" w:color="000000"/>
              <w:bottom w:val="single" w:sz="4" w:space="0" w:color="000000"/>
              <w:right w:val="single" w:sz="4" w:space="0" w:color="000000"/>
            </w:tcBorders>
            <w:vAlign w:val="bottom"/>
          </w:tcPr>
          <w:p w14:paraId="472361F7"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8,8</w:t>
            </w:r>
          </w:p>
        </w:tc>
        <w:tc>
          <w:tcPr>
            <w:tcW w:w="1142" w:type="pct"/>
            <w:tcBorders>
              <w:top w:val="single" w:sz="4" w:space="0" w:color="000000"/>
              <w:left w:val="single" w:sz="4" w:space="0" w:color="000000"/>
              <w:bottom w:val="single" w:sz="4" w:space="0" w:color="000000"/>
              <w:right w:val="single" w:sz="4" w:space="0" w:color="000000"/>
            </w:tcBorders>
            <w:vAlign w:val="bottom"/>
          </w:tcPr>
          <w:p w14:paraId="33720CEF"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-1,2</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vAlign w:val="bottom"/>
          </w:tcPr>
          <w:p w14:paraId="3966FC40"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-0,7</w:t>
            </w:r>
            <w:r w:rsidRPr="002749E2">
              <w:rPr>
                <w:rFonts w:eastAsia="Times New Roman"/>
                <w:szCs w:val="22"/>
                <w:vertAlign w:val="superscript"/>
                <w:lang w:val="hu-HU"/>
              </w:rPr>
              <w:t>†,‡</w:t>
            </w:r>
          </w:p>
          <w:p w14:paraId="3EE7EB68"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szCs w:val="22"/>
                <w:lang w:val="hu-HU"/>
              </w:rPr>
              <w:t>(-1,0</w:t>
            </w:r>
            <w:r w:rsidR="00ED58B7">
              <w:rPr>
                <w:rFonts w:eastAsia="Times New Roman"/>
                <w:szCs w:val="22"/>
                <w:lang w:val="hu-HU"/>
              </w:rPr>
              <w:t>;</w:t>
            </w:r>
            <w:r w:rsidRPr="002749E2">
              <w:rPr>
                <w:rFonts w:eastAsia="Times New Roman"/>
                <w:szCs w:val="22"/>
                <w:lang w:val="hu-HU"/>
              </w:rPr>
              <w:t xml:space="preserve"> -0,5)</w:t>
            </w:r>
          </w:p>
        </w:tc>
      </w:tr>
      <w:tr w:rsidR="006F525B" w:rsidRPr="002749E2" w14:paraId="0F23CFCF" w14:textId="77777777" w:rsidTr="002749E2">
        <w:trPr>
          <w:trHeight w:val="1558"/>
        </w:trPr>
        <w:tc>
          <w:tcPr>
            <w:tcW w:w="1411" w:type="pct"/>
            <w:tcBorders>
              <w:top w:val="single" w:sz="4" w:space="0" w:color="000000"/>
              <w:left w:val="single" w:sz="4" w:space="0" w:color="000000"/>
              <w:bottom w:val="single" w:sz="4" w:space="0" w:color="000000"/>
              <w:right w:val="single" w:sz="4" w:space="0" w:color="000000"/>
            </w:tcBorders>
          </w:tcPr>
          <w:p w14:paraId="1E13A0BD"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 xml:space="preserve">Szitagliptin </w:t>
            </w:r>
            <w:r w:rsidR="004F72D1" w:rsidRPr="002749E2">
              <w:rPr>
                <w:rFonts w:eastAsia="Times New Roman"/>
                <w:szCs w:val="22"/>
                <w:lang w:val="hu-HU"/>
              </w:rPr>
              <w:t>100 mg</w:t>
            </w:r>
            <w:r w:rsidRPr="002749E2">
              <w:rPr>
                <w:rFonts w:eastAsia="Times New Roman"/>
                <w:szCs w:val="22"/>
                <w:lang w:val="hu-HU"/>
              </w:rPr>
              <w:t xml:space="preserve"> (naponta egyszer) folyamatban lévő inzulin</w:t>
            </w:r>
            <w:r w:rsidR="00671F12" w:rsidRPr="002749E2">
              <w:rPr>
                <w:rFonts w:eastAsia="Times New Roman"/>
                <w:szCs w:val="22"/>
                <w:lang w:val="hu-HU"/>
              </w:rPr>
              <w:t> </w:t>
            </w:r>
            <w:r w:rsidRPr="002749E2">
              <w:rPr>
                <w:rFonts w:eastAsia="Times New Roman"/>
                <w:szCs w:val="22"/>
                <w:lang w:val="hu-HU"/>
              </w:rPr>
              <w:t>+</w:t>
            </w:r>
            <w:r w:rsidR="00671F12" w:rsidRPr="002749E2">
              <w:rPr>
                <w:rFonts w:eastAsia="Times New Roman"/>
                <w:szCs w:val="22"/>
                <w:lang w:val="hu-HU"/>
              </w:rPr>
              <w:t> </w:t>
            </w:r>
            <w:r w:rsidRPr="002749E2">
              <w:rPr>
                <w:rFonts w:eastAsia="Times New Roman"/>
                <w:szCs w:val="22"/>
                <w:lang w:val="hu-HU"/>
              </w:rPr>
              <w:t>metformin</w:t>
            </w:r>
            <w:r w:rsidR="00ED58B7">
              <w:rPr>
                <w:rFonts w:eastAsia="Times New Roman"/>
                <w:szCs w:val="22"/>
                <w:lang w:val="hu-HU"/>
              </w:rPr>
              <w:t>-</w:t>
            </w:r>
            <w:r w:rsidRPr="002749E2">
              <w:rPr>
                <w:rFonts w:eastAsia="Times New Roman"/>
                <w:szCs w:val="22"/>
                <w:lang w:val="hu-HU"/>
              </w:rPr>
              <w:t>terápiához adva</w:t>
            </w:r>
            <w:r w:rsidR="00671F12" w:rsidRPr="002749E2">
              <w:rPr>
                <w:rFonts w:eastAsia="Calibri"/>
                <w:snapToGrid/>
                <w:szCs w:val="22"/>
                <w:vertAlign w:val="superscript"/>
                <w:lang w:eastAsia="hu-HU"/>
              </w:rPr>
              <w:t>‖</w:t>
            </w:r>
          </w:p>
          <w:p w14:paraId="720A3532"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(N=223)</w:t>
            </w:r>
          </w:p>
        </w:tc>
        <w:tc>
          <w:tcPr>
            <w:tcW w:w="784" w:type="pct"/>
            <w:tcBorders>
              <w:top w:val="single" w:sz="4" w:space="0" w:color="000000"/>
              <w:left w:val="single" w:sz="4" w:space="0" w:color="000000"/>
              <w:bottom w:val="single" w:sz="4" w:space="0" w:color="000000"/>
              <w:right w:val="single" w:sz="4" w:space="0" w:color="000000"/>
            </w:tcBorders>
          </w:tcPr>
          <w:p w14:paraId="0CA7A465"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8,7</w:t>
            </w:r>
          </w:p>
        </w:tc>
        <w:tc>
          <w:tcPr>
            <w:tcW w:w="1142" w:type="pct"/>
            <w:tcBorders>
              <w:top w:val="single" w:sz="4" w:space="0" w:color="000000"/>
              <w:left w:val="single" w:sz="4" w:space="0" w:color="000000"/>
              <w:bottom w:val="single" w:sz="4" w:space="0" w:color="000000"/>
              <w:right w:val="single" w:sz="4" w:space="0" w:color="000000"/>
            </w:tcBorders>
          </w:tcPr>
          <w:p w14:paraId="165A7975"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-0,7</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tcPr>
          <w:p w14:paraId="27F22AEA"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-0,5</w:t>
            </w:r>
            <w:r w:rsidRPr="002749E2">
              <w:rPr>
                <w:rFonts w:eastAsia="Times New Roman"/>
                <w:szCs w:val="22"/>
                <w:vertAlign w:val="superscript"/>
                <w:lang w:val="hu-HU"/>
              </w:rPr>
              <w:t>§,‡</w:t>
            </w:r>
          </w:p>
          <w:p w14:paraId="10650956"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szCs w:val="22"/>
                <w:lang w:val="hu-HU"/>
              </w:rPr>
              <w:t>(-0,7</w:t>
            </w:r>
            <w:r w:rsidR="00ED58B7">
              <w:rPr>
                <w:rFonts w:eastAsia="Times New Roman"/>
                <w:szCs w:val="22"/>
                <w:lang w:val="hu-HU"/>
              </w:rPr>
              <w:t>;</w:t>
            </w:r>
            <w:r w:rsidRPr="002749E2">
              <w:rPr>
                <w:rFonts w:eastAsia="Times New Roman"/>
                <w:szCs w:val="22"/>
                <w:lang w:val="hu-HU"/>
              </w:rPr>
              <w:t xml:space="preserve"> -0,4)</w:t>
            </w:r>
          </w:p>
        </w:tc>
      </w:tr>
      <w:tr w:rsidR="006F525B" w:rsidRPr="002749E2" w14:paraId="4F0CFF1A" w14:textId="77777777" w:rsidTr="002749E2">
        <w:trPr>
          <w:trHeight w:val="1306"/>
        </w:trPr>
        <w:tc>
          <w:tcPr>
            <w:tcW w:w="1411" w:type="pct"/>
            <w:tcBorders>
              <w:top w:val="single" w:sz="4" w:space="0" w:color="000000"/>
              <w:left w:val="single" w:sz="4" w:space="0" w:color="000000"/>
              <w:bottom w:val="single" w:sz="4" w:space="0" w:color="000000"/>
              <w:right w:val="single" w:sz="4" w:space="0" w:color="000000"/>
            </w:tcBorders>
          </w:tcPr>
          <w:p w14:paraId="6BE7E813"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Kezdő terápia (naponta kétszer)</w:t>
            </w:r>
            <w:r w:rsidR="00AC5B53" w:rsidRPr="002749E2">
              <w:rPr>
                <w:rFonts w:eastAsia="Calibri"/>
                <w:snapToGrid/>
                <w:szCs w:val="22"/>
                <w:vertAlign w:val="superscript"/>
                <w:lang w:eastAsia="hu-HU"/>
              </w:rPr>
              <w:t>‖</w:t>
            </w:r>
            <w:r w:rsidRPr="002749E2">
              <w:rPr>
                <w:rFonts w:eastAsia="Times New Roman"/>
                <w:szCs w:val="22"/>
                <w:lang w:val="hu-HU"/>
              </w:rPr>
              <w:t>:</w:t>
            </w:r>
          </w:p>
          <w:p w14:paraId="3ABF23BA"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 xml:space="preserve">szitagliptin </w:t>
            </w:r>
            <w:r w:rsidR="004F72D1" w:rsidRPr="002749E2">
              <w:rPr>
                <w:rFonts w:eastAsia="Times New Roman"/>
                <w:szCs w:val="22"/>
                <w:lang w:val="hu-HU"/>
              </w:rPr>
              <w:t>50 mg</w:t>
            </w:r>
            <w:r w:rsidR="00AC5B53" w:rsidRPr="002749E2">
              <w:rPr>
                <w:rFonts w:eastAsia="Times New Roman"/>
                <w:szCs w:val="22"/>
                <w:lang w:val="hu-HU"/>
              </w:rPr>
              <w:t> </w:t>
            </w:r>
            <w:r w:rsidRPr="002749E2">
              <w:rPr>
                <w:rFonts w:eastAsia="Times New Roman"/>
                <w:szCs w:val="22"/>
                <w:lang w:val="hu-HU"/>
              </w:rPr>
              <w:t>+</w:t>
            </w:r>
            <w:r w:rsidR="00AC5B53" w:rsidRPr="002749E2">
              <w:rPr>
                <w:rFonts w:eastAsia="Times New Roman"/>
                <w:szCs w:val="22"/>
                <w:lang w:val="hu-HU"/>
              </w:rPr>
              <w:t> </w:t>
            </w:r>
            <w:r w:rsidRPr="002749E2">
              <w:rPr>
                <w:rFonts w:eastAsia="Times New Roman"/>
                <w:szCs w:val="22"/>
                <w:lang w:val="hu-HU"/>
              </w:rPr>
              <w:t>metformin 500</w:t>
            </w:r>
            <w:r w:rsidR="00AC5B53" w:rsidRPr="002749E2">
              <w:rPr>
                <w:rFonts w:eastAsia="Times New Roman"/>
                <w:szCs w:val="22"/>
                <w:lang w:val="hu-HU"/>
              </w:rPr>
              <w:t> </w:t>
            </w:r>
            <w:r w:rsidRPr="002749E2">
              <w:rPr>
                <w:rFonts w:eastAsia="Times New Roman"/>
                <w:szCs w:val="22"/>
                <w:lang w:val="hu-HU"/>
              </w:rPr>
              <w:t>mg</w:t>
            </w:r>
          </w:p>
          <w:p w14:paraId="51CA761A"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(N=183)</w:t>
            </w:r>
          </w:p>
        </w:tc>
        <w:tc>
          <w:tcPr>
            <w:tcW w:w="784" w:type="pct"/>
            <w:tcBorders>
              <w:top w:val="single" w:sz="4" w:space="0" w:color="000000"/>
              <w:left w:val="single" w:sz="4" w:space="0" w:color="000000"/>
              <w:bottom w:val="single" w:sz="4" w:space="0" w:color="000000"/>
              <w:right w:val="single" w:sz="4" w:space="0" w:color="000000"/>
            </w:tcBorders>
            <w:vAlign w:val="center"/>
          </w:tcPr>
          <w:p w14:paraId="5F21B3FC"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8,8</w:t>
            </w:r>
          </w:p>
        </w:tc>
        <w:tc>
          <w:tcPr>
            <w:tcW w:w="1142" w:type="pct"/>
            <w:tcBorders>
              <w:top w:val="single" w:sz="4" w:space="0" w:color="000000"/>
              <w:left w:val="single" w:sz="4" w:space="0" w:color="000000"/>
              <w:bottom w:val="single" w:sz="4" w:space="0" w:color="000000"/>
              <w:right w:val="single" w:sz="4" w:space="0" w:color="000000"/>
            </w:tcBorders>
            <w:vAlign w:val="center"/>
          </w:tcPr>
          <w:p w14:paraId="2B02C402"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-1,4</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vAlign w:val="center"/>
          </w:tcPr>
          <w:p w14:paraId="24264510" w14:textId="77777777" w:rsidR="004E1960" w:rsidRPr="002749E2" w:rsidRDefault="004E1960" w:rsidP="002749E2">
            <w:pPr>
              <w:tabs>
                <w:tab w:val="clear" w:pos="567"/>
              </w:tabs>
              <w:spacing w:line="240" w:lineRule="auto"/>
              <w:ind w:right="39"/>
              <w:jc w:val="center"/>
              <w:rPr>
                <w:rFonts w:eastAsia="Times New Roman"/>
                <w:szCs w:val="22"/>
                <w:lang w:val="hu-HU"/>
              </w:rPr>
            </w:pPr>
            <w:r w:rsidRPr="002749E2">
              <w:rPr>
                <w:rFonts w:eastAsia="Times New Roman"/>
                <w:szCs w:val="22"/>
                <w:lang w:val="hu-HU"/>
              </w:rPr>
              <w:t>-1,6</w:t>
            </w:r>
            <w:r w:rsidRPr="002749E2">
              <w:rPr>
                <w:rFonts w:eastAsia="Times New Roman"/>
                <w:szCs w:val="22"/>
                <w:vertAlign w:val="superscript"/>
                <w:lang w:val="hu-HU"/>
              </w:rPr>
              <w:t>†,‡</w:t>
            </w:r>
          </w:p>
          <w:p w14:paraId="6B344376" w14:textId="77777777" w:rsidR="004E1960" w:rsidRPr="002749E2" w:rsidRDefault="004E1960" w:rsidP="002749E2">
            <w:pPr>
              <w:tabs>
                <w:tab w:val="clear" w:pos="567"/>
              </w:tabs>
              <w:spacing w:line="240" w:lineRule="auto"/>
              <w:ind w:right="40"/>
              <w:jc w:val="center"/>
              <w:rPr>
                <w:rFonts w:eastAsia="Times New Roman"/>
                <w:szCs w:val="22"/>
                <w:lang w:val="hu-HU"/>
              </w:rPr>
            </w:pPr>
            <w:r w:rsidRPr="002749E2">
              <w:rPr>
                <w:rFonts w:eastAsia="Times New Roman"/>
                <w:szCs w:val="22"/>
                <w:lang w:val="hu-HU"/>
              </w:rPr>
              <w:t>(-1,8</w:t>
            </w:r>
            <w:r w:rsidR="00ED58B7">
              <w:rPr>
                <w:rFonts w:eastAsia="Times New Roman"/>
                <w:szCs w:val="22"/>
                <w:lang w:val="hu-HU"/>
              </w:rPr>
              <w:t>;</w:t>
            </w:r>
            <w:r w:rsidRPr="002749E2">
              <w:rPr>
                <w:rFonts w:eastAsia="Times New Roman"/>
                <w:szCs w:val="22"/>
                <w:lang w:val="hu-HU"/>
              </w:rPr>
              <w:t xml:space="preserve"> -1,3)</w:t>
            </w:r>
          </w:p>
        </w:tc>
      </w:tr>
      <w:tr w:rsidR="006F525B" w:rsidRPr="002749E2" w14:paraId="2AB5E095" w14:textId="77777777" w:rsidTr="002749E2">
        <w:trPr>
          <w:trHeight w:val="1306"/>
        </w:trPr>
        <w:tc>
          <w:tcPr>
            <w:tcW w:w="1411" w:type="pct"/>
            <w:tcBorders>
              <w:top w:val="single" w:sz="4" w:space="0" w:color="000000"/>
              <w:left w:val="single" w:sz="4" w:space="0" w:color="000000"/>
              <w:bottom w:val="single" w:sz="4" w:space="0" w:color="000000"/>
              <w:right w:val="single" w:sz="4" w:space="0" w:color="000000"/>
            </w:tcBorders>
          </w:tcPr>
          <w:p w14:paraId="40A35E63"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Kezdő terápia (naponta kétszer)</w:t>
            </w:r>
            <w:r w:rsidR="00AC5B53" w:rsidRPr="002749E2">
              <w:rPr>
                <w:rFonts w:eastAsia="Calibri"/>
                <w:snapToGrid/>
                <w:szCs w:val="22"/>
                <w:vertAlign w:val="superscript"/>
                <w:lang w:eastAsia="hu-HU"/>
              </w:rPr>
              <w:t>‖</w:t>
            </w:r>
            <w:r w:rsidRPr="002749E2">
              <w:rPr>
                <w:rFonts w:eastAsia="Times New Roman"/>
                <w:szCs w:val="22"/>
                <w:lang w:val="hu-HU"/>
              </w:rPr>
              <w:t>:</w:t>
            </w:r>
          </w:p>
          <w:p w14:paraId="5668E2EA"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 xml:space="preserve">szitagliptin </w:t>
            </w:r>
            <w:r w:rsidR="004F72D1" w:rsidRPr="002749E2">
              <w:rPr>
                <w:rFonts w:eastAsia="Times New Roman"/>
                <w:szCs w:val="22"/>
                <w:lang w:val="hu-HU"/>
              </w:rPr>
              <w:t>50 mg</w:t>
            </w:r>
            <w:r w:rsidR="00AC5B53" w:rsidRPr="002749E2">
              <w:rPr>
                <w:rFonts w:eastAsia="Times New Roman"/>
                <w:szCs w:val="22"/>
                <w:lang w:val="hu-HU"/>
              </w:rPr>
              <w:t> </w:t>
            </w:r>
            <w:r w:rsidRPr="002749E2">
              <w:rPr>
                <w:rFonts w:eastAsia="Times New Roman"/>
                <w:szCs w:val="22"/>
                <w:lang w:val="hu-HU"/>
              </w:rPr>
              <w:t>+</w:t>
            </w:r>
            <w:r w:rsidR="00AC5B53" w:rsidRPr="002749E2">
              <w:rPr>
                <w:rFonts w:eastAsia="Times New Roman"/>
                <w:szCs w:val="22"/>
                <w:lang w:val="hu-HU"/>
              </w:rPr>
              <w:t> </w:t>
            </w:r>
            <w:r w:rsidRPr="002749E2">
              <w:rPr>
                <w:rFonts w:eastAsia="Times New Roman"/>
                <w:szCs w:val="22"/>
                <w:lang w:val="hu-HU"/>
              </w:rPr>
              <w:t xml:space="preserve">metformin </w:t>
            </w:r>
            <w:r w:rsidR="004F72D1" w:rsidRPr="002749E2">
              <w:rPr>
                <w:rFonts w:eastAsia="Times New Roman"/>
                <w:szCs w:val="22"/>
                <w:lang w:val="hu-HU"/>
              </w:rPr>
              <w:t>1000 mg</w:t>
            </w:r>
          </w:p>
          <w:p w14:paraId="10D61AE1"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(N=178)</w:t>
            </w:r>
          </w:p>
        </w:tc>
        <w:tc>
          <w:tcPr>
            <w:tcW w:w="784" w:type="pct"/>
            <w:tcBorders>
              <w:top w:val="single" w:sz="4" w:space="0" w:color="000000"/>
              <w:left w:val="single" w:sz="4" w:space="0" w:color="000000"/>
              <w:bottom w:val="single" w:sz="4" w:space="0" w:color="000000"/>
              <w:right w:val="single" w:sz="4" w:space="0" w:color="000000"/>
            </w:tcBorders>
            <w:vAlign w:val="center"/>
          </w:tcPr>
          <w:p w14:paraId="00D1E47C" w14:textId="77777777" w:rsidR="004E1960" w:rsidRPr="002749E2" w:rsidRDefault="004E1960" w:rsidP="002749E2">
            <w:pPr>
              <w:tabs>
                <w:tab w:val="clear" w:pos="567"/>
              </w:tabs>
              <w:spacing w:line="240" w:lineRule="auto"/>
              <w:ind w:right="23"/>
              <w:jc w:val="center"/>
              <w:rPr>
                <w:rFonts w:eastAsia="Times New Roman"/>
                <w:szCs w:val="22"/>
                <w:lang w:val="hu-HU"/>
              </w:rPr>
            </w:pPr>
            <w:r w:rsidRPr="002749E2">
              <w:rPr>
                <w:rFonts w:eastAsia="Times New Roman"/>
                <w:szCs w:val="22"/>
                <w:lang w:val="hu-HU"/>
              </w:rPr>
              <w:t>8,8</w:t>
            </w:r>
          </w:p>
        </w:tc>
        <w:tc>
          <w:tcPr>
            <w:tcW w:w="1142" w:type="pct"/>
            <w:tcBorders>
              <w:top w:val="single" w:sz="4" w:space="0" w:color="000000"/>
              <w:left w:val="single" w:sz="4" w:space="0" w:color="000000"/>
              <w:bottom w:val="single" w:sz="4" w:space="0" w:color="000000"/>
              <w:right w:val="single" w:sz="4" w:space="0" w:color="000000"/>
            </w:tcBorders>
            <w:vAlign w:val="center"/>
          </w:tcPr>
          <w:p w14:paraId="0F372C1C" w14:textId="77777777" w:rsidR="004E1960" w:rsidRPr="002749E2" w:rsidRDefault="004E1960" w:rsidP="002749E2">
            <w:pPr>
              <w:tabs>
                <w:tab w:val="clear" w:pos="567"/>
              </w:tabs>
              <w:spacing w:line="240" w:lineRule="auto"/>
              <w:ind w:right="26"/>
              <w:jc w:val="center"/>
              <w:rPr>
                <w:rFonts w:eastAsia="Times New Roman"/>
                <w:szCs w:val="22"/>
                <w:lang w:val="hu-HU"/>
              </w:rPr>
            </w:pPr>
            <w:r w:rsidRPr="002749E2">
              <w:rPr>
                <w:rFonts w:eastAsia="Times New Roman"/>
                <w:szCs w:val="22"/>
                <w:lang w:val="hu-HU"/>
              </w:rPr>
              <w:t>-1,9</w:t>
            </w:r>
            <w:r w:rsidRPr="002749E2">
              <w:rPr>
                <w:rFonts w:eastAsia="Times New Roman"/>
                <w:szCs w:val="22"/>
                <w:vertAlign w:val="superscript"/>
                <w:lang w:val="hu-HU"/>
              </w:rPr>
              <w:t>†</w:t>
            </w:r>
          </w:p>
        </w:tc>
        <w:tc>
          <w:tcPr>
            <w:tcW w:w="1663" w:type="pct"/>
            <w:tcBorders>
              <w:top w:val="single" w:sz="4" w:space="0" w:color="000000"/>
              <w:left w:val="single" w:sz="4" w:space="0" w:color="000000"/>
              <w:bottom w:val="single" w:sz="4" w:space="0" w:color="000000"/>
              <w:right w:val="single" w:sz="4" w:space="0" w:color="000000"/>
            </w:tcBorders>
            <w:vAlign w:val="center"/>
          </w:tcPr>
          <w:p w14:paraId="52A3F774" w14:textId="77777777" w:rsidR="004E1960" w:rsidRPr="002749E2" w:rsidRDefault="004E1960" w:rsidP="002749E2">
            <w:pPr>
              <w:tabs>
                <w:tab w:val="clear" w:pos="567"/>
              </w:tabs>
              <w:spacing w:line="240" w:lineRule="auto"/>
              <w:ind w:right="26"/>
              <w:jc w:val="center"/>
              <w:rPr>
                <w:rFonts w:eastAsia="Times New Roman"/>
                <w:szCs w:val="22"/>
                <w:lang w:val="hu-HU"/>
              </w:rPr>
            </w:pPr>
            <w:r w:rsidRPr="002749E2">
              <w:rPr>
                <w:rFonts w:eastAsia="Times New Roman"/>
                <w:szCs w:val="22"/>
                <w:lang w:val="hu-HU"/>
              </w:rPr>
              <w:t>-2,1</w:t>
            </w:r>
            <w:r w:rsidRPr="002749E2">
              <w:rPr>
                <w:rFonts w:eastAsia="Times New Roman"/>
                <w:szCs w:val="22"/>
                <w:vertAlign w:val="superscript"/>
                <w:lang w:val="hu-HU"/>
              </w:rPr>
              <w:t>†,‡</w:t>
            </w:r>
          </w:p>
          <w:p w14:paraId="7758F4D7" w14:textId="77777777" w:rsidR="004E1960" w:rsidRPr="002749E2" w:rsidRDefault="004E1960" w:rsidP="002749E2">
            <w:pPr>
              <w:tabs>
                <w:tab w:val="clear" w:pos="567"/>
              </w:tabs>
              <w:spacing w:line="240" w:lineRule="auto"/>
              <w:ind w:right="27"/>
              <w:jc w:val="center"/>
              <w:rPr>
                <w:rFonts w:eastAsia="Times New Roman"/>
                <w:szCs w:val="22"/>
                <w:lang w:val="hu-HU"/>
              </w:rPr>
            </w:pPr>
            <w:r w:rsidRPr="002749E2">
              <w:rPr>
                <w:rFonts w:eastAsia="Times New Roman"/>
                <w:szCs w:val="22"/>
                <w:lang w:val="hu-HU"/>
              </w:rPr>
              <w:t>(-2,3</w:t>
            </w:r>
            <w:r w:rsidR="00ED58B7">
              <w:rPr>
                <w:rFonts w:eastAsia="Times New Roman"/>
                <w:szCs w:val="22"/>
                <w:lang w:val="hu-HU"/>
              </w:rPr>
              <w:t>;</w:t>
            </w:r>
            <w:r w:rsidRPr="002749E2">
              <w:rPr>
                <w:rFonts w:eastAsia="Times New Roman"/>
                <w:szCs w:val="22"/>
                <w:lang w:val="hu-HU"/>
              </w:rPr>
              <w:t xml:space="preserve"> -1,8)</w:t>
            </w:r>
          </w:p>
        </w:tc>
      </w:tr>
    </w:tbl>
    <w:p w14:paraId="1E756D00" w14:textId="77777777" w:rsidR="004E1960" w:rsidRPr="006F525B" w:rsidRDefault="004E1960" w:rsidP="006F525B">
      <w:pPr>
        <w:tabs>
          <w:tab w:val="clear" w:pos="567"/>
        </w:tabs>
        <w:spacing w:line="240" w:lineRule="auto"/>
        <w:rPr>
          <w:lang w:val="hu-HU"/>
        </w:rPr>
      </w:pPr>
      <w:r w:rsidRPr="006F525B">
        <w:rPr>
          <w:lang w:val="hu-HU"/>
        </w:rPr>
        <w:t>*A populáció minden betege kezelést kapott (</w:t>
      </w:r>
      <w:r w:rsidR="00ED58B7">
        <w:rPr>
          <w:lang w:val="hu-HU"/>
        </w:rPr>
        <w:t>beválasztás</w:t>
      </w:r>
      <w:r w:rsidR="00ED58B7" w:rsidRPr="006F525B">
        <w:rPr>
          <w:lang w:val="hu-HU"/>
        </w:rPr>
        <w:t xml:space="preserve"> </w:t>
      </w:r>
      <w:r w:rsidRPr="006F525B">
        <w:rPr>
          <w:lang w:val="hu-HU"/>
        </w:rPr>
        <w:t>szerinti analízis)</w:t>
      </w:r>
    </w:p>
    <w:p w14:paraId="19E36DAC" w14:textId="77777777" w:rsidR="004E1960" w:rsidRPr="006F525B" w:rsidRDefault="004E1960" w:rsidP="006F525B">
      <w:pPr>
        <w:tabs>
          <w:tab w:val="clear" w:pos="567"/>
        </w:tabs>
        <w:spacing w:line="240" w:lineRule="auto"/>
        <w:rPr>
          <w:lang w:val="hu-HU"/>
        </w:rPr>
      </w:pPr>
      <w:r w:rsidRPr="006F525B">
        <w:rPr>
          <w:lang w:val="hu-HU"/>
        </w:rPr>
        <w:t>† Az előzőleg adott antihyperglykaemiás terápiás státuszhoz és a vizsgálatba történő belépéskor mért értékhez igazított legkisebb négyzetek módszere</w:t>
      </w:r>
    </w:p>
    <w:p w14:paraId="44F31CB3" w14:textId="77777777" w:rsidR="00E84DEC" w:rsidRPr="006F525B" w:rsidRDefault="004E1960" w:rsidP="006F525B">
      <w:pPr>
        <w:tabs>
          <w:tab w:val="clear" w:pos="567"/>
        </w:tabs>
        <w:spacing w:line="240" w:lineRule="auto"/>
        <w:rPr>
          <w:lang w:val="hu-HU"/>
        </w:rPr>
      </w:pPr>
      <w:r w:rsidRPr="006F525B">
        <w:rPr>
          <w:lang w:val="hu-HU"/>
        </w:rPr>
        <w:t>‡</w:t>
      </w:r>
      <w:r w:rsidR="00AC5B53" w:rsidRPr="006F525B">
        <w:rPr>
          <w:lang w:val="hu-HU"/>
        </w:rPr>
        <w:t xml:space="preserve"> </w:t>
      </w:r>
      <w:r w:rsidRPr="006F525B">
        <w:rPr>
          <w:lang w:val="hu-HU"/>
        </w:rPr>
        <w:t xml:space="preserve">p&lt;0,001 a placebóval vagy placebó + kombinációs kezeléssel összehasonlítva </w:t>
      </w:r>
    </w:p>
    <w:p w14:paraId="3DA0E83A" w14:textId="77777777" w:rsidR="004E1960" w:rsidRPr="006F525B" w:rsidRDefault="00E84DEC" w:rsidP="002254ED">
      <w:pPr>
        <w:tabs>
          <w:tab w:val="clear" w:pos="567"/>
        </w:tabs>
        <w:spacing w:line="240" w:lineRule="auto"/>
        <w:rPr>
          <w:lang w:val="hu-HU"/>
        </w:rPr>
      </w:pPr>
      <w:r w:rsidRPr="006F525B">
        <w:rPr>
          <w:snapToGrid/>
          <w:vertAlign w:val="superscript"/>
          <w:lang w:eastAsia="hu-HU"/>
        </w:rPr>
        <w:t>‖</w:t>
      </w:r>
      <w:r w:rsidR="00AC5B53" w:rsidRPr="006F525B">
        <w:rPr>
          <w:snapToGrid/>
          <w:lang w:eastAsia="hu-HU"/>
        </w:rPr>
        <w:t xml:space="preserve"> </w:t>
      </w:r>
      <w:r w:rsidR="004E1960" w:rsidRPr="006F525B">
        <w:rPr>
          <w:lang w:val="hu-HU"/>
        </w:rPr>
        <w:t>A 24. héten mért HbA</w:t>
      </w:r>
      <w:r w:rsidR="004E1960" w:rsidRPr="006F525B">
        <w:rPr>
          <w:vertAlign w:val="subscript"/>
          <w:lang w:val="hu-HU"/>
        </w:rPr>
        <w:t xml:space="preserve">1c </w:t>
      </w:r>
      <w:r w:rsidR="004E1960" w:rsidRPr="006F525B">
        <w:rPr>
          <w:lang w:val="hu-HU"/>
        </w:rPr>
        <w:t>(%)</w:t>
      </w:r>
    </w:p>
    <w:p w14:paraId="60F9D3CF" w14:textId="77777777" w:rsidR="004E1960" w:rsidRPr="006F525B" w:rsidRDefault="004E1960" w:rsidP="006F525B">
      <w:pPr>
        <w:tabs>
          <w:tab w:val="clear" w:pos="567"/>
        </w:tabs>
        <w:spacing w:line="240" w:lineRule="auto"/>
        <w:rPr>
          <w:lang w:val="hu-HU"/>
        </w:rPr>
      </w:pPr>
      <w:r w:rsidRPr="006F525B">
        <w:rPr>
          <w:vertAlign w:val="superscript"/>
          <w:lang w:val="hu-HU"/>
        </w:rPr>
        <w:t xml:space="preserve">¶ </w:t>
      </w:r>
      <w:r w:rsidRPr="006F525B">
        <w:rPr>
          <w:lang w:val="hu-HU"/>
        </w:rPr>
        <w:t>A 26. héten mért HbA</w:t>
      </w:r>
      <w:r w:rsidRPr="006F525B">
        <w:rPr>
          <w:vertAlign w:val="subscript"/>
          <w:lang w:val="hu-HU"/>
        </w:rPr>
        <w:t xml:space="preserve">1c </w:t>
      </w:r>
      <w:r w:rsidRPr="006F525B">
        <w:rPr>
          <w:lang w:val="hu-HU"/>
        </w:rPr>
        <w:t>(%)</w:t>
      </w:r>
    </w:p>
    <w:p w14:paraId="6B3F84C3" w14:textId="77777777" w:rsidR="004E1960" w:rsidRPr="006F525B" w:rsidRDefault="004E1960" w:rsidP="006F525B">
      <w:pPr>
        <w:tabs>
          <w:tab w:val="clear" w:pos="567"/>
        </w:tabs>
        <w:spacing w:line="240" w:lineRule="auto"/>
        <w:rPr>
          <w:lang w:val="hu-HU"/>
        </w:rPr>
      </w:pPr>
      <w:r w:rsidRPr="006F525B">
        <w:rPr>
          <w:lang w:val="hu-HU"/>
        </w:rPr>
        <w:t>§ Az első kontrollvizsgálatkor (előkevert vs. nem előkevert [közepes vagy hosszú hatástartamú]), ill. a vizsgálatba történő belépéskor alkalmazott inzulinmennyiségre korrigált legkisebb négyzetek átlaga.</w:t>
      </w:r>
    </w:p>
    <w:p w14:paraId="7ED52180" w14:textId="77777777" w:rsidR="00114BA0" w:rsidRPr="006F525B" w:rsidRDefault="00114BA0" w:rsidP="006F525B">
      <w:pPr>
        <w:tabs>
          <w:tab w:val="clear" w:pos="567"/>
        </w:tabs>
        <w:spacing w:line="240" w:lineRule="auto"/>
        <w:rPr>
          <w:lang w:val="hu-HU"/>
        </w:rPr>
      </w:pPr>
    </w:p>
    <w:p w14:paraId="517324A9" w14:textId="77777777" w:rsidR="004E1960" w:rsidRPr="006F525B" w:rsidRDefault="004E1960" w:rsidP="006F525B">
      <w:pPr>
        <w:tabs>
          <w:tab w:val="clear" w:pos="567"/>
        </w:tabs>
        <w:spacing w:line="240" w:lineRule="auto"/>
        <w:rPr>
          <w:lang w:val="hu-HU"/>
        </w:rPr>
      </w:pPr>
      <w:r w:rsidRPr="006F525B">
        <w:rPr>
          <w:lang w:val="hu-HU"/>
        </w:rPr>
        <w:t xml:space="preserve">Egy 52 hetes vizsgálatban, mely a hozzáadott napi egyszeri </w:t>
      </w:r>
      <w:r w:rsidR="004F72D1" w:rsidRPr="006F525B">
        <w:rPr>
          <w:lang w:val="hu-HU"/>
        </w:rPr>
        <w:t>100 mg</w:t>
      </w:r>
      <w:r w:rsidRPr="006F525B">
        <w:rPr>
          <w:lang w:val="hu-HU"/>
        </w:rPr>
        <w:t xml:space="preserve"> szitagliptin vagy glipizid (egy szulfonilurea) hatásosságát és biztonságosságát vizsgálta a metformin-monoterápia mellett nem kielégítő glykaemiás kontrollal rendelkező betegeknél, a szitagliptin hasonló volt a glipizidhez a HbA</w:t>
      </w:r>
      <w:r w:rsidRPr="006F525B">
        <w:rPr>
          <w:vertAlign w:val="subscript"/>
          <w:lang w:val="hu-HU"/>
        </w:rPr>
        <w:t xml:space="preserve">1c </w:t>
      </w:r>
      <w:r w:rsidRPr="006F525B">
        <w:rPr>
          <w:lang w:val="hu-HU"/>
        </w:rPr>
        <w:t>csökkentése terén (az 52. héten mindkét csoportban -0,7% átlagos eltérés a vizsgálat elején mért hozzávetőleg 7,5% HbA</w:t>
      </w:r>
      <w:r w:rsidRPr="006F525B">
        <w:rPr>
          <w:vertAlign w:val="subscript"/>
          <w:lang w:val="hu-HU"/>
        </w:rPr>
        <w:t xml:space="preserve">1c </w:t>
      </w:r>
      <w:r w:rsidRPr="006F525B">
        <w:rPr>
          <w:lang w:val="hu-HU"/>
        </w:rPr>
        <w:t xml:space="preserve">értékekhez képest). A komparátor csoportban a glipizid átlagos dózisa napi 10 mg volt, a vizsgálat alatt a betegek 40%-ának naponta </w:t>
      </w:r>
      <w:r w:rsidR="00114BA0" w:rsidRPr="00137267">
        <w:rPr>
          <w:lang w:val="hu-HU"/>
        </w:rPr>
        <w:t>≤ </w:t>
      </w:r>
      <w:r w:rsidRPr="006F525B">
        <w:rPr>
          <w:lang w:val="hu-HU"/>
        </w:rPr>
        <w:t>5 mg glipizid dózisra volt szüksége. A szitagliptin csoportban azonban több beteg hagyta abba a kezelést a gyógyszer hatásosságának hiánya miatt, mint a glipizid csoportban. A szitagliptinnel kezelt betegek test</w:t>
      </w:r>
      <w:r w:rsidR="00AB607D">
        <w:rPr>
          <w:lang w:val="hu-HU"/>
        </w:rPr>
        <w:t>tömege</w:t>
      </w:r>
      <w:r w:rsidRPr="006F525B">
        <w:rPr>
          <w:lang w:val="hu-HU"/>
        </w:rPr>
        <w:t xml:space="preserve"> a kiindulási állapothoz képest jelentős mértékű átlagos csökkenést (-1,5</w:t>
      </w:r>
      <w:r w:rsidR="00114BA0" w:rsidRPr="006F525B">
        <w:rPr>
          <w:lang w:val="hu-HU"/>
        </w:rPr>
        <w:t> </w:t>
      </w:r>
      <w:r w:rsidRPr="006F525B">
        <w:rPr>
          <w:lang w:val="hu-HU"/>
        </w:rPr>
        <w:t>kg) mutatott a glipiziddel kezelt betegek jelentős test</w:t>
      </w:r>
      <w:r w:rsidR="00AB607D">
        <w:rPr>
          <w:lang w:val="hu-HU"/>
        </w:rPr>
        <w:t>tömeg-</w:t>
      </w:r>
      <w:r w:rsidRPr="006F525B">
        <w:rPr>
          <w:lang w:val="hu-HU"/>
        </w:rPr>
        <w:t>növekedésével (+1,1</w:t>
      </w:r>
      <w:r w:rsidR="00114BA0" w:rsidRPr="006F525B">
        <w:rPr>
          <w:lang w:val="hu-HU"/>
        </w:rPr>
        <w:t> </w:t>
      </w:r>
      <w:r w:rsidRPr="006F525B">
        <w:rPr>
          <w:lang w:val="hu-HU"/>
        </w:rPr>
        <w:t xml:space="preserve">kg) szemben. E vizsgálatban a proinzulin-inzulin arány, mely az inzulinszintézis és </w:t>
      </w:r>
      <w:r w:rsidR="00F45429">
        <w:rPr>
          <w:lang w:val="hu-HU"/>
        </w:rPr>
        <w:t>-</w:t>
      </w:r>
      <w:r w:rsidRPr="006F525B">
        <w:rPr>
          <w:lang w:val="hu-HU"/>
        </w:rPr>
        <w:t>felszabadulás hatásosságának markere, a szitagliptin</w:t>
      </w:r>
      <w:r w:rsidR="00AB607D">
        <w:rPr>
          <w:lang w:val="hu-HU"/>
        </w:rPr>
        <w:t>-</w:t>
      </w:r>
      <w:r w:rsidRPr="006F525B">
        <w:rPr>
          <w:lang w:val="hu-HU"/>
        </w:rPr>
        <w:t>kezelés hatására javult, míg a glipizid-kezelés hatására romlott. A hypoglykaemiás esetek előfordulási aránya a szitagliptin</w:t>
      </w:r>
      <w:r w:rsidR="00AB607D">
        <w:rPr>
          <w:lang w:val="hu-HU"/>
        </w:rPr>
        <w:t>-</w:t>
      </w:r>
      <w:r w:rsidRPr="006F525B">
        <w:rPr>
          <w:lang w:val="hu-HU"/>
        </w:rPr>
        <w:t>csoportban (4,9%) jelentősen alacsonyabb volt, mint a glipizid-csoportban (32,0%).</w:t>
      </w:r>
    </w:p>
    <w:p w14:paraId="4952364B" w14:textId="77777777" w:rsidR="00114BA0" w:rsidRPr="006F525B" w:rsidRDefault="00114BA0" w:rsidP="006F525B">
      <w:pPr>
        <w:tabs>
          <w:tab w:val="clear" w:pos="567"/>
        </w:tabs>
        <w:spacing w:line="240" w:lineRule="auto"/>
        <w:rPr>
          <w:lang w:val="hu-HU"/>
        </w:rPr>
      </w:pPr>
    </w:p>
    <w:p w14:paraId="71F9BF59" w14:textId="77777777" w:rsidR="004E1960" w:rsidRPr="006F525B" w:rsidRDefault="004E1960" w:rsidP="006F525B">
      <w:pPr>
        <w:tabs>
          <w:tab w:val="clear" w:pos="567"/>
        </w:tabs>
        <w:spacing w:line="240" w:lineRule="auto"/>
        <w:rPr>
          <w:lang w:val="hu-HU"/>
        </w:rPr>
      </w:pPr>
      <w:r w:rsidRPr="006F525B">
        <w:rPr>
          <w:lang w:val="hu-HU"/>
        </w:rPr>
        <w:t>Egy 24 hetes, placebokontrollos, 660 beteg bevonásával végzett vizsgálatot úgy terveztek meg, hogy értékelje a glargin inzulinhoz (legalább 1500</w:t>
      </w:r>
      <w:r w:rsidR="008F1335" w:rsidRPr="006F525B">
        <w:rPr>
          <w:lang w:val="hu-HU"/>
        </w:rPr>
        <w:t> </w:t>
      </w:r>
      <w:r w:rsidRPr="006F525B">
        <w:rPr>
          <w:lang w:val="hu-HU"/>
        </w:rPr>
        <w:t xml:space="preserve">mg) metforminnal vagy anélkül adott (napi egyszer </w:t>
      </w:r>
      <w:r w:rsidR="004F72D1" w:rsidRPr="006F525B">
        <w:rPr>
          <w:lang w:val="hu-HU"/>
        </w:rPr>
        <w:t>100 mg</w:t>
      </w:r>
      <w:r w:rsidRPr="006F525B">
        <w:rPr>
          <w:lang w:val="hu-HU"/>
        </w:rPr>
        <w:t>) szitagliptin inzulincsökkentő hatásosságát és biztonságosságát az inzulin-terápia intenzifikálása idején. A metformint szedő betegek között a HbA</w:t>
      </w:r>
      <w:r w:rsidRPr="006F525B">
        <w:rPr>
          <w:vertAlign w:val="subscript"/>
          <w:lang w:val="hu-HU"/>
        </w:rPr>
        <w:t xml:space="preserve">1c </w:t>
      </w:r>
      <w:r w:rsidRPr="006F525B">
        <w:rPr>
          <w:lang w:val="hu-HU"/>
        </w:rPr>
        <w:t>kiindulási értéke 8,70% volt, míg az inzulin kiindulási dózisa napi 37</w:t>
      </w:r>
      <w:r w:rsidR="008F1335" w:rsidRPr="006F525B">
        <w:rPr>
          <w:lang w:val="hu-HU"/>
        </w:rPr>
        <w:t> </w:t>
      </w:r>
      <w:r w:rsidRPr="006F525B">
        <w:rPr>
          <w:lang w:val="hu-HU"/>
        </w:rPr>
        <w:t xml:space="preserve">NE volt. A betegeket arra utasították, hogy glargin inzulin </w:t>
      </w:r>
      <w:r w:rsidR="00B15FDF">
        <w:rPr>
          <w:lang w:val="hu-HU"/>
        </w:rPr>
        <w:t>dózis</w:t>
      </w:r>
      <w:r w:rsidRPr="006F525B">
        <w:rPr>
          <w:lang w:val="hu-HU"/>
        </w:rPr>
        <w:t>ukat az ujjbegyből vett vérminták éhomi glükózértékei alapján határozzák meg. A metformint szedő betegek között a 24. héten a napi inzulindózis növekedése a szitagliptinnel kezelt betegeknél napi 19</w:t>
      </w:r>
      <w:r w:rsidR="008F1335" w:rsidRPr="006F525B">
        <w:rPr>
          <w:lang w:val="hu-HU"/>
        </w:rPr>
        <w:t> </w:t>
      </w:r>
      <w:r w:rsidRPr="006F525B">
        <w:rPr>
          <w:lang w:val="hu-HU"/>
        </w:rPr>
        <w:t>NE, míg a placebóval kezelt betegeknél napi 24</w:t>
      </w:r>
      <w:r w:rsidR="008F1335" w:rsidRPr="006F525B">
        <w:rPr>
          <w:lang w:val="hu-HU"/>
        </w:rPr>
        <w:t> </w:t>
      </w:r>
      <w:r w:rsidRPr="006F525B">
        <w:rPr>
          <w:lang w:val="hu-HU"/>
        </w:rPr>
        <w:t>NE volt. A HbA</w:t>
      </w:r>
      <w:r w:rsidRPr="006F525B">
        <w:rPr>
          <w:vertAlign w:val="subscript"/>
          <w:lang w:val="hu-HU"/>
        </w:rPr>
        <w:t xml:space="preserve">1c </w:t>
      </w:r>
      <w:r w:rsidRPr="006F525B">
        <w:rPr>
          <w:lang w:val="hu-HU"/>
        </w:rPr>
        <w:t>csökkenése a szitagliptinnel, metforminnal és inzulinnal kezelt betegeknél -1,35% volt, összehasonlítva a placebóval, metforminnal és inzulinnal kezelt betegeknél megfigyelt -0,90%-kal, mely -0,45%-os különbséget [95%</w:t>
      </w:r>
      <w:r w:rsidR="0057029F">
        <w:rPr>
          <w:lang w:val="hu-HU"/>
        </w:rPr>
        <w:t>-os</w:t>
      </w:r>
      <w:r w:rsidRPr="006F525B">
        <w:rPr>
          <w:lang w:val="hu-HU"/>
        </w:rPr>
        <w:t xml:space="preserve"> CI: -0,62</w:t>
      </w:r>
      <w:r w:rsidR="0057029F">
        <w:rPr>
          <w:lang w:val="hu-HU"/>
        </w:rPr>
        <w:t>;</w:t>
      </w:r>
      <w:r w:rsidRPr="006F525B">
        <w:rPr>
          <w:lang w:val="hu-HU"/>
        </w:rPr>
        <w:t xml:space="preserve"> -0,29] mutat. A hypoglykaemia előfordulási gyakorisága a szitagliptinnel, metforminnal és inzulinnal kezelt betegeknél 24,9%, míg a placebóval, metforminnal és inzulinnal kezelt betegeknél 37,8% volt. A különbség főként annak tulajdonítható, hogy a placebocsoport betegei nagyobb arányban tapasztaltak 3 vagy ennél több hypoglykaemiás epizódot (9,1 vs. 19,8%). A súlyos hypoglykaemia gyakoriságát illetően nem mutatkozott különbség.</w:t>
      </w:r>
    </w:p>
    <w:p w14:paraId="152EACF3" w14:textId="77777777" w:rsidR="008F1335" w:rsidRPr="006F525B" w:rsidRDefault="008F1335" w:rsidP="006F525B">
      <w:pPr>
        <w:tabs>
          <w:tab w:val="clear" w:pos="567"/>
        </w:tabs>
        <w:spacing w:line="240" w:lineRule="auto"/>
        <w:rPr>
          <w:lang w:val="hu-HU"/>
        </w:rPr>
      </w:pPr>
    </w:p>
    <w:p w14:paraId="3AADA43E"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Metformin</w:t>
      </w:r>
    </w:p>
    <w:p w14:paraId="3282C0AE"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Hatásmechanizmus</w:t>
      </w:r>
    </w:p>
    <w:p w14:paraId="5D26AB1A" w14:textId="77777777" w:rsidR="004E1960" w:rsidRPr="006F525B" w:rsidRDefault="004E1960" w:rsidP="006F525B">
      <w:pPr>
        <w:tabs>
          <w:tab w:val="clear" w:pos="567"/>
        </w:tabs>
        <w:spacing w:line="240" w:lineRule="auto"/>
        <w:ind w:left="-5" w:right="8"/>
        <w:rPr>
          <w:lang w:val="hu-HU"/>
        </w:rPr>
      </w:pPr>
      <w:r w:rsidRPr="006F525B">
        <w:rPr>
          <w:lang w:val="hu-HU"/>
        </w:rPr>
        <w:t>A metformin egy antihyperglykaemiás hatás</w:t>
      </w:r>
      <w:r w:rsidR="0015245C">
        <w:rPr>
          <w:lang w:val="hu-HU"/>
        </w:rPr>
        <w:t>ú</w:t>
      </w:r>
      <w:r w:rsidRPr="006F525B">
        <w:rPr>
          <w:lang w:val="hu-HU"/>
        </w:rPr>
        <w:t xml:space="preserve"> biguanid, amely csökkenti a bázis és posztprandiális vércukorszintet. Nem serkenti az inzulinszekréciót, ezért nem okoz hypoglykaemiát.</w:t>
      </w:r>
    </w:p>
    <w:p w14:paraId="2F7EE0C2" w14:textId="77777777" w:rsidR="00813C7C" w:rsidRPr="006F525B" w:rsidRDefault="00813C7C" w:rsidP="006F525B">
      <w:pPr>
        <w:tabs>
          <w:tab w:val="clear" w:pos="567"/>
        </w:tabs>
        <w:spacing w:line="240" w:lineRule="auto"/>
        <w:ind w:left="-5" w:right="8"/>
        <w:rPr>
          <w:lang w:val="hu-HU"/>
        </w:rPr>
      </w:pPr>
    </w:p>
    <w:p w14:paraId="318143ED" w14:textId="77777777" w:rsidR="004E1960" w:rsidRPr="006F525B" w:rsidRDefault="004E1960" w:rsidP="006F525B">
      <w:pPr>
        <w:tabs>
          <w:tab w:val="clear" w:pos="567"/>
        </w:tabs>
        <w:spacing w:line="240" w:lineRule="auto"/>
        <w:ind w:left="-5" w:right="8"/>
        <w:rPr>
          <w:lang w:val="hu-HU"/>
        </w:rPr>
      </w:pPr>
      <w:r w:rsidRPr="006F525B">
        <w:rPr>
          <w:lang w:val="hu-HU"/>
        </w:rPr>
        <w:t>A metformin három úton fejtheti ki a hatását:</w:t>
      </w:r>
    </w:p>
    <w:p w14:paraId="47179F95"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csökkenti a máj glükóztermelését gátolva a glükoneogenezist és a glükogenolízist,</w:t>
      </w:r>
    </w:p>
    <w:p w14:paraId="7051F1B7" w14:textId="77777777" w:rsidR="007520F4" w:rsidRDefault="004E1960" w:rsidP="002749E2">
      <w:pPr>
        <w:numPr>
          <w:ilvl w:val="0"/>
          <w:numId w:val="3"/>
        </w:numPr>
        <w:tabs>
          <w:tab w:val="clear" w:pos="567"/>
        </w:tabs>
        <w:spacing w:line="240" w:lineRule="auto"/>
        <w:ind w:right="8" w:hanging="566"/>
        <w:rPr>
          <w:lang w:val="hu-HU"/>
        </w:rPr>
      </w:pPr>
      <w:r w:rsidRPr="006F525B">
        <w:rPr>
          <w:lang w:val="hu-HU"/>
        </w:rPr>
        <w:t xml:space="preserve">az izomban enyhén növeli az inzulinérzékenységet, elősegítve a perifériás glükózfelvételt és </w:t>
      </w:r>
    </w:p>
    <w:p w14:paraId="12B2EA7A" w14:textId="77777777" w:rsidR="004E1960" w:rsidRPr="006F525B" w:rsidRDefault="0015245C" w:rsidP="002A1E85">
      <w:pPr>
        <w:tabs>
          <w:tab w:val="clear" w:pos="567"/>
        </w:tabs>
        <w:spacing w:line="240" w:lineRule="auto"/>
        <w:ind w:left="566" w:right="8"/>
        <w:rPr>
          <w:lang w:val="hu-HU"/>
        </w:rPr>
      </w:pPr>
      <w:r>
        <w:rPr>
          <w:lang w:val="hu-HU"/>
        </w:rPr>
        <w:t>-</w:t>
      </w:r>
      <w:r w:rsidR="004E1960" w:rsidRPr="006F525B">
        <w:rPr>
          <w:lang w:val="hu-HU"/>
        </w:rPr>
        <w:t>felhasználást,</w:t>
      </w:r>
    </w:p>
    <w:p w14:paraId="74D9FA7F"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késlelteti a glükóz felszívódását.</w:t>
      </w:r>
    </w:p>
    <w:p w14:paraId="696BD278" w14:textId="77777777" w:rsidR="00813C7C" w:rsidRPr="006F525B" w:rsidRDefault="00813C7C" w:rsidP="006F525B">
      <w:pPr>
        <w:tabs>
          <w:tab w:val="clear" w:pos="567"/>
        </w:tabs>
        <w:spacing w:line="240" w:lineRule="auto"/>
        <w:ind w:left="-5" w:right="406"/>
        <w:rPr>
          <w:lang w:val="hu-HU"/>
        </w:rPr>
      </w:pPr>
    </w:p>
    <w:p w14:paraId="68763B01" w14:textId="77777777" w:rsidR="004E1960" w:rsidRPr="006F525B" w:rsidRDefault="004E1960" w:rsidP="006F525B">
      <w:pPr>
        <w:tabs>
          <w:tab w:val="clear" w:pos="567"/>
        </w:tabs>
        <w:spacing w:line="240" w:lineRule="auto"/>
        <w:ind w:left="-5" w:right="406"/>
        <w:rPr>
          <w:lang w:val="hu-HU"/>
        </w:rPr>
      </w:pPr>
      <w:r w:rsidRPr="006F525B">
        <w:rPr>
          <w:lang w:val="hu-HU"/>
        </w:rPr>
        <w:t>A metformin serkenti az intracelluláris glikogénszintézist a glikogénszintáz hatásán keresztül. A metformin emeli bizonyos típusú membrán glükóztranszporterek (GLUT-1 és GLUT-4) szállítókapacitását.</w:t>
      </w:r>
    </w:p>
    <w:p w14:paraId="1AC28768" w14:textId="77777777" w:rsidR="00813C7C" w:rsidRPr="006F525B" w:rsidRDefault="00813C7C" w:rsidP="006F525B">
      <w:pPr>
        <w:tabs>
          <w:tab w:val="clear" w:pos="567"/>
        </w:tabs>
        <w:spacing w:line="240" w:lineRule="auto"/>
        <w:ind w:left="-5" w:right="406"/>
        <w:rPr>
          <w:lang w:val="hu-HU"/>
        </w:rPr>
      </w:pPr>
    </w:p>
    <w:p w14:paraId="33D165CB"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Klinikai hatásosság és biztonságosság</w:t>
      </w:r>
    </w:p>
    <w:p w14:paraId="033ADB64" w14:textId="77777777" w:rsidR="004E1960" w:rsidRPr="006F525B" w:rsidRDefault="004E1960" w:rsidP="006F525B">
      <w:pPr>
        <w:tabs>
          <w:tab w:val="clear" w:pos="567"/>
        </w:tabs>
        <w:spacing w:line="240" w:lineRule="auto"/>
        <w:ind w:left="-5" w:right="8"/>
        <w:rPr>
          <w:lang w:val="hu-HU"/>
        </w:rPr>
      </w:pPr>
      <w:r w:rsidRPr="006F525B">
        <w:rPr>
          <w:lang w:val="hu-HU"/>
        </w:rPr>
        <w:t>Emberekn</w:t>
      </w:r>
      <w:r w:rsidR="0015245C">
        <w:rPr>
          <w:lang w:val="hu-HU"/>
        </w:rPr>
        <w:t>él</w:t>
      </w:r>
      <w:r w:rsidRPr="006F525B">
        <w:rPr>
          <w:lang w:val="hu-HU"/>
        </w:rPr>
        <w:t>, a vércukorszintet befolyásoló hatástól függetlenül, a metforminnak kedvező hatása van a lipidmetabolizmusra. Terápiás dózissal végzett kontroll</w:t>
      </w:r>
      <w:r w:rsidR="0095123B">
        <w:rPr>
          <w:lang w:val="hu-HU"/>
        </w:rPr>
        <w:t>os</w:t>
      </w:r>
      <w:r w:rsidRPr="006F525B">
        <w:rPr>
          <w:lang w:val="hu-HU"/>
        </w:rPr>
        <w:t>, közép</w:t>
      </w:r>
      <w:r w:rsidR="0015245C">
        <w:rPr>
          <w:lang w:val="hu-HU"/>
        </w:rPr>
        <w:t>-</w:t>
      </w:r>
      <w:r w:rsidRPr="006F525B">
        <w:rPr>
          <w:lang w:val="hu-HU"/>
        </w:rPr>
        <w:t xml:space="preserve"> és hosszú</w:t>
      </w:r>
      <w:r w:rsidR="0015245C">
        <w:rPr>
          <w:lang w:val="hu-HU"/>
        </w:rPr>
        <w:t xml:space="preserve"> </w:t>
      </w:r>
      <w:r w:rsidRPr="006F525B">
        <w:rPr>
          <w:lang w:val="hu-HU"/>
        </w:rPr>
        <w:t>távú klinikai vizsgálatok igazolták, hogy a metformin csökkenti az összkoleszterin-, LDL-koleszterin és triglicerid szinteket.</w:t>
      </w:r>
    </w:p>
    <w:p w14:paraId="03FF391D" w14:textId="77777777" w:rsidR="00813C7C" w:rsidRPr="006F525B" w:rsidRDefault="00813C7C" w:rsidP="006F525B">
      <w:pPr>
        <w:tabs>
          <w:tab w:val="clear" w:pos="567"/>
        </w:tabs>
        <w:spacing w:line="240" w:lineRule="auto"/>
        <w:ind w:left="-5" w:right="8"/>
        <w:rPr>
          <w:lang w:val="hu-HU"/>
        </w:rPr>
      </w:pPr>
    </w:p>
    <w:p w14:paraId="713EC056" w14:textId="77777777" w:rsidR="004E1960" w:rsidRPr="006F525B" w:rsidRDefault="004E1960" w:rsidP="006F525B">
      <w:pPr>
        <w:tabs>
          <w:tab w:val="clear" w:pos="567"/>
        </w:tabs>
        <w:spacing w:line="240" w:lineRule="auto"/>
        <w:ind w:left="-5" w:right="8"/>
        <w:rPr>
          <w:lang w:val="hu-HU"/>
        </w:rPr>
      </w:pPr>
      <w:r w:rsidRPr="006F525B">
        <w:rPr>
          <w:lang w:val="hu-HU"/>
        </w:rPr>
        <w:t>A prospektív, randomizált vizsgálat (UKPDS) megalapozta a 2-es típusú cukorbetegségben szenvedő felnőtt betegek intenzív vércukorkontrolljának hosszú</w:t>
      </w:r>
      <w:r w:rsidR="0015245C">
        <w:rPr>
          <w:lang w:val="hu-HU"/>
        </w:rPr>
        <w:t xml:space="preserve"> </w:t>
      </w:r>
      <w:r w:rsidRPr="006F525B">
        <w:rPr>
          <w:lang w:val="hu-HU"/>
        </w:rPr>
        <w:t>távú kedvező hatását. Az eredmények elemzése olyan túlsúlyos betegeknél, akiket metforminnal kezeltek a diéta eredménytelensége esetén, a következőket mutatta:</w:t>
      </w:r>
    </w:p>
    <w:p w14:paraId="0F6599EC"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bármilyen, diabétesszel összefüggő szövődmény abszolút rizikójának csökkenése volt megfigyelhető a metformin</w:t>
      </w:r>
      <w:r w:rsidR="0015245C">
        <w:rPr>
          <w:lang w:val="hu-HU"/>
        </w:rPr>
        <w:t>-</w:t>
      </w:r>
      <w:r w:rsidRPr="006F525B">
        <w:rPr>
          <w:lang w:val="hu-HU"/>
        </w:rPr>
        <w:t>csoportban (29,8 eset/1000 betegév), összevetve a csak diétán levő csoportéval (43,3 eset/ 1000 betegév), p=0,0023; összehasonlítva a szulfonilurea és inzulin monoterápiás csoporttal (40,1 eset/1000 betegév). p=0,0034;</w:t>
      </w:r>
    </w:p>
    <w:p w14:paraId="47CEB2A6"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szignifikáns csökkenés volt észlelhető a diabétesszel összefüggő mortalitás abszolút rizikójában: metformin</w:t>
      </w:r>
      <w:r w:rsidR="00D60892">
        <w:rPr>
          <w:lang w:val="hu-HU"/>
        </w:rPr>
        <w:t>-</w:t>
      </w:r>
      <w:r w:rsidRPr="006F525B">
        <w:rPr>
          <w:lang w:val="hu-HU"/>
        </w:rPr>
        <w:t>csoportban 7,5 eset/1000 betegév, a csak diétát tartó csoportban 12,7 eset/1000 betegév, p=0,017;</w:t>
      </w:r>
    </w:p>
    <w:p w14:paraId="5FA861D2"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szignifikáns csökkenés volt tapasztalható az összmortalitás abszolút rizikójában: metformin</w:t>
      </w:r>
      <w:r w:rsidR="00D60892">
        <w:rPr>
          <w:lang w:val="hu-HU"/>
        </w:rPr>
        <w:t>-</w:t>
      </w:r>
      <w:r w:rsidRPr="006F525B">
        <w:rPr>
          <w:lang w:val="hu-HU"/>
        </w:rPr>
        <w:t>csoport 13,5 eset/1000 betegév, csak diétát tartó csoportban 20,6 eset/1000 betegév (p=0,011). A szulfonilurea és inzulin monoterápiás csoportban 18,9/1000 betegév (p=0,021);</w:t>
      </w:r>
    </w:p>
    <w:p w14:paraId="59BD951F" w14:textId="77777777" w:rsidR="004E1960" w:rsidRPr="006F525B" w:rsidRDefault="004E1960" w:rsidP="002749E2">
      <w:pPr>
        <w:numPr>
          <w:ilvl w:val="0"/>
          <w:numId w:val="3"/>
        </w:numPr>
        <w:tabs>
          <w:tab w:val="clear" w:pos="567"/>
        </w:tabs>
        <w:spacing w:line="240" w:lineRule="auto"/>
        <w:ind w:right="8" w:hanging="566"/>
        <w:rPr>
          <w:lang w:val="hu-HU"/>
        </w:rPr>
      </w:pPr>
      <w:r w:rsidRPr="006F525B">
        <w:rPr>
          <w:lang w:val="hu-HU"/>
        </w:rPr>
        <w:t>szignifikáns csökkenés volt látható a miokardiális infarktus abszolút rizikójának csökkenésében: metforminnal kezelt csoport 11 eset/1000 betegév, csak diétát tartó csoportban 18 eset/1000 betegév (p=0,01).</w:t>
      </w:r>
    </w:p>
    <w:p w14:paraId="590EAC50" w14:textId="77777777" w:rsidR="00DE2F42" w:rsidRPr="006F525B" w:rsidRDefault="00DE2F42" w:rsidP="006F525B">
      <w:pPr>
        <w:tabs>
          <w:tab w:val="clear" w:pos="567"/>
        </w:tabs>
        <w:spacing w:line="240" w:lineRule="auto"/>
        <w:ind w:left="-5" w:right="8"/>
        <w:rPr>
          <w:lang w:val="hu-HU"/>
        </w:rPr>
      </w:pPr>
    </w:p>
    <w:p w14:paraId="22F5620A" w14:textId="77777777" w:rsidR="004E1960" w:rsidRPr="006F525B" w:rsidRDefault="004E1960" w:rsidP="006F525B">
      <w:pPr>
        <w:tabs>
          <w:tab w:val="clear" w:pos="567"/>
        </w:tabs>
        <w:spacing w:line="240" w:lineRule="auto"/>
        <w:ind w:left="-5" w:right="8"/>
        <w:rPr>
          <w:lang w:val="hu-HU"/>
        </w:rPr>
      </w:pPr>
      <w:r w:rsidRPr="006F525B">
        <w:rPr>
          <w:lang w:val="hu-HU"/>
        </w:rPr>
        <w:t>A TECOS egy randomizált vizsgálat volt, melynek beválasztás szerinti populációjában 14</w:t>
      </w:r>
      <w:r w:rsidR="00DE2F42" w:rsidRPr="006F525B">
        <w:rPr>
          <w:lang w:val="hu-HU"/>
        </w:rPr>
        <w:t> </w:t>
      </w:r>
      <w:r w:rsidRPr="006F525B">
        <w:rPr>
          <w:lang w:val="hu-HU"/>
        </w:rPr>
        <w:t>671, ≥</w:t>
      </w:r>
      <w:r w:rsidR="00DE2F42" w:rsidRPr="006F525B">
        <w:rPr>
          <w:lang w:val="hu-HU"/>
        </w:rPr>
        <w:t> </w:t>
      </w:r>
      <w:r w:rsidRPr="006F525B">
        <w:rPr>
          <w:lang w:val="hu-HU"/>
        </w:rPr>
        <w:t>6,5</w:t>
      </w:r>
      <w:r w:rsidR="002254ED">
        <w:rPr>
          <w:lang w:val="hu-HU"/>
        </w:rPr>
        <w:t>–</w:t>
      </w:r>
      <w:r w:rsidRPr="006F525B">
        <w:rPr>
          <w:lang w:val="hu-HU"/>
        </w:rPr>
        <w:t>8,0% közötti HbA</w:t>
      </w:r>
      <w:r w:rsidRPr="006F525B">
        <w:rPr>
          <w:vertAlign w:val="subscript"/>
          <w:lang w:val="hu-HU"/>
        </w:rPr>
        <w:t xml:space="preserve">1c </w:t>
      </w:r>
      <w:r w:rsidRPr="006F525B">
        <w:rPr>
          <w:lang w:val="hu-HU"/>
        </w:rPr>
        <w:t xml:space="preserve">értékkel rendelkező, igazolt CV betegségben szenvedő beteg vett részt, akik (7332-en) napi </w:t>
      </w:r>
      <w:r w:rsidR="004F72D1" w:rsidRPr="006F525B">
        <w:rPr>
          <w:lang w:val="hu-HU"/>
        </w:rPr>
        <w:t>100 mg</w:t>
      </w:r>
      <w:r w:rsidRPr="006F525B">
        <w:rPr>
          <w:lang w:val="hu-HU"/>
        </w:rPr>
        <w:t xml:space="preserve"> (vagy ≥</w:t>
      </w:r>
      <w:r w:rsidR="00DE2F42" w:rsidRPr="006F525B">
        <w:rPr>
          <w:lang w:val="hu-HU"/>
        </w:rPr>
        <w:t> </w:t>
      </w:r>
      <w:r w:rsidRPr="006F525B">
        <w:rPr>
          <w:lang w:val="hu-HU"/>
        </w:rPr>
        <w:t>30 és &lt;</w:t>
      </w:r>
      <w:r w:rsidR="00DE2F42" w:rsidRPr="006F525B">
        <w:rPr>
          <w:lang w:val="hu-HU"/>
        </w:rPr>
        <w:t> </w:t>
      </w:r>
      <w:r w:rsidRPr="006F525B">
        <w:rPr>
          <w:lang w:val="hu-HU"/>
        </w:rPr>
        <w:t>50</w:t>
      </w:r>
      <w:r w:rsidR="00DE2F42" w:rsidRPr="006F525B">
        <w:rPr>
          <w:lang w:val="hu-HU"/>
        </w:rPr>
        <w:t> </w:t>
      </w:r>
      <w:r w:rsidRPr="006F525B">
        <w:rPr>
          <w:lang w:val="hu-HU"/>
        </w:rPr>
        <w:t>ml/perc/1,73</w:t>
      </w:r>
      <w:r w:rsidR="00DE2F42" w:rsidRPr="006F525B">
        <w:rPr>
          <w:lang w:val="hu-HU"/>
        </w:rPr>
        <w:t> </w:t>
      </w:r>
      <w:r w:rsidRPr="006F525B">
        <w:rPr>
          <w:lang w:val="hu-HU"/>
        </w:rPr>
        <w:t>m</w:t>
      </w:r>
      <w:r w:rsidRPr="006F525B">
        <w:rPr>
          <w:vertAlign w:val="superscript"/>
          <w:lang w:val="hu-HU"/>
        </w:rPr>
        <w:t xml:space="preserve">2 </w:t>
      </w:r>
      <w:r w:rsidRPr="006F525B">
        <w:rPr>
          <w:lang w:val="hu-HU"/>
        </w:rPr>
        <w:t xml:space="preserve">értékű kiindulási eGFR esetén napi </w:t>
      </w:r>
      <w:r w:rsidR="004F72D1" w:rsidRPr="006F525B">
        <w:rPr>
          <w:lang w:val="hu-HU"/>
        </w:rPr>
        <w:t>50 mg</w:t>
      </w:r>
      <w:r w:rsidRPr="006F525B">
        <w:rPr>
          <w:lang w:val="hu-HU"/>
        </w:rPr>
        <w:t>) szitagliptint vagy (7339-en) placebót kaptak a HbA</w:t>
      </w:r>
      <w:r w:rsidRPr="006F525B">
        <w:rPr>
          <w:vertAlign w:val="subscript"/>
          <w:lang w:val="hu-HU"/>
        </w:rPr>
        <w:t xml:space="preserve">1c </w:t>
      </w:r>
      <w:r w:rsidRPr="006F525B">
        <w:rPr>
          <w:lang w:val="hu-HU"/>
        </w:rPr>
        <w:t>és CV kockázati tényezőkre vonatkozó regionális standardokat célzó általános kezelés mellé. A &lt;</w:t>
      </w:r>
      <w:r w:rsidR="00DE2F42" w:rsidRPr="006F525B">
        <w:rPr>
          <w:lang w:val="hu-HU"/>
        </w:rPr>
        <w:t> </w:t>
      </w:r>
      <w:r w:rsidRPr="006F525B">
        <w:rPr>
          <w:lang w:val="hu-HU"/>
        </w:rPr>
        <w:t>30</w:t>
      </w:r>
      <w:r w:rsidR="002254ED">
        <w:rPr>
          <w:lang w:val="hu-HU"/>
        </w:rPr>
        <w:t> </w:t>
      </w:r>
      <w:r w:rsidRPr="006F525B">
        <w:rPr>
          <w:lang w:val="hu-HU"/>
        </w:rPr>
        <w:t>ml/perc/1,73</w:t>
      </w:r>
      <w:r w:rsidR="00DE2F42" w:rsidRPr="006F525B">
        <w:rPr>
          <w:lang w:val="hu-HU"/>
        </w:rPr>
        <w:t> </w:t>
      </w:r>
      <w:r w:rsidRPr="006F525B">
        <w:rPr>
          <w:lang w:val="hu-HU"/>
        </w:rPr>
        <w:t>m</w:t>
      </w:r>
      <w:r w:rsidRPr="006F525B">
        <w:rPr>
          <w:vertAlign w:val="superscript"/>
          <w:lang w:val="hu-HU"/>
        </w:rPr>
        <w:t xml:space="preserve">2 </w:t>
      </w:r>
      <w:r w:rsidRPr="006F525B">
        <w:rPr>
          <w:lang w:val="hu-HU"/>
        </w:rPr>
        <w:t>eGFR értékkel rendelkező betegek nem voltak bevonhatóak a vizsgálatba. A vizsgálati populációba 2004, ≥</w:t>
      </w:r>
      <w:r w:rsidR="00DE2F42" w:rsidRPr="006F525B">
        <w:rPr>
          <w:lang w:val="hu-HU"/>
        </w:rPr>
        <w:t> </w:t>
      </w:r>
      <w:r w:rsidRPr="006F525B">
        <w:rPr>
          <w:lang w:val="hu-HU"/>
        </w:rPr>
        <w:t>75</w:t>
      </w:r>
      <w:r w:rsidR="00DE2F42" w:rsidRPr="006F525B">
        <w:rPr>
          <w:lang w:val="hu-HU"/>
        </w:rPr>
        <w:t> </w:t>
      </w:r>
      <w:r w:rsidRPr="006F525B">
        <w:rPr>
          <w:lang w:val="hu-HU"/>
        </w:rPr>
        <w:t>éves beteg és 3324, vesekárosodásban szenvedő beteg (eGFR &lt;</w:t>
      </w:r>
      <w:r w:rsidR="00DE2F42" w:rsidRPr="006F525B">
        <w:rPr>
          <w:lang w:val="hu-HU"/>
        </w:rPr>
        <w:t> </w:t>
      </w:r>
      <w:r w:rsidRPr="006F525B">
        <w:rPr>
          <w:lang w:val="hu-HU"/>
        </w:rPr>
        <w:t>60</w:t>
      </w:r>
      <w:r w:rsidR="00DE2F42" w:rsidRPr="006F525B">
        <w:rPr>
          <w:lang w:val="hu-HU"/>
        </w:rPr>
        <w:t> </w:t>
      </w:r>
      <w:r w:rsidRPr="006F525B">
        <w:rPr>
          <w:lang w:val="hu-HU"/>
        </w:rPr>
        <w:t>ml/perc/1,73</w:t>
      </w:r>
      <w:r w:rsidR="00DE2F42" w:rsidRPr="006F525B">
        <w:rPr>
          <w:lang w:val="hu-HU"/>
        </w:rPr>
        <w:t> </w:t>
      </w:r>
      <w:r w:rsidRPr="006F525B">
        <w:rPr>
          <w:lang w:val="hu-HU"/>
        </w:rPr>
        <w:t>m</w:t>
      </w:r>
      <w:r w:rsidRPr="006F525B">
        <w:rPr>
          <w:vertAlign w:val="superscript"/>
          <w:lang w:val="hu-HU"/>
        </w:rPr>
        <w:t>2</w:t>
      </w:r>
      <w:r w:rsidRPr="006F525B">
        <w:rPr>
          <w:lang w:val="hu-HU"/>
        </w:rPr>
        <w:t>) tartozott.</w:t>
      </w:r>
    </w:p>
    <w:p w14:paraId="3ABEDF77" w14:textId="77777777" w:rsidR="00DE2F42" w:rsidRPr="006F525B" w:rsidRDefault="00DE2F42" w:rsidP="006F525B">
      <w:pPr>
        <w:tabs>
          <w:tab w:val="clear" w:pos="567"/>
        </w:tabs>
        <w:spacing w:line="240" w:lineRule="auto"/>
        <w:ind w:left="-5" w:right="8"/>
        <w:rPr>
          <w:lang w:val="hu-HU"/>
        </w:rPr>
      </w:pPr>
    </w:p>
    <w:p w14:paraId="478FBD29" w14:textId="77777777" w:rsidR="004E1960" w:rsidRPr="006F525B" w:rsidRDefault="004E1960" w:rsidP="006F525B">
      <w:pPr>
        <w:tabs>
          <w:tab w:val="clear" w:pos="567"/>
        </w:tabs>
        <w:spacing w:line="240" w:lineRule="auto"/>
        <w:ind w:left="-5" w:right="8"/>
        <w:rPr>
          <w:lang w:val="hu-HU"/>
        </w:rPr>
      </w:pPr>
      <w:r w:rsidRPr="006F525B">
        <w:rPr>
          <w:lang w:val="hu-HU"/>
        </w:rPr>
        <w:t>A vizsgálat folyamán a szitagliptin</w:t>
      </w:r>
      <w:r w:rsidR="00D60892">
        <w:rPr>
          <w:lang w:val="hu-HU"/>
        </w:rPr>
        <w:t>-</w:t>
      </w:r>
      <w:r w:rsidRPr="006F525B">
        <w:rPr>
          <w:lang w:val="hu-HU"/>
        </w:rPr>
        <w:t xml:space="preserve"> és placebocsoportok közötti becsült átlagos összkülönbség (standard deviáció) 0,29% (0,01), 95%-os CI (-0,32</w:t>
      </w:r>
      <w:r w:rsidR="00D60892">
        <w:rPr>
          <w:lang w:val="hu-HU"/>
        </w:rPr>
        <w:t>;</w:t>
      </w:r>
      <w:r w:rsidRPr="006F525B">
        <w:rPr>
          <w:lang w:val="hu-HU"/>
        </w:rPr>
        <w:t xml:space="preserve"> -0,27); p</w:t>
      </w:r>
      <w:r w:rsidR="00DE2F42" w:rsidRPr="006F525B">
        <w:rPr>
          <w:lang w:val="hu-HU"/>
        </w:rPr>
        <w:t> </w:t>
      </w:r>
      <w:r w:rsidRPr="006F525B">
        <w:rPr>
          <w:lang w:val="hu-HU"/>
        </w:rPr>
        <w:t>&lt;</w:t>
      </w:r>
      <w:r w:rsidR="00DE2F42" w:rsidRPr="006F525B">
        <w:rPr>
          <w:lang w:val="hu-HU"/>
        </w:rPr>
        <w:t> </w:t>
      </w:r>
      <w:r w:rsidRPr="006F525B">
        <w:rPr>
          <w:lang w:val="hu-HU"/>
        </w:rPr>
        <w:t>0,001 volt.</w:t>
      </w:r>
    </w:p>
    <w:p w14:paraId="70589B11" w14:textId="77777777" w:rsidR="00DE2F42" w:rsidRPr="006F525B" w:rsidRDefault="00DE2F42" w:rsidP="006F525B">
      <w:pPr>
        <w:tabs>
          <w:tab w:val="clear" w:pos="567"/>
        </w:tabs>
        <w:spacing w:line="240" w:lineRule="auto"/>
        <w:ind w:left="-5" w:right="8"/>
        <w:rPr>
          <w:lang w:val="hu-HU"/>
        </w:rPr>
      </w:pPr>
    </w:p>
    <w:p w14:paraId="1241DED4" w14:textId="77777777" w:rsidR="004E1960" w:rsidRPr="006F525B" w:rsidRDefault="004E1960" w:rsidP="006F525B">
      <w:pPr>
        <w:tabs>
          <w:tab w:val="clear" w:pos="567"/>
        </w:tabs>
        <w:spacing w:line="240" w:lineRule="auto"/>
        <w:ind w:left="-5" w:right="8"/>
        <w:rPr>
          <w:lang w:val="hu-HU"/>
        </w:rPr>
      </w:pPr>
      <w:r w:rsidRPr="006F525B">
        <w:rPr>
          <w:lang w:val="hu-HU"/>
        </w:rPr>
        <w:t>Az elsődleges cardiovascularis végpont az alábbi események első előfordulására vonatkozó összetett végpont volt: cardiovascularis halálozás, nem halálos kimenetelű myocardialis infarctus, nem halálos kimenetelű stroke, illetve instabil angina miatti hospitalizáció. A másodlagos cardiovascularis végpontok közé tartozott a cardiovascularis halálozás, nem halálos kimenetelű myocardialis infarctus vagy nem halálos kimenetelű stroke; az elsődleges összetett végpont egyes összetevőinek első előfordulása; az összhalálozás; valamint a pangásos szívelégtelenség miatti hospitalizáció.</w:t>
      </w:r>
    </w:p>
    <w:p w14:paraId="040E240A" w14:textId="77777777" w:rsidR="00600938" w:rsidRPr="006F525B" w:rsidRDefault="00600938" w:rsidP="006F525B">
      <w:pPr>
        <w:tabs>
          <w:tab w:val="clear" w:pos="567"/>
        </w:tabs>
        <w:spacing w:line="240" w:lineRule="auto"/>
        <w:ind w:left="-5" w:right="8"/>
        <w:rPr>
          <w:lang w:val="hu-HU"/>
        </w:rPr>
      </w:pPr>
    </w:p>
    <w:p w14:paraId="2D894FE0" w14:textId="77777777" w:rsidR="004E1960" w:rsidRPr="006F525B" w:rsidRDefault="004E1960" w:rsidP="006F525B">
      <w:pPr>
        <w:tabs>
          <w:tab w:val="clear" w:pos="567"/>
        </w:tabs>
        <w:spacing w:line="240" w:lineRule="auto"/>
        <w:ind w:left="-5" w:right="8"/>
        <w:rPr>
          <w:lang w:val="hu-HU"/>
        </w:rPr>
      </w:pPr>
      <w:r w:rsidRPr="006F525B">
        <w:rPr>
          <w:lang w:val="hu-HU"/>
        </w:rPr>
        <w:t>A 3 éves medián időtartamú követés után a szokásos kezeléssel együtt adott szitagliptin, a szitagliptin nélkül adott szokásos kezeléssel összehasonlítva nem növelte a jelentősebb cardiovascularis nemkívánatos események kockázatát vagy a szívelégtelenség miatti hospitalizáció kockázatát a 2-es típusú diabetesben szenvedő betegeknél (3. táblázat).</w:t>
      </w:r>
    </w:p>
    <w:p w14:paraId="07CA1FB7" w14:textId="77777777" w:rsidR="00600938" w:rsidRPr="006F525B" w:rsidRDefault="00600938" w:rsidP="006F525B">
      <w:pPr>
        <w:tabs>
          <w:tab w:val="clear" w:pos="567"/>
        </w:tabs>
        <w:spacing w:line="240" w:lineRule="auto"/>
        <w:ind w:left="-5" w:right="8"/>
        <w:rPr>
          <w:lang w:val="hu-HU"/>
        </w:rPr>
      </w:pPr>
    </w:p>
    <w:p w14:paraId="702F7310" w14:textId="77777777" w:rsidR="004E1960" w:rsidRPr="006F525B" w:rsidRDefault="004E1960" w:rsidP="006F525B">
      <w:pPr>
        <w:tabs>
          <w:tab w:val="clear" w:pos="567"/>
        </w:tabs>
        <w:spacing w:line="240" w:lineRule="auto"/>
        <w:ind w:left="-5" w:right="124"/>
        <w:rPr>
          <w:lang w:val="hu-HU"/>
        </w:rPr>
      </w:pPr>
      <w:r w:rsidRPr="006F525B">
        <w:rPr>
          <w:b/>
          <w:bCs/>
          <w:u w:color="000000"/>
          <w:lang w:val="hu-HU"/>
        </w:rPr>
        <w:t>3. táblázat: Az összetett cardiovascularis végpontok és a főbb másodlagos végpontok arányai</w:t>
      </w:r>
    </w:p>
    <w:tbl>
      <w:tblPr>
        <w:tblW w:w="5162" w:type="pct"/>
        <w:tblLayout w:type="fixed"/>
        <w:tblCellMar>
          <w:top w:w="50" w:type="dxa"/>
          <w:right w:w="77" w:type="dxa"/>
        </w:tblCellMar>
        <w:tblLook w:val="04A0" w:firstRow="1" w:lastRow="0" w:firstColumn="1" w:lastColumn="0" w:noHBand="0" w:noVBand="1"/>
      </w:tblPr>
      <w:tblGrid>
        <w:gridCol w:w="2262"/>
        <w:gridCol w:w="1135"/>
        <w:gridCol w:w="1277"/>
        <w:gridCol w:w="1135"/>
        <w:gridCol w:w="1275"/>
        <w:gridCol w:w="1275"/>
        <w:gridCol w:w="989"/>
      </w:tblGrid>
      <w:tr w:rsidR="00A37BB4" w:rsidRPr="002749E2" w14:paraId="376D63E1" w14:textId="77777777" w:rsidTr="00EC0A93">
        <w:trPr>
          <w:trHeight w:val="226"/>
        </w:trPr>
        <w:tc>
          <w:tcPr>
            <w:tcW w:w="1210" w:type="pct"/>
            <w:vMerge w:val="restart"/>
            <w:tcBorders>
              <w:top w:val="single" w:sz="6" w:space="0" w:color="000000"/>
              <w:left w:val="single" w:sz="6" w:space="0" w:color="000000"/>
              <w:bottom w:val="single" w:sz="6" w:space="0" w:color="000000"/>
              <w:right w:val="single" w:sz="6" w:space="0" w:color="000000"/>
            </w:tcBorders>
          </w:tcPr>
          <w:p w14:paraId="675E26DE" w14:textId="77777777" w:rsidR="004E1960" w:rsidRPr="002749E2" w:rsidRDefault="004E1960" w:rsidP="002749E2">
            <w:pPr>
              <w:tabs>
                <w:tab w:val="clear" w:pos="567"/>
              </w:tabs>
              <w:spacing w:line="240" w:lineRule="auto"/>
              <w:rPr>
                <w:rFonts w:eastAsia="Times New Roman"/>
                <w:szCs w:val="22"/>
                <w:lang w:val="hu-HU"/>
              </w:rPr>
            </w:pPr>
          </w:p>
        </w:tc>
        <w:tc>
          <w:tcPr>
            <w:tcW w:w="1290" w:type="pct"/>
            <w:gridSpan w:val="2"/>
            <w:tcBorders>
              <w:top w:val="single" w:sz="6" w:space="0" w:color="000000"/>
              <w:left w:val="single" w:sz="6" w:space="0" w:color="000000"/>
              <w:bottom w:val="single" w:sz="6" w:space="0" w:color="000000"/>
              <w:right w:val="single" w:sz="6" w:space="0" w:color="000000"/>
            </w:tcBorders>
          </w:tcPr>
          <w:p w14:paraId="22060ECF"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b/>
                <w:szCs w:val="22"/>
                <w:lang w:val="hu-HU"/>
              </w:rPr>
              <w:t xml:space="preserve">Szitagliptin </w:t>
            </w:r>
            <w:r w:rsidR="004F72D1" w:rsidRPr="002749E2">
              <w:rPr>
                <w:rFonts w:eastAsia="Times New Roman"/>
                <w:b/>
                <w:szCs w:val="22"/>
                <w:lang w:val="hu-HU"/>
              </w:rPr>
              <w:t>100 mg</w:t>
            </w:r>
          </w:p>
        </w:tc>
        <w:tc>
          <w:tcPr>
            <w:tcW w:w="1289" w:type="pct"/>
            <w:gridSpan w:val="2"/>
            <w:tcBorders>
              <w:top w:val="single" w:sz="6" w:space="0" w:color="000000"/>
              <w:left w:val="single" w:sz="6" w:space="0" w:color="000000"/>
              <w:bottom w:val="single" w:sz="6" w:space="0" w:color="000000"/>
              <w:right w:val="single" w:sz="6" w:space="0" w:color="000000"/>
            </w:tcBorders>
          </w:tcPr>
          <w:p w14:paraId="5D72CDD9" w14:textId="77777777" w:rsidR="004E1960" w:rsidRPr="002749E2" w:rsidRDefault="004E1960" w:rsidP="002749E2">
            <w:pPr>
              <w:tabs>
                <w:tab w:val="clear" w:pos="567"/>
              </w:tabs>
              <w:spacing w:line="240" w:lineRule="auto"/>
              <w:ind w:right="30"/>
              <w:jc w:val="center"/>
              <w:rPr>
                <w:rFonts w:eastAsia="Times New Roman"/>
                <w:szCs w:val="22"/>
                <w:lang w:val="hu-HU"/>
              </w:rPr>
            </w:pPr>
            <w:r w:rsidRPr="002749E2">
              <w:rPr>
                <w:rFonts w:eastAsia="Times New Roman"/>
                <w:b/>
                <w:szCs w:val="22"/>
                <w:lang w:val="hu-HU"/>
              </w:rPr>
              <w:t>Placebo</w:t>
            </w:r>
          </w:p>
        </w:tc>
        <w:tc>
          <w:tcPr>
            <w:tcW w:w="682" w:type="pct"/>
            <w:vMerge w:val="restart"/>
            <w:tcBorders>
              <w:top w:val="single" w:sz="6" w:space="0" w:color="000000"/>
              <w:left w:val="single" w:sz="6" w:space="0" w:color="000000"/>
              <w:bottom w:val="single" w:sz="6" w:space="0" w:color="000000"/>
              <w:right w:val="single" w:sz="6" w:space="0" w:color="000000"/>
            </w:tcBorders>
          </w:tcPr>
          <w:p w14:paraId="184FF5F2" w14:textId="77777777" w:rsidR="004E1960" w:rsidRPr="002749E2" w:rsidRDefault="004E1960" w:rsidP="002749E2">
            <w:pPr>
              <w:tabs>
                <w:tab w:val="clear" w:pos="567"/>
              </w:tabs>
              <w:spacing w:line="240" w:lineRule="auto"/>
              <w:ind w:left="7"/>
              <w:rPr>
                <w:rFonts w:eastAsia="Times New Roman"/>
                <w:szCs w:val="22"/>
                <w:lang w:val="hu-HU"/>
              </w:rPr>
            </w:pPr>
            <w:r w:rsidRPr="002749E2">
              <w:rPr>
                <w:rFonts w:eastAsia="Times New Roman"/>
                <w:b/>
                <w:szCs w:val="22"/>
                <w:lang w:val="hu-HU"/>
              </w:rPr>
              <w:t>Kockázati arány</w:t>
            </w:r>
          </w:p>
          <w:p w14:paraId="4E9AFEE8" w14:textId="77777777" w:rsidR="004E1960" w:rsidRPr="002749E2" w:rsidRDefault="004E1960" w:rsidP="002749E2">
            <w:pPr>
              <w:tabs>
                <w:tab w:val="clear" w:pos="567"/>
              </w:tabs>
              <w:spacing w:line="240" w:lineRule="auto"/>
              <w:ind w:right="31"/>
              <w:jc w:val="center"/>
              <w:rPr>
                <w:rFonts w:eastAsia="Times New Roman"/>
                <w:szCs w:val="22"/>
                <w:lang w:val="hu-HU"/>
              </w:rPr>
            </w:pPr>
            <w:r w:rsidRPr="002749E2">
              <w:rPr>
                <w:rFonts w:eastAsia="Times New Roman"/>
                <w:b/>
                <w:szCs w:val="22"/>
                <w:lang w:val="hu-HU"/>
              </w:rPr>
              <w:t>(95%-os CI)</w:t>
            </w:r>
          </w:p>
        </w:tc>
        <w:tc>
          <w:tcPr>
            <w:tcW w:w="530" w:type="pct"/>
            <w:vMerge w:val="restart"/>
            <w:tcBorders>
              <w:top w:val="single" w:sz="6" w:space="0" w:color="000000"/>
              <w:left w:val="single" w:sz="6" w:space="0" w:color="000000"/>
              <w:bottom w:val="single" w:sz="6" w:space="0" w:color="000000"/>
              <w:right w:val="single" w:sz="6" w:space="0" w:color="000000"/>
            </w:tcBorders>
          </w:tcPr>
          <w:p w14:paraId="2B31FAC0" w14:textId="77777777" w:rsidR="004E1960" w:rsidRPr="002749E2" w:rsidRDefault="004E1960" w:rsidP="002749E2">
            <w:pPr>
              <w:tabs>
                <w:tab w:val="clear" w:pos="567"/>
              </w:tabs>
              <w:spacing w:line="240" w:lineRule="auto"/>
              <w:ind w:left="26"/>
              <w:rPr>
                <w:rFonts w:eastAsia="Times New Roman"/>
                <w:szCs w:val="22"/>
                <w:lang w:val="hu-HU"/>
              </w:rPr>
            </w:pPr>
            <w:r w:rsidRPr="002749E2">
              <w:rPr>
                <w:rFonts w:eastAsia="Times New Roman"/>
                <w:b/>
                <w:szCs w:val="22"/>
                <w:lang w:val="hu-HU"/>
              </w:rPr>
              <w:t>p-érték</w:t>
            </w:r>
            <w:r w:rsidRPr="002749E2">
              <w:rPr>
                <w:rFonts w:eastAsia="Times New Roman"/>
                <w:szCs w:val="22"/>
                <w:vertAlign w:val="superscript"/>
                <w:lang w:val="hu-HU"/>
              </w:rPr>
              <w:t>†</w:t>
            </w:r>
          </w:p>
        </w:tc>
      </w:tr>
      <w:tr w:rsidR="00B240E1" w:rsidRPr="002749E2" w14:paraId="1EAD342A" w14:textId="77777777" w:rsidTr="00EC0A93">
        <w:trPr>
          <w:trHeight w:val="1610"/>
        </w:trPr>
        <w:tc>
          <w:tcPr>
            <w:tcW w:w="1210" w:type="pct"/>
            <w:vMerge/>
            <w:tcBorders>
              <w:top w:val="nil"/>
              <w:left w:val="single" w:sz="6" w:space="0" w:color="000000"/>
              <w:bottom w:val="single" w:sz="6" w:space="0" w:color="000000"/>
              <w:right w:val="single" w:sz="6" w:space="0" w:color="000000"/>
            </w:tcBorders>
          </w:tcPr>
          <w:p w14:paraId="7A9D7731" w14:textId="77777777" w:rsidR="004E1960" w:rsidRPr="002749E2" w:rsidRDefault="004E1960" w:rsidP="002749E2">
            <w:pPr>
              <w:tabs>
                <w:tab w:val="clear" w:pos="567"/>
              </w:tabs>
              <w:spacing w:line="240" w:lineRule="auto"/>
              <w:rPr>
                <w:rFonts w:eastAsia="Times New Roman"/>
                <w:szCs w:val="22"/>
                <w:lang w:val="hu-HU"/>
              </w:rPr>
            </w:pPr>
          </w:p>
        </w:tc>
        <w:tc>
          <w:tcPr>
            <w:tcW w:w="607" w:type="pct"/>
            <w:tcBorders>
              <w:top w:val="single" w:sz="6" w:space="0" w:color="000000"/>
              <w:left w:val="single" w:sz="6" w:space="0" w:color="000000"/>
              <w:bottom w:val="single" w:sz="6" w:space="0" w:color="000000"/>
              <w:right w:val="single" w:sz="6" w:space="0" w:color="000000"/>
            </w:tcBorders>
          </w:tcPr>
          <w:p w14:paraId="05F28572"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b/>
                <w:szCs w:val="22"/>
                <w:lang w:val="hu-HU"/>
              </w:rPr>
              <w:t>N (%)</w:t>
            </w:r>
          </w:p>
        </w:tc>
        <w:tc>
          <w:tcPr>
            <w:tcW w:w="683" w:type="pct"/>
            <w:tcBorders>
              <w:top w:val="single" w:sz="6" w:space="0" w:color="000000"/>
              <w:left w:val="single" w:sz="6" w:space="0" w:color="000000"/>
              <w:bottom w:val="single" w:sz="6" w:space="0" w:color="000000"/>
              <w:right w:val="single" w:sz="6" w:space="0" w:color="000000"/>
            </w:tcBorders>
          </w:tcPr>
          <w:p w14:paraId="342E01B4" w14:textId="140A1F41" w:rsidR="004E1960" w:rsidRPr="002749E2" w:rsidRDefault="004E1960" w:rsidP="002749E2">
            <w:pPr>
              <w:tabs>
                <w:tab w:val="clear" w:pos="567"/>
              </w:tabs>
              <w:spacing w:line="240" w:lineRule="auto"/>
              <w:jc w:val="center"/>
              <w:rPr>
                <w:rFonts w:eastAsia="Times New Roman"/>
                <w:szCs w:val="22"/>
                <w:lang w:val="hu-HU"/>
              </w:rPr>
            </w:pPr>
            <w:r w:rsidRPr="002749E2">
              <w:rPr>
                <w:rFonts w:eastAsia="Times New Roman"/>
                <w:b/>
                <w:szCs w:val="22"/>
                <w:lang w:val="hu-HU"/>
              </w:rPr>
              <w:t>100</w:t>
            </w:r>
            <w:r w:rsidR="00600938" w:rsidRPr="002749E2">
              <w:rPr>
                <w:rFonts w:eastAsia="Times New Roman"/>
                <w:b/>
                <w:szCs w:val="22"/>
                <w:lang w:val="hu-HU"/>
              </w:rPr>
              <w:t> </w:t>
            </w:r>
            <w:r w:rsidRPr="002749E2">
              <w:rPr>
                <w:rFonts w:eastAsia="Times New Roman"/>
                <w:b/>
                <w:szCs w:val="22"/>
                <w:lang w:val="hu-HU"/>
              </w:rPr>
              <w:t>beteg</w:t>
            </w:r>
            <w:r w:rsidR="00845B6F">
              <w:rPr>
                <w:rFonts w:eastAsia="Times New Roman"/>
                <w:b/>
                <w:szCs w:val="22"/>
                <w:lang w:val="hu-HU"/>
              </w:rPr>
              <w:t>-</w:t>
            </w:r>
            <w:r w:rsidRPr="002749E2">
              <w:rPr>
                <w:rFonts w:eastAsia="Times New Roman"/>
                <w:b/>
                <w:szCs w:val="22"/>
                <w:lang w:val="hu-HU"/>
              </w:rPr>
              <w:t>évre vonatkozó előfordulási arány</w:t>
            </w:r>
            <w:r w:rsidRPr="002749E2">
              <w:rPr>
                <w:rFonts w:eastAsia="Times New Roman"/>
                <w:szCs w:val="22"/>
                <w:lang w:val="hu-HU"/>
              </w:rPr>
              <w:t>*</w:t>
            </w:r>
          </w:p>
        </w:tc>
        <w:tc>
          <w:tcPr>
            <w:tcW w:w="607" w:type="pct"/>
            <w:tcBorders>
              <w:top w:val="single" w:sz="6" w:space="0" w:color="000000"/>
              <w:left w:val="single" w:sz="6" w:space="0" w:color="000000"/>
              <w:bottom w:val="single" w:sz="6" w:space="0" w:color="000000"/>
              <w:right w:val="single" w:sz="6" w:space="0" w:color="000000"/>
            </w:tcBorders>
          </w:tcPr>
          <w:p w14:paraId="64041421"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b/>
                <w:szCs w:val="22"/>
                <w:lang w:val="hu-HU"/>
              </w:rPr>
              <w:t>N (%)</w:t>
            </w:r>
          </w:p>
        </w:tc>
        <w:tc>
          <w:tcPr>
            <w:tcW w:w="682" w:type="pct"/>
            <w:tcBorders>
              <w:top w:val="single" w:sz="6" w:space="0" w:color="000000"/>
              <w:left w:val="single" w:sz="6" w:space="0" w:color="000000"/>
              <w:bottom w:val="single" w:sz="6" w:space="0" w:color="000000"/>
              <w:right w:val="single" w:sz="6" w:space="0" w:color="000000"/>
            </w:tcBorders>
          </w:tcPr>
          <w:p w14:paraId="3FC7C8B7" w14:textId="20537FAE" w:rsidR="004E1960" w:rsidRPr="002749E2" w:rsidRDefault="004E1960" w:rsidP="002749E2">
            <w:pPr>
              <w:tabs>
                <w:tab w:val="clear" w:pos="567"/>
              </w:tabs>
              <w:spacing w:line="240" w:lineRule="auto"/>
              <w:jc w:val="center"/>
              <w:rPr>
                <w:rFonts w:eastAsia="Times New Roman"/>
                <w:szCs w:val="22"/>
                <w:lang w:val="hu-HU"/>
              </w:rPr>
            </w:pPr>
            <w:r w:rsidRPr="002749E2">
              <w:rPr>
                <w:rFonts w:eastAsia="Times New Roman"/>
                <w:b/>
                <w:szCs w:val="22"/>
                <w:lang w:val="hu-HU"/>
              </w:rPr>
              <w:t>100</w:t>
            </w:r>
            <w:r w:rsidR="00600938" w:rsidRPr="002749E2">
              <w:rPr>
                <w:rFonts w:eastAsia="Times New Roman"/>
                <w:b/>
                <w:szCs w:val="22"/>
                <w:lang w:val="hu-HU"/>
              </w:rPr>
              <w:t> </w:t>
            </w:r>
            <w:r w:rsidRPr="002749E2">
              <w:rPr>
                <w:rFonts w:eastAsia="Times New Roman"/>
                <w:b/>
                <w:szCs w:val="22"/>
                <w:lang w:val="hu-HU"/>
              </w:rPr>
              <w:t>beteg</w:t>
            </w:r>
            <w:r w:rsidR="00845B6F">
              <w:rPr>
                <w:rFonts w:eastAsia="Times New Roman"/>
                <w:b/>
                <w:szCs w:val="22"/>
                <w:lang w:val="hu-HU"/>
              </w:rPr>
              <w:t>-</w:t>
            </w:r>
            <w:r w:rsidRPr="002749E2">
              <w:rPr>
                <w:rFonts w:eastAsia="Times New Roman"/>
                <w:b/>
                <w:szCs w:val="22"/>
                <w:lang w:val="hu-HU"/>
              </w:rPr>
              <w:t>évre vonatkozó előfordulási arány</w:t>
            </w:r>
            <w:r w:rsidRPr="002749E2">
              <w:rPr>
                <w:rFonts w:eastAsia="Times New Roman"/>
                <w:szCs w:val="22"/>
                <w:lang w:val="hu-HU"/>
              </w:rPr>
              <w:t>*</w:t>
            </w:r>
          </w:p>
        </w:tc>
        <w:tc>
          <w:tcPr>
            <w:tcW w:w="682" w:type="pct"/>
            <w:vMerge/>
            <w:tcBorders>
              <w:top w:val="nil"/>
              <w:left w:val="single" w:sz="6" w:space="0" w:color="000000"/>
              <w:bottom w:val="single" w:sz="6" w:space="0" w:color="000000"/>
              <w:right w:val="single" w:sz="6" w:space="0" w:color="000000"/>
            </w:tcBorders>
          </w:tcPr>
          <w:p w14:paraId="6E6BF07D" w14:textId="77777777" w:rsidR="004E1960" w:rsidRPr="002749E2" w:rsidRDefault="004E1960" w:rsidP="002749E2">
            <w:pPr>
              <w:tabs>
                <w:tab w:val="clear" w:pos="567"/>
              </w:tabs>
              <w:spacing w:line="240" w:lineRule="auto"/>
              <w:rPr>
                <w:rFonts w:eastAsia="Times New Roman"/>
                <w:szCs w:val="22"/>
                <w:lang w:val="hu-HU"/>
              </w:rPr>
            </w:pPr>
          </w:p>
        </w:tc>
        <w:tc>
          <w:tcPr>
            <w:tcW w:w="530" w:type="pct"/>
            <w:vMerge/>
            <w:tcBorders>
              <w:top w:val="nil"/>
              <w:left w:val="single" w:sz="6" w:space="0" w:color="000000"/>
              <w:bottom w:val="single" w:sz="6" w:space="0" w:color="000000"/>
              <w:right w:val="single" w:sz="6" w:space="0" w:color="000000"/>
            </w:tcBorders>
          </w:tcPr>
          <w:p w14:paraId="3DF5EDB6" w14:textId="77777777" w:rsidR="004E1960" w:rsidRPr="002749E2" w:rsidRDefault="004E1960" w:rsidP="002749E2">
            <w:pPr>
              <w:tabs>
                <w:tab w:val="clear" w:pos="567"/>
              </w:tabs>
              <w:spacing w:line="240" w:lineRule="auto"/>
              <w:rPr>
                <w:rFonts w:eastAsia="Times New Roman"/>
                <w:szCs w:val="22"/>
                <w:lang w:val="hu-HU"/>
              </w:rPr>
            </w:pPr>
          </w:p>
        </w:tc>
      </w:tr>
      <w:tr w:rsidR="00B240E1" w:rsidRPr="002749E2" w14:paraId="39C94BB3" w14:textId="77777777" w:rsidTr="00EC0A93">
        <w:trPr>
          <w:trHeight w:val="302"/>
        </w:trPr>
        <w:tc>
          <w:tcPr>
            <w:tcW w:w="2499" w:type="pct"/>
            <w:gridSpan w:val="3"/>
            <w:tcBorders>
              <w:top w:val="single" w:sz="6" w:space="0" w:color="000000"/>
              <w:left w:val="single" w:sz="6" w:space="0" w:color="000000"/>
              <w:bottom w:val="single" w:sz="6" w:space="0" w:color="000000"/>
              <w:right w:val="nil"/>
            </w:tcBorders>
          </w:tcPr>
          <w:p w14:paraId="75B6E8F3" w14:textId="77777777" w:rsidR="004E1960" w:rsidRPr="002749E2" w:rsidRDefault="004E1960" w:rsidP="00845B6F">
            <w:pPr>
              <w:tabs>
                <w:tab w:val="clear" w:pos="567"/>
              </w:tabs>
              <w:spacing w:line="240" w:lineRule="auto"/>
              <w:rPr>
                <w:rFonts w:eastAsia="Times New Roman"/>
                <w:szCs w:val="22"/>
                <w:lang w:val="hu-HU"/>
              </w:rPr>
            </w:pPr>
            <w:r w:rsidRPr="002749E2">
              <w:rPr>
                <w:rFonts w:eastAsia="Times New Roman"/>
                <w:b/>
                <w:szCs w:val="22"/>
                <w:lang w:val="hu-HU"/>
              </w:rPr>
              <w:t xml:space="preserve">A </w:t>
            </w:r>
            <w:r w:rsidR="00845B6F">
              <w:rPr>
                <w:rFonts w:eastAsia="Times New Roman"/>
                <w:b/>
                <w:szCs w:val="22"/>
                <w:lang w:val="hu-HU"/>
              </w:rPr>
              <w:t>beválasztás</w:t>
            </w:r>
            <w:r w:rsidRPr="002749E2">
              <w:rPr>
                <w:rFonts w:eastAsia="Times New Roman"/>
                <w:b/>
                <w:szCs w:val="22"/>
                <w:lang w:val="hu-HU"/>
              </w:rPr>
              <w:t xml:space="preserve"> szerinti populáció elemzése</w:t>
            </w:r>
          </w:p>
        </w:tc>
        <w:tc>
          <w:tcPr>
            <w:tcW w:w="1289" w:type="pct"/>
            <w:gridSpan w:val="2"/>
            <w:tcBorders>
              <w:top w:val="single" w:sz="6" w:space="0" w:color="000000"/>
              <w:left w:val="nil"/>
              <w:bottom w:val="single" w:sz="6" w:space="0" w:color="000000"/>
              <w:right w:val="nil"/>
            </w:tcBorders>
          </w:tcPr>
          <w:p w14:paraId="0513AD3D" w14:textId="77777777" w:rsidR="004E1960" w:rsidRPr="002749E2" w:rsidRDefault="004E1960" w:rsidP="002749E2">
            <w:pPr>
              <w:tabs>
                <w:tab w:val="clear" w:pos="567"/>
              </w:tabs>
              <w:spacing w:line="240" w:lineRule="auto"/>
              <w:rPr>
                <w:rFonts w:eastAsia="Times New Roman"/>
                <w:szCs w:val="22"/>
                <w:lang w:val="hu-HU"/>
              </w:rPr>
            </w:pPr>
          </w:p>
        </w:tc>
        <w:tc>
          <w:tcPr>
            <w:tcW w:w="682" w:type="pct"/>
            <w:tcBorders>
              <w:top w:val="single" w:sz="6" w:space="0" w:color="000000"/>
              <w:left w:val="nil"/>
              <w:bottom w:val="single" w:sz="6" w:space="0" w:color="000000"/>
              <w:right w:val="nil"/>
            </w:tcBorders>
          </w:tcPr>
          <w:p w14:paraId="5EE9B37B" w14:textId="77777777" w:rsidR="004E1960" w:rsidRPr="002749E2" w:rsidRDefault="004E1960" w:rsidP="002749E2">
            <w:pPr>
              <w:tabs>
                <w:tab w:val="clear" w:pos="567"/>
              </w:tabs>
              <w:spacing w:line="240" w:lineRule="auto"/>
              <w:rPr>
                <w:rFonts w:eastAsia="Times New Roman"/>
                <w:szCs w:val="22"/>
                <w:lang w:val="hu-HU"/>
              </w:rPr>
            </w:pPr>
          </w:p>
        </w:tc>
        <w:tc>
          <w:tcPr>
            <w:tcW w:w="530" w:type="pct"/>
            <w:tcBorders>
              <w:top w:val="single" w:sz="6" w:space="0" w:color="000000"/>
              <w:left w:val="nil"/>
              <w:bottom w:val="single" w:sz="6" w:space="0" w:color="000000"/>
              <w:right w:val="single" w:sz="6" w:space="0" w:color="000000"/>
            </w:tcBorders>
          </w:tcPr>
          <w:p w14:paraId="469769F9" w14:textId="77777777" w:rsidR="004E1960" w:rsidRPr="002749E2" w:rsidRDefault="004E1960" w:rsidP="002749E2">
            <w:pPr>
              <w:tabs>
                <w:tab w:val="clear" w:pos="567"/>
              </w:tabs>
              <w:spacing w:line="240" w:lineRule="auto"/>
              <w:rPr>
                <w:rFonts w:eastAsia="Times New Roman"/>
                <w:szCs w:val="22"/>
                <w:lang w:val="hu-HU"/>
              </w:rPr>
            </w:pPr>
          </w:p>
        </w:tc>
      </w:tr>
      <w:tr w:rsidR="00A37BB4" w:rsidRPr="002749E2" w14:paraId="12CDCF76" w14:textId="77777777" w:rsidTr="00EC0A93">
        <w:trPr>
          <w:trHeight w:val="288"/>
        </w:trPr>
        <w:tc>
          <w:tcPr>
            <w:tcW w:w="1210" w:type="pct"/>
            <w:tcBorders>
              <w:top w:val="single" w:sz="6" w:space="0" w:color="000000"/>
              <w:left w:val="single" w:sz="6" w:space="0" w:color="000000"/>
              <w:bottom w:val="single" w:sz="6" w:space="0" w:color="000000"/>
              <w:right w:val="single" w:sz="6" w:space="0" w:color="000000"/>
            </w:tcBorders>
          </w:tcPr>
          <w:p w14:paraId="7A69EE7C" w14:textId="77777777" w:rsidR="004E1960" w:rsidRPr="002749E2" w:rsidRDefault="004E1960" w:rsidP="002749E2">
            <w:pPr>
              <w:tabs>
                <w:tab w:val="clear" w:pos="567"/>
              </w:tabs>
              <w:spacing w:line="240" w:lineRule="auto"/>
              <w:ind w:left="166"/>
              <w:rPr>
                <w:rFonts w:eastAsia="Times New Roman"/>
                <w:szCs w:val="22"/>
                <w:lang w:val="hu-HU"/>
              </w:rPr>
            </w:pPr>
            <w:r w:rsidRPr="002749E2">
              <w:rPr>
                <w:rFonts w:eastAsia="Times New Roman"/>
                <w:b/>
                <w:szCs w:val="22"/>
                <w:lang w:val="hu-HU"/>
              </w:rPr>
              <w:t>A betegek száma</w:t>
            </w:r>
          </w:p>
        </w:tc>
        <w:tc>
          <w:tcPr>
            <w:tcW w:w="1290" w:type="pct"/>
            <w:gridSpan w:val="2"/>
            <w:tcBorders>
              <w:top w:val="single" w:sz="6" w:space="0" w:color="000000"/>
              <w:left w:val="single" w:sz="6" w:space="0" w:color="000000"/>
              <w:bottom w:val="single" w:sz="6" w:space="0" w:color="000000"/>
              <w:right w:val="single" w:sz="6" w:space="0" w:color="000000"/>
            </w:tcBorders>
            <w:vAlign w:val="bottom"/>
          </w:tcPr>
          <w:p w14:paraId="4CEF10CB"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b/>
                <w:szCs w:val="22"/>
                <w:lang w:val="hu-HU"/>
              </w:rPr>
              <w:t>7332</w:t>
            </w:r>
          </w:p>
        </w:tc>
        <w:tc>
          <w:tcPr>
            <w:tcW w:w="1289" w:type="pct"/>
            <w:gridSpan w:val="2"/>
            <w:tcBorders>
              <w:top w:val="single" w:sz="6" w:space="0" w:color="000000"/>
              <w:left w:val="single" w:sz="6" w:space="0" w:color="000000"/>
              <w:bottom w:val="single" w:sz="6" w:space="0" w:color="000000"/>
              <w:right w:val="single" w:sz="4" w:space="0" w:color="000000"/>
            </w:tcBorders>
            <w:vAlign w:val="bottom"/>
          </w:tcPr>
          <w:p w14:paraId="0A641E6E"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b/>
                <w:szCs w:val="22"/>
                <w:lang w:val="hu-HU"/>
              </w:rPr>
              <w:t>7339</w:t>
            </w:r>
          </w:p>
        </w:tc>
        <w:tc>
          <w:tcPr>
            <w:tcW w:w="682" w:type="pct"/>
            <w:vMerge w:val="restart"/>
            <w:tcBorders>
              <w:top w:val="single" w:sz="6" w:space="0" w:color="000000"/>
              <w:left w:val="single" w:sz="4" w:space="0" w:color="000000"/>
              <w:bottom w:val="single" w:sz="4" w:space="0" w:color="000000"/>
              <w:right w:val="single" w:sz="4" w:space="0" w:color="000000"/>
            </w:tcBorders>
            <w:vAlign w:val="bottom"/>
          </w:tcPr>
          <w:p w14:paraId="3DF01DE7"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0,98 (0,89–1,08)</w:t>
            </w:r>
          </w:p>
        </w:tc>
        <w:tc>
          <w:tcPr>
            <w:tcW w:w="530" w:type="pct"/>
            <w:vMerge w:val="restart"/>
            <w:tcBorders>
              <w:top w:val="single" w:sz="6" w:space="0" w:color="000000"/>
              <w:left w:val="single" w:sz="4" w:space="0" w:color="000000"/>
              <w:bottom w:val="single" w:sz="4" w:space="0" w:color="000000"/>
              <w:right w:val="single" w:sz="4" w:space="0" w:color="000000"/>
            </w:tcBorders>
            <w:vAlign w:val="bottom"/>
          </w:tcPr>
          <w:p w14:paraId="3FB80CBF"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&lt;0,001</w:t>
            </w:r>
          </w:p>
        </w:tc>
      </w:tr>
      <w:tr w:rsidR="00B240E1" w:rsidRPr="002749E2" w14:paraId="48F01C16" w14:textId="77777777" w:rsidTr="00EC0A93">
        <w:trPr>
          <w:trHeight w:val="1324"/>
        </w:trPr>
        <w:tc>
          <w:tcPr>
            <w:tcW w:w="1210" w:type="pct"/>
            <w:tcBorders>
              <w:top w:val="single" w:sz="6" w:space="0" w:color="000000"/>
              <w:left w:val="single" w:sz="6" w:space="0" w:color="000000"/>
              <w:bottom w:val="single" w:sz="6" w:space="0" w:color="000000"/>
              <w:right w:val="single" w:sz="6" w:space="0" w:color="000000"/>
            </w:tcBorders>
          </w:tcPr>
          <w:p w14:paraId="6227C8B8" w14:textId="77777777" w:rsidR="0033581A" w:rsidRDefault="004E1960" w:rsidP="0008679A">
            <w:pPr>
              <w:tabs>
                <w:tab w:val="clear" w:pos="567"/>
              </w:tabs>
              <w:spacing w:line="240" w:lineRule="auto"/>
              <w:ind w:left="164" w:firstLine="2"/>
              <w:rPr>
                <w:rFonts w:eastAsia="Times New Roman"/>
                <w:b/>
                <w:szCs w:val="22"/>
                <w:lang w:val="hu-HU"/>
              </w:rPr>
            </w:pPr>
            <w:r w:rsidRPr="002749E2">
              <w:rPr>
                <w:rFonts w:eastAsia="Times New Roman"/>
                <w:b/>
                <w:szCs w:val="22"/>
                <w:lang w:val="hu-HU"/>
              </w:rPr>
              <w:t>Elsődleges összetett végpont</w:t>
            </w:r>
          </w:p>
          <w:p w14:paraId="7C9C8DB2" w14:textId="3E55FBD2" w:rsidR="004E1960" w:rsidRPr="002749E2" w:rsidRDefault="004E1960" w:rsidP="0008679A">
            <w:pPr>
              <w:tabs>
                <w:tab w:val="clear" w:pos="567"/>
              </w:tabs>
              <w:spacing w:line="240" w:lineRule="auto"/>
              <w:ind w:left="346" w:hanging="40"/>
              <w:rPr>
                <w:rFonts w:eastAsia="Times New Roman"/>
                <w:szCs w:val="22"/>
                <w:lang w:val="hu-HU"/>
              </w:rPr>
            </w:pPr>
            <w:r w:rsidRPr="002749E2">
              <w:rPr>
                <w:rFonts w:eastAsia="Times New Roman"/>
                <w:szCs w:val="22"/>
                <w:lang w:val="hu-HU"/>
              </w:rPr>
              <w:t>(Cardiovascularis halálozás, nem halálos kimenetelű myocardialis infarctus, nem halálos kimenetelű stroke, illetve instabil angina miatti hospitalizáció)</w:t>
            </w:r>
          </w:p>
        </w:tc>
        <w:tc>
          <w:tcPr>
            <w:tcW w:w="607" w:type="pct"/>
            <w:tcBorders>
              <w:top w:val="single" w:sz="6" w:space="0" w:color="000000"/>
              <w:left w:val="single" w:sz="6" w:space="0" w:color="000000"/>
              <w:bottom w:val="single" w:sz="6" w:space="0" w:color="000000"/>
              <w:right w:val="single" w:sz="6" w:space="0" w:color="000000"/>
            </w:tcBorders>
            <w:vAlign w:val="bottom"/>
          </w:tcPr>
          <w:p w14:paraId="1CF4EFD6"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839 (11,4)</w:t>
            </w:r>
          </w:p>
        </w:tc>
        <w:tc>
          <w:tcPr>
            <w:tcW w:w="683" w:type="pct"/>
            <w:tcBorders>
              <w:top w:val="single" w:sz="6" w:space="0" w:color="000000"/>
              <w:left w:val="single" w:sz="6" w:space="0" w:color="000000"/>
              <w:bottom w:val="single" w:sz="6" w:space="0" w:color="000000"/>
              <w:right w:val="single" w:sz="6" w:space="0" w:color="000000"/>
            </w:tcBorders>
            <w:vAlign w:val="bottom"/>
          </w:tcPr>
          <w:p w14:paraId="7BA1961E"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4,1</w:t>
            </w:r>
          </w:p>
        </w:tc>
        <w:tc>
          <w:tcPr>
            <w:tcW w:w="607" w:type="pct"/>
            <w:tcBorders>
              <w:top w:val="single" w:sz="6" w:space="0" w:color="000000"/>
              <w:left w:val="single" w:sz="6" w:space="0" w:color="000000"/>
              <w:bottom w:val="single" w:sz="6" w:space="0" w:color="000000"/>
              <w:right w:val="single" w:sz="6" w:space="0" w:color="000000"/>
            </w:tcBorders>
            <w:vAlign w:val="bottom"/>
          </w:tcPr>
          <w:p w14:paraId="0108F1A4" w14:textId="77777777" w:rsidR="004E1960" w:rsidRPr="002749E2" w:rsidRDefault="004E1960" w:rsidP="002749E2">
            <w:pPr>
              <w:tabs>
                <w:tab w:val="clear" w:pos="567"/>
              </w:tabs>
              <w:spacing w:line="240" w:lineRule="auto"/>
              <w:ind w:left="2"/>
              <w:rPr>
                <w:rFonts w:eastAsia="Times New Roman"/>
                <w:szCs w:val="22"/>
                <w:lang w:val="hu-HU"/>
              </w:rPr>
            </w:pPr>
            <w:r w:rsidRPr="002749E2">
              <w:rPr>
                <w:rFonts w:eastAsia="Times New Roman"/>
                <w:szCs w:val="22"/>
                <w:lang w:val="hu-HU"/>
              </w:rPr>
              <w:t>851 (11,6)</w:t>
            </w:r>
          </w:p>
        </w:tc>
        <w:tc>
          <w:tcPr>
            <w:tcW w:w="682" w:type="pct"/>
            <w:tcBorders>
              <w:top w:val="single" w:sz="6" w:space="0" w:color="000000"/>
              <w:left w:val="single" w:sz="6" w:space="0" w:color="000000"/>
              <w:bottom w:val="single" w:sz="6" w:space="0" w:color="000000"/>
              <w:right w:val="single" w:sz="4" w:space="0" w:color="000000"/>
            </w:tcBorders>
            <w:vAlign w:val="bottom"/>
          </w:tcPr>
          <w:p w14:paraId="4F2AD40E"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4,2</w:t>
            </w:r>
          </w:p>
        </w:tc>
        <w:tc>
          <w:tcPr>
            <w:tcW w:w="682" w:type="pct"/>
            <w:vMerge/>
            <w:tcBorders>
              <w:top w:val="nil"/>
              <w:left w:val="single" w:sz="4" w:space="0" w:color="000000"/>
              <w:bottom w:val="single" w:sz="4" w:space="0" w:color="000000"/>
              <w:right w:val="single" w:sz="4" w:space="0" w:color="000000"/>
            </w:tcBorders>
          </w:tcPr>
          <w:p w14:paraId="3915EEC2" w14:textId="77777777" w:rsidR="004E1960" w:rsidRPr="002749E2" w:rsidRDefault="004E1960" w:rsidP="002749E2">
            <w:pPr>
              <w:tabs>
                <w:tab w:val="clear" w:pos="567"/>
              </w:tabs>
              <w:spacing w:line="240" w:lineRule="auto"/>
              <w:rPr>
                <w:rFonts w:eastAsia="Times New Roman"/>
                <w:szCs w:val="22"/>
                <w:lang w:val="hu-HU"/>
              </w:rPr>
            </w:pPr>
          </w:p>
        </w:tc>
        <w:tc>
          <w:tcPr>
            <w:tcW w:w="530" w:type="pct"/>
            <w:vMerge/>
            <w:tcBorders>
              <w:top w:val="nil"/>
              <w:left w:val="single" w:sz="4" w:space="0" w:color="000000"/>
              <w:bottom w:val="single" w:sz="4" w:space="0" w:color="000000"/>
              <w:right w:val="single" w:sz="4" w:space="0" w:color="000000"/>
            </w:tcBorders>
          </w:tcPr>
          <w:p w14:paraId="19756D55" w14:textId="77777777" w:rsidR="004E1960" w:rsidRPr="002749E2" w:rsidRDefault="004E1960" w:rsidP="002749E2">
            <w:pPr>
              <w:tabs>
                <w:tab w:val="clear" w:pos="567"/>
              </w:tabs>
              <w:spacing w:line="240" w:lineRule="auto"/>
              <w:rPr>
                <w:rFonts w:eastAsia="Times New Roman"/>
                <w:szCs w:val="22"/>
                <w:lang w:val="hu-HU"/>
              </w:rPr>
            </w:pPr>
          </w:p>
        </w:tc>
      </w:tr>
      <w:tr w:rsidR="00B240E1" w:rsidRPr="002749E2" w14:paraId="688D2850" w14:textId="77777777" w:rsidTr="00EC0A93">
        <w:trPr>
          <w:trHeight w:val="1131"/>
        </w:trPr>
        <w:tc>
          <w:tcPr>
            <w:tcW w:w="1210" w:type="pct"/>
            <w:tcBorders>
              <w:top w:val="single" w:sz="6" w:space="0" w:color="000000"/>
              <w:left w:val="single" w:sz="6" w:space="0" w:color="000000"/>
              <w:bottom w:val="single" w:sz="6" w:space="0" w:color="000000"/>
              <w:right w:val="single" w:sz="6" w:space="0" w:color="000000"/>
            </w:tcBorders>
            <w:vAlign w:val="bottom"/>
          </w:tcPr>
          <w:p w14:paraId="564C50B1" w14:textId="03AA7751" w:rsidR="0033581A" w:rsidRDefault="004E1960" w:rsidP="0008679A">
            <w:pPr>
              <w:tabs>
                <w:tab w:val="clear" w:pos="567"/>
              </w:tabs>
              <w:spacing w:line="240" w:lineRule="auto"/>
              <w:ind w:left="164"/>
              <w:rPr>
                <w:rFonts w:eastAsia="Times New Roman"/>
                <w:b/>
                <w:szCs w:val="22"/>
                <w:lang w:val="hu-HU"/>
              </w:rPr>
            </w:pPr>
            <w:r w:rsidRPr="002749E2">
              <w:rPr>
                <w:rFonts w:eastAsia="Times New Roman"/>
                <w:b/>
                <w:szCs w:val="22"/>
                <w:lang w:val="hu-HU"/>
              </w:rPr>
              <w:t>Másodlagos összetett végpont</w:t>
            </w:r>
          </w:p>
          <w:p w14:paraId="3E725966" w14:textId="35D20D13" w:rsidR="004E1960" w:rsidRPr="002749E2" w:rsidRDefault="004E1960" w:rsidP="0008679A">
            <w:pPr>
              <w:tabs>
                <w:tab w:val="clear" w:pos="567"/>
              </w:tabs>
              <w:spacing w:line="240" w:lineRule="auto"/>
              <w:ind w:left="346" w:hanging="40"/>
              <w:rPr>
                <w:rFonts w:eastAsia="Times New Roman"/>
                <w:szCs w:val="22"/>
                <w:lang w:val="hu-HU"/>
              </w:rPr>
            </w:pPr>
            <w:r w:rsidRPr="002749E2">
              <w:rPr>
                <w:rFonts w:eastAsia="Times New Roman"/>
                <w:szCs w:val="22"/>
                <w:lang w:val="hu-HU"/>
              </w:rPr>
              <w:t>(Cardiovascularis halálozás, nem halálos kimenetelű myocardialis infarctus vagy nem halálos kimenetelű stroke)</w:t>
            </w:r>
          </w:p>
        </w:tc>
        <w:tc>
          <w:tcPr>
            <w:tcW w:w="607" w:type="pct"/>
            <w:tcBorders>
              <w:top w:val="single" w:sz="6" w:space="0" w:color="000000"/>
              <w:left w:val="single" w:sz="6" w:space="0" w:color="000000"/>
              <w:bottom w:val="single" w:sz="6" w:space="0" w:color="000000"/>
              <w:right w:val="single" w:sz="6" w:space="0" w:color="000000"/>
            </w:tcBorders>
            <w:vAlign w:val="bottom"/>
          </w:tcPr>
          <w:p w14:paraId="43DC7CFD"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szCs w:val="22"/>
                <w:lang w:val="hu-HU"/>
              </w:rPr>
              <w:t>745 (10,2)</w:t>
            </w:r>
          </w:p>
        </w:tc>
        <w:tc>
          <w:tcPr>
            <w:tcW w:w="683" w:type="pct"/>
            <w:tcBorders>
              <w:top w:val="single" w:sz="6" w:space="0" w:color="000000"/>
              <w:left w:val="single" w:sz="6" w:space="0" w:color="000000"/>
              <w:bottom w:val="single" w:sz="6" w:space="0" w:color="000000"/>
              <w:right w:val="single" w:sz="6" w:space="0" w:color="000000"/>
            </w:tcBorders>
            <w:vAlign w:val="bottom"/>
          </w:tcPr>
          <w:p w14:paraId="7CB3D511"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3,6</w:t>
            </w:r>
          </w:p>
        </w:tc>
        <w:tc>
          <w:tcPr>
            <w:tcW w:w="607" w:type="pct"/>
            <w:tcBorders>
              <w:top w:val="single" w:sz="6" w:space="0" w:color="000000"/>
              <w:left w:val="single" w:sz="6" w:space="0" w:color="000000"/>
              <w:bottom w:val="single" w:sz="6" w:space="0" w:color="000000"/>
              <w:right w:val="single" w:sz="6" w:space="0" w:color="000000"/>
            </w:tcBorders>
            <w:vAlign w:val="bottom"/>
          </w:tcPr>
          <w:p w14:paraId="1A01E13E" w14:textId="77777777" w:rsidR="004E1960" w:rsidRPr="002749E2" w:rsidRDefault="004E1960" w:rsidP="002749E2">
            <w:pPr>
              <w:tabs>
                <w:tab w:val="clear" w:pos="567"/>
              </w:tabs>
              <w:spacing w:line="240" w:lineRule="auto"/>
              <w:ind w:left="2"/>
              <w:rPr>
                <w:rFonts w:eastAsia="Times New Roman"/>
                <w:szCs w:val="22"/>
                <w:lang w:val="hu-HU"/>
              </w:rPr>
            </w:pPr>
            <w:r w:rsidRPr="002749E2">
              <w:rPr>
                <w:rFonts w:eastAsia="Times New Roman"/>
                <w:szCs w:val="22"/>
                <w:lang w:val="hu-HU"/>
              </w:rPr>
              <w:t>746 (10,2)</w:t>
            </w:r>
          </w:p>
        </w:tc>
        <w:tc>
          <w:tcPr>
            <w:tcW w:w="682" w:type="pct"/>
            <w:tcBorders>
              <w:top w:val="single" w:sz="6" w:space="0" w:color="000000"/>
              <w:left w:val="single" w:sz="6" w:space="0" w:color="000000"/>
              <w:bottom w:val="single" w:sz="6" w:space="0" w:color="000000"/>
              <w:right w:val="single" w:sz="6" w:space="0" w:color="000000"/>
            </w:tcBorders>
            <w:vAlign w:val="bottom"/>
          </w:tcPr>
          <w:p w14:paraId="552AC8EF"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3,6</w:t>
            </w:r>
          </w:p>
        </w:tc>
        <w:tc>
          <w:tcPr>
            <w:tcW w:w="682" w:type="pct"/>
            <w:tcBorders>
              <w:top w:val="single" w:sz="4" w:space="0" w:color="000000"/>
              <w:left w:val="single" w:sz="6" w:space="0" w:color="000000"/>
              <w:bottom w:val="single" w:sz="6" w:space="0" w:color="000000"/>
              <w:right w:val="single" w:sz="6" w:space="0" w:color="000000"/>
            </w:tcBorders>
            <w:vAlign w:val="bottom"/>
          </w:tcPr>
          <w:p w14:paraId="656B689E"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0,99 (0,89–1,10)</w:t>
            </w:r>
          </w:p>
        </w:tc>
        <w:tc>
          <w:tcPr>
            <w:tcW w:w="530" w:type="pct"/>
            <w:tcBorders>
              <w:top w:val="single" w:sz="4" w:space="0" w:color="000000"/>
              <w:left w:val="single" w:sz="6" w:space="0" w:color="000000"/>
              <w:bottom w:val="single" w:sz="6" w:space="0" w:color="000000"/>
              <w:right w:val="single" w:sz="6" w:space="0" w:color="000000"/>
            </w:tcBorders>
            <w:vAlign w:val="bottom"/>
          </w:tcPr>
          <w:p w14:paraId="64994F89"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&lt;0,001</w:t>
            </w:r>
          </w:p>
        </w:tc>
      </w:tr>
      <w:tr w:rsidR="00B240E1" w:rsidRPr="002749E2" w14:paraId="423155D2" w14:textId="77777777" w:rsidTr="00EC0A93">
        <w:trPr>
          <w:trHeight w:val="288"/>
        </w:trPr>
        <w:tc>
          <w:tcPr>
            <w:tcW w:w="2499" w:type="pct"/>
            <w:gridSpan w:val="3"/>
            <w:tcBorders>
              <w:top w:val="single" w:sz="6" w:space="0" w:color="000000"/>
              <w:left w:val="single" w:sz="6" w:space="0" w:color="000000"/>
              <w:bottom w:val="single" w:sz="6" w:space="0" w:color="000000"/>
              <w:right w:val="nil"/>
            </w:tcBorders>
          </w:tcPr>
          <w:p w14:paraId="0A507456" w14:textId="77777777" w:rsidR="004E1960" w:rsidRPr="002749E2" w:rsidRDefault="004E1960" w:rsidP="002749E2">
            <w:pPr>
              <w:tabs>
                <w:tab w:val="clear" w:pos="567"/>
              </w:tabs>
              <w:spacing w:line="240" w:lineRule="auto"/>
              <w:rPr>
                <w:rFonts w:eastAsia="Times New Roman"/>
                <w:szCs w:val="22"/>
                <w:lang w:val="hu-HU"/>
              </w:rPr>
            </w:pPr>
            <w:r w:rsidRPr="002749E2">
              <w:rPr>
                <w:rFonts w:eastAsia="Times New Roman"/>
                <w:b/>
                <w:szCs w:val="22"/>
                <w:lang w:val="hu-HU"/>
              </w:rPr>
              <w:t>Másodlagos végpont</w:t>
            </w:r>
          </w:p>
        </w:tc>
        <w:tc>
          <w:tcPr>
            <w:tcW w:w="1289" w:type="pct"/>
            <w:gridSpan w:val="2"/>
            <w:tcBorders>
              <w:top w:val="single" w:sz="6" w:space="0" w:color="000000"/>
              <w:left w:val="nil"/>
              <w:bottom w:val="single" w:sz="6" w:space="0" w:color="000000"/>
              <w:right w:val="nil"/>
            </w:tcBorders>
          </w:tcPr>
          <w:p w14:paraId="4B8BB09A" w14:textId="77777777" w:rsidR="004E1960" w:rsidRPr="002749E2" w:rsidRDefault="004E1960" w:rsidP="002749E2">
            <w:pPr>
              <w:tabs>
                <w:tab w:val="clear" w:pos="567"/>
              </w:tabs>
              <w:spacing w:line="240" w:lineRule="auto"/>
              <w:rPr>
                <w:rFonts w:eastAsia="Times New Roman"/>
                <w:szCs w:val="22"/>
                <w:lang w:val="hu-HU"/>
              </w:rPr>
            </w:pPr>
          </w:p>
        </w:tc>
        <w:tc>
          <w:tcPr>
            <w:tcW w:w="682" w:type="pct"/>
            <w:tcBorders>
              <w:top w:val="single" w:sz="6" w:space="0" w:color="000000"/>
              <w:left w:val="nil"/>
              <w:bottom w:val="single" w:sz="6" w:space="0" w:color="000000"/>
              <w:right w:val="nil"/>
            </w:tcBorders>
          </w:tcPr>
          <w:p w14:paraId="4902E7F9" w14:textId="77777777" w:rsidR="004E1960" w:rsidRPr="002749E2" w:rsidRDefault="004E1960" w:rsidP="002749E2">
            <w:pPr>
              <w:tabs>
                <w:tab w:val="clear" w:pos="567"/>
              </w:tabs>
              <w:spacing w:line="240" w:lineRule="auto"/>
              <w:rPr>
                <w:rFonts w:eastAsia="Times New Roman"/>
                <w:szCs w:val="22"/>
                <w:lang w:val="hu-HU"/>
              </w:rPr>
            </w:pPr>
          </w:p>
        </w:tc>
        <w:tc>
          <w:tcPr>
            <w:tcW w:w="530" w:type="pct"/>
            <w:tcBorders>
              <w:top w:val="single" w:sz="6" w:space="0" w:color="000000"/>
              <w:left w:val="nil"/>
              <w:bottom w:val="single" w:sz="6" w:space="0" w:color="000000"/>
              <w:right w:val="single" w:sz="6" w:space="0" w:color="000000"/>
            </w:tcBorders>
          </w:tcPr>
          <w:p w14:paraId="0F8A281B" w14:textId="77777777" w:rsidR="004E1960" w:rsidRPr="002749E2" w:rsidRDefault="004E1960" w:rsidP="002749E2">
            <w:pPr>
              <w:tabs>
                <w:tab w:val="clear" w:pos="567"/>
              </w:tabs>
              <w:spacing w:line="240" w:lineRule="auto"/>
              <w:rPr>
                <w:rFonts w:eastAsia="Times New Roman"/>
                <w:szCs w:val="22"/>
                <w:lang w:val="hu-HU"/>
              </w:rPr>
            </w:pPr>
          </w:p>
        </w:tc>
      </w:tr>
      <w:tr w:rsidR="00B240E1" w:rsidRPr="002749E2" w14:paraId="015B9906" w14:textId="77777777" w:rsidTr="00EC0A93">
        <w:trPr>
          <w:trHeight w:val="286"/>
        </w:trPr>
        <w:tc>
          <w:tcPr>
            <w:tcW w:w="1210" w:type="pct"/>
            <w:tcBorders>
              <w:top w:val="single" w:sz="6" w:space="0" w:color="000000"/>
              <w:left w:val="single" w:sz="6" w:space="0" w:color="000000"/>
              <w:bottom w:val="single" w:sz="6" w:space="0" w:color="000000"/>
              <w:right w:val="single" w:sz="6" w:space="0" w:color="000000"/>
            </w:tcBorders>
          </w:tcPr>
          <w:p w14:paraId="79B63419" w14:textId="77777777" w:rsidR="004E1960" w:rsidRPr="002749E2" w:rsidRDefault="004E1960" w:rsidP="002749E2">
            <w:pPr>
              <w:tabs>
                <w:tab w:val="clear" w:pos="567"/>
              </w:tabs>
              <w:spacing w:line="240" w:lineRule="auto"/>
              <w:ind w:left="346"/>
              <w:rPr>
                <w:rFonts w:eastAsia="Times New Roman"/>
                <w:szCs w:val="22"/>
                <w:lang w:val="hu-HU"/>
              </w:rPr>
            </w:pPr>
            <w:r w:rsidRPr="002749E2">
              <w:rPr>
                <w:rFonts w:eastAsia="Times New Roman"/>
                <w:szCs w:val="22"/>
                <w:lang w:val="hu-HU"/>
              </w:rPr>
              <w:t>Cardiovascularis halálozás</w:t>
            </w:r>
          </w:p>
        </w:tc>
        <w:tc>
          <w:tcPr>
            <w:tcW w:w="607" w:type="pct"/>
            <w:tcBorders>
              <w:top w:val="single" w:sz="6" w:space="0" w:color="000000"/>
              <w:left w:val="single" w:sz="6" w:space="0" w:color="000000"/>
              <w:bottom w:val="single" w:sz="6" w:space="0" w:color="000000"/>
              <w:right w:val="single" w:sz="6" w:space="0" w:color="000000"/>
            </w:tcBorders>
            <w:vAlign w:val="bottom"/>
          </w:tcPr>
          <w:p w14:paraId="5DF9A8FA"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380 (5,2)</w:t>
            </w:r>
          </w:p>
        </w:tc>
        <w:tc>
          <w:tcPr>
            <w:tcW w:w="683" w:type="pct"/>
            <w:tcBorders>
              <w:top w:val="single" w:sz="6" w:space="0" w:color="000000"/>
              <w:left w:val="single" w:sz="6" w:space="0" w:color="000000"/>
              <w:bottom w:val="single" w:sz="6" w:space="0" w:color="000000"/>
              <w:right w:val="single" w:sz="6" w:space="0" w:color="000000"/>
            </w:tcBorders>
            <w:vAlign w:val="bottom"/>
          </w:tcPr>
          <w:p w14:paraId="4DD46F70"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1,7</w:t>
            </w:r>
          </w:p>
        </w:tc>
        <w:tc>
          <w:tcPr>
            <w:tcW w:w="607" w:type="pct"/>
            <w:tcBorders>
              <w:top w:val="single" w:sz="6" w:space="0" w:color="000000"/>
              <w:left w:val="single" w:sz="6" w:space="0" w:color="000000"/>
              <w:bottom w:val="single" w:sz="6" w:space="0" w:color="000000"/>
              <w:right w:val="single" w:sz="6" w:space="0" w:color="000000"/>
            </w:tcBorders>
            <w:vAlign w:val="bottom"/>
          </w:tcPr>
          <w:p w14:paraId="69C3F5C0"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366 (5,0)</w:t>
            </w:r>
          </w:p>
        </w:tc>
        <w:tc>
          <w:tcPr>
            <w:tcW w:w="682" w:type="pct"/>
            <w:tcBorders>
              <w:top w:val="single" w:sz="6" w:space="0" w:color="000000"/>
              <w:left w:val="single" w:sz="6" w:space="0" w:color="000000"/>
              <w:bottom w:val="single" w:sz="6" w:space="0" w:color="000000"/>
              <w:right w:val="single" w:sz="6" w:space="0" w:color="000000"/>
            </w:tcBorders>
            <w:vAlign w:val="bottom"/>
          </w:tcPr>
          <w:p w14:paraId="1DB7AD54"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1,7</w:t>
            </w:r>
          </w:p>
        </w:tc>
        <w:tc>
          <w:tcPr>
            <w:tcW w:w="682" w:type="pct"/>
            <w:tcBorders>
              <w:top w:val="single" w:sz="6" w:space="0" w:color="000000"/>
              <w:left w:val="single" w:sz="6" w:space="0" w:color="000000"/>
              <w:bottom w:val="single" w:sz="6" w:space="0" w:color="000000"/>
              <w:right w:val="single" w:sz="6" w:space="0" w:color="000000"/>
            </w:tcBorders>
            <w:vAlign w:val="bottom"/>
          </w:tcPr>
          <w:p w14:paraId="2A813C8B"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1,03 (0,89-1,19)</w:t>
            </w:r>
          </w:p>
        </w:tc>
        <w:tc>
          <w:tcPr>
            <w:tcW w:w="530" w:type="pct"/>
            <w:tcBorders>
              <w:top w:val="single" w:sz="6" w:space="0" w:color="000000"/>
              <w:left w:val="single" w:sz="6" w:space="0" w:color="000000"/>
              <w:bottom w:val="single" w:sz="6" w:space="0" w:color="000000"/>
              <w:right w:val="single" w:sz="6" w:space="0" w:color="000000"/>
            </w:tcBorders>
            <w:vAlign w:val="bottom"/>
          </w:tcPr>
          <w:p w14:paraId="3AFC6FD9"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0,711</w:t>
            </w:r>
          </w:p>
        </w:tc>
      </w:tr>
      <w:tr w:rsidR="00B240E1" w:rsidRPr="002749E2" w14:paraId="5473A648" w14:textId="77777777" w:rsidTr="00EC0A93">
        <w:trPr>
          <w:trHeight w:val="418"/>
        </w:trPr>
        <w:tc>
          <w:tcPr>
            <w:tcW w:w="1210" w:type="pct"/>
            <w:tcBorders>
              <w:top w:val="single" w:sz="6" w:space="0" w:color="000000"/>
              <w:left w:val="single" w:sz="6" w:space="0" w:color="000000"/>
              <w:bottom w:val="single" w:sz="6" w:space="0" w:color="000000"/>
              <w:right w:val="single" w:sz="6" w:space="0" w:color="000000"/>
            </w:tcBorders>
          </w:tcPr>
          <w:p w14:paraId="320A2FB5" w14:textId="77777777" w:rsidR="004E1960" w:rsidRPr="002749E2" w:rsidRDefault="004E1960" w:rsidP="0008679A">
            <w:pPr>
              <w:tabs>
                <w:tab w:val="clear" w:pos="567"/>
              </w:tabs>
              <w:spacing w:line="240" w:lineRule="auto"/>
              <w:ind w:left="346"/>
              <w:rPr>
                <w:rFonts w:eastAsia="Times New Roman"/>
                <w:szCs w:val="22"/>
                <w:lang w:val="hu-HU"/>
              </w:rPr>
            </w:pPr>
            <w:r w:rsidRPr="002749E2">
              <w:rPr>
                <w:rFonts w:eastAsia="Times New Roman"/>
                <w:szCs w:val="22"/>
                <w:lang w:val="hu-HU"/>
              </w:rPr>
              <w:t xml:space="preserve">Összes myocardialis infarctus </w:t>
            </w:r>
          </w:p>
          <w:p w14:paraId="4BD4F2E5" w14:textId="77777777" w:rsidR="004E1960" w:rsidRPr="002749E2" w:rsidRDefault="004E1960" w:rsidP="007E49E6">
            <w:pPr>
              <w:tabs>
                <w:tab w:val="clear" w:pos="567"/>
              </w:tabs>
              <w:spacing w:line="240" w:lineRule="auto"/>
              <w:ind w:left="346"/>
              <w:rPr>
                <w:rFonts w:eastAsia="Times New Roman"/>
                <w:szCs w:val="22"/>
                <w:lang w:val="hu-HU"/>
              </w:rPr>
            </w:pPr>
            <w:r w:rsidRPr="002749E2">
              <w:rPr>
                <w:rFonts w:eastAsia="Times New Roman"/>
                <w:szCs w:val="22"/>
                <w:lang w:val="hu-HU"/>
              </w:rPr>
              <w:t>(halálos és nem halálos)</w:t>
            </w:r>
          </w:p>
        </w:tc>
        <w:tc>
          <w:tcPr>
            <w:tcW w:w="607" w:type="pct"/>
            <w:tcBorders>
              <w:top w:val="single" w:sz="6" w:space="0" w:color="000000"/>
              <w:left w:val="single" w:sz="6" w:space="0" w:color="000000"/>
              <w:bottom w:val="single" w:sz="6" w:space="0" w:color="000000"/>
              <w:right w:val="single" w:sz="6" w:space="0" w:color="000000"/>
            </w:tcBorders>
            <w:vAlign w:val="bottom"/>
          </w:tcPr>
          <w:p w14:paraId="43770CC0"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300 (4,1)</w:t>
            </w:r>
          </w:p>
        </w:tc>
        <w:tc>
          <w:tcPr>
            <w:tcW w:w="683" w:type="pct"/>
            <w:tcBorders>
              <w:top w:val="single" w:sz="6" w:space="0" w:color="000000"/>
              <w:left w:val="single" w:sz="6" w:space="0" w:color="000000"/>
              <w:bottom w:val="single" w:sz="6" w:space="0" w:color="000000"/>
              <w:right w:val="single" w:sz="6" w:space="0" w:color="000000"/>
            </w:tcBorders>
            <w:vAlign w:val="bottom"/>
          </w:tcPr>
          <w:p w14:paraId="493103E8"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1,4</w:t>
            </w:r>
          </w:p>
        </w:tc>
        <w:tc>
          <w:tcPr>
            <w:tcW w:w="607" w:type="pct"/>
            <w:tcBorders>
              <w:top w:val="single" w:sz="6" w:space="0" w:color="000000"/>
              <w:left w:val="single" w:sz="6" w:space="0" w:color="000000"/>
              <w:bottom w:val="single" w:sz="6" w:space="0" w:color="000000"/>
              <w:right w:val="single" w:sz="6" w:space="0" w:color="000000"/>
            </w:tcBorders>
            <w:vAlign w:val="bottom"/>
          </w:tcPr>
          <w:p w14:paraId="786FB32B"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316 (4,3)</w:t>
            </w:r>
          </w:p>
        </w:tc>
        <w:tc>
          <w:tcPr>
            <w:tcW w:w="682" w:type="pct"/>
            <w:tcBorders>
              <w:top w:val="single" w:sz="6" w:space="0" w:color="000000"/>
              <w:left w:val="single" w:sz="6" w:space="0" w:color="000000"/>
              <w:bottom w:val="single" w:sz="6" w:space="0" w:color="000000"/>
              <w:right w:val="single" w:sz="6" w:space="0" w:color="000000"/>
            </w:tcBorders>
            <w:vAlign w:val="bottom"/>
          </w:tcPr>
          <w:p w14:paraId="70397B4B"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1,5</w:t>
            </w:r>
          </w:p>
        </w:tc>
        <w:tc>
          <w:tcPr>
            <w:tcW w:w="682" w:type="pct"/>
            <w:tcBorders>
              <w:top w:val="single" w:sz="6" w:space="0" w:color="000000"/>
              <w:left w:val="single" w:sz="6" w:space="0" w:color="000000"/>
              <w:bottom w:val="single" w:sz="6" w:space="0" w:color="000000"/>
              <w:right w:val="single" w:sz="6" w:space="0" w:color="000000"/>
            </w:tcBorders>
            <w:vAlign w:val="bottom"/>
          </w:tcPr>
          <w:p w14:paraId="683BE40E"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0,95 (0,81–1,11)</w:t>
            </w:r>
          </w:p>
        </w:tc>
        <w:tc>
          <w:tcPr>
            <w:tcW w:w="530" w:type="pct"/>
            <w:tcBorders>
              <w:top w:val="single" w:sz="6" w:space="0" w:color="000000"/>
              <w:left w:val="single" w:sz="6" w:space="0" w:color="000000"/>
              <w:bottom w:val="single" w:sz="6" w:space="0" w:color="000000"/>
              <w:right w:val="single" w:sz="6" w:space="0" w:color="000000"/>
            </w:tcBorders>
            <w:vAlign w:val="bottom"/>
          </w:tcPr>
          <w:p w14:paraId="5CA8D802"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0,487</w:t>
            </w:r>
          </w:p>
        </w:tc>
      </w:tr>
      <w:tr w:rsidR="00B240E1" w:rsidRPr="002749E2" w14:paraId="09D9790C" w14:textId="77777777" w:rsidTr="00EC0A93">
        <w:trPr>
          <w:trHeight w:val="425"/>
        </w:trPr>
        <w:tc>
          <w:tcPr>
            <w:tcW w:w="1210" w:type="pct"/>
            <w:tcBorders>
              <w:top w:val="single" w:sz="6" w:space="0" w:color="000000"/>
              <w:left w:val="single" w:sz="6" w:space="0" w:color="000000"/>
              <w:bottom w:val="single" w:sz="6" w:space="0" w:color="000000"/>
              <w:right w:val="single" w:sz="6" w:space="0" w:color="000000"/>
            </w:tcBorders>
          </w:tcPr>
          <w:p w14:paraId="73BF0506" w14:textId="77777777" w:rsidR="004E1960" w:rsidRPr="002749E2" w:rsidRDefault="004E1960" w:rsidP="002749E2">
            <w:pPr>
              <w:tabs>
                <w:tab w:val="clear" w:pos="567"/>
              </w:tabs>
              <w:spacing w:line="240" w:lineRule="auto"/>
              <w:ind w:left="346"/>
              <w:rPr>
                <w:rFonts w:eastAsia="Times New Roman"/>
                <w:szCs w:val="22"/>
                <w:lang w:val="hu-HU"/>
              </w:rPr>
            </w:pPr>
            <w:r w:rsidRPr="002749E2">
              <w:rPr>
                <w:rFonts w:eastAsia="Times New Roman"/>
                <w:szCs w:val="22"/>
                <w:lang w:val="hu-HU"/>
              </w:rPr>
              <w:t>Összes stroke (halálos és nem halálos)</w:t>
            </w:r>
          </w:p>
        </w:tc>
        <w:tc>
          <w:tcPr>
            <w:tcW w:w="607" w:type="pct"/>
            <w:tcBorders>
              <w:top w:val="single" w:sz="6" w:space="0" w:color="000000"/>
              <w:left w:val="single" w:sz="6" w:space="0" w:color="000000"/>
              <w:bottom w:val="single" w:sz="6" w:space="0" w:color="000000"/>
              <w:right w:val="single" w:sz="6" w:space="0" w:color="000000"/>
            </w:tcBorders>
            <w:vAlign w:val="bottom"/>
          </w:tcPr>
          <w:p w14:paraId="0230B477"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178 (2,4)</w:t>
            </w:r>
          </w:p>
        </w:tc>
        <w:tc>
          <w:tcPr>
            <w:tcW w:w="683" w:type="pct"/>
            <w:tcBorders>
              <w:top w:val="single" w:sz="6" w:space="0" w:color="000000"/>
              <w:left w:val="single" w:sz="6" w:space="0" w:color="000000"/>
              <w:bottom w:val="single" w:sz="6" w:space="0" w:color="000000"/>
              <w:right w:val="single" w:sz="6" w:space="0" w:color="000000"/>
            </w:tcBorders>
            <w:vAlign w:val="bottom"/>
          </w:tcPr>
          <w:p w14:paraId="2187E152"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0,8</w:t>
            </w:r>
          </w:p>
        </w:tc>
        <w:tc>
          <w:tcPr>
            <w:tcW w:w="607" w:type="pct"/>
            <w:tcBorders>
              <w:top w:val="single" w:sz="6" w:space="0" w:color="000000"/>
              <w:left w:val="single" w:sz="6" w:space="0" w:color="000000"/>
              <w:bottom w:val="single" w:sz="6" w:space="0" w:color="000000"/>
              <w:right w:val="single" w:sz="6" w:space="0" w:color="000000"/>
            </w:tcBorders>
            <w:vAlign w:val="bottom"/>
          </w:tcPr>
          <w:p w14:paraId="74DBC115"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183 (2,5)</w:t>
            </w:r>
          </w:p>
        </w:tc>
        <w:tc>
          <w:tcPr>
            <w:tcW w:w="682" w:type="pct"/>
            <w:tcBorders>
              <w:top w:val="single" w:sz="6" w:space="0" w:color="000000"/>
              <w:left w:val="single" w:sz="6" w:space="0" w:color="000000"/>
              <w:bottom w:val="single" w:sz="6" w:space="0" w:color="000000"/>
              <w:right w:val="single" w:sz="6" w:space="0" w:color="000000"/>
            </w:tcBorders>
            <w:vAlign w:val="bottom"/>
          </w:tcPr>
          <w:p w14:paraId="2D8B3F9C"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0,9</w:t>
            </w:r>
          </w:p>
        </w:tc>
        <w:tc>
          <w:tcPr>
            <w:tcW w:w="682" w:type="pct"/>
            <w:tcBorders>
              <w:top w:val="single" w:sz="6" w:space="0" w:color="000000"/>
              <w:left w:val="single" w:sz="6" w:space="0" w:color="000000"/>
              <w:bottom w:val="single" w:sz="6" w:space="0" w:color="000000"/>
              <w:right w:val="single" w:sz="6" w:space="0" w:color="000000"/>
            </w:tcBorders>
            <w:vAlign w:val="bottom"/>
          </w:tcPr>
          <w:p w14:paraId="52141C9C"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0,97 (0,79–1,19)</w:t>
            </w:r>
          </w:p>
        </w:tc>
        <w:tc>
          <w:tcPr>
            <w:tcW w:w="530" w:type="pct"/>
            <w:tcBorders>
              <w:top w:val="single" w:sz="6" w:space="0" w:color="000000"/>
              <w:left w:val="single" w:sz="6" w:space="0" w:color="000000"/>
              <w:bottom w:val="single" w:sz="6" w:space="0" w:color="000000"/>
              <w:right w:val="single" w:sz="6" w:space="0" w:color="000000"/>
            </w:tcBorders>
            <w:vAlign w:val="bottom"/>
          </w:tcPr>
          <w:p w14:paraId="689A7DD0"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0,760</w:t>
            </w:r>
          </w:p>
        </w:tc>
      </w:tr>
      <w:tr w:rsidR="00B240E1" w:rsidRPr="002749E2" w14:paraId="29F61F2A" w14:textId="77777777" w:rsidTr="00EC0A93">
        <w:trPr>
          <w:trHeight w:val="432"/>
        </w:trPr>
        <w:tc>
          <w:tcPr>
            <w:tcW w:w="1210" w:type="pct"/>
            <w:tcBorders>
              <w:top w:val="single" w:sz="6" w:space="0" w:color="000000"/>
              <w:left w:val="single" w:sz="6" w:space="0" w:color="000000"/>
              <w:bottom w:val="single" w:sz="6" w:space="0" w:color="000000"/>
              <w:right w:val="single" w:sz="6" w:space="0" w:color="000000"/>
            </w:tcBorders>
          </w:tcPr>
          <w:p w14:paraId="770564B9" w14:textId="77777777" w:rsidR="004E1960" w:rsidRPr="002749E2" w:rsidRDefault="004E1960" w:rsidP="002749E2">
            <w:pPr>
              <w:tabs>
                <w:tab w:val="clear" w:pos="567"/>
              </w:tabs>
              <w:spacing w:line="240" w:lineRule="auto"/>
              <w:ind w:left="346"/>
              <w:rPr>
                <w:rFonts w:eastAsia="Times New Roman"/>
                <w:szCs w:val="22"/>
                <w:lang w:val="hu-HU"/>
              </w:rPr>
            </w:pPr>
            <w:r w:rsidRPr="002749E2">
              <w:rPr>
                <w:rFonts w:eastAsia="Times New Roman"/>
                <w:szCs w:val="22"/>
                <w:lang w:val="hu-HU"/>
              </w:rPr>
              <w:t>Instabil angina miatti hospitalizáció</w:t>
            </w:r>
          </w:p>
        </w:tc>
        <w:tc>
          <w:tcPr>
            <w:tcW w:w="607" w:type="pct"/>
            <w:tcBorders>
              <w:top w:val="single" w:sz="6" w:space="0" w:color="000000"/>
              <w:left w:val="single" w:sz="6" w:space="0" w:color="000000"/>
              <w:bottom w:val="single" w:sz="6" w:space="0" w:color="000000"/>
              <w:right w:val="single" w:sz="6" w:space="0" w:color="000000"/>
            </w:tcBorders>
            <w:vAlign w:val="bottom"/>
          </w:tcPr>
          <w:p w14:paraId="24F60339"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116 (1,6)</w:t>
            </w:r>
          </w:p>
        </w:tc>
        <w:tc>
          <w:tcPr>
            <w:tcW w:w="683" w:type="pct"/>
            <w:tcBorders>
              <w:top w:val="single" w:sz="6" w:space="0" w:color="000000"/>
              <w:left w:val="single" w:sz="6" w:space="0" w:color="000000"/>
              <w:bottom w:val="single" w:sz="6" w:space="0" w:color="000000"/>
              <w:right w:val="single" w:sz="6" w:space="0" w:color="000000"/>
            </w:tcBorders>
            <w:vAlign w:val="bottom"/>
          </w:tcPr>
          <w:p w14:paraId="0CE6587C"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0,5</w:t>
            </w:r>
          </w:p>
        </w:tc>
        <w:tc>
          <w:tcPr>
            <w:tcW w:w="607" w:type="pct"/>
            <w:tcBorders>
              <w:top w:val="single" w:sz="6" w:space="0" w:color="000000"/>
              <w:left w:val="single" w:sz="6" w:space="0" w:color="000000"/>
              <w:bottom w:val="single" w:sz="6" w:space="0" w:color="000000"/>
              <w:right w:val="single" w:sz="6" w:space="0" w:color="000000"/>
            </w:tcBorders>
            <w:vAlign w:val="bottom"/>
          </w:tcPr>
          <w:p w14:paraId="7BDD380D"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129 (1,8)</w:t>
            </w:r>
          </w:p>
        </w:tc>
        <w:tc>
          <w:tcPr>
            <w:tcW w:w="682" w:type="pct"/>
            <w:tcBorders>
              <w:top w:val="single" w:sz="6" w:space="0" w:color="000000"/>
              <w:left w:val="single" w:sz="6" w:space="0" w:color="000000"/>
              <w:bottom w:val="single" w:sz="6" w:space="0" w:color="000000"/>
              <w:right w:val="single" w:sz="6" w:space="0" w:color="000000"/>
            </w:tcBorders>
            <w:vAlign w:val="bottom"/>
          </w:tcPr>
          <w:p w14:paraId="70BC54F6"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0,6</w:t>
            </w:r>
          </w:p>
        </w:tc>
        <w:tc>
          <w:tcPr>
            <w:tcW w:w="682" w:type="pct"/>
            <w:tcBorders>
              <w:top w:val="single" w:sz="6" w:space="0" w:color="000000"/>
              <w:left w:val="single" w:sz="6" w:space="0" w:color="000000"/>
              <w:bottom w:val="single" w:sz="6" w:space="0" w:color="000000"/>
              <w:right w:val="single" w:sz="6" w:space="0" w:color="000000"/>
            </w:tcBorders>
            <w:vAlign w:val="bottom"/>
          </w:tcPr>
          <w:p w14:paraId="04146685"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0,90 (0,70–1,16)</w:t>
            </w:r>
          </w:p>
        </w:tc>
        <w:tc>
          <w:tcPr>
            <w:tcW w:w="530" w:type="pct"/>
            <w:tcBorders>
              <w:top w:val="single" w:sz="6" w:space="0" w:color="000000"/>
              <w:left w:val="single" w:sz="6" w:space="0" w:color="000000"/>
              <w:bottom w:val="single" w:sz="6" w:space="0" w:color="000000"/>
              <w:right w:val="single" w:sz="6" w:space="0" w:color="000000"/>
            </w:tcBorders>
            <w:vAlign w:val="bottom"/>
          </w:tcPr>
          <w:p w14:paraId="1DADA741"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0,419</w:t>
            </w:r>
          </w:p>
        </w:tc>
      </w:tr>
      <w:tr w:rsidR="00B240E1" w:rsidRPr="002749E2" w14:paraId="6D6B6457" w14:textId="77777777" w:rsidTr="00EC0A93">
        <w:trPr>
          <w:trHeight w:val="422"/>
        </w:trPr>
        <w:tc>
          <w:tcPr>
            <w:tcW w:w="1210" w:type="pct"/>
            <w:tcBorders>
              <w:top w:val="single" w:sz="6" w:space="0" w:color="000000"/>
              <w:left w:val="single" w:sz="6" w:space="0" w:color="000000"/>
              <w:bottom w:val="single" w:sz="6" w:space="0" w:color="000000"/>
              <w:right w:val="single" w:sz="6" w:space="0" w:color="000000"/>
            </w:tcBorders>
            <w:vAlign w:val="center"/>
          </w:tcPr>
          <w:p w14:paraId="62164AB9" w14:textId="77777777" w:rsidR="004E1960" w:rsidRPr="002749E2" w:rsidRDefault="004E1960" w:rsidP="002749E2">
            <w:pPr>
              <w:tabs>
                <w:tab w:val="clear" w:pos="567"/>
              </w:tabs>
              <w:spacing w:line="240" w:lineRule="auto"/>
              <w:ind w:left="346"/>
              <w:rPr>
                <w:rFonts w:eastAsia="Times New Roman"/>
                <w:szCs w:val="22"/>
                <w:lang w:val="hu-HU"/>
              </w:rPr>
            </w:pPr>
            <w:r w:rsidRPr="002749E2">
              <w:rPr>
                <w:rFonts w:eastAsia="Times New Roman"/>
                <w:szCs w:val="22"/>
                <w:lang w:val="hu-HU"/>
              </w:rPr>
              <w:t>Összhalálozás</w:t>
            </w:r>
          </w:p>
        </w:tc>
        <w:tc>
          <w:tcPr>
            <w:tcW w:w="607" w:type="pct"/>
            <w:tcBorders>
              <w:top w:val="single" w:sz="6" w:space="0" w:color="000000"/>
              <w:left w:val="single" w:sz="6" w:space="0" w:color="000000"/>
              <w:bottom w:val="single" w:sz="6" w:space="0" w:color="000000"/>
              <w:right w:val="single" w:sz="6" w:space="0" w:color="000000"/>
            </w:tcBorders>
            <w:vAlign w:val="bottom"/>
          </w:tcPr>
          <w:p w14:paraId="0C3D8B74"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547 (7,5)</w:t>
            </w:r>
          </w:p>
        </w:tc>
        <w:tc>
          <w:tcPr>
            <w:tcW w:w="683" w:type="pct"/>
            <w:tcBorders>
              <w:top w:val="single" w:sz="6" w:space="0" w:color="000000"/>
              <w:left w:val="single" w:sz="6" w:space="0" w:color="000000"/>
              <w:bottom w:val="single" w:sz="6" w:space="0" w:color="000000"/>
              <w:right w:val="single" w:sz="6" w:space="0" w:color="000000"/>
            </w:tcBorders>
            <w:vAlign w:val="bottom"/>
          </w:tcPr>
          <w:p w14:paraId="301B985D"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2,5</w:t>
            </w:r>
          </w:p>
        </w:tc>
        <w:tc>
          <w:tcPr>
            <w:tcW w:w="607" w:type="pct"/>
            <w:tcBorders>
              <w:top w:val="single" w:sz="6" w:space="0" w:color="000000"/>
              <w:left w:val="single" w:sz="6" w:space="0" w:color="000000"/>
              <w:bottom w:val="single" w:sz="6" w:space="0" w:color="000000"/>
              <w:right w:val="single" w:sz="6" w:space="0" w:color="000000"/>
            </w:tcBorders>
            <w:vAlign w:val="bottom"/>
          </w:tcPr>
          <w:p w14:paraId="2DB0FC9B"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537 (7,3)</w:t>
            </w:r>
          </w:p>
        </w:tc>
        <w:tc>
          <w:tcPr>
            <w:tcW w:w="682" w:type="pct"/>
            <w:tcBorders>
              <w:top w:val="single" w:sz="6" w:space="0" w:color="000000"/>
              <w:left w:val="single" w:sz="6" w:space="0" w:color="000000"/>
              <w:bottom w:val="single" w:sz="6" w:space="0" w:color="000000"/>
              <w:right w:val="single" w:sz="6" w:space="0" w:color="000000"/>
            </w:tcBorders>
            <w:vAlign w:val="bottom"/>
          </w:tcPr>
          <w:p w14:paraId="79D79175"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2,5</w:t>
            </w:r>
          </w:p>
        </w:tc>
        <w:tc>
          <w:tcPr>
            <w:tcW w:w="682" w:type="pct"/>
            <w:tcBorders>
              <w:top w:val="single" w:sz="6" w:space="0" w:color="000000"/>
              <w:left w:val="single" w:sz="6" w:space="0" w:color="000000"/>
              <w:bottom w:val="single" w:sz="6" w:space="0" w:color="000000"/>
              <w:right w:val="single" w:sz="6" w:space="0" w:color="000000"/>
            </w:tcBorders>
            <w:vAlign w:val="bottom"/>
          </w:tcPr>
          <w:p w14:paraId="5DF43CD3"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1,01 (0,90–1,14)</w:t>
            </w:r>
          </w:p>
        </w:tc>
        <w:tc>
          <w:tcPr>
            <w:tcW w:w="530" w:type="pct"/>
            <w:tcBorders>
              <w:top w:val="single" w:sz="6" w:space="0" w:color="000000"/>
              <w:left w:val="single" w:sz="6" w:space="0" w:color="000000"/>
              <w:bottom w:val="single" w:sz="6" w:space="0" w:color="000000"/>
              <w:right w:val="single" w:sz="6" w:space="0" w:color="000000"/>
            </w:tcBorders>
            <w:vAlign w:val="bottom"/>
          </w:tcPr>
          <w:p w14:paraId="7DCE4649"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0,875</w:t>
            </w:r>
          </w:p>
        </w:tc>
      </w:tr>
      <w:tr w:rsidR="00B240E1" w:rsidRPr="002749E2" w14:paraId="63862BD0" w14:textId="77777777" w:rsidTr="00EC0A93">
        <w:trPr>
          <w:trHeight w:val="427"/>
        </w:trPr>
        <w:tc>
          <w:tcPr>
            <w:tcW w:w="1210" w:type="pct"/>
            <w:tcBorders>
              <w:top w:val="single" w:sz="6" w:space="0" w:color="000000"/>
              <w:left w:val="single" w:sz="6" w:space="0" w:color="000000"/>
              <w:bottom w:val="single" w:sz="6" w:space="0" w:color="000000"/>
              <w:right w:val="single" w:sz="6" w:space="0" w:color="000000"/>
            </w:tcBorders>
          </w:tcPr>
          <w:p w14:paraId="4BF54754" w14:textId="77777777" w:rsidR="004E1960" w:rsidRPr="002749E2" w:rsidRDefault="004E1960" w:rsidP="002749E2">
            <w:pPr>
              <w:tabs>
                <w:tab w:val="clear" w:pos="567"/>
              </w:tabs>
              <w:spacing w:line="240" w:lineRule="auto"/>
              <w:ind w:left="346"/>
              <w:rPr>
                <w:rFonts w:eastAsia="Times New Roman"/>
                <w:szCs w:val="22"/>
                <w:lang w:val="hu-HU"/>
              </w:rPr>
            </w:pPr>
            <w:r w:rsidRPr="002749E2">
              <w:rPr>
                <w:rFonts w:eastAsia="Times New Roman"/>
                <w:szCs w:val="22"/>
                <w:lang w:val="hu-HU"/>
              </w:rPr>
              <w:t>Szívelégtelenség miatti hospitalizáció</w:t>
            </w:r>
            <w:r w:rsidRPr="002749E2">
              <w:rPr>
                <w:rFonts w:eastAsia="Times New Roman"/>
                <w:szCs w:val="22"/>
                <w:vertAlign w:val="superscript"/>
                <w:lang w:val="hu-HU"/>
              </w:rPr>
              <w:t>‡</w:t>
            </w:r>
          </w:p>
        </w:tc>
        <w:tc>
          <w:tcPr>
            <w:tcW w:w="607" w:type="pct"/>
            <w:tcBorders>
              <w:top w:val="single" w:sz="6" w:space="0" w:color="000000"/>
              <w:left w:val="single" w:sz="6" w:space="0" w:color="000000"/>
              <w:bottom w:val="single" w:sz="6" w:space="0" w:color="000000"/>
              <w:right w:val="single" w:sz="6" w:space="0" w:color="000000"/>
            </w:tcBorders>
            <w:vAlign w:val="bottom"/>
          </w:tcPr>
          <w:p w14:paraId="1BBE46BF" w14:textId="77777777" w:rsidR="004E1960" w:rsidRPr="002749E2" w:rsidRDefault="004E1960" w:rsidP="002749E2">
            <w:pPr>
              <w:tabs>
                <w:tab w:val="clear" w:pos="567"/>
              </w:tabs>
              <w:spacing w:line="240" w:lineRule="auto"/>
              <w:ind w:right="34"/>
              <w:jc w:val="center"/>
              <w:rPr>
                <w:rFonts w:eastAsia="Times New Roman"/>
                <w:szCs w:val="22"/>
                <w:lang w:val="hu-HU"/>
              </w:rPr>
            </w:pPr>
            <w:r w:rsidRPr="002749E2">
              <w:rPr>
                <w:rFonts w:eastAsia="Times New Roman"/>
                <w:szCs w:val="22"/>
                <w:lang w:val="hu-HU"/>
              </w:rPr>
              <w:t>228 (3,1)</w:t>
            </w:r>
          </w:p>
        </w:tc>
        <w:tc>
          <w:tcPr>
            <w:tcW w:w="683" w:type="pct"/>
            <w:tcBorders>
              <w:top w:val="single" w:sz="6" w:space="0" w:color="000000"/>
              <w:left w:val="single" w:sz="6" w:space="0" w:color="000000"/>
              <w:bottom w:val="single" w:sz="6" w:space="0" w:color="000000"/>
              <w:right w:val="single" w:sz="6" w:space="0" w:color="000000"/>
            </w:tcBorders>
            <w:vAlign w:val="bottom"/>
          </w:tcPr>
          <w:p w14:paraId="6DACD012" w14:textId="77777777" w:rsidR="004E1960" w:rsidRPr="002749E2" w:rsidRDefault="004E1960" w:rsidP="002749E2">
            <w:pPr>
              <w:tabs>
                <w:tab w:val="clear" w:pos="567"/>
              </w:tabs>
              <w:spacing w:line="240" w:lineRule="auto"/>
              <w:ind w:right="37"/>
              <w:jc w:val="center"/>
              <w:rPr>
                <w:rFonts w:eastAsia="Times New Roman"/>
                <w:szCs w:val="22"/>
                <w:lang w:val="hu-HU"/>
              </w:rPr>
            </w:pPr>
            <w:r w:rsidRPr="002749E2">
              <w:rPr>
                <w:rFonts w:eastAsia="Times New Roman"/>
                <w:szCs w:val="22"/>
                <w:lang w:val="hu-HU"/>
              </w:rPr>
              <w:t>1,1</w:t>
            </w:r>
          </w:p>
        </w:tc>
        <w:tc>
          <w:tcPr>
            <w:tcW w:w="607" w:type="pct"/>
            <w:tcBorders>
              <w:top w:val="single" w:sz="6" w:space="0" w:color="000000"/>
              <w:left w:val="single" w:sz="6" w:space="0" w:color="000000"/>
              <w:bottom w:val="single" w:sz="6" w:space="0" w:color="000000"/>
              <w:right w:val="single" w:sz="6" w:space="0" w:color="000000"/>
            </w:tcBorders>
            <w:vAlign w:val="bottom"/>
          </w:tcPr>
          <w:p w14:paraId="19B735B5" w14:textId="77777777" w:rsidR="004E1960" w:rsidRPr="002749E2" w:rsidRDefault="004E1960" w:rsidP="002749E2">
            <w:pPr>
              <w:tabs>
                <w:tab w:val="clear" w:pos="567"/>
              </w:tabs>
              <w:spacing w:line="240" w:lineRule="auto"/>
              <w:ind w:right="29"/>
              <w:jc w:val="center"/>
              <w:rPr>
                <w:rFonts w:eastAsia="Times New Roman"/>
                <w:szCs w:val="22"/>
                <w:lang w:val="hu-HU"/>
              </w:rPr>
            </w:pPr>
            <w:r w:rsidRPr="002749E2">
              <w:rPr>
                <w:rFonts w:eastAsia="Times New Roman"/>
                <w:szCs w:val="22"/>
                <w:lang w:val="hu-HU"/>
              </w:rPr>
              <w:t>229 (3,1)</w:t>
            </w:r>
          </w:p>
        </w:tc>
        <w:tc>
          <w:tcPr>
            <w:tcW w:w="682" w:type="pct"/>
            <w:tcBorders>
              <w:top w:val="single" w:sz="6" w:space="0" w:color="000000"/>
              <w:left w:val="single" w:sz="6" w:space="0" w:color="000000"/>
              <w:bottom w:val="single" w:sz="6" w:space="0" w:color="000000"/>
              <w:right w:val="single" w:sz="6" w:space="0" w:color="000000"/>
            </w:tcBorders>
            <w:vAlign w:val="bottom"/>
          </w:tcPr>
          <w:p w14:paraId="24941B46"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1,1</w:t>
            </w:r>
          </w:p>
        </w:tc>
        <w:tc>
          <w:tcPr>
            <w:tcW w:w="682" w:type="pct"/>
            <w:tcBorders>
              <w:top w:val="single" w:sz="6" w:space="0" w:color="000000"/>
              <w:left w:val="single" w:sz="6" w:space="0" w:color="000000"/>
              <w:bottom w:val="single" w:sz="6" w:space="0" w:color="000000"/>
              <w:right w:val="single" w:sz="6" w:space="0" w:color="000000"/>
            </w:tcBorders>
            <w:vAlign w:val="bottom"/>
          </w:tcPr>
          <w:p w14:paraId="60E720F2" w14:textId="77777777" w:rsidR="004E1960" w:rsidRPr="002749E2" w:rsidRDefault="004E1960" w:rsidP="002749E2">
            <w:pPr>
              <w:tabs>
                <w:tab w:val="clear" w:pos="567"/>
              </w:tabs>
              <w:spacing w:line="240" w:lineRule="auto"/>
              <w:ind w:left="34"/>
              <w:rPr>
                <w:rFonts w:eastAsia="Times New Roman"/>
                <w:szCs w:val="22"/>
                <w:lang w:val="hu-HU"/>
              </w:rPr>
            </w:pPr>
            <w:r w:rsidRPr="002749E2">
              <w:rPr>
                <w:rFonts w:eastAsia="Times New Roman"/>
                <w:szCs w:val="22"/>
                <w:lang w:val="hu-HU"/>
              </w:rPr>
              <w:t>1,00 (0,83–1,20)</w:t>
            </w:r>
          </w:p>
        </w:tc>
        <w:tc>
          <w:tcPr>
            <w:tcW w:w="530" w:type="pct"/>
            <w:tcBorders>
              <w:top w:val="single" w:sz="6" w:space="0" w:color="000000"/>
              <w:left w:val="single" w:sz="6" w:space="0" w:color="000000"/>
              <w:bottom w:val="single" w:sz="6" w:space="0" w:color="000000"/>
              <w:right w:val="single" w:sz="6" w:space="0" w:color="000000"/>
            </w:tcBorders>
            <w:vAlign w:val="bottom"/>
          </w:tcPr>
          <w:p w14:paraId="1DE7DFEC" w14:textId="77777777" w:rsidR="004E1960" w:rsidRPr="002749E2" w:rsidRDefault="004E1960" w:rsidP="002749E2">
            <w:pPr>
              <w:tabs>
                <w:tab w:val="clear" w:pos="567"/>
              </w:tabs>
              <w:spacing w:line="240" w:lineRule="auto"/>
              <w:ind w:right="32"/>
              <w:jc w:val="center"/>
              <w:rPr>
                <w:rFonts w:eastAsia="Times New Roman"/>
                <w:szCs w:val="22"/>
                <w:lang w:val="hu-HU"/>
              </w:rPr>
            </w:pPr>
            <w:r w:rsidRPr="002749E2">
              <w:rPr>
                <w:rFonts w:eastAsia="Times New Roman"/>
                <w:szCs w:val="22"/>
                <w:lang w:val="hu-HU"/>
              </w:rPr>
              <w:t>0,983</w:t>
            </w:r>
          </w:p>
        </w:tc>
      </w:tr>
    </w:tbl>
    <w:p w14:paraId="2D4BA48E" w14:textId="77777777" w:rsidR="004E1960" w:rsidRPr="006F525B" w:rsidRDefault="004E1960" w:rsidP="006F525B">
      <w:pPr>
        <w:tabs>
          <w:tab w:val="clear" w:pos="567"/>
        </w:tabs>
        <w:spacing w:line="240" w:lineRule="auto"/>
        <w:rPr>
          <w:lang w:val="hu-HU"/>
        </w:rPr>
      </w:pPr>
      <w:r w:rsidRPr="006F525B">
        <w:rPr>
          <w:lang w:val="hu-HU"/>
        </w:rPr>
        <w:t>* A 100 betegévre vonatkozó előfordulási arány kiszámítása: 100 × (a beszámítható expozíciós időszak során ≥ 1 eseményt elérő betegek összesített száma elosztva a követés összes betegévének számával).</w:t>
      </w:r>
    </w:p>
    <w:p w14:paraId="49F494D5" w14:textId="77777777" w:rsidR="004E1960" w:rsidRPr="006F525B" w:rsidRDefault="00600938" w:rsidP="006F525B">
      <w:pPr>
        <w:tabs>
          <w:tab w:val="clear" w:pos="567"/>
        </w:tabs>
        <w:spacing w:line="240" w:lineRule="auto"/>
        <w:rPr>
          <w:lang w:val="hu-HU"/>
        </w:rPr>
      </w:pPr>
      <w:r w:rsidRPr="006F525B">
        <w:rPr>
          <w:vertAlign w:val="superscript"/>
          <w:lang w:val="hu-HU"/>
        </w:rPr>
        <w:t>†</w:t>
      </w:r>
      <w:r w:rsidRPr="006F525B">
        <w:rPr>
          <w:lang w:val="hu-HU"/>
        </w:rPr>
        <w:t xml:space="preserve"> </w:t>
      </w:r>
      <w:r w:rsidR="004E1960" w:rsidRPr="006F525B">
        <w:rPr>
          <w:lang w:val="hu-HU"/>
        </w:rPr>
        <w:t>Egy régióra stratifikált Cox modell alapján. Az összetett végpontoknál a p-értékek egy non-inferioritási tesztnek felelnek meg, mely azt volt hivatott kimutatni, hogy a relatív hazárd 1,3-nél alacsonyabb. Az összes többi végpontnál a p-értékek a relatív hazárdok közötti különbségek tesztjének felelnek meg.</w:t>
      </w:r>
    </w:p>
    <w:p w14:paraId="46FE8087" w14:textId="77777777" w:rsidR="004E1960" w:rsidRPr="006F525B" w:rsidRDefault="005237CD" w:rsidP="006F525B">
      <w:pPr>
        <w:tabs>
          <w:tab w:val="clear" w:pos="567"/>
        </w:tabs>
        <w:spacing w:line="240" w:lineRule="auto"/>
        <w:rPr>
          <w:lang w:val="hu-HU"/>
        </w:rPr>
      </w:pPr>
      <w:r w:rsidRPr="006F525B">
        <w:rPr>
          <w:vertAlign w:val="superscript"/>
          <w:lang w:val="hu-HU"/>
        </w:rPr>
        <w:t>‡</w:t>
      </w:r>
      <w:r w:rsidRPr="006F525B">
        <w:rPr>
          <w:lang w:val="hu-HU"/>
        </w:rPr>
        <w:t xml:space="preserve"> </w:t>
      </w:r>
      <w:r w:rsidR="004E1960" w:rsidRPr="006F525B">
        <w:rPr>
          <w:lang w:val="hu-HU"/>
        </w:rPr>
        <w:t>A szívelégtelenség miatti hospitalizáció elemzését a kiinduláskor a kórelőzményben fennálló szívelégtelenségre korrigálva végezték el.</w:t>
      </w:r>
    </w:p>
    <w:p w14:paraId="2C958A05" w14:textId="77777777" w:rsidR="005237CD" w:rsidRPr="006F525B" w:rsidRDefault="005237CD" w:rsidP="006F525B">
      <w:pPr>
        <w:tabs>
          <w:tab w:val="clear" w:pos="567"/>
        </w:tabs>
        <w:spacing w:line="240" w:lineRule="auto"/>
        <w:rPr>
          <w:lang w:val="hu-HU"/>
        </w:rPr>
      </w:pPr>
    </w:p>
    <w:p w14:paraId="7FDCA686"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Gyermekek és serdülők</w:t>
      </w:r>
    </w:p>
    <w:p w14:paraId="4EED522C" w14:textId="77777777" w:rsidR="004E1960" w:rsidRPr="006F525B" w:rsidRDefault="004E1960" w:rsidP="006F525B">
      <w:pPr>
        <w:tabs>
          <w:tab w:val="clear" w:pos="567"/>
        </w:tabs>
        <w:spacing w:line="240" w:lineRule="auto"/>
        <w:ind w:left="-5" w:right="458"/>
        <w:rPr>
          <w:lang w:val="hu-HU"/>
        </w:rPr>
      </w:pPr>
      <w:r w:rsidRPr="006F525B">
        <w:rPr>
          <w:lang w:val="hu-HU"/>
        </w:rPr>
        <w:t xml:space="preserve">Az Európai Gyógyszerügynökség a gyermekek esetén minden korosztálynál eltekint a </w:t>
      </w:r>
      <w:r w:rsidR="005237CD" w:rsidRPr="006F525B">
        <w:rPr>
          <w:lang w:val="hu-HU"/>
        </w:rPr>
        <w:t>szitagliptin</w:t>
      </w:r>
      <w:r w:rsidR="00FA1B16" w:rsidRPr="006F525B">
        <w:rPr>
          <w:lang w:val="hu-HU"/>
        </w:rPr>
        <w:t>-</w:t>
      </w:r>
      <w:r w:rsidR="005237CD" w:rsidRPr="006F525B">
        <w:rPr>
          <w:lang w:val="hu-HU"/>
        </w:rPr>
        <w:t xml:space="preserve"> és metformin</w:t>
      </w:r>
      <w:r w:rsidR="00FA1B16" w:rsidRPr="006F525B">
        <w:rPr>
          <w:lang w:val="hu-HU"/>
        </w:rPr>
        <w:t>-</w:t>
      </w:r>
      <w:r w:rsidR="005237CD" w:rsidRPr="006F525B">
        <w:rPr>
          <w:lang w:val="hu-HU"/>
        </w:rPr>
        <w:t>tartalm</w:t>
      </w:r>
      <w:r w:rsidR="00FA1B16" w:rsidRPr="006F525B">
        <w:rPr>
          <w:lang w:val="hu-HU"/>
        </w:rPr>
        <w:t>ú</w:t>
      </w:r>
      <w:r w:rsidR="005237CD" w:rsidRPr="006F525B">
        <w:rPr>
          <w:lang w:val="hu-HU"/>
        </w:rPr>
        <w:t xml:space="preserve"> referencia</w:t>
      </w:r>
      <w:r w:rsidR="00A718B3" w:rsidRPr="006F525B">
        <w:rPr>
          <w:lang w:val="hu-HU"/>
        </w:rPr>
        <w:t>készítmény</w:t>
      </w:r>
      <w:r w:rsidRPr="006F525B">
        <w:rPr>
          <w:lang w:val="hu-HU"/>
        </w:rPr>
        <w:t xml:space="preserve"> vizsgálati eredményeinek benyújtási kötelezettségétől a 2-es típusú diabetes mellitusban (lásd 4.2 pont, gyermek</w:t>
      </w:r>
      <w:r w:rsidR="009C13D0">
        <w:rPr>
          <w:lang w:val="hu-HU"/>
        </w:rPr>
        <w:t>ek</w:t>
      </w:r>
      <w:r w:rsidR="004C2591">
        <w:rPr>
          <w:lang w:val="hu-HU"/>
        </w:rPr>
        <w:t>re</w:t>
      </w:r>
      <w:r w:rsidR="00845B6F">
        <w:rPr>
          <w:lang w:val="hu-HU"/>
        </w:rPr>
        <w:t xml:space="preserve"> és serdülőkre</w:t>
      </w:r>
      <w:r w:rsidRPr="006F525B">
        <w:rPr>
          <w:lang w:val="hu-HU"/>
        </w:rPr>
        <w:t xml:space="preserve"> vonatkozó információk).</w:t>
      </w:r>
    </w:p>
    <w:p w14:paraId="0176469E" w14:textId="77777777" w:rsidR="002702C5" w:rsidRPr="006F525B" w:rsidRDefault="002702C5" w:rsidP="006F525B">
      <w:pPr>
        <w:tabs>
          <w:tab w:val="clear" w:pos="567"/>
        </w:tabs>
        <w:spacing w:line="240" w:lineRule="auto"/>
        <w:ind w:left="-5" w:right="8"/>
        <w:rPr>
          <w:lang w:val="hu-HU"/>
        </w:rPr>
      </w:pPr>
    </w:p>
    <w:p w14:paraId="317FCCB4" w14:textId="77777777" w:rsidR="004E1960" w:rsidRPr="006F525B" w:rsidRDefault="004E1960" w:rsidP="006F525B">
      <w:pPr>
        <w:tabs>
          <w:tab w:val="clear" w:pos="567"/>
        </w:tabs>
        <w:spacing w:line="240" w:lineRule="auto"/>
        <w:ind w:left="-5" w:right="8"/>
        <w:rPr>
          <w:lang w:val="hu-HU"/>
        </w:rPr>
      </w:pPr>
      <w:r w:rsidRPr="006F525B">
        <w:rPr>
          <w:lang w:val="hu-HU"/>
        </w:rPr>
        <w:t>A szitagliptin hatásosságát és biztonságosságát két vizsgálatban, 54 héten át vizsgálták, 10</w:t>
      </w:r>
      <w:r w:rsidR="00142932" w:rsidRPr="006F525B">
        <w:rPr>
          <w:lang w:val="hu-HU"/>
        </w:rPr>
        <w:t xml:space="preserve"> és betöltött</w:t>
      </w:r>
      <w:r w:rsidRPr="006F525B">
        <w:rPr>
          <w:lang w:val="hu-HU"/>
        </w:rPr>
        <w:t>18</w:t>
      </w:r>
      <w:r w:rsidR="00142932" w:rsidRPr="006F525B">
        <w:rPr>
          <w:lang w:val="hu-HU"/>
        </w:rPr>
        <w:t>.</w:t>
      </w:r>
      <w:r w:rsidRPr="006F525B">
        <w:rPr>
          <w:lang w:val="hu-HU"/>
        </w:rPr>
        <w:t xml:space="preserve"> </w:t>
      </w:r>
      <w:r w:rsidR="00733CC8" w:rsidRPr="006F525B">
        <w:rPr>
          <w:lang w:val="hu-HU"/>
        </w:rPr>
        <w:t>élet</w:t>
      </w:r>
      <w:r w:rsidRPr="006F525B">
        <w:rPr>
          <w:lang w:val="hu-HU"/>
        </w:rPr>
        <w:t>év</w:t>
      </w:r>
      <w:r w:rsidR="00142932" w:rsidRPr="006F525B">
        <w:rPr>
          <w:lang w:val="hu-HU"/>
        </w:rPr>
        <w:t xml:space="preserve"> közötti</w:t>
      </w:r>
      <w:r w:rsidRPr="006F525B">
        <w:rPr>
          <w:lang w:val="hu-HU"/>
        </w:rPr>
        <w:t xml:space="preserve">, 2-es típusú diabéteszben szenvedő és inzulinnal vagy anélkül alkalmazott metformin-terápia mellett nem kielégítő glykaemiás kontrollal rendelkező gyermekeknél és serdülőknél. A szitagliptin (szitagliptin + metformin vagy szitagliptin + elhúzódó felszívódású metformin </w:t>
      </w:r>
      <w:r w:rsidR="00845B6F">
        <w:rPr>
          <w:lang w:val="hu-HU"/>
        </w:rPr>
        <w:t>[</w:t>
      </w:r>
      <w:r w:rsidRPr="006F525B">
        <w:rPr>
          <w:lang w:val="hu-HU"/>
        </w:rPr>
        <w:t>XR, extended release</w:t>
      </w:r>
      <w:r w:rsidR="00845B6F">
        <w:rPr>
          <w:lang w:val="hu-HU"/>
        </w:rPr>
        <w:t>]</w:t>
      </w:r>
      <w:r w:rsidRPr="006F525B">
        <w:rPr>
          <w:lang w:val="hu-HU"/>
        </w:rPr>
        <w:t xml:space="preserve"> formájában) hozzáadását hasonlították placebo metforminhoz vagy metformin XR-hez történő adásához.</w:t>
      </w:r>
    </w:p>
    <w:p w14:paraId="0EDCDCCD" w14:textId="77777777" w:rsidR="00733CC8" w:rsidRPr="006F525B" w:rsidRDefault="00733CC8" w:rsidP="006F525B">
      <w:pPr>
        <w:tabs>
          <w:tab w:val="clear" w:pos="567"/>
        </w:tabs>
        <w:spacing w:line="240" w:lineRule="auto"/>
        <w:ind w:left="-5" w:right="8"/>
        <w:rPr>
          <w:lang w:val="hu-HU"/>
        </w:rPr>
      </w:pPr>
    </w:p>
    <w:p w14:paraId="4A0F676C" w14:textId="77777777" w:rsidR="004E1960" w:rsidRPr="006F525B" w:rsidRDefault="004E1960" w:rsidP="006F525B">
      <w:pPr>
        <w:tabs>
          <w:tab w:val="clear" w:pos="567"/>
        </w:tabs>
        <w:spacing w:line="240" w:lineRule="auto"/>
        <w:ind w:left="-5" w:right="8"/>
        <w:rPr>
          <w:lang w:val="hu-HU"/>
        </w:rPr>
      </w:pPr>
      <w:r w:rsidRPr="006F525B">
        <w:rPr>
          <w:lang w:val="hu-HU"/>
        </w:rPr>
        <w:t>Bár a két vizsgálat összesített elemzésében a 20. héten a HbA</w:t>
      </w:r>
      <w:r w:rsidRPr="006F525B">
        <w:rPr>
          <w:vertAlign w:val="subscript"/>
          <w:lang w:val="hu-HU"/>
        </w:rPr>
        <w:t xml:space="preserve">1c </w:t>
      </w:r>
      <w:r w:rsidRPr="006F525B">
        <w:rPr>
          <w:lang w:val="hu-HU"/>
        </w:rPr>
        <w:t xml:space="preserve">csökkentése terén jobbnak bizonyult a szitagliptin + metformin / szitagliptin + metformin XR, mint a metformin, az egyes vizsgálatokból származó eredmények ellentmondásosak voltak. Továbbá, az 54. héten a szitagliptin + metformin / szitagliptin + metformin XR metforminhoz viszonyított nagyobb hatásosságát nem figyelték meg. Ennélfogva a </w:t>
      </w:r>
      <w:r w:rsidR="00200067">
        <w:rPr>
          <w:lang w:val="hu-HU"/>
        </w:rPr>
        <w:t>JUZIMETTE</w:t>
      </w:r>
      <w:r w:rsidRPr="006F525B">
        <w:rPr>
          <w:lang w:val="hu-HU"/>
        </w:rPr>
        <w:t xml:space="preserve"> nem alkalmazható 10</w:t>
      </w:r>
      <w:r w:rsidR="00553423" w:rsidRPr="006F525B">
        <w:rPr>
          <w:lang w:val="hu-HU"/>
        </w:rPr>
        <w:t xml:space="preserve"> és betöltött</w:t>
      </w:r>
      <w:r w:rsidRPr="006F525B">
        <w:rPr>
          <w:lang w:val="hu-HU"/>
        </w:rPr>
        <w:t>18</w:t>
      </w:r>
      <w:r w:rsidR="00553423" w:rsidRPr="006F525B">
        <w:rPr>
          <w:lang w:val="hu-HU"/>
        </w:rPr>
        <w:t>.</w:t>
      </w:r>
      <w:r w:rsidRPr="006F525B">
        <w:rPr>
          <w:lang w:val="hu-HU"/>
        </w:rPr>
        <w:t xml:space="preserve"> </w:t>
      </w:r>
      <w:r w:rsidR="00553423" w:rsidRPr="006F525B">
        <w:rPr>
          <w:lang w:val="hu-HU"/>
        </w:rPr>
        <w:t>élet</w:t>
      </w:r>
      <w:r w:rsidRPr="006F525B">
        <w:rPr>
          <w:lang w:val="hu-HU"/>
        </w:rPr>
        <w:t>év</w:t>
      </w:r>
      <w:r w:rsidR="00553423" w:rsidRPr="006F525B">
        <w:rPr>
          <w:lang w:val="hu-HU"/>
        </w:rPr>
        <w:t xml:space="preserve"> közötti </w:t>
      </w:r>
      <w:r w:rsidRPr="006F525B">
        <w:rPr>
          <w:lang w:val="hu-HU"/>
        </w:rPr>
        <w:t>gyermekeknél és serdülőknél az elégtelen hatásosság miatt (a gyermekeknél és serdülőknél történő alkalmazásról lásd 4.2 pont).</w:t>
      </w:r>
    </w:p>
    <w:p w14:paraId="4BFF6C3E" w14:textId="77777777" w:rsidR="00553423" w:rsidRPr="006F525B" w:rsidRDefault="00553423" w:rsidP="006F525B">
      <w:pPr>
        <w:tabs>
          <w:tab w:val="clear" w:pos="567"/>
        </w:tabs>
        <w:spacing w:line="240" w:lineRule="auto"/>
        <w:ind w:left="-5" w:right="8"/>
        <w:rPr>
          <w:lang w:val="hu-HU"/>
        </w:rPr>
      </w:pPr>
    </w:p>
    <w:p w14:paraId="20E86C21" w14:textId="24504410" w:rsidR="004E1960" w:rsidRPr="006F525B" w:rsidRDefault="004E1960" w:rsidP="006C11D4">
      <w:pPr>
        <w:spacing w:line="240" w:lineRule="auto"/>
        <w:ind w:left="-5"/>
        <w:rPr>
          <w:lang w:val="hu-HU"/>
        </w:rPr>
      </w:pPr>
      <w:r w:rsidRPr="006F525B">
        <w:rPr>
          <w:b/>
          <w:lang w:val="hu-HU"/>
        </w:rPr>
        <w:t>5.2</w:t>
      </w:r>
      <w:r w:rsidR="00217158">
        <w:rPr>
          <w:lang w:val="hu-HU"/>
        </w:rPr>
        <w:tab/>
      </w:r>
      <w:r w:rsidRPr="006F525B">
        <w:rPr>
          <w:b/>
          <w:lang w:val="hu-HU"/>
        </w:rPr>
        <w:t>Farmakokinetikai tulajdonságok</w:t>
      </w:r>
    </w:p>
    <w:p w14:paraId="0F88ED28" w14:textId="77777777" w:rsidR="00553423" w:rsidRPr="006F525B" w:rsidRDefault="00553423" w:rsidP="006F525B">
      <w:pPr>
        <w:tabs>
          <w:tab w:val="clear" w:pos="567"/>
        </w:tabs>
        <w:spacing w:line="240" w:lineRule="auto"/>
        <w:ind w:left="-5" w:right="124"/>
        <w:rPr>
          <w:u w:color="000000"/>
          <w:lang w:val="hu-HU"/>
        </w:rPr>
      </w:pPr>
    </w:p>
    <w:p w14:paraId="12FECFBB" w14:textId="77777777" w:rsidR="004E1960" w:rsidRPr="006F525B" w:rsidRDefault="00200067" w:rsidP="006F525B">
      <w:pPr>
        <w:tabs>
          <w:tab w:val="clear" w:pos="567"/>
        </w:tabs>
        <w:spacing w:line="240" w:lineRule="auto"/>
        <w:ind w:left="-5" w:right="124"/>
        <w:rPr>
          <w:u w:val="single" w:color="000000"/>
          <w:lang w:val="hu-HU"/>
        </w:rPr>
      </w:pPr>
      <w:r>
        <w:rPr>
          <w:u w:val="single" w:color="000000"/>
          <w:lang w:val="hu-HU"/>
        </w:rPr>
        <w:t>JUZIMETTE</w:t>
      </w:r>
    </w:p>
    <w:p w14:paraId="5473F540" w14:textId="20CDCC4E" w:rsidR="004E1960" w:rsidRPr="006F525B" w:rsidRDefault="004E1960" w:rsidP="006F525B">
      <w:pPr>
        <w:tabs>
          <w:tab w:val="clear" w:pos="567"/>
        </w:tabs>
        <w:spacing w:line="240" w:lineRule="auto"/>
        <w:ind w:left="-5" w:right="8"/>
        <w:rPr>
          <w:lang w:val="hu-HU"/>
        </w:rPr>
      </w:pPr>
      <w:r w:rsidRPr="006F525B">
        <w:rPr>
          <w:lang w:val="hu-HU"/>
        </w:rPr>
        <w:t>Egy egészséges önkéntesek</w:t>
      </w:r>
      <w:r w:rsidR="005B58A1">
        <w:rPr>
          <w:lang w:val="hu-HU"/>
        </w:rPr>
        <w:t>k</w:t>
      </w:r>
      <w:r w:rsidRPr="006F525B">
        <w:rPr>
          <w:lang w:val="hu-HU"/>
        </w:rPr>
        <w:t>e</w:t>
      </w:r>
      <w:r w:rsidR="005B58A1">
        <w:rPr>
          <w:lang w:val="hu-HU"/>
        </w:rPr>
        <w:t>l</w:t>
      </w:r>
      <w:r w:rsidRPr="006F525B">
        <w:rPr>
          <w:lang w:val="hu-HU"/>
        </w:rPr>
        <w:t xml:space="preserve"> végzett bioekvivalencia vizsgálat kimutatta, hogy a szitagliptin/metformin-hidroklorid kombinációs tabletta bioekvivalens a szitagliptin</w:t>
      </w:r>
      <w:r w:rsidR="00FD1B6A">
        <w:rPr>
          <w:lang w:val="hu-HU"/>
        </w:rPr>
        <w:t xml:space="preserve"> </w:t>
      </w:r>
      <w:r w:rsidRPr="006F525B">
        <w:rPr>
          <w:lang w:val="hu-HU"/>
        </w:rPr>
        <w:t>és a metformin-hidroklorid különálló tabletták együttes alkalmazásával.</w:t>
      </w:r>
    </w:p>
    <w:p w14:paraId="7F947A8D" w14:textId="77777777" w:rsidR="004E1960" w:rsidRPr="006F525B" w:rsidRDefault="004E1960" w:rsidP="006F525B">
      <w:pPr>
        <w:tabs>
          <w:tab w:val="clear" w:pos="567"/>
        </w:tabs>
        <w:spacing w:line="240" w:lineRule="auto"/>
        <w:ind w:left="-5" w:right="8"/>
        <w:rPr>
          <w:lang w:val="hu-HU"/>
        </w:rPr>
      </w:pPr>
      <w:r w:rsidRPr="006F525B">
        <w:rPr>
          <w:lang w:val="hu-HU"/>
        </w:rPr>
        <w:t xml:space="preserve">Az alábbiak a </w:t>
      </w:r>
      <w:r w:rsidR="00200067">
        <w:rPr>
          <w:lang w:val="hu-HU"/>
        </w:rPr>
        <w:t>JUZIMETTE</w:t>
      </w:r>
      <w:r w:rsidRPr="006F525B">
        <w:rPr>
          <w:lang w:val="hu-HU"/>
        </w:rPr>
        <w:t xml:space="preserve"> különálló hatóanyagainak farmakokinetikai tulajdonságait írják le.</w:t>
      </w:r>
    </w:p>
    <w:p w14:paraId="7E2E7F69" w14:textId="77777777" w:rsidR="003C14A3" w:rsidRPr="006F525B" w:rsidRDefault="003C14A3" w:rsidP="006F525B">
      <w:pPr>
        <w:tabs>
          <w:tab w:val="clear" w:pos="567"/>
        </w:tabs>
        <w:spacing w:line="240" w:lineRule="auto"/>
        <w:ind w:left="-5" w:right="8"/>
        <w:rPr>
          <w:lang w:val="hu-HU"/>
        </w:rPr>
      </w:pPr>
    </w:p>
    <w:p w14:paraId="58DAD9A7"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Szitagliptin</w:t>
      </w:r>
    </w:p>
    <w:p w14:paraId="5EDCB4E8"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Felszívódás</w:t>
      </w:r>
    </w:p>
    <w:p w14:paraId="54150EEF" w14:textId="77777777" w:rsidR="004E1960" w:rsidRPr="006F525B" w:rsidRDefault="004E1960" w:rsidP="006F525B">
      <w:pPr>
        <w:tabs>
          <w:tab w:val="clear" w:pos="567"/>
        </w:tabs>
        <w:spacing w:line="240" w:lineRule="auto"/>
        <w:ind w:left="-5" w:right="8"/>
        <w:rPr>
          <w:lang w:val="hu-HU"/>
        </w:rPr>
      </w:pPr>
      <w:r w:rsidRPr="006F525B">
        <w:rPr>
          <w:lang w:val="hu-HU"/>
        </w:rPr>
        <w:t xml:space="preserve">A szitagliptin </w:t>
      </w:r>
      <w:r w:rsidR="004F72D1" w:rsidRPr="006F525B">
        <w:rPr>
          <w:lang w:val="hu-HU"/>
        </w:rPr>
        <w:t>100 mg</w:t>
      </w:r>
      <w:r w:rsidRPr="006F525B">
        <w:rPr>
          <w:lang w:val="hu-HU"/>
        </w:rPr>
        <w:t>-os dózisa egészséges alanyoknál az orális alkalmazást követően gyorsan felszívódott és a dózis bevételét követő 1</w:t>
      </w:r>
      <w:r w:rsidR="00653ADD" w:rsidRPr="006F525B">
        <w:rPr>
          <w:lang w:val="hu-HU"/>
        </w:rPr>
        <w:t>–</w:t>
      </w:r>
      <w:r w:rsidRPr="006F525B">
        <w:rPr>
          <w:lang w:val="hu-HU"/>
        </w:rPr>
        <w:t>4</w:t>
      </w:r>
      <w:r w:rsidR="00653ADD" w:rsidRPr="006F525B">
        <w:rPr>
          <w:lang w:val="hu-HU"/>
        </w:rPr>
        <w:t> </w:t>
      </w:r>
      <w:r w:rsidRPr="006F525B">
        <w:rPr>
          <w:lang w:val="hu-HU"/>
        </w:rPr>
        <w:t>órán belül érte el a plazma csúcskoncentrációt (</w:t>
      </w:r>
      <w:r w:rsidR="005B58A1">
        <w:rPr>
          <w:lang w:val="hu-HU"/>
        </w:rPr>
        <w:t>medián</w:t>
      </w:r>
      <w:r w:rsidR="005B58A1" w:rsidRPr="006F525B">
        <w:rPr>
          <w:lang w:val="hu-HU"/>
        </w:rPr>
        <w:t xml:space="preserve"> </w:t>
      </w:r>
      <w:r w:rsidR="00653ADD" w:rsidRPr="006F525B">
        <w:rPr>
          <w:lang w:val="hu-HU"/>
        </w:rPr>
        <w:t>t</w:t>
      </w:r>
      <w:r w:rsidRPr="006F525B">
        <w:rPr>
          <w:vertAlign w:val="subscript"/>
          <w:lang w:val="hu-HU"/>
        </w:rPr>
        <w:t>max</w:t>
      </w:r>
      <w:r w:rsidRPr="006F525B">
        <w:rPr>
          <w:lang w:val="hu-HU"/>
        </w:rPr>
        <w:t>), a szitagliptin átlagos plazma AUC-értéke 8,52</w:t>
      </w:r>
      <w:r w:rsidR="00653ADD" w:rsidRPr="006F525B">
        <w:rPr>
          <w:lang w:val="hu-HU"/>
        </w:rPr>
        <w:t> µ</w:t>
      </w:r>
      <w:r w:rsidRPr="006F525B">
        <w:rPr>
          <w:lang w:val="hu-HU"/>
        </w:rPr>
        <w:t>M</w:t>
      </w:r>
      <w:r w:rsidR="005B58A1">
        <w:rPr>
          <w:lang w:val="hu-HU"/>
        </w:rPr>
        <w:t>×</w:t>
      </w:r>
      <w:r w:rsidRPr="006F525B">
        <w:rPr>
          <w:lang w:val="hu-HU"/>
        </w:rPr>
        <w:t>h, a C</w:t>
      </w:r>
      <w:r w:rsidRPr="006F525B">
        <w:rPr>
          <w:vertAlign w:val="subscript"/>
          <w:lang w:val="hu-HU"/>
        </w:rPr>
        <w:t xml:space="preserve">max </w:t>
      </w:r>
      <w:r w:rsidRPr="006F525B">
        <w:rPr>
          <w:lang w:val="hu-HU"/>
        </w:rPr>
        <w:t>értéke 950</w:t>
      </w:r>
      <w:r w:rsidR="00653ADD" w:rsidRPr="006F525B">
        <w:rPr>
          <w:lang w:val="hu-HU"/>
        </w:rPr>
        <w:t> </w:t>
      </w:r>
      <w:r w:rsidRPr="006F525B">
        <w:rPr>
          <w:lang w:val="hu-HU"/>
        </w:rPr>
        <w:t>nM volt. A szitagliptin abszolút biohasznosíthatósága hozzávetőleg 87%. Mivel a szitagliptin egyidejű bevétele magas zsírtartalmú ételekkel nincs kihatással a farmakokinetikára, a szitagliptin ét</w:t>
      </w:r>
      <w:r w:rsidR="005B58A1">
        <w:rPr>
          <w:lang w:val="hu-HU"/>
        </w:rPr>
        <w:t>k</w:t>
      </w:r>
      <w:r w:rsidRPr="006F525B">
        <w:rPr>
          <w:lang w:val="hu-HU"/>
        </w:rPr>
        <w:t>e</w:t>
      </w:r>
      <w:r w:rsidR="005B58A1">
        <w:rPr>
          <w:lang w:val="hu-HU"/>
        </w:rPr>
        <w:t>zés közben</w:t>
      </w:r>
      <w:r w:rsidRPr="006F525B">
        <w:rPr>
          <w:lang w:val="hu-HU"/>
        </w:rPr>
        <w:t xml:space="preserve"> vagy a</w:t>
      </w:r>
      <w:r w:rsidR="005B58A1">
        <w:rPr>
          <w:lang w:val="hu-HU"/>
        </w:rPr>
        <w:t>ttól független</w:t>
      </w:r>
      <w:r w:rsidRPr="006F525B">
        <w:rPr>
          <w:lang w:val="hu-HU"/>
        </w:rPr>
        <w:t>ül is bevehető.</w:t>
      </w:r>
    </w:p>
    <w:p w14:paraId="46EABAD2" w14:textId="77777777" w:rsidR="00653ADD" w:rsidRPr="006F525B" w:rsidRDefault="00653ADD" w:rsidP="006F525B">
      <w:pPr>
        <w:tabs>
          <w:tab w:val="clear" w:pos="567"/>
        </w:tabs>
        <w:spacing w:line="240" w:lineRule="auto"/>
        <w:ind w:left="-5" w:right="8"/>
        <w:rPr>
          <w:lang w:val="hu-HU"/>
        </w:rPr>
      </w:pPr>
    </w:p>
    <w:p w14:paraId="360DD585" w14:textId="77777777" w:rsidR="004E1960" w:rsidRPr="006F525B" w:rsidRDefault="004E1960" w:rsidP="006F525B">
      <w:pPr>
        <w:tabs>
          <w:tab w:val="clear" w:pos="567"/>
        </w:tabs>
        <w:spacing w:line="240" w:lineRule="auto"/>
        <w:ind w:left="-5" w:right="8"/>
        <w:rPr>
          <w:lang w:val="hu-HU"/>
        </w:rPr>
      </w:pPr>
      <w:r w:rsidRPr="006F525B">
        <w:rPr>
          <w:lang w:val="hu-HU"/>
        </w:rPr>
        <w:t>A szitagliptin plazma AUC-értéke dózisarányosan növekedett. A dózisarányosságot a C</w:t>
      </w:r>
      <w:r w:rsidRPr="006F525B">
        <w:rPr>
          <w:vertAlign w:val="subscript"/>
          <w:lang w:val="hu-HU"/>
        </w:rPr>
        <w:t xml:space="preserve">max </w:t>
      </w:r>
      <w:r w:rsidRPr="006F525B">
        <w:rPr>
          <w:lang w:val="hu-HU"/>
        </w:rPr>
        <w:t>és C</w:t>
      </w:r>
      <w:r w:rsidRPr="006F525B">
        <w:rPr>
          <w:vertAlign w:val="subscript"/>
          <w:lang w:val="hu-HU"/>
        </w:rPr>
        <w:t xml:space="preserve">24h </w:t>
      </w:r>
      <w:r w:rsidRPr="006F525B">
        <w:rPr>
          <w:lang w:val="hu-HU"/>
        </w:rPr>
        <w:t>vonatkozásában nem állapították meg (a C</w:t>
      </w:r>
      <w:r w:rsidRPr="006F525B">
        <w:rPr>
          <w:vertAlign w:val="subscript"/>
          <w:lang w:val="hu-HU"/>
        </w:rPr>
        <w:t xml:space="preserve">max </w:t>
      </w:r>
      <w:r w:rsidRPr="006F525B">
        <w:rPr>
          <w:lang w:val="hu-HU"/>
        </w:rPr>
        <w:t>a dózisarányosságnál enyhén nagyobb mértékben nőtt és a C</w:t>
      </w:r>
      <w:r w:rsidRPr="006F525B">
        <w:rPr>
          <w:vertAlign w:val="subscript"/>
          <w:lang w:val="hu-HU"/>
        </w:rPr>
        <w:t xml:space="preserve">24h </w:t>
      </w:r>
      <w:r w:rsidRPr="006F525B">
        <w:rPr>
          <w:lang w:val="hu-HU"/>
        </w:rPr>
        <w:t>a dózisarányosságnál enyhén kisebb mértékben nőtt).</w:t>
      </w:r>
    </w:p>
    <w:p w14:paraId="4BC510E1" w14:textId="77777777" w:rsidR="00653ADD" w:rsidRPr="006F525B" w:rsidRDefault="00653ADD" w:rsidP="006F525B">
      <w:pPr>
        <w:tabs>
          <w:tab w:val="clear" w:pos="567"/>
        </w:tabs>
        <w:spacing w:line="240" w:lineRule="auto"/>
        <w:ind w:left="-5" w:right="8"/>
        <w:rPr>
          <w:lang w:val="hu-HU"/>
        </w:rPr>
      </w:pPr>
    </w:p>
    <w:p w14:paraId="62255F1A"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Eloszlás</w:t>
      </w:r>
    </w:p>
    <w:p w14:paraId="4EBE60B4" w14:textId="77777777" w:rsidR="004E1960" w:rsidRPr="006F525B" w:rsidRDefault="004E1960" w:rsidP="006F525B">
      <w:pPr>
        <w:tabs>
          <w:tab w:val="clear" w:pos="567"/>
        </w:tabs>
        <w:spacing w:line="240" w:lineRule="auto"/>
        <w:ind w:left="-5" w:right="8"/>
        <w:rPr>
          <w:lang w:val="hu-HU"/>
        </w:rPr>
      </w:pPr>
      <w:r w:rsidRPr="006F525B">
        <w:rPr>
          <w:lang w:val="hu-HU"/>
        </w:rPr>
        <w:t>Egészséges emberekn</w:t>
      </w:r>
      <w:r w:rsidR="007875CD">
        <w:rPr>
          <w:lang w:val="hu-HU"/>
        </w:rPr>
        <w:t>él</w:t>
      </w:r>
      <w:r w:rsidRPr="006F525B">
        <w:rPr>
          <w:lang w:val="hu-HU"/>
        </w:rPr>
        <w:t xml:space="preserve"> a szitagliptin egyszeri </w:t>
      </w:r>
      <w:r w:rsidR="004F72D1" w:rsidRPr="006F525B">
        <w:rPr>
          <w:lang w:val="hu-HU"/>
        </w:rPr>
        <w:t>100 mg</w:t>
      </w:r>
      <w:r w:rsidRPr="006F525B">
        <w:rPr>
          <w:lang w:val="hu-HU"/>
        </w:rPr>
        <w:t>-os dózisának intravénás beadását követően az átlagos elosztási térfogat egyensúlyi állapotban hozzávetőleg 198</w:t>
      </w:r>
      <w:r w:rsidR="00A718B3" w:rsidRPr="006F525B">
        <w:rPr>
          <w:lang w:val="hu-HU"/>
        </w:rPr>
        <w:t> </w:t>
      </w:r>
      <w:r w:rsidRPr="006F525B">
        <w:rPr>
          <w:lang w:val="hu-HU"/>
        </w:rPr>
        <w:t>liter. A szitagliptin plazmafehérjékhez reverzibilisen kötődő része alacsony (38%).</w:t>
      </w:r>
    </w:p>
    <w:p w14:paraId="7890C7AF" w14:textId="77777777" w:rsidR="00653ADD" w:rsidRPr="006F525B" w:rsidRDefault="00653ADD" w:rsidP="006F525B">
      <w:pPr>
        <w:tabs>
          <w:tab w:val="clear" w:pos="567"/>
        </w:tabs>
        <w:spacing w:line="240" w:lineRule="auto"/>
        <w:ind w:left="-5" w:right="8"/>
        <w:rPr>
          <w:lang w:val="hu-HU"/>
        </w:rPr>
      </w:pPr>
    </w:p>
    <w:p w14:paraId="65496CCC"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Biotranszformáció</w:t>
      </w:r>
    </w:p>
    <w:p w14:paraId="4CDFC16C" w14:textId="77777777" w:rsidR="004E1960" w:rsidRPr="006F525B" w:rsidRDefault="004E1960" w:rsidP="006F525B">
      <w:pPr>
        <w:tabs>
          <w:tab w:val="clear" w:pos="567"/>
        </w:tabs>
        <w:spacing w:line="240" w:lineRule="auto"/>
        <w:ind w:left="-5" w:right="8"/>
        <w:rPr>
          <w:lang w:val="hu-HU"/>
        </w:rPr>
      </w:pPr>
      <w:r w:rsidRPr="006F525B">
        <w:rPr>
          <w:lang w:val="hu-HU"/>
        </w:rPr>
        <w:t>A szitagliptin elsősorban változatlan formában a vizelettel ürül, a metabolizmus kevésbé jellemző. A szitagliptin hozzávetőleg 79%-a ürül változatlan formában a vizelettel.</w:t>
      </w:r>
    </w:p>
    <w:p w14:paraId="3F0C3AFB" w14:textId="77777777" w:rsidR="00A718B3" w:rsidRPr="006F525B" w:rsidRDefault="00A718B3" w:rsidP="006F525B">
      <w:pPr>
        <w:tabs>
          <w:tab w:val="clear" w:pos="567"/>
        </w:tabs>
        <w:spacing w:line="240" w:lineRule="auto"/>
        <w:ind w:left="-5" w:right="8"/>
        <w:rPr>
          <w:lang w:val="hu-HU"/>
        </w:rPr>
      </w:pPr>
    </w:p>
    <w:p w14:paraId="533F747E" w14:textId="77777777" w:rsidR="004E1960" w:rsidRPr="006F525B" w:rsidRDefault="004E1960" w:rsidP="006F525B">
      <w:pPr>
        <w:tabs>
          <w:tab w:val="clear" w:pos="567"/>
        </w:tabs>
        <w:spacing w:line="240" w:lineRule="auto"/>
        <w:ind w:left="-5" w:right="8"/>
        <w:rPr>
          <w:lang w:val="hu-HU"/>
        </w:rPr>
      </w:pPr>
      <w:r w:rsidRPr="006F525B">
        <w:rPr>
          <w:lang w:val="hu-HU"/>
        </w:rPr>
        <w:t xml:space="preserve">Egy adag </w:t>
      </w:r>
      <w:r w:rsidRPr="006F525B">
        <w:rPr>
          <w:vertAlign w:val="superscript"/>
          <w:lang w:val="hu-HU"/>
        </w:rPr>
        <w:t>14</w:t>
      </w:r>
      <w:r w:rsidRPr="006F525B">
        <w:rPr>
          <w:lang w:val="hu-HU"/>
        </w:rPr>
        <w:t>C</w:t>
      </w:r>
      <w:r w:rsidR="00C87CA0">
        <w:rPr>
          <w:lang w:val="hu-HU"/>
        </w:rPr>
        <w:t>-pal jelölt</w:t>
      </w:r>
      <w:r w:rsidRPr="006F525B">
        <w:rPr>
          <w:lang w:val="hu-HU"/>
        </w:rPr>
        <w:t xml:space="preserve"> szitagliptin orális bevételét követően a radioaktivitás hozzávetőleg 16%-a ürült a szitagliptin metabolitjaként. Hat metabolitot tudtak nyomokban kimutatni, melyek várhatóan nem járulnak hozzá a szitagliptin plazma DPP-4</w:t>
      </w:r>
      <w:r w:rsidR="00C87CA0">
        <w:rPr>
          <w:lang w:val="hu-HU"/>
        </w:rPr>
        <w:t>-</w:t>
      </w:r>
      <w:r w:rsidRPr="006F525B">
        <w:rPr>
          <w:lang w:val="hu-HU"/>
        </w:rPr>
        <w:t xml:space="preserve">gátló tevékenységéhez. Az </w:t>
      </w:r>
      <w:r w:rsidRPr="006F525B">
        <w:rPr>
          <w:i/>
          <w:lang w:val="hu-HU"/>
        </w:rPr>
        <w:t xml:space="preserve">in vitro </w:t>
      </w:r>
      <w:r w:rsidRPr="006F525B">
        <w:rPr>
          <w:lang w:val="hu-HU"/>
        </w:rPr>
        <w:t>vizsgálatok szerint a szitagliptin limitált metabolizmusáért felelős fő enzim a CYP3A4 volt a CYP2C8 közreműködésével.</w:t>
      </w:r>
    </w:p>
    <w:p w14:paraId="4464E049" w14:textId="77777777" w:rsidR="00A718B3" w:rsidRPr="006F525B" w:rsidRDefault="00A718B3" w:rsidP="006F525B">
      <w:pPr>
        <w:tabs>
          <w:tab w:val="clear" w:pos="567"/>
        </w:tabs>
        <w:spacing w:line="240" w:lineRule="auto"/>
        <w:ind w:left="-5" w:right="8"/>
        <w:rPr>
          <w:lang w:val="hu-HU"/>
        </w:rPr>
      </w:pPr>
    </w:p>
    <w:p w14:paraId="6CFD3A8A" w14:textId="77777777" w:rsidR="004E1960" w:rsidRPr="006F525B" w:rsidRDefault="004E1960" w:rsidP="006F525B">
      <w:pPr>
        <w:tabs>
          <w:tab w:val="clear" w:pos="567"/>
        </w:tabs>
        <w:spacing w:line="240" w:lineRule="auto"/>
        <w:ind w:left="-5" w:right="8"/>
        <w:rPr>
          <w:lang w:val="hu-HU"/>
        </w:rPr>
      </w:pPr>
      <w:r w:rsidRPr="006F525B">
        <w:rPr>
          <w:i/>
          <w:lang w:val="hu-HU"/>
        </w:rPr>
        <w:t xml:space="preserve">In vitro </w:t>
      </w:r>
      <w:r w:rsidRPr="006F525B">
        <w:rPr>
          <w:lang w:val="hu-HU"/>
        </w:rPr>
        <w:t>adatok alapján a szitagliptin nem gátolja a CYP izoenzimeket (CYP3A4, 2C8, 2C9, 2D6, 1A2, 2C19 vagy 2B6), és nem indukálja a CYP3A4-et valamint a CYP1A2-t.</w:t>
      </w:r>
    </w:p>
    <w:p w14:paraId="49BBC129" w14:textId="77777777" w:rsidR="00A718B3" w:rsidRPr="006F525B" w:rsidRDefault="00A718B3" w:rsidP="006F525B">
      <w:pPr>
        <w:tabs>
          <w:tab w:val="clear" w:pos="567"/>
        </w:tabs>
        <w:spacing w:line="240" w:lineRule="auto"/>
        <w:ind w:left="-5" w:right="8"/>
        <w:rPr>
          <w:lang w:val="hu-HU"/>
        </w:rPr>
      </w:pPr>
    </w:p>
    <w:p w14:paraId="42EE13A4"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Elimináció</w:t>
      </w:r>
    </w:p>
    <w:p w14:paraId="42745AF0" w14:textId="77777777" w:rsidR="004E1960" w:rsidRPr="006F525B" w:rsidRDefault="004E1960" w:rsidP="006F525B">
      <w:pPr>
        <w:tabs>
          <w:tab w:val="clear" w:pos="567"/>
        </w:tabs>
        <w:spacing w:line="240" w:lineRule="auto"/>
        <w:ind w:left="-5" w:right="8"/>
        <w:rPr>
          <w:lang w:val="hu-HU"/>
        </w:rPr>
      </w:pPr>
      <w:r w:rsidRPr="006F525B">
        <w:rPr>
          <w:lang w:val="hu-HU"/>
        </w:rPr>
        <w:t xml:space="preserve">Egy adag </w:t>
      </w:r>
      <w:r w:rsidRPr="006F525B">
        <w:rPr>
          <w:vertAlign w:val="superscript"/>
          <w:lang w:val="hu-HU"/>
        </w:rPr>
        <w:t>14</w:t>
      </w:r>
      <w:r w:rsidRPr="006F525B">
        <w:rPr>
          <w:lang w:val="hu-HU"/>
        </w:rPr>
        <w:t>C</w:t>
      </w:r>
      <w:r w:rsidR="00C87CA0">
        <w:rPr>
          <w:lang w:val="hu-HU"/>
        </w:rPr>
        <w:t>-pal jelölt</w:t>
      </w:r>
      <w:r w:rsidRPr="006F525B">
        <w:rPr>
          <w:lang w:val="hu-HU"/>
        </w:rPr>
        <w:t xml:space="preserve"> szitagliptin egészséges résztvevőknek történő orális beadását követően az alkalmazott radioaktivitás megközelítőleg 100%-a ürült a széklettel (13%) vagy vizelettel (87%) a dózis beadását követő </w:t>
      </w:r>
      <w:r w:rsidR="00C87CA0">
        <w:rPr>
          <w:lang w:val="hu-HU"/>
        </w:rPr>
        <w:t xml:space="preserve">egy </w:t>
      </w:r>
      <w:r w:rsidRPr="006F525B">
        <w:rPr>
          <w:lang w:val="hu-HU"/>
        </w:rPr>
        <w:t xml:space="preserve">héten belül. A szitagliptin </w:t>
      </w:r>
      <w:r w:rsidR="004F72D1" w:rsidRPr="006F525B">
        <w:rPr>
          <w:lang w:val="hu-HU"/>
        </w:rPr>
        <w:t>100 mg</w:t>
      </w:r>
      <w:r w:rsidRPr="006F525B">
        <w:rPr>
          <w:lang w:val="hu-HU"/>
        </w:rPr>
        <w:t>-os orális dózisát követő látszólagos terminális t</w:t>
      </w:r>
      <w:r w:rsidRPr="006F525B">
        <w:rPr>
          <w:vertAlign w:val="subscript"/>
          <w:lang w:val="hu-HU"/>
        </w:rPr>
        <w:t xml:space="preserve">1/2 </w:t>
      </w:r>
      <w:r w:rsidRPr="006F525B">
        <w:rPr>
          <w:lang w:val="hu-HU"/>
        </w:rPr>
        <w:t>hozzávetőleg 12,4</w:t>
      </w:r>
      <w:r w:rsidR="00A718B3" w:rsidRPr="006F525B">
        <w:rPr>
          <w:lang w:val="hu-HU"/>
        </w:rPr>
        <w:t> </w:t>
      </w:r>
      <w:r w:rsidRPr="006F525B">
        <w:rPr>
          <w:lang w:val="hu-HU"/>
        </w:rPr>
        <w:t>óra. A szitagliptin többszörös dózisok esetén csak minimális mértékben halmozódik fel. A renális clearance megközelítőleg 350</w:t>
      </w:r>
      <w:r w:rsidR="00A718B3" w:rsidRPr="006F525B">
        <w:rPr>
          <w:lang w:val="hu-HU"/>
        </w:rPr>
        <w:t> </w:t>
      </w:r>
      <w:r w:rsidRPr="006F525B">
        <w:rPr>
          <w:lang w:val="hu-HU"/>
        </w:rPr>
        <w:t>ml/perc volt.</w:t>
      </w:r>
    </w:p>
    <w:p w14:paraId="04D1734C" w14:textId="77777777" w:rsidR="00A718B3" w:rsidRPr="006F525B" w:rsidRDefault="00A718B3" w:rsidP="006F525B">
      <w:pPr>
        <w:tabs>
          <w:tab w:val="clear" w:pos="567"/>
        </w:tabs>
        <w:spacing w:line="240" w:lineRule="auto"/>
        <w:ind w:left="-5" w:right="8"/>
        <w:rPr>
          <w:lang w:val="hu-HU"/>
        </w:rPr>
      </w:pPr>
    </w:p>
    <w:p w14:paraId="7240D05F" w14:textId="77777777" w:rsidR="004E1960" w:rsidRPr="006F525B" w:rsidRDefault="004E1960" w:rsidP="006F525B">
      <w:pPr>
        <w:tabs>
          <w:tab w:val="clear" w:pos="567"/>
        </w:tabs>
        <w:spacing w:line="240" w:lineRule="auto"/>
        <w:ind w:left="-5" w:right="8"/>
        <w:rPr>
          <w:lang w:val="hu-HU"/>
        </w:rPr>
      </w:pPr>
      <w:r w:rsidRPr="006F525B">
        <w:rPr>
          <w:lang w:val="hu-HU"/>
        </w:rPr>
        <w:t xml:space="preserve">A szitagliptin elsősorban a vesén keresztül ürül, aktív tubuláris szekrécióval. A szitagliptin a humán organikus aniontranszporter-3 (hOAT-3) szubsztrátja, mely a szitagliptin renális kiválasztódásában játszhat szerepet. A hOAT-3 klinikai jelentőségét a szitagliptin transzport terén még nem állapították meg. A szitagliptin egyben a renális kiválasztódásában esetlegesen közvetítőszerepet játszó p-glikoprotein szubsztrátja is. A p-glikoprotein inhibitornak minősülő ciklosporin azonban nem csökkentette a szitagliptin renális clearance-ét. A szitagliptin nem szubsztrátja az OCT2 vagy OAT1, illetve a PEPT1/2 transzportereknek. A szitagliptin </w:t>
      </w:r>
      <w:r w:rsidRPr="006F525B">
        <w:rPr>
          <w:i/>
          <w:lang w:val="hu-HU"/>
        </w:rPr>
        <w:t xml:space="preserve">in vitro </w:t>
      </w:r>
      <w:r w:rsidRPr="006F525B">
        <w:rPr>
          <w:lang w:val="hu-HU"/>
        </w:rPr>
        <w:t>nem gátolta az OAT3 (IC</w:t>
      </w:r>
      <w:r w:rsidRPr="002A1E85">
        <w:rPr>
          <w:vertAlign w:val="subscript"/>
          <w:lang w:val="hu-HU"/>
        </w:rPr>
        <w:t>50</w:t>
      </w:r>
      <w:r w:rsidRPr="006F525B">
        <w:rPr>
          <w:lang w:val="hu-HU"/>
        </w:rPr>
        <w:t>=160</w:t>
      </w:r>
      <w:r w:rsidR="00487439" w:rsidRPr="006F525B">
        <w:rPr>
          <w:lang w:val="hu-HU"/>
        </w:rPr>
        <w:t> µ</w:t>
      </w:r>
      <w:r w:rsidRPr="006F525B">
        <w:rPr>
          <w:lang w:val="hu-HU"/>
        </w:rPr>
        <w:t>M) vagy a p-glikoprotein (legfeljebb 250</w:t>
      </w:r>
      <w:r w:rsidR="00487439" w:rsidRPr="006F525B">
        <w:rPr>
          <w:lang w:val="hu-HU"/>
        </w:rPr>
        <w:t> µ</w:t>
      </w:r>
      <w:r w:rsidRPr="006F525B">
        <w:rPr>
          <w:lang w:val="hu-HU"/>
        </w:rPr>
        <w:t>M) által közvetített transzportot a kezelés szempontjából releváns plazma koncentrációban. Egy klinikai vizsgálatban a szitagliptin csekély mértékben befolyásolta a plazma</w:t>
      </w:r>
      <w:r w:rsidR="00C87CA0">
        <w:rPr>
          <w:lang w:val="hu-HU"/>
        </w:rPr>
        <w:t xml:space="preserve"> </w:t>
      </w:r>
      <w:r w:rsidRPr="006F525B">
        <w:rPr>
          <w:lang w:val="hu-HU"/>
        </w:rPr>
        <w:t>digoxin</w:t>
      </w:r>
      <w:r w:rsidR="00C87CA0">
        <w:rPr>
          <w:lang w:val="hu-HU"/>
        </w:rPr>
        <w:t>-</w:t>
      </w:r>
      <w:r w:rsidRPr="006F525B">
        <w:rPr>
          <w:lang w:val="hu-HU"/>
        </w:rPr>
        <w:t>koncentrációt, mely azt jelzi, hogy a szitagliptin a p-glikoproteint enyhén gátolhatja.</w:t>
      </w:r>
    </w:p>
    <w:p w14:paraId="3B86BB55" w14:textId="77777777" w:rsidR="00487439" w:rsidRPr="006F525B" w:rsidRDefault="00487439" w:rsidP="006F525B">
      <w:pPr>
        <w:tabs>
          <w:tab w:val="clear" w:pos="567"/>
        </w:tabs>
        <w:spacing w:line="240" w:lineRule="auto"/>
        <w:ind w:left="-5" w:right="8"/>
        <w:rPr>
          <w:lang w:val="hu-HU"/>
        </w:rPr>
      </w:pPr>
    </w:p>
    <w:p w14:paraId="3ACD783B"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Különleges betegcsoportok</w:t>
      </w:r>
    </w:p>
    <w:p w14:paraId="778A4CCB" w14:textId="77777777" w:rsidR="004E1960" w:rsidRPr="006F525B" w:rsidRDefault="004E1960" w:rsidP="006F525B">
      <w:pPr>
        <w:tabs>
          <w:tab w:val="clear" w:pos="567"/>
        </w:tabs>
        <w:spacing w:line="240" w:lineRule="auto"/>
        <w:ind w:left="-5" w:right="8"/>
        <w:rPr>
          <w:lang w:val="hu-HU"/>
        </w:rPr>
      </w:pPr>
      <w:r w:rsidRPr="006F525B">
        <w:rPr>
          <w:lang w:val="hu-HU"/>
        </w:rPr>
        <w:t>A szitagliptin farmakokinetikája általában véve hasonló volt az egészséges alanyok és a 2-es típusú diabéteszben szenvedő betegek esetében.</w:t>
      </w:r>
    </w:p>
    <w:p w14:paraId="0FB0EE07" w14:textId="77777777" w:rsidR="00487439" w:rsidRPr="006F525B" w:rsidRDefault="00487439" w:rsidP="006F525B">
      <w:pPr>
        <w:tabs>
          <w:tab w:val="clear" w:pos="567"/>
        </w:tabs>
        <w:spacing w:line="240" w:lineRule="auto"/>
        <w:ind w:left="-5" w:right="8"/>
        <w:rPr>
          <w:lang w:val="hu-HU"/>
        </w:rPr>
      </w:pPr>
    </w:p>
    <w:p w14:paraId="11A833C6"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Vesekárosodás</w:t>
      </w:r>
    </w:p>
    <w:p w14:paraId="7CD6F35D" w14:textId="77777777" w:rsidR="004E1960" w:rsidRPr="006F525B" w:rsidRDefault="004E1960" w:rsidP="006F525B">
      <w:pPr>
        <w:tabs>
          <w:tab w:val="clear" w:pos="567"/>
        </w:tabs>
        <w:spacing w:line="240" w:lineRule="auto"/>
        <w:ind w:left="-5" w:right="8"/>
        <w:rPr>
          <w:lang w:val="hu-HU"/>
        </w:rPr>
      </w:pPr>
      <w:r w:rsidRPr="006F525B">
        <w:rPr>
          <w:lang w:val="hu-HU"/>
        </w:rPr>
        <w:t>Egy nyílt</w:t>
      </w:r>
      <w:r w:rsidR="006A31DF">
        <w:rPr>
          <w:lang w:val="hu-HU"/>
        </w:rPr>
        <w:t xml:space="preserve"> elre</w:t>
      </w:r>
      <w:r w:rsidR="00AA5A53">
        <w:rPr>
          <w:lang w:val="hu-HU"/>
        </w:rPr>
        <w:t>n</w:t>
      </w:r>
      <w:r w:rsidR="006A31DF">
        <w:rPr>
          <w:lang w:val="hu-HU"/>
        </w:rPr>
        <w:t>dezésű</w:t>
      </w:r>
      <w:r w:rsidRPr="006F525B">
        <w:rPr>
          <w:lang w:val="hu-HU"/>
        </w:rPr>
        <w:t xml:space="preserve">, egyszeri </w:t>
      </w:r>
      <w:r w:rsidR="00CE0CCB">
        <w:rPr>
          <w:lang w:val="hu-HU"/>
        </w:rPr>
        <w:t>dózist</w:t>
      </w:r>
      <w:r w:rsidR="00CE0CCB" w:rsidRPr="006F525B">
        <w:rPr>
          <w:lang w:val="hu-HU"/>
        </w:rPr>
        <w:t xml:space="preserve"> </w:t>
      </w:r>
      <w:r w:rsidRPr="006F525B">
        <w:rPr>
          <w:lang w:val="hu-HU"/>
        </w:rPr>
        <w:t>alkalmazó vizsgálatot folytattak a csökkentett dózisú szitagliptin (</w:t>
      </w:r>
      <w:r w:rsidR="004F72D1" w:rsidRPr="006F525B">
        <w:rPr>
          <w:lang w:val="hu-HU"/>
        </w:rPr>
        <w:t>50 mg</w:t>
      </w:r>
      <w:r w:rsidRPr="006F525B">
        <w:rPr>
          <w:lang w:val="hu-HU"/>
        </w:rPr>
        <w:t xml:space="preserve">) farmakokinetikájának értékelése céljából, különböző fokú krónikus vesekárosodásban szenvedő betegek és egészséges kontrollalanyok összehasonlításával. A vizsgálatot enyhe, közepesen súlyos és súlyos </w:t>
      </w:r>
      <w:r w:rsidR="00EF7E90" w:rsidRPr="006F525B">
        <w:rPr>
          <w:lang w:val="hu-HU"/>
        </w:rPr>
        <w:t xml:space="preserve">fokú </w:t>
      </w:r>
      <w:r w:rsidRPr="006F525B">
        <w:rPr>
          <w:lang w:val="hu-HU"/>
        </w:rPr>
        <w:t xml:space="preserve">vesekárosodásban, valamint végstádiumú vesebetegségben (ESRD) szenvedő, hemodialízisre szoruló betegekkel folytatták. Ezen kívül populációs farmakokinetikai elemzésekkel értékelték a vesekárosodás szitagliptin farmakokinetikájára gyakorolt hatását 2-es típusú diabetesben és enyhe, közepesen súlyos vagy súlyos </w:t>
      </w:r>
      <w:r w:rsidR="00134C43" w:rsidRPr="006F525B">
        <w:rPr>
          <w:lang w:val="hu-HU"/>
        </w:rPr>
        <w:t xml:space="preserve">fokú </w:t>
      </w:r>
      <w:r w:rsidRPr="006F525B">
        <w:rPr>
          <w:lang w:val="hu-HU"/>
        </w:rPr>
        <w:t>vesekárosodásban (beleértve az ESRD-t is) szenvedő betegeknél.</w:t>
      </w:r>
    </w:p>
    <w:p w14:paraId="5D433F14" w14:textId="77777777" w:rsidR="00487439" w:rsidRPr="006F525B" w:rsidRDefault="00487439" w:rsidP="006F525B">
      <w:pPr>
        <w:tabs>
          <w:tab w:val="clear" w:pos="567"/>
        </w:tabs>
        <w:spacing w:line="240" w:lineRule="auto"/>
        <w:ind w:left="-5" w:right="8"/>
        <w:rPr>
          <w:lang w:val="hu-HU"/>
        </w:rPr>
      </w:pPr>
    </w:p>
    <w:p w14:paraId="77D7CBB0" w14:textId="77777777" w:rsidR="004E1960" w:rsidRPr="006F525B" w:rsidRDefault="004E1960" w:rsidP="006F525B">
      <w:pPr>
        <w:tabs>
          <w:tab w:val="clear" w:pos="567"/>
        </w:tabs>
        <w:spacing w:line="240" w:lineRule="auto"/>
        <w:ind w:left="-5" w:right="389"/>
        <w:rPr>
          <w:lang w:val="hu-HU"/>
        </w:rPr>
      </w:pPr>
      <w:r w:rsidRPr="006F525B">
        <w:rPr>
          <w:lang w:val="hu-HU"/>
        </w:rPr>
        <w:t>Az egészséges önkéntesekhez képest az enyhe vesekárosodásban szenvedő betegeknél (GFR ≥</w:t>
      </w:r>
      <w:r w:rsidR="00C31AE3" w:rsidRPr="006F525B">
        <w:rPr>
          <w:lang w:val="hu-HU"/>
        </w:rPr>
        <w:t> </w:t>
      </w:r>
      <w:r w:rsidRPr="006F525B">
        <w:rPr>
          <w:lang w:val="hu-HU"/>
        </w:rPr>
        <w:t>60</w:t>
      </w:r>
      <w:r w:rsidR="00C31AE3" w:rsidRPr="006F525B">
        <w:rPr>
          <w:lang w:val="hu-HU"/>
        </w:rPr>
        <w:t>–</w:t>
      </w:r>
      <w:r w:rsidRPr="006F525B">
        <w:rPr>
          <w:lang w:val="hu-HU"/>
        </w:rPr>
        <w:t>&lt;</w:t>
      </w:r>
      <w:r w:rsidR="00C31AE3" w:rsidRPr="006F525B">
        <w:rPr>
          <w:lang w:val="hu-HU"/>
        </w:rPr>
        <w:t> </w:t>
      </w:r>
      <w:r w:rsidRPr="006F525B">
        <w:rPr>
          <w:lang w:val="hu-HU"/>
        </w:rPr>
        <w:t>90</w:t>
      </w:r>
      <w:r w:rsidR="00C31AE3" w:rsidRPr="006F525B">
        <w:rPr>
          <w:lang w:val="hu-HU"/>
        </w:rPr>
        <w:t> </w:t>
      </w:r>
      <w:r w:rsidRPr="006F525B">
        <w:rPr>
          <w:lang w:val="hu-HU"/>
        </w:rPr>
        <w:t xml:space="preserve">ml/perc) a szitagliptin plazma AUC-értéke hozzávetőleg 1,2-szeresére, míg a közepesen súlyos </w:t>
      </w:r>
      <w:r w:rsidR="00134C43" w:rsidRPr="006F525B">
        <w:rPr>
          <w:lang w:val="hu-HU"/>
        </w:rPr>
        <w:t xml:space="preserve">fokú </w:t>
      </w:r>
      <w:r w:rsidRPr="006F525B">
        <w:rPr>
          <w:lang w:val="hu-HU"/>
        </w:rPr>
        <w:t>vesekárosodásban szenvedő betegeknél (GFR ≥</w:t>
      </w:r>
      <w:r w:rsidR="00C31AE3" w:rsidRPr="006F525B">
        <w:rPr>
          <w:lang w:val="hu-HU"/>
        </w:rPr>
        <w:t> </w:t>
      </w:r>
      <w:r w:rsidRPr="006F525B">
        <w:rPr>
          <w:lang w:val="hu-HU"/>
        </w:rPr>
        <w:t>45</w:t>
      </w:r>
      <w:r w:rsidR="00C31AE3" w:rsidRPr="006F525B">
        <w:rPr>
          <w:lang w:val="hu-HU"/>
        </w:rPr>
        <w:t>–</w:t>
      </w:r>
      <w:r w:rsidRPr="006F525B">
        <w:rPr>
          <w:lang w:val="hu-HU"/>
        </w:rPr>
        <w:t xml:space="preserve"> &lt;</w:t>
      </w:r>
      <w:r w:rsidR="00C31AE3" w:rsidRPr="006F525B">
        <w:rPr>
          <w:lang w:val="hu-HU"/>
        </w:rPr>
        <w:t> </w:t>
      </w:r>
      <w:r w:rsidRPr="006F525B">
        <w:rPr>
          <w:lang w:val="hu-HU"/>
        </w:rPr>
        <w:t>60</w:t>
      </w:r>
      <w:r w:rsidR="00C31AE3" w:rsidRPr="006F525B">
        <w:rPr>
          <w:lang w:val="hu-HU"/>
        </w:rPr>
        <w:t> </w:t>
      </w:r>
      <w:r w:rsidRPr="006F525B">
        <w:rPr>
          <w:lang w:val="hu-HU"/>
        </w:rPr>
        <w:t>ml/perc) hozzávetőleg 1,6-szeresére emelkedett. Mivel az ilyen mértékű emelkedés klinikailag nem jelentős, ezeknél a betegeknél nincs szükség a dózis módosítására.</w:t>
      </w:r>
    </w:p>
    <w:p w14:paraId="2CAE0E95" w14:textId="77777777" w:rsidR="00C31AE3" w:rsidRPr="006F525B" w:rsidRDefault="00C31AE3" w:rsidP="006F525B">
      <w:pPr>
        <w:tabs>
          <w:tab w:val="clear" w:pos="567"/>
        </w:tabs>
        <w:spacing w:line="240" w:lineRule="auto"/>
        <w:ind w:left="-5" w:right="8"/>
        <w:rPr>
          <w:lang w:val="hu-HU"/>
        </w:rPr>
      </w:pPr>
    </w:p>
    <w:p w14:paraId="2C72367B" w14:textId="77777777" w:rsidR="004E1960" w:rsidRPr="006F525B" w:rsidRDefault="004E1960" w:rsidP="006F525B">
      <w:pPr>
        <w:tabs>
          <w:tab w:val="clear" w:pos="567"/>
        </w:tabs>
        <w:spacing w:line="240" w:lineRule="auto"/>
        <w:ind w:left="-5" w:right="8"/>
        <w:rPr>
          <w:lang w:val="hu-HU"/>
        </w:rPr>
      </w:pPr>
      <w:r w:rsidRPr="006F525B">
        <w:rPr>
          <w:lang w:val="hu-HU"/>
        </w:rPr>
        <w:t xml:space="preserve">A közepesen súlyos </w:t>
      </w:r>
      <w:r w:rsidR="00EF7E90" w:rsidRPr="006F525B">
        <w:rPr>
          <w:lang w:val="hu-HU"/>
        </w:rPr>
        <w:t>fokú</w:t>
      </w:r>
      <w:r w:rsidR="00C31AE3" w:rsidRPr="006F525B">
        <w:rPr>
          <w:lang w:val="hu-HU"/>
        </w:rPr>
        <w:t xml:space="preserve"> </w:t>
      </w:r>
      <w:r w:rsidRPr="006F525B">
        <w:rPr>
          <w:lang w:val="hu-HU"/>
        </w:rPr>
        <w:t>vesekárosodásban szenvedő betegeknél (GFR ≥</w:t>
      </w:r>
      <w:r w:rsidR="00C31AE3" w:rsidRPr="006F525B">
        <w:rPr>
          <w:lang w:val="hu-HU"/>
        </w:rPr>
        <w:t> </w:t>
      </w:r>
      <w:r w:rsidRPr="006F525B">
        <w:rPr>
          <w:lang w:val="hu-HU"/>
        </w:rPr>
        <w:t>30</w:t>
      </w:r>
      <w:r w:rsidR="00C31AE3" w:rsidRPr="006F525B">
        <w:rPr>
          <w:lang w:val="hu-HU"/>
        </w:rPr>
        <w:t>–</w:t>
      </w:r>
      <w:r w:rsidRPr="006F525B">
        <w:rPr>
          <w:lang w:val="hu-HU"/>
        </w:rPr>
        <w:t>&lt;</w:t>
      </w:r>
      <w:r w:rsidR="00C31AE3" w:rsidRPr="006F525B">
        <w:rPr>
          <w:lang w:val="hu-HU"/>
        </w:rPr>
        <w:t> </w:t>
      </w:r>
      <w:r w:rsidRPr="006F525B">
        <w:rPr>
          <w:lang w:val="hu-HU"/>
        </w:rPr>
        <w:t>45</w:t>
      </w:r>
      <w:r w:rsidR="00EF7E90" w:rsidRPr="006F525B">
        <w:rPr>
          <w:lang w:val="hu-HU"/>
        </w:rPr>
        <w:t> </w:t>
      </w:r>
      <w:r w:rsidRPr="006F525B">
        <w:rPr>
          <w:lang w:val="hu-HU"/>
        </w:rPr>
        <w:t xml:space="preserve">ml/perc) a szitagliptin plazma AUC-értéke hozzávetőleg 2-szeresére, míg a súlyos </w:t>
      </w:r>
      <w:r w:rsidR="00134C43" w:rsidRPr="006F525B">
        <w:rPr>
          <w:lang w:val="hu-HU"/>
        </w:rPr>
        <w:t xml:space="preserve">fokú </w:t>
      </w:r>
      <w:r w:rsidRPr="006F525B">
        <w:rPr>
          <w:lang w:val="hu-HU"/>
        </w:rPr>
        <w:t>vesekárosodásban szenvedő betegeknél (GFR &lt;</w:t>
      </w:r>
      <w:r w:rsidR="00C31AE3" w:rsidRPr="006F525B">
        <w:rPr>
          <w:lang w:val="hu-HU"/>
        </w:rPr>
        <w:t> </w:t>
      </w:r>
      <w:r w:rsidRPr="006F525B">
        <w:rPr>
          <w:lang w:val="hu-HU"/>
        </w:rPr>
        <w:t>30</w:t>
      </w:r>
      <w:r w:rsidR="00EF7E90" w:rsidRPr="006F525B">
        <w:rPr>
          <w:lang w:val="hu-HU"/>
        </w:rPr>
        <w:t> </w:t>
      </w:r>
      <w:r w:rsidRPr="006F525B">
        <w:rPr>
          <w:lang w:val="hu-HU"/>
        </w:rPr>
        <w:t>ml/perc), beleértve az ESRD-ben szenvedő, hemodialízisre szoruló betegeket is, hozzávetőleg 4-szeresére emelkedett. A szitagliptin közepes mértékben volt hemodialízis útján eltávolítható (13,5% egy 3</w:t>
      </w:r>
      <w:r w:rsidR="00C31AE3" w:rsidRPr="006F525B">
        <w:rPr>
          <w:lang w:val="hu-HU"/>
        </w:rPr>
        <w:t>–</w:t>
      </w:r>
      <w:r w:rsidRPr="006F525B">
        <w:rPr>
          <w:lang w:val="hu-HU"/>
        </w:rPr>
        <w:t>4</w:t>
      </w:r>
      <w:r w:rsidR="00C31AE3" w:rsidRPr="006F525B">
        <w:rPr>
          <w:lang w:val="hu-HU"/>
        </w:rPr>
        <w:t> </w:t>
      </w:r>
      <w:r w:rsidRPr="006F525B">
        <w:rPr>
          <w:lang w:val="hu-HU"/>
        </w:rPr>
        <w:t>órás, 4</w:t>
      </w:r>
      <w:r w:rsidR="00EF7E90" w:rsidRPr="006F525B">
        <w:rPr>
          <w:lang w:val="hu-HU"/>
        </w:rPr>
        <w:t> </w:t>
      </w:r>
      <w:r w:rsidRPr="006F525B">
        <w:rPr>
          <w:lang w:val="hu-HU"/>
        </w:rPr>
        <w:t>órával a bevételt követően megkezdett hemodialízis kezelés során).</w:t>
      </w:r>
    </w:p>
    <w:p w14:paraId="34A0EA0C" w14:textId="77777777" w:rsidR="00134C43" w:rsidRPr="006F525B" w:rsidRDefault="00134C43" w:rsidP="006F525B">
      <w:pPr>
        <w:tabs>
          <w:tab w:val="clear" w:pos="567"/>
        </w:tabs>
        <w:spacing w:line="240" w:lineRule="auto"/>
        <w:ind w:left="-5" w:right="8"/>
        <w:rPr>
          <w:lang w:val="hu-HU"/>
        </w:rPr>
      </w:pPr>
    </w:p>
    <w:p w14:paraId="1C3F8E47"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Májkárosodás</w:t>
      </w:r>
    </w:p>
    <w:p w14:paraId="4D41EAF2" w14:textId="77777777" w:rsidR="004E1960" w:rsidRPr="006F525B" w:rsidRDefault="004E1960" w:rsidP="006F525B">
      <w:pPr>
        <w:tabs>
          <w:tab w:val="clear" w:pos="567"/>
        </w:tabs>
        <w:spacing w:line="240" w:lineRule="auto"/>
        <w:ind w:left="-5" w:right="8"/>
        <w:rPr>
          <w:lang w:val="hu-HU"/>
        </w:rPr>
      </w:pPr>
      <w:r w:rsidRPr="006F525B">
        <w:rPr>
          <w:lang w:val="hu-HU"/>
        </w:rPr>
        <w:t xml:space="preserve">Az enyhe vagy közepesen súlyos </w:t>
      </w:r>
      <w:r w:rsidR="00134C43" w:rsidRPr="006F525B">
        <w:rPr>
          <w:lang w:val="hu-HU"/>
        </w:rPr>
        <w:t xml:space="preserve">fokú </w:t>
      </w:r>
      <w:r w:rsidRPr="006F525B">
        <w:rPr>
          <w:lang w:val="hu-HU"/>
        </w:rPr>
        <w:t xml:space="preserve">májkárosodásban (Child-Pugh érték </w:t>
      </w:r>
      <w:r w:rsidR="00134C43" w:rsidRPr="00137267">
        <w:rPr>
          <w:lang w:val="hu-HU"/>
        </w:rPr>
        <w:t>≤ </w:t>
      </w:r>
      <w:r w:rsidRPr="006F525B">
        <w:rPr>
          <w:lang w:val="hu-HU"/>
        </w:rPr>
        <w:t xml:space="preserve">9) szenvedő betegek esetében nincs szükség a szitagliptin dózismódosítására. Súlyos </w:t>
      </w:r>
      <w:r w:rsidR="00134C43" w:rsidRPr="006F525B">
        <w:rPr>
          <w:lang w:val="hu-HU"/>
        </w:rPr>
        <w:t xml:space="preserve">fokú </w:t>
      </w:r>
      <w:r w:rsidRPr="006F525B">
        <w:rPr>
          <w:lang w:val="hu-HU"/>
        </w:rPr>
        <w:t>májkárosodásban (Child-Pugh érték &gt;</w:t>
      </w:r>
      <w:r w:rsidR="00134C43" w:rsidRPr="006F525B">
        <w:rPr>
          <w:lang w:val="hu-HU"/>
        </w:rPr>
        <w:t> </w:t>
      </w:r>
      <w:r w:rsidRPr="006F525B">
        <w:rPr>
          <w:lang w:val="hu-HU"/>
        </w:rPr>
        <w:t xml:space="preserve">9) szenvedő betegeket illetően nem áll rendelkezésre klinikai tapasztalat. Mivel a szitagliptin elsősorban a vesén keresztül ürül ki, a súlyos </w:t>
      </w:r>
      <w:r w:rsidR="00134C43" w:rsidRPr="006F525B">
        <w:rPr>
          <w:lang w:val="hu-HU"/>
        </w:rPr>
        <w:t xml:space="preserve">fokú </w:t>
      </w:r>
      <w:r w:rsidRPr="006F525B">
        <w:rPr>
          <w:lang w:val="hu-HU"/>
        </w:rPr>
        <w:t>májkárosodás várhatóan nem befolyásolja a szitagliptin farmakokinetikáját.</w:t>
      </w:r>
    </w:p>
    <w:p w14:paraId="74DF25BF" w14:textId="77777777" w:rsidR="00134C43" w:rsidRPr="006F525B" w:rsidRDefault="00134C43" w:rsidP="006F525B">
      <w:pPr>
        <w:tabs>
          <w:tab w:val="clear" w:pos="567"/>
        </w:tabs>
        <w:spacing w:line="240" w:lineRule="auto"/>
        <w:ind w:left="-5" w:right="8"/>
        <w:rPr>
          <w:lang w:val="hu-HU"/>
        </w:rPr>
      </w:pPr>
    </w:p>
    <w:p w14:paraId="2FB7F671"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Idősek</w:t>
      </w:r>
    </w:p>
    <w:p w14:paraId="3F760FD0" w14:textId="77777777" w:rsidR="004E1960" w:rsidRPr="006F525B" w:rsidRDefault="004E1960" w:rsidP="006F525B">
      <w:pPr>
        <w:tabs>
          <w:tab w:val="clear" w:pos="567"/>
        </w:tabs>
        <w:spacing w:line="240" w:lineRule="auto"/>
        <w:ind w:left="-5" w:right="8"/>
        <w:rPr>
          <w:lang w:val="hu-HU"/>
        </w:rPr>
      </w:pPr>
      <w:r w:rsidRPr="006F525B">
        <w:rPr>
          <w:lang w:val="hu-HU"/>
        </w:rPr>
        <w:t>Nincs szükség az életkor függvényében történő dózismódosításra. Az I. és II. fázisú adatokra támaszkodó populációs farmakokinetikai analízis alapján a szitagliptin farmakokinetikáját az életkor nem befolyásolta jelentős mértékben. A fiatalabb korú résztvevőkkel összehasonlítva, az idős korú (65</w:t>
      </w:r>
      <w:r w:rsidR="00134C43" w:rsidRPr="006F525B">
        <w:rPr>
          <w:lang w:val="hu-HU"/>
        </w:rPr>
        <w:t>–</w:t>
      </w:r>
      <w:r w:rsidRPr="006F525B">
        <w:rPr>
          <w:lang w:val="hu-HU"/>
        </w:rPr>
        <w:t>80</w:t>
      </w:r>
      <w:r w:rsidR="00134C43" w:rsidRPr="006F525B">
        <w:rPr>
          <w:lang w:val="hu-HU"/>
        </w:rPr>
        <w:t> </w:t>
      </w:r>
      <w:r w:rsidRPr="006F525B">
        <w:rPr>
          <w:lang w:val="hu-HU"/>
        </w:rPr>
        <w:t>éves) résztvevők szitagliptin plazmakoncentrációja hozzávetőleg 19%-kal volt magasabb.</w:t>
      </w:r>
    </w:p>
    <w:p w14:paraId="2F497255" w14:textId="77777777" w:rsidR="0004385E" w:rsidRPr="006F525B" w:rsidRDefault="0004385E" w:rsidP="006F525B">
      <w:pPr>
        <w:tabs>
          <w:tab w:val="clear" w:pos="567"/>
        </w:tabs>
        <w:spacing w:line="240" w:lineRule="auto"/>
        <w:ind w:left="-5" w:right="8"/>
        <w:rPr>
          <w:lang w:val="hu-HU"/>
        </w:rPr>
      </w:pPr>
    </w:p>
    <w:p w14:paraId="2FB40391"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Gyermekek és serdülők</w:t>
      </w:r>
    </w:p>
    <w:p w14:paraId="27F99F9A" w14:textId="77777777" w:rsidR="004E1960" w:rsidRPr="006F525B" w:rsidRDefault="004E1960" w:rsidP="006F525B">
      <w:pPr>
        <w:tabs>
          <w:tab w:val="clear" w:pos="567"/>
        </w:tabs>
        <w:spacing w:line="240" w:lineRule="auto"/>
        <w:ind w:left="-5" w:right="8"/>
        <w:rPr>
          <w:lang w:val="hu-HU"/>
        </w:rPr>
      </w:pPr>
      <w:r w:rsidRPr="006F525B">
        <w:rPr>
          <w:lang w:val="hu-HU"/>
        </w:rPr>
        <w:t>A szitagliptin farmakokinetikáját (</w:t>
      </w:r>
      <w:r w:rsidR="004F72D1" w:rsidRPr="006F525B">
        <w:rPr>
          <w:lang w:val="hu-HU"/>
        </w:rPr>
        <w:t>50 mg</w:t>
      </w:r>
      <w:r w:rsidRPr="006F525B">
        <w:rPr>
          <w:lang w:val="hu-HU"/>
        </w:rPr>
        <w:t xml:space="preserve">, </w:t>
      </w:r>
      <w:r w:rsidR="004F72D1" w:rsidRPr="006F525B">
        <w:rPr>
          <w:lang w:val="hu-HU"/>
        </w:rPr>
        <w:t>100 mg</w:t>
      </w:r>
      <w:r w:rsidRPr="006F525B">
        <w:rPr>
          <w:lang w:val="hu-HU"/>
        </w:rPr>
        <w:t xml:space="preserve"> vagy 200</w:t>
      </w:r>
      <w:r w:rsidR="0004385E" w:rsidRPr="006F525B">
        <w:rPr>
          <w:lang w:val="hu-HU"/>
        </w:rPr>
        <w:t> </w:t>
      </w:r>
      <w:r w:rsidRPr="006F525B">
        <w:rPr>
          <w:lang w:val="hu-HU"/>
        </w:rPr>
        <w:t xml:space="preserve">mg egyszeri </w:t>
      </w:r>
      <w:r w:rsidR="0095123B">
        <w:rPr>
          <w:lang w:val="hu-HU"/>
        </w:rPr>
        <w:t>dózis</w:t>
      </w:r>
      <w:r w:rsidRPr="006F525B">
        <w:rPr>
          <w:lang w:val="hu-HU"/>
        </w:rPr>
        <w:t>) 2-es típusú diabéteszben szenvedő (10</w:t>
      </w:r>
      <w:r w:rsidR="0004385E" w:rsidRPr="006F525B">
        <w:rPr>
          <w:lang w:val="hu-HU"/>
        </w:rPr>
        <w:t xml:space="preserve"> és betöltött </w:t>
      </w:r>
      <w:r w:rsidRPr="006F525B">
        <w:rPr>
          <w:lang w:val="hu-HU"/>
        </w:rPr>
        <w:t>18</w:t>
      </w:r>
      <w:r w:rsidR="0004385E" w:rsidRPr="006F525B">
        <w:rPr>
          <w:lang w:val="hu-HU"/>
        </w:rPr>
        <w:t>.</w:t>
      </w:r>
      <w:r w:rsidRPr="006F525B">
        <w:rPr>
          <w:lang w:val="hu-HU"/>
        </w:rPr>
        <w:t xml:space="preserve"> </w:t>
      </w:r>
      <w:r w:rsidR="0004385E" w:rsidRPr="006F525B">
        <w:rPr>
          <w:lang w:val="hu-HU"/>
        </w:rPr>
        <w:t>élet</w:t>
      </w:r>
      <w:r w:rsidRPr="006F525B">
        <w:rPr>
          <w:lang w:val="hu-HU"/>
        </w:rPr>
        <w:t>év</w:t>
      </w:r>
      <w:r w:rsidR="008F4725" w:rsidRPr="006F525B">
        <w:rPr>
          <w:lang w:val="hu-HU"/>
        </w:rPr>
        <w:t xml:space="preserve"> közötti</w:t>
      </w:r>
      <w:r w:rsidRPr="006F525B">
        <w:rPr>
          <w:lang w:val="hu-HU"/>
        </w:rPr>
        <w:t xml:space="preserve">) gyermekeknél és serdülőknél vizsgálták. Ebben a populációban a szitagliptin dózismódosított AUC-értéke a plazmában hozzávetőleg 18%-kal volt alacsonyabb, mint a 2-es típusú diabéteszben szenvedő felnőtteknél – a </w:t>
      </w:r>
      <w:r w:rsidR="004F72D1" w:rsidRPr="006F525B">
        <w:rPr>
          <w:lang w:val="hu-HU"/>
        </w:rPr>
        <w:t>100 mg</w:t>
      </w:r>
      <w:r w:rsidRPr="006F525B">
        <w:rPr>
          <w:lang w:val="hu-HU"/>
        </w:rPr>
        <w:t xml:space="preserve">-os </w:t>
      </w:r>
      <w:r w:rsidR="0095123B">
        <w:rPr>
          <w:lang w:val="hu-HU"/>
        </w:rPr>
        <w:t>dózisra</w:t>
      </w:r>
      <w:r w:rsidR="0095123B" w:rsidRPr="006F525B">
        <w:rPr>
          <w:lang w:val="hu-HU"/>
        </w:rPr>
        <w:t xml:space="preserve"> </w:t>
      </w:r>
      <w:r w:rsidRPr="006F525B">
        <w:rPr>
          <w:lang w:val="hu-HU"/>
        </w:rPr>
        <w:t>vonatkoztatva. A szitagliptinnel 10</w:t>
      </w:r>
      <w:r w:rsidR="008F4725" w:rsidRPr="006F525B">
        <w:rPr>
          <w:lang w:val="hu-HU"/>
        </w:rPr>
        <w:t> </w:t>
      </w:r>
      <w:r w:rsidRPr="006F525B">
        <w:rPr>
          <w:lang w:val="hu-HU"/>
        </w:rPr>
        <w:t>évesnél fiatalabb gyermekeknél nem végeztek vizsgálatokat.</w:t>
      </w:r>
    </w:p>
    <w:p w14:paraId="2E6CAD30" w14:textId="77777777" w:rsidR="0004385E" w:rsidRPr="006F525B" w:rsidRDefault="0004385E" w:rsidP="006F525B">
      <w:pPr>
        <w:tabs>
          <w:tab w:val="clear" w:pos="567"/>
        </w:tabs>
        <w:spacing w:line="240" w:lineRule="auto"/>
        <w:ind w:left="-5" w:right="8"/>
        <w:rPr>
          <w:lang w:val="hu-HU"/>
        </w:rPr>
      </w:pPr>
    </w:p>
    <w:p w14:paraId="1A3CE6E7" w14:textId="77777777" w:rsidR="004E1960" w:rsidRPr="006F525B" w:rsidRDefault="004E1960" w:rsidP="006F525B">
      <w:pPr>
        <w:tabs>
          <w:tab w:val="clear" w:pos="567"/>
        </w:tabs>
        <w:spacing w:line="240" w:lineRule="auto"/>
        <w:ind w:left="-5" w:right="124"/>
        <w:rPr>
          <w:i/>
          <w:iCs/>
          <w:u w:color="000000"/>
          <w:lang w:val="hu-HU"/>
        </w:rPr>
      </w:pPr>
      <w:r w:rsidRPr="006F525B">
        <w:rPr>
          <w:i/>
          <w:iCs/>
          <w:u w:color="000000"/>
          <w:lang w:val="hu-HU"/>
        </w:rPr>
        <w:t>Egyéb betegcsoportok</w:t>
      </w:r>
    </w:p>
    <w:p w14:paraId="2D72E4F1" w14:textId="77777777" w:rsidR="004E1960" w:rsidRPr="006F525B" w:rsidRDefault="004E1960" w:rsidP="006F525B">
      <w:pPr>
        <w:tabs>
          <w:tab w:val="clear" w:pos="567"/>
        </w:tabs>
        <w:spacing w:line="240" w:lineRule="auto"/>
        <w:ind w:left="-5" w:right="8"/>
        <w:rPr>
          <w:lang w:val="hu-HU"/>
        </w:rPr>
      </w:pPr>
      <w:r w:rsidRPr="006F525B">
        <w:rPr>
          <w:lang w:val="hu-HU"/>
        </w:rPr>
        <w:t>Nincs szükség a nem, rassz vagy testtömegindex (BMI) szerinti dózismódosításra. Az I. fázisú farmakokinetikai adatok összesített analízise, valamint az I. és II. fázisú adatok populációs farmakokinetikai analízise alapján a szitagliptin farmakokinetikájára ezen tényezők nem voltak klinikailag jelentős hatással.</w:t>
      </w:r>
    </w:p>
    <w:p w14:paraId="2BC5ADCB" w14:textId="77777777" w:rsidR="008F4725" w:rsidRPr="006F525B" w:rsidRDefault="008F4725" w:rsidP="006F525B">
      <w:pPr>
        <w:tabs>
          <w:tab w:val="clear" w:pos="567"/>
        </w:tabs>
        <w:spacing w:line="240" w:lineRule="auto"/>
        <w:ind w:left="-5" w:right="8"/>
        <w:rPr>
          <w:lang w:val="hu-HU"/>
        </w:rPr>
      </w:pPr>
    </w:p>
    <w:p w14:paraId="59A92015"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Metformin</w:t>
      </w:r>
    </w:p>
    <w:p w14:paraId="4840AF94"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 xml:space="preserve">Felszívódás </w:t>
      </w:r>
    </w:p>
    <w:p w14:paraId="749C9475" w14:textId="77777777" w:rsidR="004E1960" w:rsidRPr="006F525B" w:rsidRDefault="004E1960" w:rsidP="006F525B">
      <w:pPr>
        <w:tabs>
          <w:tab w:val="clear" w:pos="567"/>
        </w:tabs>
        <w:spacing w:line="240" w:lineRule="auto"/>
        <w:ind w:left="-5" w:right="8"/>
        <w:rPr>
          <w:lang w:val="hu-HU"/>
        </w:rPr>
      </w:pPr>
      <w:r w:rsidRPr="006F525B">
        <w:rPr>
          <w:lang w:val="hu-HU"/>
        </w:rPr>
        <w:t xml:space="preserve">A metformin orális </w:t>
      </w:r>
      <w:r w:rsidR="0095123B">
        <w:rPr>
          <w:lang w:val="hu-HU"/>
        </w:rPr>
        <w:t>dózis</w:t>
      </w:r>
      <w:r w:rsidRPr="006F525B">
        <w:rPr>
          <w:lang w:val="hu-HU"/>
        </w:rPr>
        <w:t xml:space="preserve">ának alkalmazását követően a </w:t>
      </w:r>
      <w:r w:rsidR="008F4725" w:rsidRPr="006F525B">
        <w:rPr>
          <w:lang w:val="hu-HU"/>
        </w:rPr>
        <w:t>t</w:t>
      </w:r>
      <w:r w:rsidRPr="006F525B">
        <w:rPr>
          <w:vertAlign w:val="subscript"/>
          <w:lang w:val="hu-HU"/>
        </w:rPr>
        <w:t xml:space="preserve">max </w:t>
      </w:r>
      <w:r w:rsidRPr="006F525B">
        <w:rPr>
          <w:lang w:val="hu-HU"/>
        </w:rPr>
        <w:t>2,5</w:t>
      </w:r>
      <w:r w:rsidR="008F4725" w:rsidRPr="006F525B">
        <w:rPr>
          <w:lang w:val="hu-HU"/>
        </w:rPr>
        <w:t> </w:t>
      </w:r>
      <w:r w:rsidRPr="006F525B">
        <w:rPr>
          <w:lang w:val="hu-HU"/>
        </w:rPr>
        <w:t>órán belül alakul ki. Az 500</w:t>
      </w:r>
      <w:r w:rsidR="008F4725" w:rsidRPr="006F525B">
        <w:rPr>
          <w:lang w:val="hu-HU"/>
        </w:rPr>
        <w:t> </w:t>
      </w:r>
      <w:r w:rsidRPr="006F525B">
        <w:rPr>
          <w:lang w:val="hu-HU"/>
        </w:rPr>
        <w:t>mg metformin tabletta abszolút biohasznosíthatósága egészséges emberekben hozzávetőleg 50</w:t>
      </w:r>
      <w:r w:rsidR="008F4725" w:rsidRPr="006F525B">
        <w:rPr>
          <w:lang w:val="hu-HU"/>
        </w:rPr>
        <w:t>–</w:t>
      </w:r>
      <w:r w:rsidRPr="006F525B">
        <w:rPr>
          <w:lang w:val="hu-HU"/>
        </w:rPr>
        <w:t xml:space="preserve">60%. Az orális </w:t>
      </w:r>
      <w:r w:rsidR="0095123B">
        <w:rPr>
          <w:lang w:val="hu-HU"/>
        </w:rPr>
        <w:t>dózis</w:t>
      </w:r>
      <w:r w:rsidR="0095123B" w:rsidRPr="006F525B">
        <w:rPr>
          <w:lang w:val="hu-HU"/>
        </w:rPr>
        <w:t xml:space="preserve"> </w:t>
      </w:r>
      <w:r w:rsidRPr="006F525B">
        <w:rPr>
          <w:lang w:val="hu-HU"/>
        </w:rPr>
        <w:t>alkalmazását követően a székletben fellelhető fel nem szívódott rész 20</w:t>
      </w:r>
      <w:r w:rsidR="008F4725" w:rsidRPr="006F525B">
        <w:rPr>
          <w:lang w:val="hu-HU"/>
        </w:rPr>
        <w:t>–</w:t>
      </w:r>
      <w:r w:rsidRPr="006F525B">
        <w:rPr>
          <w:lang w:val="hu-HU"/>
        </w:rPr>
        <w:t>30% volt.</w:t>
      </w:r>
    </w:p>
    <w:p w14:paraId="35F84896" w14:textId="77777777" w:rsidR="008F4725" w:rsidRPr="006F525B" w:rsidRDefault="008F4725" w:rsidP="006F525B">
      <w:pPr>
        <w:tabs>
          <w:tab w:val="clear" w:pos="567"/>
        </w:tabs>
        <w:spacing w:line="240" w:lineRule="auto"/>
        <w:ind w:left="-5" w:right="8"/>
        <w:rPr>
          <w:lang w:val="hu-HU"/>
        </w:rPr>
      </w:pPr>
    </w:p>
    <w:p w14:paraId="1105748B" w14:textId="77777777" w:rsidR="004E1960" w:rsidRPr="006F525B" w:rsidRDefault="004E1960" w:rsidP="006F525B">
      <w:pPr>
        <w:tabs>
          <w:tab w:val="clear" w:pos="567"/>
        </w:tabs>
        <w:spacing w:line="240" w:lineRule="auto"/>
        <w:ind w:left="-5" w:right="8"/>
        <w:rPr>
          <w:lang w:val="hu-HU"/>
        </w:rPr>
      </w:pPr>
      <w:r w:rsidRPr="006F525B">
        <w:rPr>
          <w:lang w:val="hu-HU"/>
        </w:rPr>
        <w:t xml:space="preserve">Az orális alkalmazást követően a metformin felszívódása telíthető és nem teljes. Feltételezhető, hogy a metformin felszívódásának farmakokinetikája nem lineáris. A szokásos metformin </w:t>
      </w:r>
      <w:r w:rsidR="0095123B">
        <w:rPr>
          <w:lang w:val="hu-HU"/>
        </w:rPr>
        <w:t>dózisok</w:t>
      </w:r>
      <w:r w:rsidR="0095123B" w:rsidRPr="006F525B">
        <w:rPr>
          <w:lang w:val="hu-HU"/>
        </w:rPr>
        <w:t xml:space="preserve"> </w:t>
      </w:r>
      <w:r w:rsidRPr="006F525B">
        <w:rPr>
          <w:lang w:val="hu-HU"/>
        </w:rPr>
        <w:t>és adagolási terv esetén a steady state plazmakoncentráció 24</w:t>
      </w:r>
      <w:r w:rsidR="008F4725" w:rsidRPr="006F525B">
        <w:rPr>
          <w:lang w:val="hu-HU"/>
        </w:rPr>
        <w:t>–</w:t>
      </w:r>
      <w:r w:rsidRPr="006F525B">
        <w:rPr>
          <w:lang w:val="hu-HU"/>
        </w:rPr>
        <w:t>48</w:t>
      </w:r>
      <w:r w:rsidR="008F4725" w:rsidRPr="006F525B">
        <w:rPr>
          <w:lang w:val="hu-HU"/>
        </w:rPr>
        <w:t> </w:t>
      </w:r>
      <w:r w:rsidRPr="006F525B">
        <w:rPr>
          <w:lang w:val="hu-HU"/>
        </w:rPr>
        <w:t>órán belül érhető el és általában kevesebb, mint 1</w:t>
      </w:r>
      <w:r w:rsidR="008F4725" w:rsidRPr="006F525B">
        <w:rPr>
          <w:lang w:val="hu-HU"/>
        </w:rPr>
        <w:t> </w:t>
      </w:r>
      <w:r w:rsidRPr="006F525B">
        <w:rPr>
          <w:lang w:val="hu-HU"/>
        </w:rPr>
        <w:t>µg/ml. A kontroll</w:t>
      </w:r>
      <w:r w:rsidR="0095123B">
        <w:rPr>
          <w:lang w:val="hu-HU"/>
        </w:rPr>
        <w:t>os</w:t>
      </w:r>
      <w:r w:rsidRPr="006F525B">
        <w:rPr>
          <w:lang w:val="hu-HU"/>
        </w:rPr>
        <w:t xml:space="preserve"> klinikai vizsgálatok során a legmagasabb metformin plazmaszintek (C</w:t>
      </w:r>
      <w:r w:rsidRPr="006F525B">
        <w:rPr>
          <w:vertAlign w:val="subscript"/>
          <w:lang w:val="hu-HU"/>
        </w:rPr>
        <w:t>max</w:t>
      </w:r>
      <w:r w:rsidRPr="006F525B">
        <w:rPr>
          <w:lang w:val="hu-HU"/>
        </w:rPr>
        <w:t>) még maximális dózisok esetén sem haladták meg az 5</w:t>
      </w:r>
      <w:r w:rsidR="008F4725" w:rsidRPr="006F525B">
        <w:rPr>
          <w:lang w:val="hu-HU"/>
        </w:rPr>
        <w:t> </w:t>
      </w:r>
      <w:r w:rsidRPr="006F525B">
        <w:rPr>
          <w:lang w:val="hu-HU"/>
        </w:rPr>
        <w:t>µg/ml szintet.</w:t>
      </w:r>
    </w:p>
    <w:p w14:paraId="1954A801" w14:textId="77777777" w:rsidR="00FF16C0" w:rsidRPr="006F525B" w:rsidRDefault="00FF16C0" w:rsidP="006F525B">
      <w:pPr>
        <w:tabs>
          <w:tab w:val="clear" w:pos="567"/>
        </w:tabs>
        <w:spacing w:line="240" w:lineRule="auto"/>
        <w:ind w:left="-5" w:right="8"/>
        <w:rPr>
          <w:lang w:val="hu-HU"/>
        </w:rPr>
      </w:pPr>
    </w:p>
    <w:p w14:paraId="5FBDE7FB" w14:textId="77777777" w:rsidR="004E1960" w:rsidRPr="006F525B" w:rsidRDefault="004E1960" w:rsidP="006F525B">
      <w:pPr>
        <w:tabs>
          <w:tab w:val="clear" w:pos="567"/>
        </w:tabs>
        <w:spacing w:line="240" w:lineRule="auto"/>
        <w:ind w:left="-5" w:right="8"/>
        <w:rPr>
          <w:lang w:val="hu-HU"/>
        </w:rPr>
      </w:pPr>
      <w:r w:rsidRPr="006F525B">
        <w:rPr>
          <w:lang w:val="hu-HU"/>
        </w:rPr>
        <w:t>Táplálék hatására a metformin felszívódása csökken, és némileg lelassul. 8</w:t>
      </w:r>
      <w:r w:rsidR="004F72D1" w:rsidRPr="006F525B">
        <w:rPr>
          <w:lang w:val="hu-HU"/>
        </w:rPr>
        <w:t>50 mg</w:t>
      </w:r>
      <w:r w:rsidRPr="006F525B">
        <w:rPr>
          <w:lang w:val="hu-HU"/>
        </w:rPr>
        <w:t>-os dózis alkalmazását követően 40%-kal alacsonyabb csúcs plazmakoncentrációt, 25%-os AUC-csökkenést, és a csúcs plazmakoncentráció eléréséhez szükséges idő 35</w:t>
      </w:r>
      <w:r w:rsidR="00FF16C0" w:rsidRPr="006F525B">
        <w:rPr>
          <w:lang w:val="hu-HU"/>
        </w:rPr>
        <w:t> </w:t>
      </w:r>
      <w:r w:rsidRPr="006F525B">
        <w:rPr>
          <w:lang w:val="hu-HU"/>
        </w:rPr>
        <w:t>perccel történő meghosszabbodását figyelték meg. E csökkenés klinikai jelentősége nem ismert.</w:t>
      </w:r>
    </w:p>
    <w:p w14:paraId="13797C2D" w14:textId="77777777" w:rsidR="00FF16C0" w:rsidRPr="006F525B" w:rsidRDefault="00FF16C0" w:rsidP="006F525B">
      <w:pPr>
        <w:tabs>
          <w:tab w:val="clear" w:pos="567"/>
        </w:tabs>
        <w:spacing w:line="240" w:lineRule="auto"/>
        <w:ind w:left="-5" w:right="8"/>
        <w:rPr>
          <w:lang w:val="hu-HU"/>
        </w:rPr>
      </w:pPr>
    </w:p>
    <w:p w14:paraId="369D84B8"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Eloszlás</w:t>
      </w:r>
    </w:p>
    <w:p w14:paraId="53F94D6D" w14:textId="77777777" w:rsidR="004E1960" w:rsidRPr="006F525B" w:rsidRDefault="004E1960" w:rsidP="006F525B">
      <w:pPr>
        <w:tabs>
          <w:tab w:val="clear" w:pos="567"/>
        </w:tabs>
        <w:spacing w:line="240" w:lineRule="auto"/>
        <w:ind w:left="-5" w:right="8"/>
        <w:rPr>
          <w:lang w:val="hu-HU"/>
        </w:rPr>
      </w:pPr>
      <w:r w:rsidRPr="006F525B">
        <w:rPr>
          <w:lang w:val="hu-HU"/>
        </w:rPr>
        <w:t>A plazmafehérje-kötődés elhanyagolható. A metformin bejut az erythrocitákba. A vér csúcskoncentrációja alacsonyabb, mint a plazma csúcskoncentráció és hozzávetőleg ugyanabban az időben jelentkezik. A vörösvérsejtek valószínűleg másodlagos eloszlási teret jelentenek. Az átlagos térfogati megoszlás (Vd) 63</w:t>
      </w:r>
      <w:r w:rsidR="00FF16C0" w:rsidRPr="006F525B">
        <w:rPr>
          <w:lang w:val="hu-HU"/>
        </w:rPr>
        <w:t>–</w:t>
      </w:r>
      <w:r w:rsidRPr="006F525B">
        <w:rPr>
          <w:lang w:val="hu-HU"/>
        </w:rPr>
        <w:t>276</w:t>
      </w:r>
      <w:r w:rsidR="00FF16C0" w:rsidRPr="006F525B">
        <w:rPr>
          <w:lang w:val="hu-HU"/>
        </w:rPr>
        <w:t> </w:t>
      </w:r>
      <w:r w:rsidRPr="006F525B">
        <w:rPr>
          <w:lang w:val="hu-HU"/>
        </w:rPr>
        <w:t>l.</w:t>
      </w:r>
    </w:p>
    <w:p w14:paraId="1E1C2C7C" w14:textId="77777777" w:rsidR="00FF16C0" w:rsidRPr="006F525B" w:rsidRDefault="00FF16C0" w:rsidP="006F525B">
      <w:pPr>
        <w:tabs>
          <w:tab w:val="clear" w:pos="567"/>
        </w:tabs>
        <w:spacing w:line="240" w:lineRule="auto"/>
        <w:ind w:left="-5" w:right="8"/>
        <w:rPr>
          <w:lang w:val="hu-HU"/>
        </w:rPr>
      </w:pPr>
    </w:p>
    <w:p w14:paraId="39E35B60" w14:textId="77777777" w:rsidR="004E1960" w:rsidRPr="002A1E85" w:rsidRDefault="004E1960" w:rsidP="006F525B">
      <w:pPr>
        <w:tabs>
          <w:tab w:val="clear" w:pos="567"/>
        </w:tabs>
        <w:spacing w:line="240" w:lineRule="auto"/>
        <w:ind w:left="-5"/>
        <w:rPr>
          <w:u w:val="single"/>
          <w:lang w:val="hu-HU"/>
        </w:rPr>
      </w:pPr>
      <w:r w:rsidRPr="002A1E85">
        <w:rPr>
          <w:u w:val="single"/>
          <w:lang w:val="hu-HU"/>
        </w:rPr>
        <w:t>Biotranszformáció</w:t>
      </w:r>
    </w:p>
    <w:p w14:paraId="623552E8" w14:textId="77777777" w:rsidR="004E1960" w:rsidRPr="006F525B" w:rsidRDefault="004E1960" w:rsidP="006F525B">
      <w:pPr>
        <w:tabs>
          <w:tab w:val="clear" w:pos="567"/>
        </w:tabs>
        <w:spacing w:line="240" w:lineRule="auto"/>
        <w:ind w:left="-5" w:right="8"/>
        <w:rPr>
          <w:lang w:val="hu-HU"/>
        </w:rPr>
      </w:pPr>
      <w:r w:rsidRPr="006F525B">
        <w:rPr>
          <w:lang w:val="hu-HU"/>
        </w:rPr>
        <w:t>A metformin a vizelettel változatlan formában ürül. Emberek esetén metabolitokat nem mutattak ki.</w:t>
      </w:r>
    </w:p>
    <w:p w14:paraId="32BA70BD" w14:textId="77777777" w:rsidR="00FF16C0" w:rsidRPr="006F525B" w:rsidRDefault="00FF16C0" w:rsidP="006F525B">
      <w:pPr>
        <w:tabs>
          <w:tab w:val="clear" w:pos="567"/>
        </w:tabs>
        <w:spacing w:line="240" w:lineRule="auto"/>
        <w:ind w:left="-5" w:right="8"/>
        <w:rPr>
          <w:lang w:val="hu-HU"/>
        </w:rPr>
      </w:pPr>
    </w:p>
    <w:p w14:paraId="3583D010" w14:textId="77777777" w:rsidR="004E1960" w:rsidRPr="002A1E85" w:rsidRDefault="004E1960" w:rsidP="006F525B">
      <w:pPr>
        <w:tabs>
          <w:tab w:val="clear" w:pos="567"/>
        </w:tabs>
        <w:spacing w:line="240" w:lineRule="auto"/>
        <w:ind w:left="-5" w:right="124"/>
        <w:rPr>
          <w:iCs/>
          <w:u w:val="single" w:color="000000"/>
          <w:lang w:val="hu-HU"/>
        </w:rPr>
      </w:pPr>
      <w:r w:rsidRPr="002A1E85">
        <w:rPr>
          <w:iCs/>
          <w:u w:val="single" w:color="000000"/>
          <w:lang w:val="hu-HU"/>
        </w:rPr>
        <w:t>Elimináció</w:t>
      </w:r>
    </w:p>
    <w:p w14:paraId="1CD1C1A4" w14:textId="77777777" w:rsidR="004E1960" w:rsidRPr="006F525B" w:rsidRDefault="004E1960" w:rsidP="006F525B">
      <w:pPr>
        <w:tabs>
          <w:tab w:val="clear" w:pos="567"/>
        </w:tabs>
        <w:spacing w:line="240" w:lineRule="auto"/>
        <w:ind w:left="-5" w:right="8"/>
        <w:rPr>
          <w:lang w:val="hu-HU"/>
        </w:rPr>
      </w:pPr>
      <w:r w:rsidRPr="006F525B">
        <w:rPr>
          <w:lang w:val="hu-HU"/>
        </w:rPr>
        <w:t>A metformin vese-clearance értéke 400</w:t>
      </w:r>
      <w:r w:rsidR="00FF16C0" w:rsidRPr="006F525B">
        <w:rPr>
          <w:lang w:val="hu-HU"/>
        </w:rPr>
        <w:t> </w:t>
      </w:r>
      <w:r w:rsidRPr="006F525B">
        <w:rPr>
          <w:lang w:val="hu-HU"/>
        </w:rPr>
        <w:t>ml/perc, mely jelzi, hogy a metformin glomerul</w:t>
      </w:r>
      <w:r w:rsidR="0095123B">
        <w:rPr>
          <w:lang w:val="hu-HU"/>
        </w:rPr>
        <w:t>u</w:t>
      </w:r>
      <w:r w:rsidRPr="006F525B">
        <w:rPr>
          <w:lang w:val="hu-HU"/>
        </w:rPr>
        <w:t>sfiltráció és tubuláris szekréció útján ürül ki. Az orális dózist követően a nyilvánvaló terminális eliminációs felezési idő hozzávetőleg 6,5</w:t>
      </w:r>
      <w:r w:rsidR="00FF16C0" w:rsidRPr="006F525B">
        <w:rPr>
          <w:lang w:val="hu-HU"/>
        </w:rPr>
        <w:t> </w:t>
      </w:r>
      <w:r w:rsidRPr="006F525B">
        <w:rPr>
          <w:lang w:val="hu-HU"/>
        </w:rPr>
        <w:t xml:space="preserve">óra. </w:t>
      </w:r>
      <w:r w:rsidR="0095123B">
        <w:rPr>
          <w:lang w:val="hu-HU"/>
        </w:rPr>
        <w:t>V</w:t>
      </w:r>
      <w:r w:rsidRPr="006F525B">
        <w:rPr>
          <w:lang w:val="hu-HU"/>
        </w:rPr>
        <w:t>ese</w:t>
      </w:r>
      <w:r w:rsidR="0095123B">
        <w:rPr>
          <w:lang w:val="hu-HU"/>
        </w:rPr>
        <w:t>károsodás</w:t>
      </w:r>
      <w:r w:rsidRPr="006F525B">
        <w:rPr>
          <w:lang w:val="hu-HU"/>
        </w:rPr>
        <w:t xml:space="preserve"> esetén a vese-clearance a kreatininnel arányosan csökken, így meghosszabbodik az eliminációs felezési idő, mely megnövekedett plazma metformin-szintet eredményez.</w:t>
      </w:r>
    </w:p>
    <w:p w14:paraId="35FE8386" w14:textId="77777777" w:rsidR="00FF16C0" w:rsidRPr="006F525B" w:rsidRDefault="00FF16C0" w:rsidP="006F525B">
      <w:pPr>
        <w:tabs>
          <w:tab w:val="clear" w:pos="567"/>
        </w:tabs>
        <w:spacing w:line="240" w:lineRule="auto"/>
        <w:ind w:left="-5" w:right="8"/>
        <w:rPr>
          <w:lang w:val="hu-HU"/>
        </w:rPr>
      </w:pPr>
    </w:p>
    <w:p w14:paraId="00088872" w14:textId="77777777" w:rsidR="003E7959" w:rsidRDefault="004E1960" w:rsidP="002A1E85">
      <w:pPr>
        <w:keepNext/>
        <w:tabs>
          <w:tab w:val="clear" w:pos="567"/>
        </w:tabs>
        <w:spacing w:line="240" w:lineRule="auto"/>
        <w:ind w:left="-6" w:right="3306"/>
        <w:rPr>
          <w:b/>
          <w:lang w:val="hu-HU"/>
        </w:rPr>
      </w:pPr>
      <w:r w:rsidRPr="006F525B">
        <w:rPr>
          <w:b/>
          <w:lang w:val="hu-HU"/>
        </w:rPr>
        <w:t>5.3</w:t>
      </w:r>
      <w:r w:rsidRPr="006F525B">
        <w:rPr>
          <w:b/>
          <w:lang w:val="hu-HU"/>
        </w:rPr>
        <w:tab/>
        <w:t>A preklinikai biztonságossági vizsgálatok eredményei</w:t>
      </w:r>
    </w:p>
    <w:p w14:paraId="62672BF1" w14:textId="77777777" w:rsidR="003E7959" w:rsidRDefault="003E7959" w:rsidP="006F525B">
      <w:pPr>
        <w:tabs>
          <w:tab w:val="clear" w:pos="567"/>
        </w:tabs>
        <w:spacing w:line="240" w:lineRule="auto"/>
        <w:ind w:left="-5" w:right="3307"/>
        <w:rPr>
          <w:lang w:val="hu-HU"/>
        </w:rPr>
      </w:pPr>
    </w:p>
    <w:p w14:paraId="2B0DB50A" w14:textId="77777777" w:rsidR="004E1960" w:rsidRPr="006F525B" w:rsidRDefault="004E1960" w:rsidP="006F525B">
      <w:pPr>
        <w:tabs>
          <w:tab w:val="clear" w:pos="567"/>
        </w:tabs>
        <w:spacing w:line="240" w:lineRule="auto"/>
        <w:ind w:left="-5" w:right="3307"/>
        <w:rPr>
          <w:lang w:val="hu-HU"/>
        </w:rPr>
      </w:pPr>
      <w:r w:rsidRPr="006F525B">
        <w:rPr>
          <w:lang w:val="hu-HU"/>
        </w:rPr>
        <w:t xml:space="preserve">A </w:t>
      </w:r>
      <w:r w:rsidR="00200067">
        <w:rPr>
          <w:lang w:val="hu-HU"/>
        </w:rPr>
        <w:t>JUZIMETTE</w:t>
      </w:r>
      <w:r w:rsidR="00FF16C0" w:rsidRPr="006F525B">
        <w:rPr>
          <w:lang w:val="hu-HU"/>
        </w:rPr>
        <w:t>-v</w:t>
      </w:r>
      <w:r w:rsidR="004D3E6E">
        <w:rPr>
          <w:lang w:val="hu-HU"/>
        </w:rPr>
        <w:t>e</w:t>
      </w:r>
      <w:r w:rsidR="00FF16C0" w:rsidRPr="006F525B">
        <w:rPr>
          <w:lang w:val="hu-HU"/>
        </w:rPr>
        <w:t>l</w:t>
      </w:r>
      <w:r w:rsidRPr="006F525B">
        <w:rPr>
          <w:lang w:val="hu-HU"/>
        </w:rPr>
        <w:t xml:space="preserve"> állatkísérleteket nem végeztek.</w:t>
      </w:r>
    </w:p>
    <w:p w14:paraId="47E704BE" w14:textId="77777777" w:rsidR="001C0499" w:rsidRDefault="001C0499" w:rsidP="006F525B">
      <w:pPr>
        <w:tabs>
          <w:tab w:val="clear" w:pos="567"/>
        </w:tabs>
        <w:spacing w:line="240" w:lineRule="auto"/>
        <w:ind w:left="-5" w:right="8"/>
        <w:rPr>
          <w:lang w:val="hu-HU"/>
        </w:rPr>
      </w:pPr>
    </w:p>
    <w:p w14:paraId="04ADCB23" w14:textId="77777777" w:rsidR="004E1960" w:rsidRPr="006F525B" w:rsidRDefault="004E1960" w:rsidP="006F525B">
      <w:pPr>
        <w:tabs>
          <w:tab w:val="clear" w:pos="567"/>
        </w:tabs>
        <w:spacing w:line="240" w:lineRule="auto"/>
        <w:ind w:left="-5" w:right="8"/>
        <w:rPr>
          <w:lang w:val="hu-HU"/>
        </w:rPr>
      </w:pPr>
      <w:r w:rsidRPr="006F525B">
        <w:rPr>
          <w:lang w:val="hu-HU"/>
        </w:rPr>
        <w:t>16</w:t>
      </w:r>
      <w:r w:rsidR="00004E62" w:rsidRPr="006F525B">
        <w:rPr>
          <w:lang w:val="hu-HU"/>
        </w:rPr>
        <w:t> </w:t>
      </w:r>
      <w:r w:rsidRPr="006F525B">
        <w:rPr>
          <w:lang w:val="hu-HU"/>
        </w:rPr>
        <w:t>hetes vizsgálatok során, melyben kutyáknak adtak metformint önmagában vagy szitagliptinnel együttesen alkalmazva, az együttes alkalmazás során további toxicitást nem figyeltek meg. E vizsgálatokban a NOEL-érték szitagliptin esetén a humán expozíciós szint hozzávetőleg 6-szorosánál, míg metformin esetén a humán expozíciós szint hozzávetőleg 2,5-szeresénél volt megfigyelhető.</w:t>
      </w:r>
    </w:p>
    <w:p w14:paraId="1A56B697" w14:textId="77777777" w:rsidR="00C75574" w:rsidRDefault="00C75574" w:rsidP="006F525B">
      <w:pPr>
        <w:tabs>
          <w:tab w:val="clear" w:pos="567"/>
        </w:tabs>
        <w:spacing w:line="240" w:lineRule="auto"/>
        <w:ind w:left="-5" w:right="8"/>
        <w:rPr>
          <w:lang w:val="hu-HU"/>
        </w:rPr>
      </w:pPr>
    </w:p>
    <w:p w14:paraId="0BA76D2A" w14:textId="77777777" w:rsidR="004E1960" w:rsidRPr="006F525B" w:rsidRDefault="004E1960" w:rsidP="006F525B">
      <w:pPr>
        <w:tabs>
          <w:tab w:val="clear" w:pos="567"/>
        </w:tabs>
        <w:spacing w:line="240" w:lineRule="auto"/>
        <w:ind w:left="-5" w:right="8"/>
        <w:rPr>
          <w:lang w:val="hu-HU"/>
        </w:rPr>
      </w:pPr>
      <w:r w:rsidRPr="006F525B">
        <w:rPr>
          <w:lang w:val="hu-HU"/>
        </w:rPr>
        <w:t>Az alábbi adatok a szitagliptinnel és metforminnal külön-külön végzett vizsgálatok eredményeit tükrözik.</w:t>
      </w:r>
    </w:p>
    <w:p w14:paraId="3113A17A" w14:textId="77777777" w:rsidR="00004E62" w:rsidRPr="006F525B" w:rsidRDefault="00004E62" w:rsidP="006F525B">
      <w:pPr>
        <w:tabs>
          <w:tab w:val="clear" w:pos="567"/>
        </w:tabs>
        <w:spacing w:line="240" w:lineRule="auto"/>
        <w:ind w:left="-5" w:right="8"/>
        <w:rPr>
          <w:lang w:val="hu-HU"/>
        </w:rPr>
      </w:pPr>
    </w:p>
    <w:p w14:paraId="59268828"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Szitagliptin</w:t>
      </w:r>
    </w:p>
    <w:p w14:paraId="36424145" w14:textId="77777777" w:rsidR="004E1960" w:rsidRPr="006F525B" w:rsidRDefault="004E1960" w:rsidP="006F525B">
      <w:pPr>
        <w:tabs>
          <w:tab w:val="clear" w:pos="567"/>
        </w:tabs>
        <w:spacing w:line="240" w:lineRule="auto"/>
        <w:ind w:left="-5" w:right="8"/>
        <w:rPr>
          <w:lang w:val="hu-HU"/>
        </w:rPr>
      </w:pPr>
      <w:r w:rsidRPr="006F525B">
        <w:rPr>
          <w:lang w:val="hu-HU"/>
        </w:rPr>
        <w:t>A rágcsálókn</w:t>
      </w:r>
      <w:r w:rsidR="00827F88">
        <w:rPr>
          <w:lang w:val="hu-HU"/>
        </w:rPr>
        <w:t>ál</w:t>
      </w:r>
      <w:r w:rsidRPr="006F525B">
        <w:rPr>
          <w:lang w:val="hu-HU"/>
        </w:rPr>
        <w:t xml:space="preserve"> a humán szisztémás expozíciós szint 58-szorosánál vese- és májtoxicitást figyeltek meg, míg a hatással nem rendelkező dózisszint a humán expozíciós szint 19-szerese volt. A patkányokn</w:t>
      </w:r>
      <w:r w:rsidR="00827F88">
        <w:rPr>
          <w:lang w:val="hu-HU"/>
        </w:rPr>
        <w:t>ál</w:t>
      </w:r>
      <w:r w:rsidRPr="006F525B">
        <w:rPr>
          <w:lang w:val="hu-HU"/>
        </w:rPr>
        <w:t xml:space="preserve"> a klinikai expozíciós szint 67-szerese mellett metszőfog-rendellenességeket figyeltek meg. A patkányok</w:t>
      </w:r>
      <w:r w:rsidR="00827F88">
        <w:rPr>
          <w:lang w:val="hu-HU"/>
        </w:rPr>
        <w:t>kal</w:t>
      </w:r>
      <w:r w:rsidRPr="006F525B">
        <w:rPr>
          <w:lang w:val="hu-HU"/>
        </w:rPr>
        <w:t xml:space="preserve"> végzett 14 hetes vizsgálat alapján e megfigyelés esetében a hatással nem rendelkező dózisszint 58-szoros volt. Nem ismert, hogy e megfigyelések milyen mértékben vonatkoznak az emberre. A kutyákn</w:t>
      </w:r>
      <w:r w:rsidR="00827F88">
        <w:rPr>
          <w:lang w:val="hu-HU"/>
        </w:rPr>
        <w:t>ál</w:t>
      </w:r>
      <w:r w:rsidRPr="006F525B">
        <w:rPr>
          <w:lang w:val="hu-HU"/>
        </w:rPr>
        <w:t xml:space="preserve"> a klinikai expozíciós szint hozzávetőleg 23-szorosánál a kezeléssel összefüggő, múló fizikai tüneteket – például nyitott szájjal történő lélegzést, nyálzást, fehér habszerű hányást, ataxiát, remegést, csökkent aktivitást és/vagy összegömbölyödött testtartást – figyeltek meg, melyek közül néhány neurológiai toxicitásra utal. Továbbá, olyan dózisok mellett, melyek a humán expozíciós szint hozzávetőleg 23-szorosának megfelelő szisztémás expozíciós szintet eredményeztek, szövettanilag minimális vagy enyhe mértékű vázizom-degenerációt észleltek. Az ilyen hatással már nem rendelkező dózisszint a klinikai expozíciós szint 6-szorosa volt. </w:t>
      </w:r>
    </w:p>
    <w:p w14:paraId="26CECCA2" w14:textId="77777777" w:rsidR="00004E62" w:rsidRPr="006F525B" w:rsidRDefault="00004E62" w:rsidP="006F525B">
      <w:pPr>
        <w:tabs>
          <w:tab w:val="clear" w:pos="567"/>
        </w:tabs>
        <w:spacing w:line="240" w:lineRule="auto"/>
        <w:ind w:left="-5" w:right="8"/>
        <w:rPr>
          <w:lang w:val="hu-HU"/>
        </w:rPr>
      </w:pPr>
    </w:p>
    <w:p w14:paraId="668D3126" w14:textId="77777777" w:rsidR="004E1960" w:rsidRPr="006F525B" w:rsidRDefault="004E1960" w:rsidP="006F525B">
      <w:pPr>
        <w:tabs>
          <w:tab w:val="clear" w:pos="567"/>
        </w:tabs>
        <w:spacing w:line="240" w:lineRule="auto"/>
        <w:ind w:left="-5" w:right="8"/>
        <w:rPr>
          <w:lang w:val="hu-HU"/>
        </w:rPr>
      </w:pPr>
      <w:r w:rsidRPr="006F525B">
        <w:rPr>
          <w:lang w:val="hu-HU"/>
        </w:rPr>
        <w:t>A szitagliptin a preklinikai vizsgálatok során nem bizonyult genotoxikusnak. A szitagliptin egerek</w:t>
      </w:r>
      <w:r w:rsidR="00827F88">
        <w:rPr>
          <w:lang w:val="hu-HU"/>
        </w:rPr>
        <w:t xml:space="preserve"> eseté</w:t>
      </w:r>
      <w:r w:rsidRPr="006F525B">
        <w:rPr>
          <w:lang w:val="hu-HU"/>
        </w:rPr>
        <w:t>ben nem volt karcinogén. Patkányokn</w:t>
      </w:r>
      <w:r w:rsidR="00827F88">
        <w:rPr>
          <w:lang w:val="hu-HU"/>
        </w:rPr>
        <w:t>ál</w:t>
      </w:r>
      <w:r w:rsidRPr="006F525B">
        <w:rPr>
          <w:lang w:val="hu-HU"/>
        </w:rPr>
        <w:t xml:space="preserve"> a humán expozíciós szint 58-szorosa mellett megnövekedett a májadenoma és -karcinoma előfordulási gyakorisága. Mivel kimutatták, hogy a hepatotoxicitás a patkányok esetében korrelációt mutat a hepatikus neopláziák kialakulásával, a májtumorok ezen megnövekedett előfordulási aránya nagy valószínűséggel az ilyen magas dózisnál fellépő krónikus hepatotoxicitás következménye. A magas biztonságossági küszöb (ennek a hatással nem rendelkező dózisszintnek a 19-szerese) miatt e neoplasztikus elváltozások emberek vonatkozásában nem tekintendőek relevánsnak.</w:t>
      </w:r>
    </w:p>
    <w:p w14:paraId="51A377E3" w14:textId="77777777" w:rsidR="00004E62" w:rsidRPr="006F525B" w:rsidRDefault="00004E62" w:rsidP="006F525B">
      <w:pPr>
        <w:tabs>
          <w:tab w:val="clear" w:pos="567"/>
        </w:tabs>
        <w:spacing w:line="240" w:lineRule="auto"/>
        <w:ind w:left="-5" w:right="8"/>
        <w:rPr>
          <w:lang w:val="hu-HU"/>
        </w:rPr>
      </w:pPr>
    </w:p>
    <w:p w14:paraId="073B2DB0" w14:textId="77777777" w:rsidR="004E1960" w:rsidRPr="006F525B" w:rsidRDefault="004E1960" w:rsidP="006F525B">
      <w:pPr>
        <w:tabs>
          <w:tab w:val="clear" w:pos="567"/>
        </w:tabs>
        <w:spacing w:line="240" w:lineRule="auto"/>
        <w:ind w:left="-5" w:right="8"/>
        <w:rPr>
          <w:lang w:val="hu-HU"/>
        </w:rPr>
      </w:pPr>
      <w:r w:rsidRPr="006F525B">
        <w:rPr>
          <w:lang w:val="hu-HU"/>
        </w:rPr>
        <w:t>Nem figyeltek meg a termékenységre gyakorolt nemkívánatos hatást, ha a hím és nőstény patkányoknak a párzási időszak előtt és közben adtak szitagliptint.</w:t>
      </w:r>
    </w:p>
    <w:p w14:paraId="045473D6" w14:textId="77777777" w:rsidR="00C75574" w:rsidRDefault="00C75574" w:rsidP="006F525B">
      <w:pPr>
        <w:tabs>
          <w:tab w:val="clear" w:pos="567"/>
        </w:tabs>
        <w:spacing w:line="240" w:lineRule="auto"/>
        <w:ind w:left="-5" w:right="8"/>
        <w:rPr>
          <w:lang w:val="hu-HU"/>
        </w:rPr>
      </w:pPr>
    </w:p>
    <w:p w14:paraId="36EC8361" w14:textId="77777777" w:rsidR="004E1960" w:rsidRPr="006F525B" w:rsidRDefault="004E1960" w:rsidP="006F525B">
      <w:pPr>
        <w:tabs>
          <w:tab w:val="clear" w:pos="567"/>
        </w:tabs>
        <w:spacing w:line="240" w:lineRule="auto"/>
        <w:ind w:left="-5" w:right="8"/>
        <w:rPr>
          <w:lang w:val="hu-HU"/>
        </w:rPr>
      </w:pPr>
      <w:r w:rsidRPr="006F525B">
        <w:rPr>
          <w:lang w:val="hu-HU"/>
        </w:rPr>
        <w:t xml:space="preserve">Egy a patkányok pre- és posztnatális fejlődésére irányuló vizsgálatban a szitagliptin nem okozott </w:t>
      </w:r>
      <w:r w:rsidRPr="003A4CC0">
        <w:rPr>
          <w:lang w:val="hu-HU"/>
        </w:rPr>
        <w:t>nemkívánatos hatásokat.</w:t>
      </w:r>
    </w:p>
    <w:p w14:paraId="2A78E147" w14:textId="77777777" w:rsidR="00004E62" w:rsidRPr="006F525B" w:rsidRDefault="00004E62" w:rsidP="006F525B">
      <w:pPr>
        <w:tabs>
          <w:tab w:val="clear" w:pos="567"/>
        </w:tabs>
        <w:spacing w:line="240" w:lineRule="auto"/>
        <w:ind w:left="-5" w:right="8"/>
        <w:rPr>
          <w:lang w:val="hu-HU"/>
        </w:rPr>
      </w:pPr>
    </w:p>
    <w:p w14:paraId="7A672DBE" w14:textId="77777777" w:rsidR="004E1960" w:rsidRPr="006F525B" w:rsidRDefault="004E1960" w:rsidP="006F525B">
      <w:pPr>
        <w:tabs>
          <w:tab w:val="clear" w:pos="567"/>
        </w:tabs>
        <w:spacing w:line="240" w:lineRule="auto"/>
        <w:ind w:left="-5" w:right="8"/>
        <w:rPr>
          <w:lang w:val="hu-HU"/>
        </w:rPr>
      </w:pPr>
      <w:r w:rsidRPr="006F525B">
        <w:rPr>
          <w:lang w:val="hu-HU"/>
        </w:rPr>
        <w:t xml:space="preserve">A reproduktív toxicitási vizsgálatok a kezeléssel összefüggő magzati borda-rendellenességek (hiányzó, hypoplasiás és lengőbordák) előfordulásának enyhe növekedését mutatták patkányok utódaiban, a humán expozíciós szint 29-szeresét meghaladó szisztémás expozíciós szintnél. </w:t>
      </w:r>
    </w:p>
    <w:p w14:paraId="6352C0C4" w14:textId="77777777" w:rsidR="004E1960" w:rsidRPr="006F525B" w:rsidRDefault="004E1960" w:rsidP="006F525B">
      <w:pPr>
        <w:tabs>
          <w:tab w:val="clear" w:pos="567"/>
        </w:tabs>
        <w:spacing w:line="240" w:lineRule="auto"/>
        <w:ind w:left="-5" w:right="8"/>
        <w:rPr>
          <w:lang w:val="hu-HU"/>
        </w:rPr>
      </w:pPr>
      <w:r w:rsidRPr="006F525B">
        <w:rPr>
          <w:lang w:val="hu-HU"/>
        </w:rPr>
        <w:t>Nyulakn</w:t>
      </w:r>
      <w:r w:rsidR="00827F88">
        <w:rPr>
          <w:lang w:val="hu-HU"/>
        </w:rPr>
        <w:t>ál</w:t>
      </w:r>
      <w:r w:rsidRPr="006F525B">
        <w:rPr>
          <w:lang w:val="hu-HU"/>
        </w:rPr>
        <w:t xml:space="preserve"> anyai toxicitást figyeltek meg a humán expozíciós szint több mint 29-szeresénél. A magas biztonságossági határértékek miatt e megfigyelések nem utalnak hasonló kockázatra az emberi reprodukció terén. A szitagliptin a laktáló patkányok tejébe jelentős mértékben kiválasztódott (tej/plazma arány: 4:1).</w:t>
      </w:r>
    </w:p>
    <w:p w14:paraId="78BA0B06" w14:textId="77777777" w:rsidR="00004E62" w:rsidRPr="006F525B" w:rsidRDefault="00004E62" w:rsidP="006F525B">
      <w:pPr>
        <w:tabs>
          <w:tab w:val="clear" w:pos="567"/>
        </w:tabs>
        <w:spacing w:line="240" w:lineRule="auto"/>
        <w:ind w:left="-5" w:right="8"/>
        <w:rPr>
          <w:lang w:val="hu-HU"/>
        </w:rPr>
      </w:pPr>
    </w:p>
    <w:p w14:paraId="1445CDA2" w14:textId="77777777" w:rsidR="004E1960" w:rsidRPr="006F525B" w:rsidRDefault="004E1960" w:rsidP="006F525B">
      <w:pPr>
        <w:tabs>
          <w:tab w:val="clear" w:pos="567"/>
        </w:tabs>
        <w:spacing w:line="240" w:lineRule="auto"/>
        <w:ind w:left="-5" w:right="124"/>
        <w:rPr>
          <w:u w:val="single" w:color="000000"/>
          <w:lang w:val="hu-HU"/>
        </w:rPr>
      </w:pPr>
      <w:r w:rsidRPr="006F525B">
        <w:rPr>
          <w:u w:val="single" w:color="000000"/>
          <w:lang w:val="hu-HU"/>
        </w:rPr>
        <w:t>Metformin</w:t>
      </w:r>
    </w:p>
    <w:p w14:paraId="54EE7B6B" w14:textId="77777777" w:rsidR="004E1960" w:rsidRPr="006F525B" w:rsidRDefault="004E1960" w:rsidP="006F525B">
      <w:pPr>
        <w:tabs>
          <w:tab w:val="clear" w:pos="567"/>
        </w:tabs>
        <w:spacing w:line="240" w:lineRule="auto"/>
        <w:ind w:left="-5" w:right="8"/>
        <w:rPr>
          <w:lang w:val="hu-HU"/>
        </w:rPr>
      </w:pPr>
      <w:r w:rsidRPr="006F525B">
        <w:rPr>
          <w:lang w:val="hu-HU"/>
        </w:rPr>
        <w:t xml:space="preserve">A hagyományos – farmakológiai biztonságossági, ismételt adagolású dózistoxicitási, genotoxicitási, karcinogenitási, és reprodukcióra kifejtett toxicitási – vizsgálatokból származó </w:t>
      </w:r>
      <w:r w:rsidR="00827F88">
        <w:rPr>
          <w:lang w:val="hu-HU"/>
        </w:rPr>
        <w:t xml:space="preserve">nem </w:t>
      </w:r>
      <w:r w:rsidRPr="006F525B">
        <w:rPr>
          <w:lang w:val="hu-HU"/>
        </w:rPr>
        <w:t xml:space="preserve">klinikai </w:t>
      </w:r>
      <w:r w:rsidR="00827F88">
        <w:rPr>
          <w:lang w:val="hu-HU"/>
        </w:rPr>
        <w:t xml:space="preserve">jellegű </w:t>
      </w:r>
      <w:r w:rsidRPr="006F525B">
        <w:rPr>
          <w:lang w:val="hu-HU"/>
        </w:rPr>
        <w:t>adatok azt igazolták, hogy a készítmény alkalmazásakor humán vonatkozásban különleges kockázat nem várható.</w:t>
      </w:r>
    </w:p>
    <w:bookmarkEnd w:id="0"/>
    <w:p w14:paraId="5C01A138" w14:textId="77777777" w:rsidR="00D501F4" w:rsidRPr="006F525B" w:rsidRDefault="00D501F4" w:rsidP="006F525B">
      <w:pPr>
        <w:widowControl w:val="0"/>
        <w:tabs>
          <w:tab w:val="clear" w:pos="567"/>
        </w:tabs>
        <w:suppressAutoHyphens/>
        <w:spacing w:line="240" w:lineRule="auto"/>
        <w:rPr>
          <w:rFonts w:eastAsia="Times New Roman"/>
          <w:snapToGrid/>
          <w:szCs w:val="22"/>
          <w:lang w:val="hu-HU" w:eastAsia="en-US"/>
        </w:rPr>
      </w:pPr>
    </w:p>
    <w:p w14:paraId="4592CA05" w14:textId="77777777" w:rsidR="00D501F4" w:rsidRPr="006F525B" w:rsidRDefault="00D501F4" w:rsidP="006F525B">
      <w:pPr>
        <w:widowControl w:val="0"/>
        <w:tabs>
          <w:tab w:val="clear" w:pos="567"/>
        </w:tabs>
        <w:suppressAutoHyphens/>
        <w:spacing w:line="240" w:lineRule="auto"/>
        <w:ind w:left="567" w:hanging="567"/>
        <w:outlineLvl w:val="0"/>
        <w:rPr>
          <w:rFonts w:eastAsia="Times New Roman"/>
          <w:snapToGrid/>
          <w:szCs w:val="22"/>
          <w:lang w:val="hu-HU" w:eastAsia="en-US"/>
        </w:rPr>
      </w:pPr>
    </w:p>
    <w:p w14:paraId="2B5CF224" w14:textId="77777777" w:rsidR="00F45C51" w:rsidRPr="006F525B" w:rsidRDefault="00F45C51" w:rsidP="002A1E85">
      <w:pPr>
        <w:keepNext/>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w:t>
      </w:r>
      <w:r w:rsidRPr="006F525B">
        <w:rPr>
          <w:rFonts w:eastAsia="Times New Roman"/>
          <w:b/>
          <w:snapToGrid/>
          <w:szCs w:val="22"/>
          <w:lang w:val="hu-HU" w:eastAsia="en-US"/>
        </w:rPr>
        <w:tab/>
        <w:t>GYÓGYSZERÉSZETI JELLEMZŐK</w:t>
      </w:r>
    </w:p>
    <w:p w14:paraId="27C21E21" w14:textId="77777777" w:rsidR="00F45C51" w:rsidRPr="006F525B" w:rsidRDefault="00F45C51" w:rsidP="006F525B">
      <w:pPr>
        <w:widowControl w:val="0"/>
        <w:tabs>
          <w:tab w:val="clear" w:pos="567"/>
        </w:tabs>
        <w:suppressAutoHyphens/>
        <w:spacing w:line="240" w:lineRule="auto"/>
        <w:ind w:left="567" w:hanging="567"/>
        <w:outlineLvl w:val="0"/>
        <w:rPr>
          <w:bCs/>
          <w:szCs w:val="22"/>
          <w:lang w:val="hu-HU"/>
        </w:rPr>
      </w:pPr>
    </w:p>
    <w:p w14:paraId="5D0AA3AA"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6.1</w:t>
      </w:r>
      <w:r w:rsidRPr="006F525B">
        <w:rPr>
          <w:rFonts w:eastAsia="Times New Roman"/>
          <w:b/>
          <w:snapToGrid/>
          <w:szCs w:val="22"/>
          <w:lang w:val="hu-HU" w:eastAsia="en-US"/>
        </w:rPr>
        <w:tab/>
        <w:t>Segédanyagok felsorolása</w:t>
      </w:r>
    </w:p>
    <w:p w14:paraId="7C359C20"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snapToGrid/>
          <w:szCs w:val="22"/>
          <w:lang w:val="hu-HU" w:eastAsia="en-US"/>
        </w:rPr>
      </w:pPr>
    </w:p>
    <w:p w14:paraId="2FB382FE" w14:textId="77777777" w:rsidR="00D501F4" w:rsidRPr="006F525B" w:rsidRDefault="00D501F4" w:rsidP="006F525B">
      <w:pPr>
        <w:widowControl w:val="0"/>
        <w:tabs>
          <w:tab w:val="clear" w:pos="567"/>
        </w:tabs>
        <w:suppressAutoHyphens/>
        <w:spacing w:line="240" w:lineRule="auto"/>
        <w:ind w:left="567" w:hanging="567"/>
        <w:outlineLvl w:val="0"/>
        <w:rPr>
          <w:szCs w:val="22"/>
          <w:u w:val="single"/>
          <w:lang w:val="hu-HU"/>
        </w:rPr>
      </w:pPr>
      <w:r w:rsidRPr="006F525B">
        <w:rPr>
          <w:szCs w:val="22"/>
          <w:u w:val="single"/>
          <w:lang w:val="hu-HU"/>
        </w:rPr>
        <w:t>Tablettamag:</w:t>
      </w:r>
    </w:p>
    <w:p w14:paraId="14B51E6C" w14:textId="77777777" w:rsidR="00D501F4" w:rsidRPr="006F525B" w:rsidRDefault="00725594" w:rsidP="006F525B">
      <w:pPr>
        <w:widowControl w:val="0"/>
        <w:tabs>
          <w:tab w:val="clear" w:pos="567"/>
        </w:tabs>
        <w:suppressAutoHyphens/>
        <w:spacing w:line="240" w:lineRule="auto"/>
        <w:rPr>
          <w:szCs w:val="22"/>
          <w:lang w:val="hu-HU"/>
        </w:rPr>
      </w:pPr>
      <w:r w:rsidRPr="006F525B">
        <w:rPr>
          <w:szCs w:val="22"/>
          <w:lang w:val="hu-HU"/>
        </w:rPr>
        <w:t>m</w:t>
      </w:r>
      <w:r w:rsidR="00D501F4" w:rsidRPr="006F525B">
        <w:rPr>
          <w:szCs w:val="22"/>
          <w:lang w:val="hu-HU"/>
        </w:rPr>
        <w:t>ikrokristályos cellulóz</w:t>
      </w:r>
      <w:r w:rsidR="00B24420" w:rsidRPr="006F525B">
        <w:rPr>
          <w:szCs w:val="22"/>
          <w:lang w:val="hu-HU"/>
        </w:rPr>
        <w:t xml:space="preserve"> (101</w:t>
      </w:r>
      <w:r w:rsidR="00AA5A53">
        <w:rPr>
          <w:szCs w:val="22"/>
          <w:lang w:val="hu-HU"/>
        </w:rPr>
        <w:t>-es</w:t>
      </w:r>
      <w:r w:rsidR="00B24420" w:rsidRPr="006F525B">
        <w:rPr>
          <w:szCs w:val="22"/>
          <w:lang w:val="hu-HU"/>
        </w:rPr>
        <w:t xml:space="preserve"> típus)</w:t>
      </w:r>
      <w:r w:rsidR="007D6BF8" w:rsidRPr="006F525B">
        <w:rPr>
          <w:szCs w:val="22"/>
          <w:lang w:val="hu-HU"/>
        </w:rPr>
        <w:t>;</w:t>
      </w:r>
    </w:p>
    <w:p w14:paraId="035CC80A" w14:textId="77777777" w:rsidR="00B24420" w:rsidRPr="006F525B" w:rsidRDefault="00B24420" w:rsidP="006F525B">
      <w:pPr>
        <w:widowControl w:val="0"/>
        <w:tabs>
          <w:tab w:val="clear" w:pos="567"/>
        </w:tabs>
        <w:spacing w:line="240" w:lineRule="auto"/>
        <w:rPr>
          <w:lang w:val="hu-HU"/>
        </w:rPr>
      </w:pPr>
      <w:r w:rsidRPr="006F525B">
        <w:rPr>
          <w:lang w:val="hu-HU"/>
        </w:rPr>
        <w:t>povidon K29/32;</w:t>
      </w:r>
    </w:p>
    <w:p w14:paraId="1972E0F5" w14:textId="77777777" w:rsidR="00B24420" w:rsidRPr="006F525B" w:rsidRDefault="00B24420" w:rsidP="006F525B">
      <w:pPr>
        <w:widowControl w:val="0"/>
        <w:tabs>
          <w:tab w:val="clear" w:pos="567"/>
        </w:tabs>
        <w:suppressAutoHyphens/>
        <w:spacing w:line="240" w:lineRule="auto"/>
        <w:rPr>
          <w:szCs w:val="22"/>
          <w:lang w:val="hu-HU"/>
        </w:rPr>
      </w:pPr>
      <w:r w:rsidRPr="006F525B">
        <w:rPr>
          <w:szCs w:val="22"/>
          <w:lang w:val="hu-HU"/>
        </w:rPr>
        <w:t>nátrium-sztearil-fumarát;</w:t>
      </w:r>
    </w:p>
    <w:p w14:paraId="672CC8C1" w14:textId="77777777" w:rsidR="00B24420" w:rsidRPr="006F525B" w:rsidRDefault="00B24420" w:rsidP="006F525B">
      <w:pPr>
        <w:widowControl w:val="0"/>
        <w:tabs>
          <w:tab w:val="clear" w:pos="567"/>
        </w:tabs>
        <w:suppressAutoHyphens/>
        <w:spacing w:line="240" w:lineRule="auto"/>
        <w:rPr>
          <w:szCs w:val="22"/>
          <w:lang w:val="hu-HU"/>
        </w:rPr>
      </w:pPr>
      <w:r w:rsidRPr="006F525B">
        <w:rPr>
          <w:szCs w:val="22"/>
          <w:lang w:val="hu-HU"/>
        </w:rPr>
        <w:t>nátrium-lauril-szulfát.</w:t>
      </w:r>
    </w:p>
    <w:p w14:paraId="3C1E8555" w14:textId="77777777" w:rsidR="00D501F4" w:rsidRPr="006F525B" w:rsidRDefault="00D501F4" w:rsidP="006F525B">
      <w:pPr>
        <w:widowControl w:val="0"/>
        <w:tabs>
          <w:tab w:val="clear" w:pos="567"/>
        </w:tabs>
        <w:suppressAutoHyphens/>
        <w:spacing w:line="240" w:lineRule="auto"/>
        <w:rPr>
          <w:szCs w:val="22"/>
          <w:lang w:val="hu-HU"/>
        </w:rPr>
      </w:pPr>
    </w:p>
    <w:p w14:paraId="79EDD2F6" w14:textId="77777777" w:rsidR="00D501F4" w:rsidRPr="006F525B" w:rsidRDefault="00D501F4" w:rsidP="006F525B">
      <w:pPr>
        <w:widowControl w:val="0"/>
        <w:tabs>
          <w:tab w:val="clear" w:pos="567"/>
        </w:tabs>
        <w:suppressAutoHyphens/>
        <w:spacing w:line="240" w:lineRule="auto"/>
        <w:ind w:left="567" w:hanging="567"/>
        <w:outlineLvl w:val="0"/>
        <w:rPr>
          <w:szCs w:val="22"/>
          <w:u w:val="single"/>
          <w:lang w:val="hu-HU"/>
        </w:rPr>
      </w:pPr>
      <w:r w:rsidRPr="006F525B">
        <w:rPr>
          <w:szCs w:val="22"/>
          <w:u w:val="single"/>
          <w:lang w:val="hu-HU"/>
        </w:rPr>
        <w:t>Filmbevonat:</w:t>
      </w:r>
    </w:p>
    <w:p w14:paraId="33C31357" w14:textId="77777777" w:rsidR="00D501F4" w:rsidRPr="006F525B" w:rsidRDefault="00B24420" w:rsidP="006F525B">
      <w:pPr>
        <w:widowControl w:val="0"/>
        <w:tabs>
          <w:tab w:val="clear" w:pos="567"/>
        </w:tabs>
        <w:suppressAutoHyphens/>
        <w:spacing w:line="240" w:lineRule="auto"/>
        <w:rPr>
          <w:szCs w:val="22"/>
          <w:lang w:val="hu-HU"/>
        </w:rPr>
      </w:pPr>
      <w:r w:rsidRPr="006F525B">
        <w:rPr>
          <w:szCs w:val="22"/>
          <w:lang w:val="hu-HU"/>
        </w:rPr>
        <w:t xml:space="preserve">részlegesen hidrolizált </w:t>
      </w:r>
      <w:r w:rsidR="00D501F4" w:rsidRPr="006F525B">
        <w:rPr>
          <w:szCs w:val="22"/>
          <w:lang w:val="hu-HU"/>
        </w:rPr>
        <w:t>poli</w:t>
      </w:r>
      <w:r w:rsidR="00725594" w:rsidRPr="006F525B">
        <w:rPr>
          <w:szCs w:val="22"/>
          <w:lang w:val="hu-HU"/>
        </w:rPr>
        <w:t>(</w:t>
      </w:r>
      <w:r w:rsidR="00D501F4" w:rsidRPr="006F525B">
        <w:rPr>
          <w:szCs w:val="22"/>
          <w:lang w:val="hu-HU"/>
        </w:rPr>
        <w:t>vinil</w:t>
      </w:r>
      <w:r w:rsidR="0070494E" w:rsidRPr="006F525B">
        <w:rPr>
          <w:szCs w:val="22"/>
          <w:lang w:val="hu-HU"/>
        </w:rPr>
        <w:t>-</w:t>
      </w:r>
      <w:r w:rsidR="00D501F4" w:rsidRPr="006F525B">
        <w:rPr>
          <w:szCs w:val="22"/>
          <w:lang w:val="hu-HU"/>
        </w:rPr>
        <w:t>alkohol</w:t>
      </w:r>
      <w:r w:rsidR="00725594" w:rsidRPr="006F525B">
        <w:rPr>
          <w:szCs w:val="22"/>
          <w:lang w:val="hu-HU"/>
        </w:rPr>
        <w:t>)</w:t>
      </w:r>
      <w:r w:rsidR="005F2C04" w:rsidRPr="006F525B">
        <w:rPr>
          <w:szCs w:val="22"/>
          <w:lang w:val="hu-HU"/>
        </w:rPr>
        <w:t xml:space="preserve"> (E1203)</w:t>
      </w:r>
      <w:r w:rsidR="007D6BF8" w:rsidRPr="006F525B">
        <w:rPr>
          <w:szCs w:val="22"/>
          <w:lang w:val="hu-HU"/>
        </w:rPr>
        <w:t>;</w:t>
      </w:r>
    </w:p>
    <w:p w14:paraId="5DC9C0B4" w14:textId="77777777" w:rsidR="00B24420" w:rsidRPr="006F525B" w:rsidRDefault="00B24420" w:rsidP="006F525B">
      <w:pPr>
        <w:widowControl w:val="0"/>
        <w:tabs>
          <w:tab w:val="clear" w:pos="567"/>
        </w:tabs>
        <w:suppressAutoHyphens/>
        <w:spacing w:line="240" w:lineRule="auto"/>
        <w:rPr>
          <w:szCs w:val="22"/>
          <w:lang w:val="hu-HU"/>
        </w:rPr>
      </w:pPr>
      <w:r w:rsidRPr="006F525B">
        <w:rPr>
          <w:szCs w:val="22"/>
          <w:lang w:val="hu-HU"/>
        </w:rPr>
        <w:t>makrogol 3350 (E1521)</w:t>
      </w:r>
      <w:r w:rsidR="00827F88">
        <w:rPr>
          <w:szCs w:val="22"/>
          <w:lang w:val="hu-HU"/>
        </w:rPr>
        <w:t>;</w:t>
      </w:r>
    </w:p>
    <w:p w14:paraId="1FF299E7" w14:textId="77777777" w:rsidR="00B24420" w:rsidRPr="006F525B" w:rsidRDefault="00B24420" w:rsidP="006F525B">
      <w:pPr>
        <w:widowControl w:val="0"/>
        <w:tabs>
          <w:tab w:val="clear" w:pos="567"/>
        </w:tabs>
        <w:suppressAutoHyphens/>
        <w:spacing w:line="240" w:lineRule="auto"/>
        <w:rPr>
          <w:szCs w:val="22"/>
          <w:lang w:val="hu-HU"/>
        </w:rPr>
      </w:pPr>
      <w:r w:rsidRPr="006F525B">
        <w:rPr>
          <w:szCs w:val="22"/>
          <w:lang w:val="hu-HU"/>
        </w:rPr>
        <w:t>talkum (E553b);</w:t>
      </w:r>
    </w:p>
    <w:p w14:paraId="3906E499" w14:textId="77777777" w:rsidR="008A152F" w:rsidRPr="006F525B" w:rsidRDefault="008A152F" w:rsidP="006F525B">
      <w:pPr>
        <w:widowControl w:val="0"/>
        <w:tabs>
          <w:tab w:val="clear" w:pos="567"/>
        </w:tabs>
        <w:suppressAutoHyphens/>
        <w:spacing w:line="240" w:lineRule="auto"/>
        <w:rPr>
          <w:szCs w:val="22"/>
          <w:lang w:val="hu-HU"/>
        </w:rPr>
      </w:pPr>
      <w:r w:rsidRPr="006F525B">
        <w:rPr>
          <w:szCs w:val="22"/>
          <w:lang w:val="hu-HU"/>
        </w:rPr>
        <w:t>titán-dioxid (E171)</w:t>
      </w:r>
      <w:r w:rsidR="007D6BF8" w:rsidRPr="006F525B">
        <w:rPr>
          <w:szCs w:val="22"/>
          <w:lang w:val="hu-HU"/>
        </w:rPr>
        <w:t>;</w:t>
      </w:r>
    </w:p>
    <w:p w14:paraId="587C8577" w14:textId="77777777" w:rsidR="00B24420" w:rsidRPr="006F525B" w:rsidRDefault="00B24420" w:rsidP="006F525B">
      <w:pPr>
        <w:widowControl w:val="0"/>
        <w:tabs>
          <w:tab w:val="clear" w:pos="567"/>
        </w:tabs>
        <w:suppressAutoHyphens/>
        <w:spacing w:line="240" w:lineRule="auto"/>
        <w:rPr>
          <w:szCs w:val="22"/>
          <w:lang w:val="hu-HU"/>
        </w:rPr>
      </w:pPr>
      <w:r w:rsidRPr="006F525B">
        <w:rPr>
          <w:szCs w:val="22"/>
          <w:lang w:val="hu-HU"/>
        </w:rPr>
        <w:t>vörös</w:t>
      </w:r>
      <w:r w:rsidR="00725594" w:rsidRPr="006F525B">
        <w:rPr>
          <w:szCs w:val="22"/>
          <w:lang w:val="hu-HU"/>
        </w:rPr>
        <w:t xml:space="preserve"> vas-oxid (E172)</w:t>
      </w:r>
      <w:r w:rsidRPr="006F525B">
        <w:rPr>
          <w:szCs w:val="22"/>
          <w:lang w:val="hu-HU"/>
        </w:rPr>
        <w:t>;</w:t>
      </w:r>
    </w:p>
    <w:p w14:paraId="3C1915CD" w14:textId="77777777" w:rsidR="00725594" w:rsidRPr="006F525B" w:rsidRDefault="00B24420" w:rsidP="006F525B">
      <w:pPr>
        <w:widowControl w:val="0"/>
        <w:tabs>
          <w:tab w:val="clear" w:pos="567"/>
        </w:tabs>
        <w:suppressAutoHyphens/>
        <w:spacing w:line="240" w:lineRule="auto"/>
        <w:rPr>
          <w:szCs w:val="22"/>
          <w:lang w:val="hu-HU"/>
        </w:rPr>
      </w:pPr>
      <w:r w:rsidRPr="006F525B">
        <w:rPr>
          <w:szCs w:val="22"/>
          <w:lang w:val="hu-HU"/>
        </w:rPr>
        <w:t>fekete vas-oxid (E172)</w:t>
      </w:r>
      <w:r w:rsidR="007D6BF8" w:rsidRPr="006F525B">
        <w:rPr>
          <w:szCs w:val="22"/>
          <w:lang w:val="hu-HU"/>
        </w:rPr>
        <w:t>.</w:t>
      </w:r>
    </w:p>
    <w:p w14:paraId="29661EB5" w14:textId="77777777" w:rsidR="00B24420" w:rsidRPr="006F525B" w:rsidRDefault="00B24420" w:rsidP="006F525B">
      <w:pPr>
        <w:widowControl w:val="0"/>
        <w:tabs>
          <w:tab w:val="clear" w:pos="567"/>
        </w:tabs>
        <w:suppressAutoHyphens/>
        <w:spacing w:line="240" w:lineRule="auto"/>
        <w:rPr>
          <w:rFonts w:eastAsia="Times New Roman"/>
          <w:snapToGrid/>
          <w:szCs w:val="22"/>
          <w:lang w:val="hu-HU" w:eastAsia="en-US"/>
        </w:rPr>
      </w:pPr>
    </w:p>
    <w:p w14:paraId="4DB4D94C"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6.2</w:t>
      </w:r>
      <w:r w:rsidRPr="006F525B">
        <w:rPr>
          <w:rFonts w:eastAsia="Times New Roman"/>
          <w:b/>
          <w:snapToGrid/>
          <w:szCs w:val="22"/>
          <w:lang w:val="hu-HU" w:eastAsia="en-US"/>
        </w:rPr>
        <w:tab/>
        <w:t>Inkompatibilitások</w:t>
      </w:r>
    </w:p>
    <w:p w14:paraId="2E0126C1"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7D389466" w14:textId="77777777" w:rsidR="00F45C51" w:rsidRPr="006F525B" w:rsidRDefault="00725594" w:rsidP="006F525B">
      <w:pPr>
        <w:widowControl w:val="0"/>
        <w:tabs>
          <w:tab w:val="clear" w:pos="567"/>
        </w:tabs>
        <w:suppressAutoHyphens/>
        <w:spacing w:line="240" w:lineRule="auto"/>
        <w:rPr>
          <w:rFonts w:eastAsia="Times New Roman"/>
          <w:snapToGrid/>
          <w:szCs w:val="22"/>
          <w:lang w:val="hu-HU" w:eastAsia="en-US"/>
        </w:rPr>
      </w:pPr>
      <w:r w:rsidRPr="006F525B">
        <w:rPr>
          <w:rFonts w:eastAsia="Times New Roman"/>
          <w:snapToGrid/>
          <w:szCs w:val="22"/>
          <w:lang w:val="hu-HU" w:eastAsia="en-US"/>
        </w:rPr>
        <w:t>Nem értelmezhető.</w:t>
      </w:r>
    </w:p>
    <w:p w14:paraId="7EA20888" w14:textId="77777777" w:rsidR="00F45C51" w:rsidRPr="006F525B" w:rsidRDefault="00F45C51" w:rsidP="006F525B">
      <w:pPr>
        <w:widowControl w:val="0"/>
        <w:tabs>
          <w:tab w:val="clear" w:pos="567"/>
        </w:tabs>
        <w:suppressAutoHyphens/>
        <w:spacing w:line="240" w:lineRule="auto"/>
        <w:rPr>
          <w:szCs w:val="22"/>
          <w:lang w:val="hu-HU"/>
        </w:rPr>
      </w:pPr>
    </w:p>
    <w:p w14:paraId="292E56CC"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6.3</w:t>
      </w:r>
      <w:r w:rsidRPr="006F525B">
        <w:rPr>
          <w:rFonts w:eastAsia="Times New Roman"/>
          <w:b/>
          <w:snapToGrid/>
          <w:szCs w:val="22"/>
          <w:lang w:val="hu-HU" w:eastAsia="en-US"/>
        </w:rPr>
        <w:tab/>
        <w:t>Felhasználhatósági időtartam</w:t>
      </w:r>
    </w:p>
    <w:p w14:paraId="71C4A0A8"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1F5430FD" w14:textId="77777777" w:rsidR="00F45C51" w:rsidRPr="006F525B" w:rsidRDefault="005D6773" w:rsidP="006F525B">
      <w:pPr>
        <w:widowControl w:val="0"/>
        <w:tabs>
          <w:tab w:val="clear" w:pos="567"/>
        </w:tabs>
        <w:suppressAutoHyphens/>
        <w:spacing w:line="240" w:lineRule="auto"/>
        <w:rPr>
          <w:rFonts w:eastAsia="Times New Roman"/>
          <w:snapToGrid/>
          <w:szCs w:val="22"/>
          <w:lang w:val="hu-HU" w:eastAsia="en-US"/>
        </w:rPr>
      </w:pPr>
      <w:r>
        <w:rPr>
          <w:rFonts w:eastAsia="Times New Roman"/>
          <w:snapToGrid/>
          <w:szCs w:val="22"/>
          <w:lang w:val="hu-HU" w:eastAsia="en-US"/>
        </w:rPr>
        <w:t>3</w:t>
      </w:r>
      <w:r w:rsidR="007D6BF8" w:rsidRPr="006F525B">
        <w:rPr>
          <w:rFonts w:eastAsia="Times New Roman"/>
          <w:snapToGrid/>
          <w:szCs w:val="22"/>
          <w:lang w:val="hu-HU" w:eastAsia="en-US"/>
        </w:rPr>
        <w:t> év</w:t>
      </w:r>
    </w:p>
    <w:p w14:paraId="7BE8195F" w14:textId="77777777" w:rsidR="00077267" w:rsidRPr="006F525B" w:rsidRDefault="00077267" w:rsidP="006F525B">
      <w:pPr>
        <w:widowControl w:val="0"/>
        <w:tabs>
          <w:tab w:val="clear" w:pos="567"/>
        </w:tabs>
        <w:suppressAutoHyphens/>
        <w:spacing w:line="240" w:lineRule="auto"/>
        <w:rPr>
          <w:rFonts w:eastAsia="Times New Roman"/>
          <w:snapToGrid/>
          <w:szCs w:val="22"/>
          <w:lang w:val="hu-HU" w:eastAsia="en-US"/>
        </w:rPr>
      </w:pPr>
    </w:p>
    <w:p w14:paraId="12224BF3"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6.4</w:t>
      </w:r>
      <w:r w:rsidRPr="006F525B">
        <w:rPr>
          <w:rFonts w:eastAsia="Times New Roman"/>
          <w:b/>
          <w:snapToGrid/>
          <w:szCs w:val="22"/>
          <w:lang w:val="hu-HU" w:eastAsia="en-US"/>
        </w:rPr>
        <w:tab/>
        <w:t>Különleges tárolási előírások</w:t>
      </w:r>
    </w:p>
    <w:p w14:paraId="48C85543" w14:textId="77777777" w:rsidR="00F45C51" w:rsidRPr="006F525B" w:rsidRDefault="00F45C51" w:rsidP="006F525B">
      <w:pPr>
        <w:widowControl w:val="0"/>
        <w:tabs>
          <w:tab w:val="clear" w:pos="567"/>
        </w:tabs>
        <w:suppressAutoHyphens/>
        <w:spacing w:line="240" w:lineRule="auto"/>
        <w:rPr>
          <w:bCs/>
          <w:szCs w:val="22"/>
          <w:lang w:val="hu-HU"/>
        </w:rPr>
      </w:pPr>
    </w:p>
    <w:p w14:paraId="487BB6B8" w14:textId="77777777" w:rsidR="00077267" w:rsidRPr="006F525B" w:rsidRDefault="004066E4" w:rsidP="006F525B">
      <w:pPr>
        <w:widowControl w:val="0"/>
        <w:tabs>
          <w:tab w:val="clear" w:pos="567"/>
        </w:tabs>
        <w:suppressAutoHyphens/>
        <w:spacing w:line="240" w:lineRule="auto"/>
        <w:rPr>
          <w:rFonts w:eastAsia="Times New Roman"/>
          <w:snapToGrid/>
          <w:szCs w:val="22"/>
          <w:lang w:val="hu-HU" w:eastAsia="en-US"/>
        </w:rPr>
      </w:pPr>
      <w:r w:rsidRPr="006F525B">
        <w:rPr>
          <w:rFonts w:eastAsia="Times New Roman"/>
          <w:snapToGrid/>
          <w:szCs w:val="22"/>
          <w:lang w:val="hu-HU" w:eastAsia="en-US"/>
        </w:rPr>
        <w:t>Legfeljebb 30</w:t>
      </w:r>
      <w:r w:rsidR="00827F88">
        <w:rPr>
          <w:rFonts w:eastAsia="Times New Roman"/>
          <w:snapToGrid/>
          <w:szCs w:val="22"/>
          <w:lang w:val="hu-HU" w:eastAsia="en-US"/>
        </w:rPr>
        <w:t> </w:t>
      </w:r>
      <w:r w:rsidRPr="006F525B">
        <w:rPr>
          <w:rFonts w:eastAsia="Times New Roman"/>
          <w:snapToGrid/>
          <w:szCs w:val="22"/>
          <w:lang w:val="hu-HU" w:eastAsia="en-US"/>
        </w:rPr>
        <w:t>⁰C-on tárolandó</w:t>
      </w:r>
      <w:r w:rsidR="00827F88">
        <w:rPr>
          <w:rFonts w:eastAsia="Times New Roman"/>
          <w:snapToGrid/>
          <w:szCs w:val="22"/>
          <w:lang w:val="hu-HU" w:eastAsia="en-US"/>
        </w:rPr>
        <w:t>.</w:t>
      </w:r>
    </w:p>
    <w:p w14:paraId="4D1D8058" w14:textId="77777777" w:rsidR="00725594" w:rsidRPr="006F525B" w:rsidRDefault="00725594" w:rsidP="006F525B">
      <w:pPr>
        <w:widowControl w:val="0"/>
        <w:tabs>
          <w:tab w:val="clear" w:pos="567"/>
        </w:tabs>
        <w:suppressAutoHyphens/>
        <w:spacing w:line="240" w:lineRule="auto"/>
        <w:rPr>
          <w:rFonts w:eastAsia="Times New Roman"/>
          <w:snapToGrid/>
          <w:szCs w:val="22"/>
          <w:lang w:val="hu-HU" w:eastAsia="en-US"/>
        </w:rPr>
      </w:pPr>
    </w:p>
    <w:p w14:paraId="7FD17F17"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6.5</w:t>
      </w:r>
      <w:r w:rsidRPr="006F525B">
        <w:rPr>
          <w:rFonts w:eastAsia="Times New Roman"/>
          <w:b/>
          <w:snapToGrid/>
          <w:szCs w:val="22"/>
          <w:lang w:val="hu-HU" w:eastAsia="en-US"/>
        </w:rPr>
        <w:tab/>
        <w:t xml:space="preserve">Csomagolás típusa és kiszerelése </w:t>
      </w:r>
    </w:p>
    <w:p w14:paraId="23058E5E"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27336D1D" w14:textId="77777777" w:rsidR="00335685" w:rsidRPr="006F525B" w:rsidRDefault="004066E4" w:rsidP="006F525B">
      <w:pPr>
        <w:widowControl w:val="0"/>
        <w:tabs>
          <w:tab w:val="clear" w:pos="567"/>
        </w:tabs>
        <w:suppressAutoHyphens/>
        <w:spacing w:line="240" w:lineRule="auto"/>
        <w:rPr>
          <w:szCs w:val="22"/>
          <w:lang w:val="hu-HU"/>
        </w:rPr>
      </w:pPr>
      <w:r w:rsidRPr="006F525B">
        <w:rPr>
          <w:szCs w:val="22"/>
          <w:lang w:val="hu-HU"/>
        </w:rPr>
        <w:t>F</w:t>
      </w:r>
      <w:r w:rsidR="003E5A01" w:rsidRPr="006F525B">
        <w:rPr>
          <w:szCs w:val="22"/>
          <w:lang w:val="hu-HU"/>
        </w:rPr>
        <w:t>ehér,</w:t>
      </w:r>
      <w:r w:rsidR="00335685" w:rsidRPr="006F525B">
        <w:rPr>
          <w:szCs w:val="22"/>
          <w:lang w:val="hu-HU"/>
        </w:rPr>
        <w:t xml:space="preserve"> </w:t>
      </w:r>
      <w:r w:rsidR="003E5A01" w:rsidRPr="006F525B">
        <w:rPr>
          <w:szCs w:val="22"/>
          <w:lang w:val="hu-HU"/>
        </w:rPr>
        <w:t>átlátszatlan PVC/PE/PVDC//A</w:t>
      </w:r>
      <w:r w:rsidR="008A152F" w:rsidRPr="006F525B">
        <w:rPr>
          <w:szCs w:val="22"/>
          <w:lang w:val="hu-HU"/>
        </w:rPr>
        <w:t>l</w:t>
      </w:r>
      <w:r w:rsidR="003E5A01" w:rsidRPr="006F525B">
        <w:rPr>
          <w:szCs w:val="22"/>
          <w:lang w:val="hu-HU"/>
        </w:rPr>
        <w:t xml:space="preserve"> buborékcsomagolás</w:t>
      </w:r>
      <w:r w:rsidRPr="006F525B">
        <w:rPr>
          <w:szCs w:val="22"/>
          <w:lang w:val="hu-HU"/>
        </w:rPr>
        <w:t xml:space="preserve"> karton</w:t>
      </w:r>
      <w:r w:rsidR="003E5A01" w:rsidRPr="006F525B">
        <w:rPr>
          <w:szCs w:val="22"/>
          <w:lang w:val="hu-HU"/>
        </w:rPr>
        <w:t>dobozban, betegtájékoztatóval együtt.</w:t>
      </w:r>
    </w:p>
    <w:p w14:paraId="7AEDB784" w14:textId="77777777" w:rsidR="003E5A01" w:rsidRPr="006F525B" w:rsidRDefault="003E5A01" w:rsidP="006F525B">
      <w:pPr>
        <w:widowControl w:val="0"/>
        <w:tabs>
          <w:tab w:val="clear" w:pos="567"/>
        </w:tabs>
        <w:suppressAutoHyphens/>
        <w:spacing w:line="240" w:lineRule="auto"/>
        <w:rPr>
          <w:rFonts w:eastAsia="Times New Roman"/>
          <w:snapToGrid/>
          <w:szCs w:val="22"/>
          <w:lang w:val="hu-HU" w:eastAsia="en-US"/>
        </w:rPr>
      </w:pPr>
    </w:p>
    <w:p w14:paraId="0CA635D2" w14:textId="77777777" w:rsidR="00DD4065" w:rsidRPr="006F525B" w:rsidRDefault="005F2C04" w:rsidP="006F525B">
      <w:pPr>
        <w:widowControl w:val="0"/>
        <w:tabs>
          <w:tab w:val="clear" w:pos="567"/>
        </w:tabs>
        <w:suppressAutoHyphens/>
        <w:spacing w:line="240" w:lineRule="auto"/>
        <w:rPr>
          <w:rFonts w:eastAsia="Times New Roman"/>
          <w:snapToGrid/>
          <w:szCs w:val="22"/>
          <w:lang w:val="hu-HU" w:eastAsia="en-US"/>
        </w:rPr>
      </w:pPr>
      <w:r w:rsidRPr="006F525B">
        <w:rPr>
          <w:rFonts w:eastAsia="Times New Roman"/>
          <w:snapToGrid/>
          <w:szCs w:val="22"/>
          <w:lang w:val="hu-HU" w:eastAsia="en-US"/>
        </w:rPr>
        <w:t>28, 30, 56</w:t>
      </w:r>
      <w:r w:rsidR="004E3C69" w:rsidRPr="006F525B">
        <w:rPr>
          <w:rFonts w:eastAsia="Times New Roman"/>
          <w:snapToGrid/>
          <w:szCs w:val="22"/>
          <w:lang w:val="hu-HU" w:eastAsia="en-US"/>
        </w:rPr>
        <w:t xml:space="preserve">, 60, </w:t>
      </w:r>
      <w:r w:rsidRPr="006F525B">
        <w:rPr>
          <w:rFonts w:eastAsia="Times New Roman"/>
          <w:snapToGrid/>
          <w:szCs w:val="22"/>
          <w:lang w:val="hu-HU" w:eastAsia="en-US"/>
        </w:rPr>
        <w:t>98</w:t>
      </w:r>
      <w:r w:rsidR="004066E4" w:rsidRPr="006F525B">
        <w:rPr>
          <w:rFonts w:eastAsia="Times New Roman"/>
          <w:snapToGrid/>
          <w:szCs w:val="22"/>
          <w:lang w:val="hu-HU" w:eastAsia="en-US"/>
        </w:rPr>
        <w:t>, 120, 196</w:t>
      </w:r>
      <w:r w:rsidR="002C77C2" w:rsidRPr="006F525B">
        <w:rPr>
          <w:rFonts w:eastAsia="Times New Roman"/>
          <w:snapToGrid/>
          <w:szCs w:val="22"/>
          <w:lang w:val="hu-HU" w:eastAsia="en-US"/>
        </w:rPr>
        <w:t xml:space="preserve"> db </w:t>
      </w:r>
      <w:r w:rsidR="00335685" w:rsidRPr="006F525B">
        <w:rPr>
          <w:rFonts w:eastAsia="Times New Roman"/>
          <w:snapToGrid/>
          <w:szCs w:val="22"/>
          <w:lang w:val="hu-HU" w:eastAsia="en-US"/>
        </w:rPr>
        <w:t>film</w:t>
      </w:r>
      <w:r w:rsidR="002C77C2" w:rsidRPr="006F525B">
        <w:rPr>
          <w:rFonts w:eastAsia="Times New Roman"/>
          <w:snapToGrid/>
          <w:szCs w:val="22"/>
          <w:lang w:val="hu-HU" w:eastAsia="en-US"/>
        </w:rPr>
        <w:t>tablettát</w:t>
      </w:r>
      <w:r w:rsidR="00DD4065" w:rsidRPr="006F525B">
        <w:rPr>
          <w:rFonts w:eastAsia="Times New Roman"/>
          <w:snapToGrid/>
          <w:szCs w:val="22"/>
          <w:lang w:val="hu-HU" w:eastAsia="en-US"/>
        </w:rPr>
        <w:t xml:space="preserve"> </w:t>
      </w:r>
      <w:r w:rsidR="002C77C2" w:rsidRPr="006F525B">
        <w:rPr>
          <w:rFonts w:eastAsia="Times New Roman"/>
          <w:snapToGrid/>
          <w:szCs w:val="22"/>
          <w:lang w:val="hu-HU" w:eastAsia="en-US"/>
        </w:rPr>
        <w:t>tartalmaz</w:t>
      </w:r>
      <w:r w:rsidR="003E5A01" w:rsidRPr="006F525B">
        <w:rPr>
          <w:rFonts w:eastAsia="Times New Roman"/>
          <w:snapToGrid/>
          <w:szCs w:val="22"/>
          <w:lang w:val="hu-HU" w:eastAsia="en-US"/>
        </w:rPr>
        <w:t xml:space="preserve">ó </w:t>
      </w:r>
      <w:r w:rsidR="004066E4" w:rsidRPr="006F525B">
        <w:rPr>
          <w:rFonts w:eastAsia="Times New Roman"/>
          <w:snapToGrid/>
          <w:szCs w:val="22"/>
          <w:lang w:val="hu-HU" w:eastAsia="en-US"/>
        </w:rPr>
        <w:t>doboz, 196 db (2</w:t>
      </w:r>
      <w:r w:rsidR="00827F88">
        <w:rPr>
          <w:rFonts w:eastAsia="Times New Roman"/>
          <w:snapToGrid/>
          <w:szCs w:val="22"/>
          <w:lang w:val="hu-HU" w:eastAsia="en-US"/>
        </w:rPr>
        <w:t>×</w:t>
      </w:r>
      <w:r w:rsidR="004066E4" w:rsidRPr="006F525B">
        <w:rPr>
          <w:rFonts w:eastAsia="Times New Roman"/>
          <w:snapToGrid/>
          <w:szCs w:val="22"/>
          <w:lang w:val="hu-HU" w:eastAsia="en-US"/>
        </w:rPr>
        <w:t>98 db-os) filmtablettát tartalmazó gyűjtőcsomagolás</w:t>
      </w:r>
      <w:r w:rsidR="002C77C2" w:rsidRPr="006F525B">
        <w:rPr>
          <w:rFonts w:eastAsia="Times New Roman"/>
          <w:snapToGrid/>
          <w:szCs w:val="22"/>
          <w:lang w:val="hu-HU" w:eastAsia="en-US"/>
        </w:rPr>
        <w:t>.</w:t>
      </w:r>
    </w:p>
    <w:p w14:paraId="5F6B7E4C" w14:textId="77777777" w:rsidR="00DD4065" w:rsidRPr="006F525B" w:rsidRDefault="00DD4065" w:rsidP="006F525B">
      <w:pPr>
        <w:widowControl w:val="0"/>
        <w:tabs>
          <w:tab w:val="clear" w:pos="567"/>
        </w:tabs>
        <w:suppressAutoHyphens/>
        <w:spacing w:line="240" w:lineRule="auto"/>
        <w:rPr>
          <w:rFonts w:eastAsia="Times New Roman"/>
          <w:snapToGrid/>
          <w:szCs w:val="22"/>
          <w:lang w:val="hu-HU" w:eastAsia="en-US"/>
        </w:rPr>
      </w:pPr>
    </w:p>
    <w:p w14:paraId="39D90E9D"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r w:rsidRPr="006F525B">
        <w:rPr>
          <w:rFonts w:eastAsia="Times New Roman"/>
          <w:snapToGrid/>
          <w:szCs w:val="22"/>
          <w:lang w:val="hu-HU" w:eastAsia="en-US"/>
        </w:rPr>
        <w:t>Nem feltétlenül mindegyik kiszerelés</w:t>
      </w:r>
      <w:r w:rsidR="00DD4065" w:rsidRPr="006F525B">
        <w:rPr>
          <w:rFonts w:eastAsia="Times New Roman"/>
          <w:snapToGrid/>
          <w:szCs w:val="22"/>
          <w:lang w:val="hu-HU" w:eastAsia="en-US"/>
        </w:rPr>
        <w:t xml:space="preserve"> kerül kereskedelmi forgalomba.</w:t>
      </w:r>
    </w:p>
    <w:p w14:paraId="5712712E" w14:textId="77777777" w:rsidR="00077267" w:rsidRPr="006F525B" w:rsidRDefault="00077267" w:rsidP="006F525B">
      <w:pPr>
        <w:widowControl w:val="0"/>
        <w:tabs>
          <w:tab w:val="clear" w:pos="567"/>
        </w:tabs>
        <w:suppressAutoHyphens/>
        <w:spacing w:line="240" w:lineRule="auto"/>
        <w:rPr>
          <w:rFonts w:eastAsia="Times New Roman"/>
          <w:snapToGrid/>
          <w:szCs w:val="22"/>
          <w:lang w:val="hu-HU" w:eastAsia="en-US"/>
        </w:rPr>
      </w:pPr>
    </w:p>
    <w:p w14:paraId="798CCADF"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6.6</w:t>
      </w:r>
      <w:r w:rsidRPr="006F525B">
        <w:rPr>
          <w:rFonts w:eastAsia="Times New Roman"/>
          <w:b/>
          <w:snapToGrid/>
          <w:szCs w:val="22"/>
          <w:lang w:val="hu-HU" w:eastAsia="en-US"/>
        </w:rPr>
        <w:tab/>
        <w:t>A megsemmisítésre vonatkozó különleges óvintézkedések</w:t>
      </w:r>
      <w:r w:rsidR="007D6BF8" w:rsidRPr="006F525B">
        <w:rPr>
          <w:rFonts w:eastAsia="Times New Roman"/>
          <w:b/>
          <w:snapToGrid/>
          <w:szCs w:val="22"/>
          <w:lang w:val="hu-HU" w:eastAsia="en-US"/>
        </w:rPr>
        <w:t xml:space="preserve"> és egyéb, a készítmény kezelésével kapcsolatos információk</w:t>
      </w:r>
    </w:p>
    <w:p w14:paraId="294FD30F"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Cs/>
          <w:snapToGrid/>
          <w:szCs w:val="22"/>
          <w:lang w:val="hu-HU" w:eastAsia="en-US"/>
        </w:rPr>
      </w:pPr>
    </w:p>
    <w:p w14:paraId="7660BEA3" w14:textId="77777777" w:rsidR="007D6BF8" w:rsidRPr="006F525B" w:rsidRDefault="007D6BF8" w:rsidP="006F525B">
      <w:pPr>
        <w:widowControl w:val="0"/>
        <w:tabs>
          <w:tab w:val="clear" w:pos="567"/>
        </w:tabs>
        <w:suppressAutoHyphens/>
        <w:spacing w:line="240" w:lineRule="auto"/>
        <w:outlineLvl w:val="0"/>
        <w:rPr>
          <w:bCs/>
          <w:szCs w:val="22"/>
          <w:lang w:val="hu-HU"/>
        </w:rPr>
      </w:pPr>
      <w:r w:rsidRPr="006F525B">
        <w:rPr>
          <w:bCs/>
          <w:szCs w:val="22"/>
          <w:lang w:val="hu-HU"/>
        </w:rPr>
        <w:t>Bármilyen fel nem használt gyógyszer, illetve hulladékanyag megsemmisítését a gyógyszerekre vonatkozó előírások szerint kell végrehajtani.</w:t>
      </w:r>
    </w:p>
    <w:p w14:paraId="787E6B66" w14:textId="77777777" w:rsidR="007D6BF8" w:rsidRPr="006F525B" w:rsidRDefault="007D6BF8" w:rsidP="006F525B">
      <w:pPr>
        <w:widowControl w:val="0"/>
        <w:tabs>
          <w:tab w:val="clear" w:pos="567"/>
        </w:tabs>
        <w:suppressAutoHyphens/>
        <w:spacing w:line="240" w:lineRule="auto"/>
        <w:outlineLvl w:val="0"/>
        <w:rPr>
          <w:bCs/>
          <w:szCs w:val="22"/>
          <w:lang w:val="hu-HU"/>
        </w:rPr>
      </w:pPr>
    </w:p>
    <w:p w14:paraId="24EB0F62" w14:textId="77777777" w:rsidR="007D6BF8" w:rsidRPr="0055058C" w:rsidRDefault="007D6BF8" w:rsidP="006F525B">
      <w:pPr>
        <w:tabs>
          <w:tab w:val="clear" w:pos="567"/>
        </w:tabs>
        <w:suppressAutoHyphens/>
        <w:spacing w:line="240" w:lineRule="auto"/>
        <w:ind w:left="1"/>
        <w:rPr>
          <w:lang w:val="hu-HU" w:eastAsia="ar-SA"/>
        </w:rPr>
      </w:pPr>
      <w:r w:rsidRPr="0055058C">
        <w:rPr>
          <w:b/>
          <w:lang w:val="hu-HU" w:eastAsia="ar-SA"/>
        </w:rPr>
        <w:t>Megjegyzés:</w:t>
      </w:r>
      <w:r w:rsidRPr="0055058C">
        <w:rPr>
          <w:lang w:val="hu-HU" w:eastAsia="ar-SA"/>
        </w:rPr>
        <w:t xml:space="preserve"> </w:t>
      </w:r>
      <w:r w:rsidRPr="0055058C">
        <w:rPr>
          <w:lang w:val="hu-HU"/>
        </w:rPr>
        <w:sym w:font="Wingdings" w:char="F058"/>
      </w:r>
      <w:r w:rsidRPr="0055058C">
        <w:rPr>
          <w:lang w:val="hu-HU" w:eastAsia="ar-SA"/>
        </w:rPr>
        <w:t xml:space="preserve"> (egy keresztes)</w:t>
      </w:r>
    </w:p>
    <w:p w14:paraId="68B9E8A8" w14:textId="05506AFD" w:rsidR="007D6BF8" w:rsidRPr="0055058C" w:rsidRDefault="007D6BF8" w:rsidP="006F525B">
      <w:pPr>
        <w:tabs>
          <w:tab w:val="clear" w:pos="567"/>
        </w:tabs>
        <w:suppressAutoHyphens/>
        <w:spacing w:line="240" w:lineRule="auto"/>
        <w:ind w:left="1"/>
        <w:rPr>
          <w:b/>
          <w:lang w:val="hu-HU" w:eastAsia="ar-SA"/>
        </w:rPr>
      </w:pPr>
      <w:r w:rsidRPr="0055058C">
        <w:rPr>
          <w:b/>
          <w:lang w:val="hu-HU" w:eastAsia="ar-SA"/>
        </w:rPr>
        <w:t>Osztályozás: II. csoport</w:t>
      </w:r>
    </w:p>
    <w:p w14:paraId="31D58DC7" w14:textId="77777777" w:rsidR="00240A43" w:rsidRPr="009309FF" w:rsidRDefault="00240A43" w:rsidP="00240A43">
      <w:pPr>
        <w:tabs>
          <w:tab w:val="clear" w:pos="567"/>
        </w:tabs>
        <w:suppressAutoHyphens/>
        <w:spacing w:line="240" w:lineRule="auto"/>
        <w:ind w:left="1"/>
        <w:rPr>
          <w:lang w:val="hu-HU"/>
        </w:rPr>
      </w:pPr>
      <w:r w:rsidRPr="009309FF">
        <w:rPr>
          <w:lang w:val="hu-HU"/>
        </w:rPr>
        <w:t>Kizárólag orvosi rendelvényhez kötött gyógyszer (V).</w:t>
      </w:r>
    </w:p>
    <w:p w14:paraId="33ECFB76" w14:textId="77777777" w:rsidR="00F45C51" w:rsidRPr="006F525B" w:rsidRDefault="00F45C51" w:rsidP="006F525B">
      <w:pPr>
        <w:widowControl w:val="0"/>
        <w:tabs>
          <w:tab w:val="clear" w:pos="567"/>
        </w:tabs>
        <w:suppressAutoHyphens/>
        <w:spacing w:line="240" w:lineRule="auto"/>
        <w:ind w:left="567" w:hanging="567"/>
        <w:outlineLvl w:val="0"/>
        <w:rPr>
          <w:bCs/>
          <w:szCs w:val="22"/>
          <w:lang w:val="hu-HU"/>
        </w:rPr>
      </w:pPr>
    </w:p>
    <w:p w14:paraId="2577BC47" w14:textId="77777777" w:rsidR="00D04855" w:rsidRPr="006F525B" w:rsidRDefault="00D04855" w:rsidP="006F525B">
      <w:pPr>
        <w:widowControl w:val="0"/>
        <w:tabs>
          <w:tab w:val="clear" w:pos="567"/>
        </w:tabs>
        <w:suppressAutoHyphens/>
        <w:spacing w:line="240" w:lineRule="auto"/>
        <w:ind w:left="567" w:hanging="567"/>
        <w:outlineLvl w:val="0"/>
        <w:rPr>
          <w:bCs/>
          <w:szCs w:val="22"/>
          <w:lang w:val="hu-HU"/>
        </w:rPr>
      </w:pPr>
    </w:p>
    <w:p w14:paraId="7D7EC489"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7.</w:t>
      </w:r>
      <w:r w:rsidRPr="006F525B">
        <w:rPr>
          <w:rFonts w:eastAsia="Times New Roman"/>
          <w:b/>
          <w:snapToGrid/>
          <w:szCs w:val="22"/>
          <w:lang w:val="hu-HU" w:eastAsia="en-US"/>
        </w:rPr>
        <w:tab/>
        <w:t>A FORGALOMBA HOZATALI ENGEDÉLY JOGOSULTJA</w:t>
      </w:r>
    </w:p>
    <w:p w14:paraId="0346A652" w14:textId="77777777" w:rsidR="00F45C51" w:rsidRPr="006F525B" w:rsidRDefault="00F45C51" w:rsidP="006F525B">
      <w:pPr>
        <w:widowControl w:val="0"/>
        <w:tabs>
          <w:tab w:val="clear" w:pos="567"/>
        </w:tabs>
        <w:suppressAutoHyphens/>
        <w:spacing w:line="240" w:lineRule="auto"/>
        <w:rPr>
          <w:bCs/>
          <w:szCs w:val="22"/>
          <w:lang w:val="hu-HU"/>
        </w:rPr>
      </w:pPr>
    </w:p>
    <w:p w14:paraId="486756A7" w14:textId="77777777" w:rsidR="000A0CEE" w:rsidRPr="006F525B" w:rsidRDefault="000A0CEE" w:rsidP="006F525B">
      <w:pPr>
        <w:widowControl w:val="0"/>
        <w:tabs>
          <w:tab w:val="clear" w:pos="567"/>
        </w:tabs>
        <w:suppressAutoHyphens/>
        <w:autoSpaceDE w:val="0"/>
        <w:autoSpaceDN w:val="0"/>
        <w:adjustRightInd w:val="0"/>
        <w:spacing w:line="240" w:lineRule="auto"/>
        <w:rPr>
          <w:rFonts w:eastAsia="Calibri"/>
          <w:snapToGrid/>
          <w:szCs w:val="22"/>
          <w:lang w:val="hu-HU" w:eastAsia="en-US"/>
        </w:rPr>
      </w:pPr>
      <w:r w:rsidRPr="006F525B">
        <w:rPr>
          <w:rFonts w:eastAsia="Calibri"/>
          <w:snapToGrid/>
          <w:szCs w:val="22"/>
          <w:lang w:val="hu-HU" w:eastAsia="en-US"/>
        </w:rPr>
        <w:t>Richter Gedeon Nyrt.</w:t>
      </w:r>
    </w:p>
    <w:p w14:paraId="3F742DB8" w14:textId="77777777" w:rsidR="000A0CEE" w:rsidRPr="006F525B" w:rsidRDefault="000A0CEE" w:rsidP="006F525B">
      <w:pPr>
        <w:widowControl w:val="0"/>
        <w:tabs>
          <w:tab w:val="clear" w:pos="567"/>
        </w:tabs>
        <w:suppressAutoHyphens/>
        <w:autoSpaceDE w:val="0"/>
        <w:autoSpaceDN w:val="0"/>
        <w:adjustRightInd w:val="0"/>
        <w:spacing w:line="240" w:lineRule="auto"/>
        <w:rPr>
          <w:rFonts w:eastAsia="Calibri"/>
          <w:snapToGrid/>
          <w:szCs w:val="22"/>
          <w:lang w:val="hu-HU" w:eastAsia="en-US"/>
        </w:rPr>
      </w:pPr>
      <w:r w:rsidRPr="006F525B">
        <w:rPr>
          <w:rFonts w:eastAsia="Calibri"/>
          <w:snapToGrid/>
          <w:szCs w:val="22"/>
          <w:lang w:val="hu-HU" w:eastAsia="en-US"/>
        </w:rPr>
        <w:t>1103 Budapest</w:t>
      </w:r>
    </w:p>
    <w:p w14:paraId="670ACFA5" w14:textId="77777777" w:rsidR="000A0CEE" w:rsidRPr="006F525B" w:rsidRDefault="000A0CEE" w:rsidP="006F525B">
      <w:pPr>
        <w:widowControl w:val="0"/>
        <w:tabs>
          <w:tab w:val="clear" w:pos="567"/>
        </w:tabs>
        <w:suppressAutoHyphens/>
        <w:autoSpaceDE w:val="0"/>
        <w:autoSpaceDN w:val="0"/>
        <w:adjustRightInd w:val="0"/>
        <w:spacing w:line="240" w:lineRule="auto"/>
        <w:rPr>
          <w:rFonts w:eastAsia="Calibri"/>
          <w:snapToGrid/>
          <w:szCs w:val="22"/>
          <w:lang w:val="hu-HU" w:eastAsia="en-US"/>
        </w:rPr>
      </w:pPr>
      <w:r w:rsidRPr="006F525B">
        <w:rPr>
          <w:rFonts w:eastAsia="Calibri"/>
          <w:snapToGrid/>
          <w:szCs w:val="22"/>
          <w:lang w:val="hu-HU" w:eastAsia="en-US"/>
        </w:rPr>
        <w:t>Gyömrői út 19-21.</w:t>
      </w:r>
    </w:p>
    <w:p w14:paraId="24CCEB0C" w14:textId="77777777" w:rsidR="000A0CEE" w:rsidRPr="006F525B" w:rsidRDefault="000A0CEE" w:rsidP="006F525B">
      <w:pPr>
        <w:widowControl w:val="0"/>
        <w:tabs>
          <w:tab w:val="clear" w:pos="567"/>
        </w:tabs>
        <w:suppressAutoHyphens/>
        <w:autoSpaceDE w:val="0"/>
        <w:autoSpaceDN w:val="0"/>
        <w:adjustRightInd w:val="0"/>
        <w:spacing w:line="240" w:lineRule="auto"/>
        <w:rPr>
          <w:rFonts w:eastAsia="TimesNewRoman,Bold"/>
          <w:b/>
          <w:bCs/>
          <w:snapToGrid/>
          <w:szCs w:val="22"/>
          <w:lang w:val="hu-HU" w:eastAsia="en-US"/>
        </w:rPr>
      </w:pPr>
      <w:r w:rsidRPr="006F525B">
        <w:rPr>
          <w:rFonts w:eastAsia="Calibri"/>
          <w:snapToGrid/>
          <w:szCs w:val="22"/>
          <w:lang w:val="hu-HU" w:eastAsia="en-US"/>
        </w:rPr>
        <w:t>Magyarország</w:t>
      </w:r>
    </w:p>
    <w:p w14:paraId="6461F9BC" w14:textId="77777777" w:rsidR="00F45C51" w:rsidRPr="006F525B" w:rsidRDefault="00F45C51" w:rsidP="006F525B">
      <w:pPr>
        <w:widowControl w:val="0"/>
        <w:tabs>
          <w:tab w:val="clear" w:pos="567"/>
        </w:tabs>
        <w:suppressAutoHyphens/>
        <w:spacing w:line="240" w:lineRule="auto"/>
        <w:ind w:left="567" w:hanging="567"/>
        <w:outlineLvl w:val="0"/>
        <w:rPr>
          <w:bCs/>
          <w:szCs w:val="22"/>
          <w:lang w:val="hu-HU"/>
        </w:rPr>
      </w:pPr>
    </w:p>
    <w:p w14:paraId="1DB67AFD" w14:textId="77777777" w:rsidR="009C4A82" w:rsidRPr="006F525B" w:rsidRDefault="009C4A82" w:rsidP="006F525B">
      <w:pPr>
        <w:widowControl w:val="0"/>
        <w:tabs>
          <w:tab w:val="clear" w:pos="567"/>
        </w:tabs>
        <w:suppressAutoHyphens/>
        <w:spacing w:line="240" w:lineRule="auto"/>
        <w:ind w:left="567" w:hanging="567"/>
        <w:outlineLvl w:val="0"/>
        <w:rPr>
          <w:bCs/>
          <w:szCs w:val="22"/>
          <w:lang w:val="hu-HU"/>
        </w:rPr>
      </w:pPr>
    </w:p>
    <w:p w14:paraId="7C98FFA4" w14:textId="77777777" w:rsidR="00F45C51" w:rsidRPr="006F525B" w:rsidRDefault="00F45C51" w:rsidP="006F525B">
      <w:pPr>
        <w:keepNext/>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8.</w:t>
      </w:r>
      <w:r w:rsidRPr="006F525B">
        <w:rPr>
          <w:rFonts w:eastAsia="Times New Roman"/>
          <w:b/>
          <w:snapToGrid/>
          <w:szCs w:val="22"/>
          <w:lang w:val="hu-HU" w:eastAsia="en-US"/>
        </w:rPr>
        <w:tab/>
        <w:t>A FORGALOMBA HOZATALI ENGEDÉLY SZÁMA(I)</w:t>
      </w:r>
    </w:p>
    <w:p w14:paraId="14943E93" w14:textId="77777777" w:rsidR="00F45C51" w:rsidRPr="006F525B" w:rsidRDefault="00F45C51" w:rsidP="006F525B">
      <w:pPr>
        <w:widowControl w:val="0"/>
        <w:tabs>
          <w:tab w:val="clear" w:pos="567"/>
        </w:tabs>
        <w:suppressAutoHyphens/>
        <w:spacing w:line="240" w:lineRule="auto"/>
        <w:outlineLvl w:val="0"/>
        <w:rPr>
          <w:rFonts w:eastAsia="Times New Roman"/>
          <w:snapToGrid/>
          <w:szCs w:val="22"/>
          <w:lang w:val="hu-HU" w:eastAsia="en-US"/>
        </w:rPr>
      </w:pPr>
    </w:p>
    <w:p w14:paraId="16315AF5" w14:textId="77777777" w:rsidR="00987C52" w:rsidRPr="00987C52" w:rsidRDefault="00987C52" w:rsidP="00987C52">
      <w:pPr>
        <w:tabs>
          <w:tab w:val="clear" w:pos="567"/>
          <w:tab w:val="left" w:pos="1134"/>
          <w:tab w:val="left" w:pos="2268"/>
          <w:tab w:val="left" w:pos="3544"/>
        </w:tabs>
        <w:rPr>
          <w:snapToGrid/>
          <w:szCs w:val="22"/>
          <w:lang w:val="hu-HU" w:eastAsia="en-US"/>
        </w:rPr>
      </w:pPr>
      <w:bookmarkStart w:id="1" w:name="_Hlk83736499"/>
      <w:r w:rsidRPr="00137267">
        <w:rPr>
          <w:szCs w:val="22"/>
          <w:lang w:val="hu-HU"/>
        </w:rPr>
        <w:t>OGYI-T-23950/01</w:t>
      </w:r>
      <w:r w:rsidRPr="00137267">
        <w:rPr>
          <w:szCs w:val="22"/>
          <w:lang w:val="hu-HU"/>
        </w:rPr>
        <w:tab/>
        <w:t>28×</w:t>
      </w:r>
      <w:r w:rsidRPr="00137267">
        <w:rPr>
          <w:szCs w:val="22"/>
          <w:lang w:val="hu-HU"/>
        </w:rPr>
        <w:tab/>
        <w:t xml:space="preserve">átlátszatlan </w:t>
      </w:r>
      <w:r w:rsidRPr="006F525B">
        <w:rPr>
          <w:szCs w:val="22"/>
          <w:lang w:val="hu-HU"/>
        </w:rPr>
        <w:t>PVC/PE/PVDC//Al buborékcsomagolás</w:t>
      </w:r>
      <w:r>
        <w:rPr>
          <w:szCs w:val="22"/>
          <w:lang w:val="hu-HU"/>
        </w:rPr>
        <w:t>ban.</w:t>
      </w:r>
    </w:p>
    <w:p w14:paraId="7E7B1C67" w14:textId="77777777" w:rsidR="00987C52" w:rsidRPr="00137267" w:rsidRDefault="00987C52" w:rsidP="00987C52">
      <w:pPr>
        <w:tabs>
          <w:tab w:val="left" w:pos="2268"/>
          <w:tab w:val="left" w:pos="3544"/>
        </w:tabs>
        <w:rPr>
          <w:szCs w:val="22"/>
          <w:lang w:val="hu-HU"/>
        </w:rPr>
      </w:pPr>
      <w:r w:rsidRPr="00137267">
        <w:rPr>
          <w:szCs w:val="22"/>
          <w:lang w:val="hu-HU"/>
        </w:rPr>
        <w:t>OGYI-T-23950/02</w:t>
      </w:r>
      <w:r w:rsidRPr="00137267">
        <w:rPr>
          <w:szCs w:val="22"/>
          <w:lang w:val="hu-HU"/>
        </w:rPr>
        <w:tab/>
        <w:t>30×</w:t>
      </w:r>
      <w:r w:rsidRPr="00137267">
        <w:rPr>
          <w:szCs w:val="22"/>
          <w:lang w:val="hu-HU"/>
        </w:rPr>
        <w:tab/>
        <w:t xml:space="preserve">átlátszatlan </w:t>
      </w:r>
      <w:r w:rsidRPr="006F525B">
        <w:rPr>
          <w:szCs w:val="22"/>
          <w:lang w:val="hu-HU"/>
        </w:rPr>
        <w:t>PVC/PE/PVDC//Al buborékcsomagolás</w:t>
      </w:r>
      <w:r>
        <w:rPr>
          <w:szCs w:val="22"/>
          <w:lang w:val="hu-HU"/>
        </w:rPr>
        <w:t>ban.</w:t>
      </w:r>
    </w:p>
    <w:p w14:paraId="53FD8C7C" w14:textId="77777777" w:rsidR="00987C52" w:rsidRPr="00137267" w:rsidRDefault="00987C52" w:rsidP="00987C52">
      <w:pPr>
        <w:tabs>
          <w:tab w:val="left" w:pos="2268"/>
          <w:tab w:val="left" w:pos="2552"/>
          <w:tab w:val="left" w:pos="3544"/>
        </w:tabs>
        <w:rPr>
          <w:szCs w:val="22"/>
          <w:lang w:val="hu-HU"/>
        </w:rPr>
      </w:pPr>
      <w:r w:rsidRPr="00137267">
        <w:rPr>
          <w:szCs w:val="22"/>
          <w:lang w:val="hu-HU"/>
        </w:rPr>
        <w:t>OGYI-T-23950/03</w:t>
      </w:r>
      <w:r w:rsidRPr="00137267">
        <w:rPr>
          <w:szCs w:val="22"/>
          <w:lang w:val="hu-HU"/>
        </w:rPr>
        <w:tab/>
        <w:t>56×</w:t>
      </w:r>
      <w:r w:rsidRPr="00137267">
        <w:rPr>
          <w:szCs w:val="22"/>
          <w:lang w:val="hu-HU"/>
        </w:rPr>
        <w:tab/>
        <w:t xml:space="preserve">átlátszatlan </w:t>
      </w:r>
      <w:r w:rsidRPr="006F525B">
        <w:rPr>
          <w:szCs w:val="22"/>
          <w:lang w:val="hu-HU"/>
        </w:rPr>
        <w:t>PVC/PE/PVDC//Al buborékcsomagolás</w:t>
      </w:r>
      <w:r>
        <w:rPr>
          <w:szCs w:val="22"/>
          <w:lang w:val="hu-HU"/>
        </w:rPr>
        <w:t>ban.</w:t>
      </w:r>
    </w:p>
    <w:p w14:paraId="41034EA2" w14:textId="77777777" w:rsidR="00987C52" w:rsidRPr="00137267" w:rsidRDefault="00987C52" w:rsidP="00987C52">
      <w:pPr>
        <w:tabs>
          <w:tab w:val="clear" w:pos="567"/>
          <w:tab w:val="left" w:pos="2268"/>
          <w:tab w:val="left" w:pos="3544"/>
        </w:tabs>
        <w:rPr>
          <w:szCs w:val="22"/>
          <w:lang w:val="hu-HU"/>
        </w:rPr>
      </w:pPr>
      <w:r w:rsidRPr="00137267">
        <w:rPr>
          <w:szCs w:val="22"/>
          <w:lang w:val="hu-HU"/>
        </w:rPr>
        <w:t>OGYI-T-23950/04</w:t>
      </w:r>
      <w:r w:rsidRPr="00137267">
        <w:rPr>
          <w:szCs w:val="22"/>
          <w:lang w:val="hu-HU"/>
        </w:rPr>
        <w:tab/>
        <w:t>60×</w:t>
      </w:r>
      <w:r w:rsidRPr="00137267">
        <w:rPr>
          <w:szCs w:val="22"/>
          <w:lang w:val="hu-HU"/>
        </w:rPr>
        <w:tab/>
        <w:t xml:space="preserve">átlátszatlan </w:t>
      </w:r>
      <w:r w:rsidRPr="006F525B">
        <w:rPr>
          <w:szCs w:val="22"/>
          <w:lang w:val="hu-HU"/>
        </w:rPr>
        <w:t>PVC/PE/PVDC//Al buborékcsomagolás</w:t>
      </w:r>
      <w:r>
        <w:rPr>
          <w:szCs w:val="22"/>
          <w:lang w:val="hu-HU"/>
        </w:rPr>
        <w:t>ban.</w:t>
      </w:r>
    </w:p>
    <w:p w14:paraId="36EC71AC" w14:textId="77777777" w:rsidR="00987C52" w:rsidRPr="00137267" w:rsidRDefault="00987C52" w:rsidP="00987C52">
      <w:pPr>
        <w:tabs>
          <w:tab w:val="clear" w:pos="567"/>
          <w:tab w:val="left" w:pos="2268"/>
          <w:tab w:val="left" w:pos="3544"/>
        </w:tabs>
        <w:rPr>
          <w:szCs w:val="22"/>
          <w:lang w:val="hu-HU"/>
        </w:rPr>
      </w:pPr>
      <w:r w:rsidRPr="00137267">
        <w:rPr>
          <w:szCs w:val="22"/>
          <w:lang w:val="hu-HU"/>
        </w:rPr>
        <w:t>OGYI-T-23950/05</w:t>
      </w:r>
      <w:r w:rsidRPr="00137267">
        <w:rPr>
          <w:szCs w:val="22"/>
          <w:lang w:val="hu-HU"/>
        </w:rPr>
        <w:tab/>
        <w:t>98×</w:t>
      </w:r>
      <w:r w:rsidRPr="00137267">
        <w:rPr>
          <w:szCs w:val="22"/>
          <w:lang w:val="hu-HU"/>
        </w:rPr>
        <w:tab/>
        <w:t xml:space="preserve">átlátszatlan </w:t>
      </w:r>
      <w:r w:rsidRPr="006F525B">
        <w:rPr>
          <w:szCs w:val="22"/>
          <w:lang w:val="hu-HU"/>
        </w:rPr>
        <w:t>PVC/PE/PVDC//Al buborékcsomagolás</w:t>
      </w:r>
      <w:r>
        <w:rPr>
          <w:szCs w:val="22"/>
          <w:lang w:val="hu-HU"/>
        </w:rPr>
        <w:t>ban.</w:t>
      </w:r>
    </w:p>
    <w:p w14:paraId="27D19EA4" w14:textId="77777777" w:rsidR="00987C52" w:rsidRPr="00137267" w:rsidRDefault="00987C52" w:rsidP="00987C52">
      <w:pPr>
        <w:tabs>
          <w:tab w:val="clear" w:pos="567"/>
          <w:tab w:val="left" w:pos="2268"/>
          <w:tab w:val="left" w:pos="3544"/>
        </w:tabs>
        <w:rPr>
          <w:szCs w:val="22"/>
          <w:lang w:val="hu-HU"/>
        </w:rPr>
      </w:pPr>
      <w:r w:rsidRPr="00137267">
        <w:rPr>
          <w:szCs w:val="22"/>
          <w:lang w:val="hu-HU"/>
        </w:rPr>
        <w:t>OGYI-T-23950/06</w:t>
      </w:r>
      <w:r w:rsidRPr="00137267">
        <w:rPr>
          <w:szCs w:val="22"/>
          <w:lang w:val="hu-HU"/>
        </w:rPr>
        <w:tab/>
        <w:t>120×</w:t>
      </w:r>
      <w:r w:rsidRPr="00137267">
        <w:rPr>
          <w:szCs w:val="22"/>
          <w:lang w:val="hu-HU"/>
        </w:rPr>
        <w:tab/>
        <w:t xml:space="preserve">átlátszatlan </w:t>
      </w:r>
      <w:r w:rsidRPr="006F525B">
        <w:rPr>
          <w:szCs w:val="22"/>
          <w:lang w:val="hu-HU"/>
        </w:rPr>
        <w:t>PVC/PE/PVDC//Al buborékcsomagolás</w:t>
      </w:r>
      <w:r>
        <w:rPr>
          <w:szCs w:val="22"/>
          <w:lang w:val="hu-HU"/>
        </w:rPr>
        <w:t>ban.</w:t>
      </w:r>
    </w:p>
    <w:p w14:paraId="2FBFB42C" w14:textId="77777777" w:rsidR="00987C52" w:rsidRPr="00137267" w:rsidRDefault="00987C52" w:rsidP="00987C52">
      <w:pPr>
        <w:tabs>
          <w:tab w:val="clear" w:pos="567"/>
          <w:tab w:val="left" w:pos="2268"/>
          <w:tab w:val="left" w:pos="3544"/>
        </w:tabs>
        <w:rPr>
          <w:szCs w:val="22"/>
          <w:lang w:val="hu-HU"/>
        </w:rPr>
      </w:pPr>
      <w:r w:rsidRPr="00137267">
        <w:rPr>
          <w:szCs w:val="22"/>
          <w:lang w:val="hu-HU"/>
        </w:rPr>
        <w:t>OGYI-T-23950/07</w:t>
      </w:r>
      <w:r w:rsidRPr="00137267">
        <w:rPr>
          <w:szCs w:val="22"/>
          <w:lang w:val="hu-HU"/>
        </w:rPr>
        <w:tab/>
        <w:t>196×</w:t>
      </w:r>
      <w:r w:rsidRPr="00137267">
        <w:rPr>
          <w:szCs w:val="22"/>
          <w:lang w:val="hu-HU"/>
        </w:rPr>
        <w:tab/>
        <w:t xml:space="preserve">átlátszatlan </w:t>
      </w:r>
      <w:r w:rsidRPr="006F525B">
        <w:rPr>
          <w:szCs w:val="22"/>
          <w:lang w:val="hu-HU"/>
        </w:rPr>
        <w:t>PVC/PE/PVDC//Al buborékcsomagolás</w:t>
      </w:r>
      <w:r>
        <w:rPr>
          <w:szCs w:val="22"/>
          <w:lang w:val="hu-HU"/>
        </w:rPr>
        <w:t>ban.</w:t>
      </w:r>
    </w:p>
    <w:p w14:paraId="686FD778" w14:textId="77777777" w:rsidR="00987C52" w:rsidRPr="00137267" w:rsidRDefault="00987C52" w:rsidP="00987C52">
      <w:pPr>
        <w:tabs>
          <w:tab w:val="clear" w:pos="567"/>
          <w:tab w:val="left" w:pos="2268"/>
          <w:tab w:val="left" w:pos="3544"/>
        </w:tabs>
        <w:rPr>
          <w:szCs w:val="22"/>
          <w:lang w:val="hu-HU"/>
        </w:rPr>
      </w:pPr>
      <w:r w:rsidRPr="00137267">
        <w:rPr>
          <w:szCs w:val="22"/>
          <w:lang w:val="hu-HU"/>
        </w:rPr>
        <w:t>OGYI-T-23950/08</w:t>
      </w:r>
      <w:r w:rsidRPr="00137267">
        <w:rPr>
          <w:szCs w:val="22"/>
          <w:lang w:val="hu-HU"/>
        </w:rPr>
        <w:tab/>
        <w:t>196× (2×98)</w:t>
      </w:r>
      <w:r w:rsidRPr="00137267">
        <w:rPr>
          <w:szCs w:val="22"/>
          <w:lang w:val="hu-HU"/>
        </w:rPr>
        <w:tab/>
        <w:t xml:space="preserve">átlátszatlan </w:t>
      </w:r>
      <w:r w:rsidRPr="006F525B">
        <w:rPr>
          <w:szCs w:val="22"/>
          <w:lang w:val="hu-HU"/>
        </w:rPr>
        <w:t>PVC/PE/PVDC//Al buborékcsomagolás</w:t>
      </w:r>
      <w:r>
        <w:rPr>
          <w:szCs w:val="22"/>
          <w:lang w:val="hu-HU"/>
        </w:rPr>
        <w:t>ban.</w:t>
      </w:r>
    </w:p>
    <w:bookmarkEnd w:id="1"/>
    <w:p w14:paraId="25AA0E7B" w14:textId="77777777" w:rsidR="00CA6136" w:rsidRPr="006F525B" w:rsidRDefault="00CA6136" w:rsidP="006F525B">
      <w:pPr>
        <w:widowControl w:val="0"/>
        <w:tabs>
          <w:tab w:val="clear" w:pos="567"/>
        </w:tabs>
        <w:suppressAutoHyphens/>
        <w:spacing w:line="240" w:lineRule="auto"/>
        <w:outlineLvl w:val="0"/>
        <w:rPr>
          <w:rFonts w:eastAsia="Times New Roman"/>
          <w:snapToGrid/>
          <w:szCs w:val="22"/>
          <w:lang w:val="hu-HU" w:eastAsia="en-US"/>
        </w:rPr>
      </w:pPr>
    </w:p>
    <w:p w14:paraId="07FA5024" w14:textId="77777777" w:rsidR="00FF7FC7" w:rsidRPr="006F525B" w:rsidRDefault="00FF7FC7" w:rsidP="006F525B">
      <w:pPr>
        <w:widowControl w:val="0"/>
        <w:tabs>
          <w:tab w:val="clear" w:pos="567"/>
        </w:tabs>
        <w:suppressAutoHyphens/>
        <w:spacing w:line="240" w:lineRule="auto"/>
        <w:outlineLvl w:val="0"/>
        <w:rPr>
          <w:rFonts w:eastAsia="Times New Roman"/>
          <w:snapToGrid/>
          <w:szCs w:val="22"/>
          <w:lang w:val="hu-HU" w:eastAsia="en-US"/>
        </w:rPr>
      </w:pPr>
    </w:p>
    <w:p w14:paraId="28E1252F"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9.</w:t>
      </w:r>
      <w:r w:rsidRPr="006F525B">
        <w:rPr>
          <w:rFonts w:eastAsia="Times New Roman"/>
          <w:b/>
          <w:snapToGrid/>
          <w:szCs w:val="22"/>
          <w:lang w:val="hu-HU" w:eastAsia="en-US"/>
        </w:rPr>
        <w:tab/>
        <w:t>A FORGALOMBA HOZATALI ENGEDÉLY ELSŐ KIADÁSÁNAK/ MEGÚJÍTÁSÁNAK DÁTUMA</w:t>
      </w:r>
    </w:p>
    <w:p w14:paraId="605C4713"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p>
    <w:p w14:paraId="4F1F9D49" w14:textId="77777777" w:rsidR="00F45C51" w:rsidRPr="006F525B" w:rsidRDefault="00F45C51" w:rsidP="006F525B">
      <w:pPr>
        <w:widowControl w:val="0"/>
        <w:tabs>
          <w:tab w:val="clear" w:pos="567"/>
        </w:tabs>
        <w:suppressAutoHyphens/>
        <w:spacing w:line="240" w:lineRule="auto"/>
        <w:rPr>
          <w:rFonts w:eastAsia="Times New Roman"/>
          <w:snapToGrid/>
          <w:szCs w:val="22"/>
          <w:lang w:val="hu-HU" w:eastAsia="en-US"/>
        </w:rPr>
      </w:pPr>
      <w:r w:rsidRPr="006F525B">
        <w:rPr>
          <w:rFonts w:eastAsia="Times New Roman"/>
          <w:snapToGrid/>
          <w:szCs w:val="22"/>
          <w:lang w:val="hu-HU" w:eastAsia="en-US"/>
        </w:rPr>
        <w:t>A forgalomba hozatali engedély első kiadásának dátuma</w:t>
      </w:r>
      <w:r w:rsidR="002C77C2" w:rsidRPr="006F525B">
        <w:rPr>
          <w:rFonts w:eastAsia="Times New Roman"/>
          <w:snapToGrid/>
          <w:szCs w:val="22"/>
          <w:lang w:val="hu-HU" w:eastAsia="en-US"/>
        </w:rPr>
        <w:t xml:space="preserve">: </w:t>
      </w:r>
      <w:r w:rsidR="00987C52">
        <w:rPr>
          <w:rFonts w:eastAsia="Times New Roman"/>
          <w:snapToGrid/>
          <w:szCs w:val="22"/>
          <w:lang w:val="hu-HU" w:eastAsia="en-US"/>
        </w:rPr>
        <w:t>2021. szeptember 28.</w:t>
      </w:r>
    </w:p>
    <w:p w14:paraId="0AE1DD41" w14:textId="77777777" w:rsidR="00CA6136" w:rsidRPr="006F525B" w:rsidRDefault="00CA6136" w:rsidP="006F525B">
      <w:pPr>
        <w:widowControl w:val="0"/>
        <w:tabs>
          <w:tab w:val="clear" w:pos="567"/>
        </w:tabs>
        <w:suppressAutoHyphens/>
        <w:spacing w:line="240" w:lineRule="auto"/>
        <w:rPr>
          <w:rFonts w:eastAsia="Times New Roman"/>
          <w:snapToGrid/>
          <w:szCs w:val="22"/>
          <w:lang w:val="hu-HU" w:eastAsia="en-US"/>
        </w:rPr>
      </w:pPr>
    </w:p>
    <w:p w14:paraId="15F1B107" w14:textId="77777777" w:rsidR="00A831A9" w:rsidRPr="006F525B" w:rsidRDefault="00A831A9" w:rsidP="006F525B">
      <w:pPr>
        <w:widowControl w:val="0"/>
        <w:tabs>
          <w:tab w:val="clear" w:pos="567"/>
        </w:tabs>
        <w:suppressAutoHyphens/>
        <w:spacing w:line="240" w:lineRule="auto"/>
        <w:rPr>
          <w:rFonts w:eastAsia="Times New Roman"/>
          <w:snapToGrid/>
          <w:szCs w:val="22"/>
          <w:lang w:val="hu-HU" w:eastAsia="en-US"/>
        </w:rPr>
      </w:pPr>
    </w:p>
    <w:p w14:paraId="742105AC"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
          <w:snapToGrid/>
          <w:szCs w:val="22"/>
          <w:lang w:val="hu-HU" w:eastAsia="en-US"/>
        </w:rPr>
      </w:pPr>
      <w:r w:rsidRPr="006F525B">
        <w:rPr>
          <w:rFonts w:eastAsia="Times New Roman"/>
          <w:b/>
          <w:snapToGrid/>
          <w:szCs w:val="22"/>
          <w:lang w:val="hu-HU" w:eastAsia="en-US"/>
        </w:rPr>
        <w:t>10.</w:t>
      </w:r>
      <w:r w:rsidRPr="006F525B">
        <w:rPr>
          <w:rFonts w:eastAsia="Times New Roman"/>
          <w:b/>
          <w:snapToGrid/>
          <w:szCs w:val="22"/>
          <w:lang w:val="hu-HU" w:eastAsia="en-US"/>
        </w:rPr>
        <w:tab/>
        <w:t>A SZÖVEG ELLENŐRZÉSÉNEK DÁTUMA</w:t>
      </w:r>
    </w:p>
    <w:p w14:paraId="31E3972A" w14:textId="77777777" w:rsidR="00F45C51" w:rsidRPr="006F525B" w:rsidRDefault="00F45C51" w:rsidP="006F525B">
      <w:pPr>
        <w:widowControl w:val="0"/>
        <w:tabs>
          <w:tab w:val="clear" w:pos="567"/>
        </w:tabs>
        <w:suppressAutoHyphens/>
        <w:spacing w:line="240" w:lineRule="auto"/>
        <w:ind w:left="567" w:hanging="567"/>
        <w:outlineLvl w:val="0"/>
        <w:rPr>
          <w:rFonts w:eastAsia="Times New Roman"/>
          <w:bCs/>
          <w:snapToGrid/>
          <w:szCs w:val="22"/>
          <w:lang w:val="hu-HU" w:eastAsia="en-US"/>
        </w:rPr>
      </w:pPr>
    </w:p>
    <w:p w14:paraId="47A6928D" w14:textId="20518937" w:rsidR="000D52FC" w:rsidRPr="006F525B" w:rsidRDefault="000D52FC" w:rsidP="006F525B">
      <w:pPr>
        <w:widowControl w:val="0"/>
        <w:tabs>
          <w:tab w:val="clear" w:pos="567"/>
        </w:tabs>
        <w:suppressAutoHyphens/>
        <w:spacing w:line="240" w:lineRule="auto"/>
        <w:outlineLvl w:val="0"/>
        <w:rPr>
          <w:szCs w:val="22"/>
          <w:lang w:val="hu-HU"/>
        </w:rPr>
      </w:pPr>
      <w:r>
        <w:rPr>
          <w:szCs w:val="22"/>
          <w:lang w:val="hu-HU"/>
        </w:rPr>
        <w:t>2026. január 31.</w:t>
      </w:r>
    </w:p>
    <w:sectPr w:rsidR="000D52FC" w:rsidRPr="006F525B" w:rsidSect="007E49E6">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4753" w14:textId="77777777" w:rsidR="00951EBF" w:rsidRDefault="00951EBF">
      <w:pPr>
        <w:rPr>
          <w:szCs w:val="24"/>
        </w:rPr>
      </w:pPr>
      <w:r>
        <w:rPr>
          <w:szCs w:val="24"/>
        </w:rPr>
        <w:separator/>
      </w:r>
    </w:p>
  </w:endnote>
  <w:endnote w:type="continuationSeparator" w:id="0">
    <w:p w14:paraId="119773A8" w14:textId="77777777" w:rsidR="00951EBF" w:rsidRDefault="00951EBF">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NewRoman,Bold">
    <w:altName w:val="MS Mincho"/>
    <w:panose1 w:val="00000000000000000000"/>
    <w:charset w:val="80"/>
    <w:family w:val="auto"/>
    <w:notTrueType/>
    <w:pitch w:val="default"/>
    <w:sig w:usb0="00000000" w:usb1="08070000" w:usb2="00000010" w:usb3="00000000" w:csb0="0002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3DBA" w14:textId="77777777" w:rsidR="004D0F0A" w:rsidRDefault="004D0F0A">
    <w:pPr>
      <w:pStyle w:val="llb"/>
      <w:tabs>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04021" w14:textId="7309D579" w:rsidR="009E7242" w:rsidRPr="002A1E85" w:rsidRDefault="000D52FC">
    <w:pPr>
      <w:pStyle w:val="llb"/>
      <w:rPr>
        <w:rFonts w:ascii="Times New Roman" w:hAnsi="Times New Roman"/>
        <w:sz w:val="18"/>
        <w:szCs w:val="18"/>
      </w:rPr>
    </w:pPr>
    <w:r w:rsidRPr="000D52FC">
      <w:rPr>
        <w:rFonts w:ascii="Times New Roman" w:hAnsi="Times New Roman"/>
        <w:sz w:val="18"/>
        <w:szCs w:val="18"/>
      </w:rPr>
      <w:t>NNGYK/ETGY/3118/2026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239A7" w14:textId="77777777" w:rsidR="00951EBF" w:rsidRDefault="00951EBF">
      <w:pPr>
        <w:rPr>
          <w:szCs w:val="24"/>
        </w:rPr>
      </w:pPr>
      <w:r>
        <w:rPr>
          <w:szCs w:val="24"/>
        </w:rPr>
        <w:separator/>
      </w:r>
    </w:p>
  </w:footnote>
  <w:footnote w:type="continuationSeparator" w:id="0">
    <w:p w14:paraId="18A637FD" w14:textId="77777777" w:rsidR="00951EBF" w:rsidRDefault="00951EBF">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8ED6" w14:textId="77777777" w:rsidR="004D0F0A" w:rsidRPr="008778E7" w:rsidRDefault="004D0F0A">
    <w:pPr>
      <w:pStyle w:val="lfej"/>
      <w:jc w:val="center"/>
      <w:rPr>
        <w:sz w:val="18"/>
        <w:szCs w:val="18"/>
      </w:rPr>
    </w:pPr>
    <w:r w:rsidRPr="008778E7">
      <w:rPr>
        <w:sz w:val="18"/>
        <w:szCs w:val="18"/>
      </w:rPr>
      <w:fldChar w:fldCharType="begin"/>
    </w:r>
    <w:r w:rsidRPr="008778E7">
      <w:rPr>
        <w:sz w:val="18"/>
        <w:szCs w:val="18"/>
      </w:rPr>
      <w:instrText>PAGE   \* MERGEFORMAT</w:instrText>
    </w:r>
    <w:r w:rsidRPr="008778E7">
      <w:rPr>
        <w:sz w:val="18"/>
        <w:szCs w:val="18"/>
      </w:rPr>
      <w:fldChar w:fldCharType="separate"/>
    </w:r>
    <w:r w:rsidR="00AF4F08" w:rsidRPr="00AF4F08">
      <w:rPr>
        <w:noProof/>
        <w:sz w:val="18"/>
        <w:szCs w:val="18"/>
        <w:lang w:val="hu-HU"/>
      </w:rPr>
      <w:t>2</w:t>
    </w:r>
    <w:r w:rsidRPr="008778E7">
      <w:rPr>
        <w:sz w:val="18"/>
        <w:szCs w:val="18"/>
      </w:rPr>
      <w:fldChar w:fldCharType="end"/>
    </w:r>
  </w:p>
  <w:p w14:paraId="66C86435" w14:textId="77777777" w:rsidR="004D0F0A" w:rsidRDefault="004D0F0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pStyle w:val="Cmsor3"/>
      <w:lvlText w:val=""/>
      <w:lvlJc w:val="left"/>
      <w:pPr>
        <w:tabs>
          <w:tab w:val="num" w:pos="1800"/>
        </w:tabs>
        <w:ind w:left="1800" w:hanging="360"/>
      </w:pPr>
      <w:rPr>
        <w:rFonts w:ascii="Wingdings" w:hAnsi="Wingdings" w:hint="default"/>
      </w:rPr>
    </w:lvl>
    <w:lvl w:ilvl="3" w:tplc="04090001">
      <w:start w:val="1"/>
      <w:numFmt w:val="bullet"/>
      <w:pStyle w:val="Cmsor4"/>
      <w:lvlText w:val=""/>
      <w:lvlJc w:val="left"/>
      <w:pPr>
        <w:tabs>
          <w:tab w:val="num" w:pos="2520"/>
        </w:tabs>
        <w:ind w:left="2520" w:hanging="360"/>
      </w:pPr>
      <w:rPr>
        <w:rFonts w:ascii="Symbol" w:hAnsi="Symbol" w:hint="default"/>
      </w:rPr>
    </w:lvl>
    <w:lvl w:ilvl="4" w:tplc="04090003">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0" w15:restartNumberingAfterBreak="0">
    <w:nsid w:val="224D0BB3"/>
    <w:multiLevelType w:val="hybridMultilevel"/>
    <w:tmpl w:val="033C9476"/>
    <w:lvl w:ilvl="0" w:tplc="EFE4C740">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38A9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64541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EE4678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E3E379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3237A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C88A5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39ED5D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F0721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7295318"/>
    <w:multiLevelType w:val="hybridMultilevel"/>
    <w:tmpl w:val="04C08154"/>
    <w:lvl w:ilvl="0" w:tplc="1B04B286">
      <w:start w:val="1"/>
      <w:numFmt w:val="bullet"/>
      <w:lvlText w:val="-"/>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900F1D8">
      <w:start w:val="1"/>
      <w:numFmt w:val="bullet"/>
      <w:lvlText w:val="o"/>
      <w:lvlJc w:val="left"/>
      <w:pPr>
        <w:ind w:left="1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0839B2">
      <w:start w:val="1"/>
      <w:numFmt w:val="bullet"/>
      <w:lvlText w:val="▪"/>
      <w:lvlJc w:val="left"/>
      <w:pPr>
        <w:ind w:left="2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BF2AE62">
      <w:start w:val="1"/>
      <w:numFmt w:val="bullet"/>
      <w:lvlText w:val="•"/>
      <w:lvlJc w:val="left"/>
      <w:pPr>
        <w:ind w:left="2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E88E8E">
      <w:start w:val="1"/>
      <w:numFmt w:val="bullet"/>
      <w:lvlText w:val="o"/>
      <w:lvlJc w:val="left"/>
      <w:pPr>
        <w:ind w:left="3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D6AD6E0">
      <w:start w:val="1"/>
      <w:numFmt w:val="bullet"/>
      <w:lvlText w:val="▪"/>
      <w:lvlJc w:val="left"/>
      <w:pPr>
        <w:ind w:left="42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70A150">
      <w:start w:val="1"/>
      <w:numFmt w:val="bullet"/>
      <w:lvlText w:val="•"/>
      <w:lvlJc w:val="left"/>
      <w:pPr>
        <w:ind w:left="49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C4326A">
      <w:start w:val="1"/>
      <w:numFmt w:val="bullet"/>
      <w:lvlText w:val="o"/>
      <w:lvlJc w:val="left"/>
      <w:pPr>
        <w:ind w:left="5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8A1622">
      <w:start w:val="1"/>
      <w:numFmt w:val="bullet"/>
      <w:lvlText w:val="▪"/>
      <w:lvlJc w:val="left"/>
      <w:pPr>
        <w:ind w:left="6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56259487">
    <w:abstractNumId w:val="9"/>
  </w:num>
  <w:num w:numId="2" w16cid:durableId="1641420453">
    <w:abstractNumId w:val="11"/>
  </w:num>
  <w:num w:numId="3" w16cid:durableId="52627588">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1B46"/>
    <w:rsid w:val="0000255F"/>
    <w:rsid w:val="000034D7"/>
    <w:rsid w:val="0000362A"/>
    <w:rsid w:val="00004E62"/>
    <w:rsid w:val="00005701"/>
    <w:rsid w:val="00006494"/>
    <w:rsid w:val="00006A31"/>
    <w:rsid w:val="00007528"/>
    <w:rsid w:val="0001164F"/>
    <w:rsid w:val="000121D6"/>
    <w:rsid w:val="000136AD"/>
    <w:rsid w:val="00013DF9"/>
    <w:rsid w:val="000150D3"/>
    <w:rsid w:val="000166C1"/>
    <w:rsid w:val="000177FF"/>
    <w:rsid w:val="00020AE8"/>
    <w:rsid w:val="00023F29"/>
    <w:rsid w:val="00025EBE"/>
    <w:rsid w:val="00026C1E"/>
    <w:rsid w:val="00030445"/>
    <w:rsid w:val="000318C7"/>
    <w:rsid w:val="00032457"/>
    <w:rsid w:val="000332EB"/>
    <w:rsid w:val="000333A8"/>
    <w:rsid w:val="00033FDB"/>
    <w:rsid w:val="00034204"/>
    <w:rsid w:val="000344F6"/>
    <w:rsid w:val="00036493"/>
    <w:rsid w:val="00042263"/>
    <w:rsid w:val="000422C9"/>
    <w:rsid w:val="0004385E"/>
    <w:rsid w:val="00043F0F"/>
    <w:rsid w:val="00044042"/>
    <w:rsid w:val="00044F37"/>
    <w:rsid w:val="00046DBF"/>
    <w:rsid w:val="00046DCE"/>
    <w:rsid w:val="000474D2"/>
    <w:rsid w:val="00047617"/>
    <w:rsid w:val="000479C5"/>
    <w:rsid w:val="000502DD"/>
    <w:rsid w:val="00050DFD"/>
    <w:rsid w:val="00053809"/>
    <w:rsid w:val="000538C2"/>
    <w:rsid w:val="00053914"/>
    <w:rsid w:val="00053EFA"/>
    <w:rsid w:val="00054756"/>
    <w:rsid w:val="00055F39"/>
    <w:rsid w:val="000560C5"/>
    <w:rsid w:val="00056833"/>
    <w:rsid w:val="00056C49"/>
    <w:rsid w:val="00056FE0"/>
    <w:rsid w:val="000603C8"/>
    <w:rsid w:val="00060656"/>
    <w:rsid w:val="000608A4"/>
    <w:rsid w:val="00060AA1"/>
    <w:rsid w:val="00061755"/>
    <w:rsid w:val="0006247C"/>
    <w:rsid w:val="000631FD"/>
    <w:rsid w:val="00065928"/>
    <w:rsid w:val="00070B1E"/>
    <w:rsid w:val="00071071"/>
    <w:rsid w:val="00071F8A"/>
    <w:rsid w:val="0007222A"/>
    <w:rsid w:val="00073E04"/>
    <w:rsid w:val="000759A7"/>
    <w:rsid w:val="0007622D"/>
    <w:rsid w:val="0007628D"/>
    <w:rsid w:val="00077267"/>
    <w:rsid w:val="0007752B"/>
    <w:rsid w:val="00080AB8"/>
    <w:rsid w:val="00081DAB"/>
    <w:rsid w:val="0008235E"/>
    <w:rsid w:val="00082A8E"/>
    <w:rsid w:val="000855CA"/>
    <w:rsid w:val="0008679A"/>
    <w:rsid w:val="00087150"/>
    <w:rsid w:val="00087686"/>
    <w:rsid w:val="0009351E"/>
    <w:rsid w:val="0009479A"/>
    <w:rsid w:val="00095E44"/>
    <w:rsid w:val="0009755A"/>
    <w:rsid w:val="000A0CEE"/>
    <w:rsid w:val="000A1232"/>
    <w:rsid w:val="000A13ED"/>
    <w:rsid w:val="000A5540"/>
    <w:rsid w:val="000A6799"/>
    <w:rsid w:val="000B0097"/>
    <w:rsid w:val="000B101F"/>
    <w:rsid w:val="000B1F4B"/>
    <w:rsid w:val="000B2F27"/>
    <w:rsid w:val="000B2F58"/>
    <w:rsid w:val="000B3762"/>
    <w:rsid w:val="000B37A8"/>
    <w:rsid w:val="000B51D9"/>
    <w:rsid w:val="000B5A0E"/>
    <w:rsid w:val="000B5FBE"/>
    <w:rsid w:val="000B6240"/>
    <w:rsid w:val="000C1738"/>
    <w:rsid w:val="000C308F"/>
    <w:rsid w:val="000C5A4E"/>
    <w:rsid w:val="000C5CFD"/>
    <w:rsid w:val="000C635D"/>
    <w:rsid w:val="000C700C"/>
    <w:rsid w:val="000C7F49"/>
    <w:rsid w:val="000D1AEE"/>
    <w:rsid w:val="000D1F4F"/>
    <w:rsid w:val="000D3BA1"/>
    <w:rsid w:val="000D4D07"/>
    <w:rsid w:val="000D52FC"/>
    <w:rsid w:val="000D7535"/>
    <w:rsid w:val="000E0192"/>
    <w:rsid w:val="000E163C"/>
    <w:rsid w:val="000E165D"/>
    <w:rsid w:val="000E1BAF"/>
    <w:rsid w:val="000E223E"/>
    <w:rsid w:val="000E2491"/>
    <w:rsid w:val="000E2EA9"/>
    <w:rsid w:val="000E46A3"/>
    <w:rsid w:val="000E5726"/>
    <w:rsid w:val="000E59F4"/>
    <w:rsid w:val="000E6C94"/>
    <w:rsid w:val="000F0C62"/>
    <w:rsid w:val="000F1BB2"/>
    <w:rsid w:val="000F3495"/>
    <w:rsid w:val="000F3F94"/>
    <w:rsid w:val="00100623"/>
    <w:rsid w:val="00101CAD"/>
    <w:rsid w:val="00103501"/>
    <w:rsid w:val="00103B2D"/>
    <w:rsid w:val="00103CD2"/>
    <w:rsid w:val="00104061"/>
    <w:rsid w:val="00105844"/>
    <w:rsid w:val="00107236"/>
    <w:rsid w:val="001101A2"/>
    <w:rsid w:val="001106F7"/>
    <w:rsid w:val="00111F79"/>
    <w:rsid w:val="001126AC"/>
    <w:rsid w:val="00112EDA"/>
    <w:rsid w:val="00114174"/>
    <w:rsid w:val="0011490C"/>
    <w:rsid w:val="00114BA0"/>
    <w:rsid w:val="00117C1D"/>
    <w:rsid w:val="00121D2F"/>
    <w:rsid w:val="00122AD8"/>
    <w:rsid w:val="00122D9F"/>
    <w:rsid w:val="00123688"/>
    <w:rsid w:val="00124CAB"/>
    <w:rsid w:val="001271D0"/>
    <w:rsid w:val="00127562"/>
    <w:rsid w:val="0012770F"/>
    <w:rsid w:val="00127C1D"/>
    <w:rsid w:val="001301C2"/>
    <w:rsid w:val="00131748"/>
    <w:rsid w:val="001318E1"/>
    <w:rsid w:val="00133366"/>
    <w:rsid w:val="00133572"/>
    <w:rsid w:val="00134C43"/>
    <w:rsid w:val="001354A7"/>
    <w:rsid w:val="00135814"/>
    <w:rsid w:val="0013601F"/>
    <w:rsid w:val="00136D7A"/>
    <w:rsid w:val="00137267"/>
    <w:rsid w:val="00141470"/>
    <w:rsid w:val="00141540"/>
    <w:rsid w:val="00142932"/>
    <w:rsid w:val="00143AD5"/>
    <w:rsid w:val="001449DF"/>
    <w:rsid w:val="0014569B"/>
    <w:rsid w:val="00147B9E"/>
    <w:rsid w:val="00151BA4"/>
    <w:rsid w:val="00151E9D"/>
    <w:rsid w:val="0015245C"/>
    <w:rsid w:val="00152F3B"/>
    <w:rsid w:val="0015488B"/>
    <w:rsid w:val="00155AF9"/>
    <w:rsid w:val="0015704C"/>
    <w:rsid w:val="00161E87"/>
    <w:rsid w:val="00162EDD"/>
    <w:rsid w:val="00163D6C"/>
    <w:rsid w:val="0016408F"/>
    <w:rsid w:val="0016566C"/>
    <w:rsid w:val="0017265B"/>
    <w:rsid w:val="00172733"/>
    <w:rsid w:val="001727F0"/>
    <w:rsid w:val="00172B06"/>
    <w:rsid w:val="001752D8"/>
    <w:rsid w:val="00175931"/>
    <w:rsid w:val="00176B25"/>
    <w:rsid w:val="0017790B"/>
    <w:rsid w:val="001810C0"/>
    <w:rsid w:val="0018224D"/>
    <w:rsid w:val="0018238B"/>
    <w:rsid w:val="00183419"/>
    <w:rsid w:val="0018394A"/>
    <w:rsid w:val="00185128"/>
    <w:rsid w:val="00186A9D"/>
    <w:rsid w:val="001874A6"/>
    <w:rsid w:val="0018765B"/>
    <w:rsid w:val="00190913"/>
    <w:rsid w:val="00191E3D"/>
    <w:rsid w:val="00195DE9"/>
    <w:rsid w:val="00195F65"/>
    <w:rsid w:val="001A07E2"/>
    <w:rsid w:val="001A0CAE"/>
    <w:rsid w:val="001A1C58"/>
    <w:rsid w:val="001A1EEE"/>
    <w:rsid w:val="001A2018"/>
    <w:rsid w:val="001A25BF"/>
    <w:rsid w:val="001A287F"/>
    <w:rsid w:val="001A374C"/>
    <w:rsid w:val="001A54FD"/>
    <w:rsid w:val="001A5A6A"/>
    <w:rsid w:val="001A757B"/>
    <w:rsid w:val="001B01C8"/>
    <w:rsid w:val="001B0DDB"/>
    <w:rsid w:val="001B13F6"/>
    <w:rsid w:val="001B1747"/>
    <w:rsid w:val="001B1B4E"/>
    <w:rsid w:val="001B2D44"/>
    <w:rsid w:val="001B4610"/>
    <w:rsid w:val="001B46D1"/>
    <w:rsid w:val="001B70E1"/>
    <w:rsid w:val="001B752A"/>
    <w:rsid w:val="001C0499"/>
    <w:rsid w:val="001C35E9"/>
    <w:rsid w:val="001C36BD"/>
    <w:rsid w:val="001C3733"/>
    <w:rsid w:val="001C4025"/>
    <w:rsid w:val="001C4E1D"/>
    <w:rsid w:val="001C5B30"/>
    <w:rsid w:val="001C5FE2"/>
    <w:rsid w:val="001C6502"/>
    <w:rsid w:val="001C6E07"/>
    <w:rsid w:val="001D2BC7"/>
    <w:rsid w:val="001D3C05"/>
    <w:rsid w:val="001D47C1"/>
    <w:rsid w:val="001D493E"/>
    <w:rsid w:val="001D52E3"/>
    <w:rsid w:val="001D57A3"/>
    <w:rsid w:val="001D6A28"/>
    <w:rsid w:val="001D6AF4"/>
    <w:rsid w:val="001E0555"/>
    <w:rsid w:val="001E07A7"/>
    <w:rsid w:val="001E0CC1"/>
    <w:rsid w:val="001E1CD5"/>
    <w:rsid w:val="001E3CC0"/>
    <w:rsid w:val="001E4326"/>
    <w:rsid w:val="001E64BD"/>
    <w:rsid w:val="001E64D1"/>
    <w:rsid w:val="001E77C3"/>
    <w:rsid w:val="001E77F1"/>
    <w:rsid w:val="001F090B"/>
    <w:rsid w:val="001F100B"/>
    <w:rsid w:val="001F15A6"/>
    <w:rsid w:val="001F180A"/>
    <w:rsid w:val="001F1A28"/>
    <w:rsid w:val="001F35E8"/>
    <w:rsid w:val="001F38F9"/>
    <w:rsid w:val="001F4014"/>
    <w:rsid w:val="001F445E"/>
    <w:rsid w:val="001F7191"/>
    <w:rsid w:val="00200067"/>
    <w:rsid w:val="0020024D"/>
    <w:rsid w:val="00200FB7"/>
    <w:rsid w:val="00201213"/>
    <w:rsid w:val="00201323"/>
    <w:rsid w:val="0020165E"/>
    <w:rsid w:val="00202958"/>
    <w:rsid w:val="00202E50"/>
    <w:rsid w:val="00203299"/>
    <w:rsid w:val="00203547"/>
    <w:rsid w:val="00205180"/>
    <w:rsid w:val="00206B34"/>
    <w:rsid w:val="00207F81"/>
    <w:rsid w:val="002109F4"/>
    <w:rsid w:val="00211B2E"/>
    <w:rsid w:val="00211FDA"/>
    <w:rsid w:val="002160C2"/>
    <w:rsid w:val="00217158"/>
    <w:rsid w:val="00217C97"/>
    <w:rsid w:val="00222BB9"/>
    <w:rsid w:val="002233ED"/>
    <w:rsid w:val="00223A16"/>
    <w:rsid w:val="002254ED"/>
    <w:rsid w:val="002258D6"/>
    <w:rsid w:val="002268C7"/>
    <w:rsid w:val="00226DFC"/>
    <w:rsid w:val="002274FB"/>
    <w:rsid w:val="002309D2"/>
    <w:rsid w:val="0023315B"/>
    <w:rsid w:val="002347FE"/>
    <w:rsid w:val="00235DA3"/>
    <w:rsid w:val="0023680E"/>
    <w:rsid w:val="00237526"/>
    <w:rsid w:val="00240A43"/>
    <w:rsid w:val="0024178D"/>
    <w:rsid w:val="00241D57"/>
    <w:rsid w:val="002421D4"/>
    <w:rsid w:val="00242807"/>
    <w:rsid w:val="002436B5"/>
    <w:rsid w:val="00245DCF"/>
    <w:rsid w:val="00246C65"/>
    <w:rsid w:val="00250AD3"/>
    <w:rsid w:val="00251A64"/>
    <w:rsid w:val="0025261B"/>
    <w:rsid w:val="002542A8"/>
    <w:rsid w:val="00260A11"/>
    <w:rsid w:val="00260EC2"/>
    <w:rsid w:val="00261306"/>
    <w:rsid w:val="0026169A"/>
    <w:rsid w:val="00262763"/>
    <w:rsid w:val="00264BEA"/>
    <w:rsid w:val="00266DF9"/>
    <w:rsid w:val="002702C5"/>
    <w:rsid w:val="00271032"/>
    <w:rsid w:val="00273C1C"/>
    <w:rsid w:val="00273E3E"/>
    <w:rsid w:val="00274147"/>
    <w:rsid w:val="002749E2"/>
    <w:rsid w:val="00275189"/>
    <w:rsid w:val="002756DC"/>
    <w:rsid w:val="00275E5C"/>
    <w:rsid w:val="0027614A"/>
    <w:rsid w:val="00276437"/>
    <w:rsid w:val="0028063F"/>
    <w:rsid w:val="00280740"/>
    <w:rsid w:val="00281F74"/>
    <w:rsid w:val="0028282C"/>
    <w:rsid w:val="00283B02"/>
    <w:rsid w:val="00283C5D"/>
    <w:rsid w:val="00283D5A"/>
    <w:rsid w:val="002844B0"/>
    <w:rsid w:val="00284FE7"/>
    <w:rsid w:val="00285586"/>
    <w:rsid w:val="00286322"/>
    <w:rsid w:val="0028794B"/>
    <w:rsid w:val="00290C3B"/>
    <w:rsid w:val="002911EB"/>
    <w:rsid w:val="00291607"/>
    <w:rsid w:val="00291FBA"/>
    <w:rsid w:val="0029347B"/>
    <w:rsid w:val="00293D9E"/>
    <w:rsid w:val="00296C1F"/>
    <w:rsid w:val="002A0C34"/>
    <w:rsid w:val="002A1B59"/>
    <w:rsid w:val="002A1E85"/>
    <w:rsid w:val="002A41E6"/>
    <w:rsid w:val="002A4866"/>
    <w:rsid w:val="002A4A49"/>
    <w:rsid w:val="002A5250"/>
    <w:rsid w:val="002A7C47"/>
    <w:rsid w:val="002B0455"/>
    <w:rsid w:val="002B09DD"/>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C77C2"/>
    <w:rsid w:val="002D0586"/>
    <w:rsid w:val="002D0964"/>
    <w:rsid w:val="002D1023"/>
    <w:rsid w:val="002D1459"/>
    <w:rsid w:val="002D1470"/>
    <w:rsid w:val="002D17F8"/>
    <w:rsid w:val="002D1F2D"/>
    <w:rsid w:val="002D21CF"/>
    <w:rsid w:val="002D2A6F"/>
    <w:rsid w:val="002D4705"/>
    <w:rsid w:val="002D5B65"/>
    <w:rsid w:val="002D6396"/>
    <w:rsid w:val="002D7E5E"/>
    <w:rsid w:val="002E07AC"/>
    <w:rsid w:val="002E07EF"/>
    <w:rsid w:val="002E0D06"/>
    <w:rsid w:val="002E4E94"/>
    <w:rsid w:val="002E5CCA"/>
    <w:rsid w:val="002E6DEC"/>
    <w:rsid w:val="002F1D71"/>
    <w:rsid w:val="002F1F28"/>
    <w:rsid w:val="002F3067"/>
    <w:rsid w:val="002F43CA"/>
    <w:rsid w:val="002F57AA"/>
    <w:rsid w:val="002F645C"/>
    <w:rsid w:val="002F714C"/>
    <w:rsid w:val="002F77BF"/>
    <w:rsid w:val="002F7FC4"/>
    <w:rsid w:val="003004A2"/>
    <w:rsid w:val="00302993"/>
    <w:rsid w:val="00303DD5"/>
    <w:rsid w:val="003045D7"/>
    <w:rsid w:val="003046D6"/>
    <w:rsid w:val="003062F8"/>
    <w:rsid w:val="003106F8"/>
    <w:rsid w:val="00310764"/>
    <w:rsid w:val="00310D54"/>
    <w:rsid w:val="00320203"/>
    <w:rsid w:val="00322002"/>
    <w:rsid w:val="00323890"/>
    <w:rsid w:val="00324129"/>
    <w:rsid w:val="003247B0"/>
    <w:rsid w:val="00325E81"/>
    <w:rsid w:val="00332E57"/>
    <w:rsid w:val="0033486D"/>
    <w:rsid w:val="00335685"/>
    <w:rsid w:val="0033581A"/>
    <w:rsid w:val="003367C4"/>
    <w:rsid w:val="00336D8E"/>
    <w:rsid w:val="003376B3"/>
    <w:rsid w:val="00342AD6"/>
    <w:rsid w:val="00345EDE"/>
    <w:rsid w:val="003465E0"/>
    <w:rsid w:val="00347776"/>
    <w:rsid w:val="0035062C"/>
    <w:rsid w:val="00351453"/>
    <w:rsid w:val="00351A91"/>
    <w:rsid w:val="003520C4"/>
    <w:rsid w:val="003533AE"/>
    <w:rsid w:val="00355E14"/>
    <w:rsid w:val="003563B1"/>
    <w:rsid w:val="00356909"/>
    <w:rsid w:val="00361280"/>
    <w:rsid w:val="003615F1"/>
    <w:rsid w:val="00361A6E"/>
    <w:rsid w:val="00362983"/>
    <w:rsid w:val="0036391B"/>
    <w:rsid w:val="00363D7F"/>
    <w:rsid w:val="00364D2A"/>
    <w:rsid w:val="00367C66"/>
    <w:rsid w:val="003702CD"/>
    <w:rsid w:val="00371563"/>
    <w:rsid w:val="0037233D"/>
    <w:rsid w:val="003728DD"/>
    <w:rsid w:val="003736EF"/>
    <w:rsid w:val="003737E3"/>
    <w:rsid w:val="00374F4A"/>
    <w:rsid w:val="00380D80"/>
    <w:rsid w:val="00381E38"/>
    <w:rsid w:val="00385A7E"/>
    <w:rsid w:val="00386C66"/>
    <w:rsid w:val="003906F8"/>
    <w:rsid w:val="003935EE"/>
    <w:rsid w:val="0039408A"/>
    <w:rsid w:val="0039673D"/>
    <w:rsid w:val="003973FD"/>
    <w:rsid w:val="00397893"/>
    <w:rsid w:val="003A2CF0"/>
    <w:rsid w:val="003A31F0"/>
    <w:rsid w:val="003A3359"/>
    <w:rsid w:val="003A33C4"/>
    <w:rsid w:val="003A33D3"/>
    <w:rsid w:val="003A3880"/>
    <w:rsid w:val="003A3EB6"/>
    <w:rsid w:val="003A4CC0"/>
    <w:rsid w:val="003A5BC5"/>
    <w:rsid w:val="003A5D55"/>
    <w:rsid w:val="003A75E6"/>
    <w:rsid w:val="003B1951"/>
    <w:rsid w:val="003B255B"/>
    <w:rsid w:val="003B3317"/>
    <w:rsid w:val="003B4168"/>
    <w:rsid w:val="003B52D4"/>
    <w:rsid w:val="003B5947"/>
    <w:rsid w:val="003B5AD5"/>
    <w:rsid w:val="003B774A"/>
    <w:rsid w:val="003C14A3"/>
    <w:rsid w:val="003C1CA5"/>
    <w:rsid w:val="003C1EC7"/>
    <w:rsid w:val="003C3BDE"/>
    <w:rsid w:val="003C41D4"/>
    <w:rsid w:val="003C6358"/>
    <w:rsid w:val="003C64A0"/>
    <w:rsid w:val="003C7BA3"/>
    <w:rsid w:val="003D21C8"/>
    <w:rsid w:val="003D2303"/>
    <w:rsid w:val="003D4015"/>
    <w:rsid w:val="003D4E9C"/>
    <w:rsid w:val="003E038E"/>
    <w:rsid w:val="003E0D78"/>
    <w:rsid w:val="003E3277"/>
    <w:rsid w:val="003E3A1D"/>
    <w:rsid w:val="003E5A01"/>
    <w:rsid w:val="003E6CA0"/>
    <w:rsid w:val="003E7959"/>
    <w:rsid w:val="003F2FDE"/>
    <w:rsid w:val="003F330B"/>
    <w:rsid w:val="003F50F2"/>
    <w:rsid w:val="003F5756"/>
    <w:rsid w:val="003F6FDF"/>
    <w:rsid w:val="004016F5"/>
    <w:rsid w:val="004045AA"/>
    <w:rsid w:val="00404A0D"/>
    <w:rsid w:val="00405229"/>
    <w:rsid w:val="00405CC9"/>
    <w:rsid w:val="004066E4"/>
    <w:rsid w:val="00410E7D"/>
    <w:rsid w:val="004138DE"/>
    <w:rsid w:val="00414B2F"/>
    <w:rsid w:val="00415E58"/>
    <w:rsid w:val="00416231"/>
    <w:rsid w:val="004179C1"/>
    <w:rsid w:val="004208AB"/>
    <w:rsid w:val="00420EAD"/>
    <w:rsid w:val="004219B6"/>
    <w:rsid w:val="004219EF"/>
    <w:rsid w:val="00423236"/>
    <w:rsid w:val="004263F4"/>
    <w:rsid w:val="00426CD9"/>
    <w:rsid w:val="00430FEB"/>
    <w:rsid w:val="004310EE"/>
    <w:rsid w:val="00433677"/>
    <w:rsid w:val="00433DCE"/>
    <w:rsid w:val="004340D5"/>
    <w:rsid w:val="00434880"/>
    <w:rsid w:val="004354A7"/>
    <w:rsid w:val="004359A0"/>
    <w:rsid w:val="00437FDD"/>
    <w:rsid w:val="004406C1"/>
    <w:rsid w:val="00442C1B"/>
    <w:rsid w:val="004430B5"/>
    <w:rsid w:val="00445911"/>
    <w:rsid w:val="004460E9"/>
    <w:rsid w:val="00447B6F"/>
    <w:rsid w:val="00453C11"/>
    <w:rsid w:val="004557B0"/>
    <w:rsid w:val="00455B23"/>
    <w:rsid w:val="00457946"/>
    <w:rsid w:val="00457BB9"/>
    <w:rsid w:val="00457D8B"/>
    <w:rsid w:val="00460A17"/>
    <w:rsid w:val="00464B3D"/>
    <w:rsid w:val="00464FBF"/>
    <w:rsid w:val="00467710"/>
    <w:rsid w:val="00470CB5"/>
    <w:rsid w:val="00471EAB"/>
    <w:rsid w:val="004723EE"/>
    <w:rsid w:val="0047451B"/>
    <w:rsid w:val="00475A92"/>
    <w:rsid w:val="00476542"/>
    <w:rsid w:val="00477BB9"/>
    <w:rsid w:val="00477FC7"/>
    <w:rsid w:val="004818A0"/>
    <w:rsid w:val="00484793"/>
    <w:rsid w:val="00487366"/>
    <w:rsid w:val="004873E4"/>
    <w:rsid w:val="00487439"/>
    <w:rsid w:val="0049072C"/>
    <w:rsid w:val="00490FD1"/>
    <w:rsid w:val="0049122E"/>
    <w:rsid w:val="0049138D"/>
    <w:rsid w:val="00491AD2"/>
    <w:rsid w:val="004924A8"/>
    <w:rsid w:val="004935C0"/>
    <w:rsid w:val="00493B43"/>
    <w:rsid w:val="00494EB1"/>
    <w:rsid w:val="00494F35"/>
    <w:rsid w:val="0049528D"/>
    <w:rsid w:val="00496414"/>
    <w:rsid w:val="00497A38"/>
    <w:rsid w:val="00497F75"/>
    <w:rsid w:val="004A2056"/>
    <w:rsid w:val="004A25C4"/>
    <w:rsid w:val="004A2690"/>
    <w:rsid w:val="004A3815"/>
    <w:rsid w:val="004A45BD"/>
    <w:rsid w:val="004A4656"/>
    <w:rsid w:val="004A77B0"/>
    <w:rsid w:val="004B1CED"/>
    <w:rsid w:val="004B34A7"/>
    <w:rsid w:val="004B3B06"/>
    <w:rsid w:val="004B4643"/>
    <w:rsid w:val="004B4AD0"/>
    <w:rsid w:val="004B7F67"/>
    <w:rsid w:val="004C1994"/>
    <w:rsid w:val="004C1B88"/>
    <w:rsid w:val="004C2591"/>
    <w:rsid w:val="004C3C53"/>
    <w:rsid w:val="004D0F0A"/>
    <w:rsid w:val="004D3DF8"/>
    <w:rsid w:val="004D3E6E"/>
    <w:rsid w:val="004D4080"/>
    <w:rsid w:val="004D479F"/>
    <w:rsid w:val="004E05FD"/>
    <w:rsid w:val="004E1960"/>
    <w:rsid w:val="004E1A0D"/>
    <w:rsid w:val="004E1BA0"/>
    <w:rsid w:val="004E23F5"/>
    <w:rsid w:val="004E3C69"/>
    <w:rsid w:val="004E55C0"/>
    <w:rsid w:val="004E63E5"/>
    <w:rsid w:val="004E6B76"/>
    <w:rsid w:val="004E7BF4"/>
    <w:rsid w:val="004F3540"/>
    <w:rsid w:val="004F382F"/>
    <w:rsid w:val="004F3AB1"/>
    <w:rsid w:val="004F45C4"/>
    <w:rsid w:val="004F5624"/>
    <w:rsid w:val="004F59B5"/>
    <w:rsid w:val="004F5DA4"/>
    <w:rsid w:val="004F62B2"/>
    <w:rsid w:val="004F6424"/>
    <w:rsid w:val="004F72D1"/>
    <w:rsid w:val="0050176F"/>
    <w:rsid w:val="005039E2"/>
    <w:rsid w:val="005040CD"/>
    <w:rsid w:val="00505229"/>
    <w:rsid w:val="00505EDB"/>
    <w:rsid w:val="00506D18"/>
    <w:rsid w:val="00507300"/>
    <w:rsid w:val="00507F98"/>
    <w:rsid w:val="005108A3"/>
    <w:rsid w:val="0051091F"/>
    <w:rsid w:val="00510F6E"/>
    <w:rsid w:val="005118AE"/>
    <w:rsid w:val="00512E4A"/>
    <w:rsid w:val="005151DA"/>
    <w:rsid w:val="0051587A"/>
    <w:rsid w:val="005158FA"/>
    <w:rsid w:val="005165AB"/>
    <w:rsid w:val="005169AD"/>
    <w:rsid w:val="005177FC"/>
    <w:rsid w:val="005208B9"/>
    <w:rsid w:val="00520FA7"/>
    <w:rsid w:val="005221F0"/>
    <w:rsid w:val="005237CD"/>
    <w:rsid w:val="00523FC8"/>
    <w:rsid w:val="0052461A"/>
    <w:rsid w:val="00524807"/>
    <w:rsid w:val="00524D74"/>
    <w:rsid w:val="005251EF"/>
    <w:rsid w:val="00525361"/>
    <w:rsid w:val="005254DA"/>
    <w:rsid w:val="00525F39"/>
    <w:rsid w:val="00525FF9"/>
    <w:rsid w:val="00531D11"/>
    <w:rsid w:val="00532D3F"/>
    <w:rsid w:val="0053383B"/>
    <w:rsid w:val="0053386D"/>
    <w:rsid w:val="0053791F"/>
    <w:rsid w:val="00547538"/>
    <w:rsid w:val="00547AFB"/>
    <w:rsid w:val="0055058C"/>
    <w:rsid w:val="00553423"/>
    <w:rsid w:val="00553BFA"/>
    <w:rsid w:val="00553D8D"/>
    <w:rsid w:val="0055608E"/>
    <w:rsid w:val="00557755"/>
    <w:rsid w:val="0056077E"/>
    <w:rsid w:val="00561E41"/>
    <w:rsid w:val="00562275"/>
    <w:rsid w:val="005629EE"/>
    <w:rsid w:val="00563113"/>
    <w:rsid w:val="005648FA"/>
    <w:rsid w:val="00564D50"/>
    <w:rsid w:val="005655B6"/>
    <w:rsid w:val="00567346"/>
    <w:rsid w:val="0057029F"/>
    <w:rsid w:val="00571A60"/>
    <w:rsid w:val="0057371B"/>
    <w:rsid w:val="005737B4"/>
    <w:rsid w:val="005741B7"/>
    <w:rsid w:val="00574616"/>
    <w:rsid w:val="00575EB8"/>
    <w:rsid w:val="00576446"/>
    <w:rsid w:val="00580D09"/>
    <w:rsid w:val="00582A9B"/>
    <w:rsid w:val="005832AB"/>
    <w:rsid w:val="0058437C"/>
    <w:rsid w:val="005857E5"/>
    <w:rsid w:val="0058606E"/>
    <w:rsid w:val="00587706"/>
    <w:rsid w:val="00592124"/>
    <w:rsid w:val="005923CA"/>
    <w:rsid w:val="005935F4"/>
    <w:rsid w:val="005A346E"/>
    <w:rsid w:val="005A352C"/>
    <w:rsid w:val="005A73CF"/>
    <w:rsid w:val="005B0689"/>
    <w:rsid w:val="005B0EED"/>
    <w:rsid w:val="005B14D5"/>
    <w:rsid w:val="005B409C"/>
    <w:rsid w:val="005B458E"/>
    <w:rsid w:val="005B58A1"/>
    <w:rsid w:val="005B798B"/>
    <w:rsid w:val="005C1FAE"/>
    <w:rsid w:val="005C2162"/>
    <w:rsid w:val="005C39E8"/>
    <w:rsid w:val="005C5660"/>
    <w:rsid w:val="005C7A3A"/>
    <w:rsid w:val="005D4B68"/>
    <w:rsid w:val="005D5E8D"/>
    <w:rsid w:val="005D6773"/>
    <w:rsid w:val="005D6EDA"/>
    <w:rsid w:val="005E11C1"/>
    <w:rsid w:val="005E2563"/>
    <w:rsid w:val="005E394C"/>
    <w:rsid w:val="005E42BF"/>
    <w:rsid w:val="005E4341"/>
    <w:rsid w:val="005E4E70"/>
    <w:rsid w:val="005E6043"/>
    <w:rsid w:val="005E65BB"/>
    <w:rsid w:val="005F0DA0"/>
    <w:rsid w:val="005F2C04"/>
    <w:rsid w:val="005F4914"/>
    <w:rsid w:val="005F6103"/>
    <w:rsid w:val="005F62B7"/>
    <w:rsid w:val="005F6869"/>
    <w:rsid w:val="005F6BB9"/>
    <w:rsid w:val="00600938"/>
    <w:rsid w:val="00602154"/>
    <w:rsid w:val="00603148"/>
    <w:rsid w:val="00604E42"/>
    <w:rsid w:val="00606FC7"/>
    <w:rsid w:val="00610456"/>
    <w:rsid w:val="00611473"/>
    <w:rsid w:val="00611B36"/>
    <w:rsid w:val="00613A34"/>
    <w:rsid w:val="00615ADA"/>
    <w:rsid w:val="00615CC5"/>
    <w:rsid w:val="00617F8B"/>
    <w:rsid w:val="006221CD"/>
    <w:rsid w:val="006237D8"/>
    <w:rsid w:val="00625616"/>
    <w:rsid w:val="006266A9"/>
    <w:rsid w:val="00626E8F"/>
    <w:rsid w:val="00630426"/>
    <w:rsid w:val="006316C1"/>
    <w:rsid w:val="00631ED4"/>
    <w:rsid w:val="00633BC7"/>
    <w:rsid w:val="006343B0"/>
    <w:rsid w:val="006353BE"/>
    <w:rsid w:val="00635E9C"/>
    <w:rsid w:val="00636DF3"/>
    <w:rsid w:val="00637163"/>
    <w:rsid w:val="00637B41"/>
    <w:rsid w:val="0064082C"/>
    <w:rsid w:val="006414EE"/>
    <w:rsid w:val="00642020"/>
    <w:rsid w:val="00642D0A"/>
    <w:rsid w:val="00646130"/>
    <w:rsid w:val="00646FE1"/>
    <w:rsid w:val="006470ED"/>
    <w:rsid w:val="00647E20"/>
    <w:rsid w:val="00653ADD"/>
    <w:rsid w:val="0065453A"/>
    <w:rsid w:val="00660727"/>
    <w:rsid w:val="00660EF6"/>
    <w:rsid w:val="00661140"/>
    <w:rsid w:val="00665129"/>
    <w:rsid w:val="00667893"/>
    <w:rsid w:val="006710DD"/>
    <w:rsid w:val="006714D3"/>
    <w:rsid w:val="006716A3"/>
    <w:rsid w:val="00671F12"/>
    <w:rsid w:val="00673200"/>
    <w:rsid w:val="006735F4"/>
    <w:rsid w:val="0067501E"/>
    <w:rsid w:val="006773D2"/>
    <w:rsid w:val="00681A41"/>
    <w:rsid w:val="006821B2"/>
    <w:rsid w:val="00682EC4"/>
    <w:rsid w:val="006838C0"/>
    <w:rsid w:val="00685901"/>
    <w:rsid w:val="00685BB9"/>
    <w:rsid w:val="00685D08"/>
    <w:rsid w:val="00686200"/>
    <w:rsid w:val="00686416"/>
    <w:rsid w:val="00690127"/>
    <w:rsid w:val="00691BFF"/>
    <w:rsid w:val="00695227"/>
    <w:rsid w:val="006953C1"/>
    <w:rsid w:val="00696175"/>
    <w:rsid w:val="00696EB2"/>
    <w:rsid w:val="006A0872"/>
    <w:rsid w:val="006A16E9"/>
    <w:rsid w:val="006A18FE"/>
    <w:rsid w:val="006A31DF"/>
    <w:rsid w:val="006A5450"/>
    <w:rsid w:val="006B0199"/>
    <w:rsid w:val="006B0A32"/>
    <w:rsid w:val="006B0BD8"/>
    <w:rsid w:val="006B1613"/>
    <w:rsid w:val="006B22A3"/>
    <w:rsid w:val="006B285F"/>
    <w:rsid w:val="006B29D9"/>
    <w:rsid w:val="006B3279"/>
    <w:rsid w:val="006B7CDB"/>
    <w:rsid w:val="006C0251"/>
    <w:rsid w:val="006C11D4"/>
    <w:rsid w:val="006C2B9A"/>
    <w:rsid w:val="006C38EA"/>
    <w:rsid w:val="006C39BB"/>
    <w:rsid w:val="006C4502"/>
    <w:rsid w:val="006D159F"/>
    <w:rsid w:val="006D2F02"/>
    <w:rsid w:val="006D5E91"/>
    <w:rsid w:val="006D75DA"/>
    <w:rsid w:val="006E14E6"/>
    <w:rsid w:val="006E1AEE"/>
    <w:rsid w:val="006E1F6F"/>
    <w:rsid w:val="006E23AC"/>
    <w:rsid w:val="006E3B9C"/>
    <w:rsid w:val="006E50F7"/>
    <w:rsid w:val="006E51A2"/>
    <w:rsid w:val="006E6978"/>
    <w:rsid w:val="006F0DE2"/>
    <w:rsid w:val="006F3495"/>
    <w:rsid w:val="006F417D"/>
    <w:rsid w:val="006F525B"/>
    <w:rsid w:val="006F5C83"/>
    <w:rsid w:val="006F6078"/>
    <w:rsid w:val="006F67CC"/>
    <w:rsid w:val="00700839"/>
    <w:rsid w:val="00701C2D"/>
    <w:rsid w:val="00702162"/>
    <w:rsid w:val="00703930"/>
    <w:rsid w:val="00704070"/>
    <w:rsid w:val="0070494E"/>
    <w:rsid w:val="00705744"/>
    <w:rsid w:val="0070610E"/>
    <w:rsid w:val="00706FEA"/>
    <w:rsid w:val="007076D5"/>
    <w:rsid w:val="00707759"/>
    <w:rsid w:val="00710081"/>
    <w:rsid w:val="00710B0D"/>
    <w:rsid w:val="00713CB5"/>
    <w:rsid w:val="00715047"/>
    <w:rsid w:val="007153E5"/>
    <w:rsid w:val="0071558B"/>
    <w:rsid w:val="0071713D"/>
    <w:rsid w:val="00721189"/>
    <w:rsid w:val="007221C3"/>
    <w:rsid w:val="00722F2C"/>
    <w:rsid w:val="007253A4"/>
    <w:rsid w:val="007254D1"/>
    <w:rsid w:val="00725594"/>
    <w:rsid w:val="00725B32"/>
    <w:rsid w:val="00725B3C"/>
    <w:rsid w:val="007264B0"/>
    <w:rsid w:val="00730548"/>
    <w:rsid w:val="00733CC8"/>
    <w:rsid w:val="00733D54"/>
    <w:rsid w:val="007341C4"/>
    <w:rsid w:val="00736A4F"/>
    <w:rsid w:val="00736E76"/>
    <w:rsid w:val="00737753"/>
    <w:rsid w:val="00737E99"/>
    <w:rsid w:val="00740CE9"/>
    <w:rsid w:val="007428E3"/>
    <w:rsid w:val="00743511"/>
    <w:rsid w:val="0074394E"/>
    <w:rsid w:val="007471D2"/>
    <w:rsid w:val="00750ABC"/>
    <w:rsid w:val="00750D0A"/>
    <w:rsid w:val="007513CB"/>
    <w:rsid w:val="00751863"/>
    <w:rsid w:val="00751D93"/>
    <w:rsid w:val="007520F4"/>
    <w:rsid w:val="00752300"/>
    <w:rsid w:val="0075466A"/>
    <w:rsid w:val="007546F8"/>
    <w:rsid w:val="00755BAB"/>
    <w:rsid w:val="00757BA2"/>
    <w:rsid w:val="0076080E"/>
    <w:rsid w:val="007615E5"/>
    <w:rsid w:val="007629CB"/>
    <w:rsid w:val="0076411D"/>
    <w:rsid w:val="007670F8"/>
    <w:rsid w:val="007671D4"/>
    <w:rsid w:val="00770A85"/>
    <w:rsid w:val="007713C8"/>
    <w:rsid w:val="00772F2D"/>
    <w:rsid w:val="00773DC9"/>
    <w:rsid w:val="0077572E"/>
    <w:rsid w:val="00777996"/>
    <w:rsid w:val="0078031B"/>
    <w:rsid w:val="00781EBC"/>
    <w:rsid w:val="00784F44"/>
    <w:rsid w:val="00786672"/>
    <w:rsid w:val="007872CF"/>
    <w:rsid w:val="00787416"/>
    <w:rsid w:val="007875CD"/>
    <w:rsid w:val="0079201C"/>
    <w:rsid w:val="00792495"/>
    <w:rsid w:val="0079307F"/>
    <w:rsid w:val="0079354F"/>
    <w:rsid w:val="00793807"/>
    <w:rsid w:val="007947C4"/>
    <w:rsid w:val="00795293"/>
    <w:rsid w:val="00795BC2"/>
    <w:rsid w:val="00795CE1"/>
    <w:rsid w:val="00796ED3"/>
    <w:rsid w:val="007A06AC"/>
    <w:rsid w:val="007A3B84"/>
    <w:rsid w:val="007A59ED"/>
    <w:rsid w:val="007B1014"/>
    <w:rsid w:val="007B103F"/>
    <w:rsid w:val="007B1484"/>
    <w:rsid w:val="007B1A10"/>
    <w:rsid w:val="007B4F5F"/>
    <w:rsid w:val="007B6659"/>
    <w:rsid w:val="007B76AB"/>
    <w:rsid w:val="007B7DBD"/>
    <w:rsid w:val="007C45D3"/>
    <w:rsid w:val="007C597B"/>
    <w:rsid w:val="007C61CB"/>
    <w:rsid w:val="007C760C"/>
    <w:rsid w:val="007D08FD"/>
    <w:rsid w:val="007D0AD2"/>
    <w:rsid w:val="007D1584"/>
    <w:rsid w:val="007D2044"/>
    <w:rsid w:val="007D207D"/>
    <w:rsid w:val="007D2D55"/>
    <w:rsid w:val="007D4F33"/>
    <w:rsid w:val="007D65C7"/>
    <w:rsid w:val="007D6BF8"/>
    <w:rsid w:val="007D74D2"/>
    <w:rsid w:val="007D79B5"/>
    <w:rsid w:val="007E05AE"/>
    <w:rsid w:val="007E09F0"/>
    <w:rsid w:val="007E2334"/>
    <w:rsid w:val="007E23CE"/>
    <w:rsid w:val="007E2CE7"/>
    <w:rsid w:val="007E38C2"/>
    <w:rsid w:val="007E43D0"/>
    <w:rsid w:val="007E49E6"/>
    <w:rsid w:val="007E4EA8"/>
    <w:rsid w:val="007E4FDA"/>
    <w:rsid w:val="007E54F8"/>
    <w:rsid w:val="007E5987"/>
    <w:rsid w:val="007E5BD8"/>
    <w:rsid w:val="007E6601"/>
    <w:rsid w:val="007E7BF9"/>
    <w:rsid w:val="007F02BC"/>
    <w:rsid w:val="007F1A40"/>
    <w:rsid w:val="007F1D17"/>
    <w:rsid w:val="007F2E65"/>
    <w:rsid w:val="007F2F4B"/>
    <w:rsid w:val="007F43BA"/>
    <w:rsid w:val="007F45D1"/>
    <w:rsid w:val="007F6DC3"/>
    <w:rsid w:val="008006B4"/>
    <w:rsid w:val="00801A3F"/>
    <w:rsid w:val="00803695"/>
    <w:rsid w:val="00803B2D"/>
    <w:rsid w:val="00803FD4"/>
    <w:rsid w:val="0080481C"/>
    <w:rsid w:val="0080494A"/>
    <w:rsid w:val="00804A38"/>
    <w:rsid w:val="00804C54"/>
    <w:rsid w:val="008056DD"/>
    <w:rsid w:val="0081104C"/>
    <w:rsid w:val="00811D2A"/>
    <w:rsid w:val="00812D16"/>
    <w:rsid w:val="00813C7C"/>
    <w:rsid w:val="00817A54"/>
    <w:rsid w:val="00817A6B"/>
    <w:rsid w:val="00817C04"/>
    <w:rsid w:val="00821865"/>
    <w:rsid w:val="0082327D"/>
    <w:rsid w:val="0082433D"/>
    <w:rsid w:val="00825D9D"/>
    <w:rsid w:val="00826509"/>
    <w:rsid w:val="00827F88"/>
    <w:rsid w:val="00831714"/>
    <w:rsid w:val="00831CFB"/>
    <w:rsid w:val="00832710"/>
    <w:rsid w:val="0083354D"/>
    <w:rsid w:val="0083561B"/>
    <w:rsid w:val="0083685F"/>
    <w:rsid w:val="008371F6"/>
    <w:rsid w:val="0083793B"/>
    <w:rsid w:val="00837D78"/>
    <w:rsid w:val="00840D79"/>
    <w:rsid w:val="00842A21"/>
    <w:rsid w:val="008431CC"/>
    <w:rsid w:val="008439BF"/>
    <w:rsid w:val="00844914"/>
    <w:rsid w:val="008450A5"/>
    <w:rsid w:val="00845B6F"/>
    <w:rsid w:val="00845DAD"/>
    <w:rsid w:val="00846040"/>
    <w:rsid w:val="00851F2C"/>
    <w:rsid w:val="00853638"/>
    <w:rsid w:val="00853C1D"/>
    <w:rsid w:val="008548E7"/>
    <w:rsid w:val="00854B2F"/>
    <w:rsid w:val="008560BB"/>
    <w:rsid w:val="00856354"/>
    <w:rsid w:val="008568E1"/>
    <w:rsid w:val="008568F2"/>
    <w:rsid w:val="00856BE9"/>
    <w:rsid w:val="008578F8"/>
    <w:rsid w:val="00860566"/>
    <w:rsid w:val="00860983"/>
    <w:rsid w:val="0086165C"/>
    <w:rsid w:val="00861B26"/>
    <w:rsid w:val="00862EED"/>
    <w:rsid w:val="008643FC"/>
    <w:rsid w:val="00864529"/>
    <w:rsid w:val="008649B9"/>
    <w:rsid w:val="0086600F"/>
    <w:rsid w:val="0086784F"/>
    <w:rsid w:val="00870394"/>
    <w:rsid w:val="0087073B"/>
    <w:rsid w:val="008770D4"/>
    <w:rsid w:val="008778E7"/>
    <w:rsid w:val="008801DB"/>
    <w:rsid w:val="0088127F"/>
    <w:rsid w:val="0088130B"/>
    <w:rsid w:val="008815EF"/>
    <w:rsid w:val="008816CF"/>
    <w:rsid w:val="0088515E"/>
    <w:rsid w:val="00885273"/>
    <w:rsid w:val="00885F2C"/>
    <w:rsid w:val="00886386"/>
    <w:rsid w:val="0088694E"/>
    <w:rsid w:val="008869AD"/>
    <w:rsid w:val="0088701C"/>
    <w:rsid w:val="00887BA4"/>
    <w:rsid w:val="0089174C"/>
    <w:rsid w:val="008927A6"/>
    <w:rsid w:val="00892DDD"/>
    <w:rsid w:val="00892EB4"/>
    <w:rsid w:val="0089499B"/>
    <w:rsid w:val="00894ACA"/>
    <w:rsid w:val="00894E87"/>
    <w:rsid w:val="00894EC5"/>
    <w:rsid w:val="008957AC"/>
    <w:rsid w:val="008967B5"/>
    <w:rsid w:val="008A03AC"/>
    <w:rsid w:val="008A0782"/>
    <w:rsid w:val="008A152F"/>
    <w:rsid w:val="008A186D"/>
    <w:rsid w:val="008A20BE"/>
    <w:rsid w:val="008A2B4E"/>
    <w:rsid w:val="008A345A"/>
    <w:rsid w:val="008A3746"/>
    <w:rsid w:val="008A3BF2"/>
    <w:rsid w:val="008A3DB9"/>
    <w:rsid w:val="008A53A7"/>
    <w:rsid w:val="008A5DF7"/>
    <w:rsid w:val="008A6A5C"/>
    <w:rsid w:val="008A7316"/>
    <w:rsid w:val="008A75B8"/>
    <w:rsid w:val="008B1F5E"/>
    <w:rsid w:val="008B500A"/>
    <w:rsid w:val="008C1610"/>
    <w:rsid w:val="008C1F92"/>
    <w:rsid w:val="008C2A14"/>
    <w:rsid w:val="008C2F1E"/>
    <w:rsid w:val="008C30E5"/>
    <w:rsid w:val="008C3B5B"/>
    <w:rsid w:val="008C409F"/>
    <w:rsid w:val="008C602D"/>
    <w:rsid w:val="008C6BCC"/>
    <w:rsid w:val="008D098D"/>
    <w:rsid w:val="008D135A"/>
    <w:rsid w:val="008D1FEE"/>
    <w:rsid w:val="008D2205"/>
    <w:rsid w:val="008D2331"/>
    <w:rsid w:val="008D2E9B"/>
    <w:rsid w:val="008D36CD"/>
    <w:rsid w:val="008D4380"/>
    <w:rsid w:val="008D48D1"/>
    <w:rsid w:val="008D5B7E"/>
    <w:rsid w:val="008E45F4"/>
    <w:rsid w:val="008E4F31"/>
    <w:rsid w:val="008E551A"/>
    <w:rsid w:val="008F1335"/>
    <w:rsid w:val="008F20D3"/>
    <w:rsid w:val="008F2C49"/>
    <w:rsid w:val="008F4725"/>
    <w:rsid w:val="008F4B60"/>
    <w:rsid w:val="008F4FB0"/>
    <w:rsid w:val="008F5D98"/>
    <w:rsid w:val="008F5DDC"/>
    <w:rsid w:val="008F5EA1"/>
    <w:rsid w:val="008F6C76"/>
    <w:rsid w:val="008F769E"/>
    <w:rsid w:val="008F7CFF"/>
    <w:rsid w:val="008F7ED1"/>
    <w:rsid w:val="009005AC"/>
    <w:rsid w:val="00900BB2"/>
    <w:rsid w:val="00901C8D"/>
    <w:rsid w:val="009027BC"/>
    <w:rsid w:val="00904A4D"/>
    <w:rsid w:val="00905BFB"/>
    <w:rsid w:val="00905D16"/>
    <w:rsid w:val="00905EE9"/>
    <w:rsid w:val="009060A7"/>
    <w:rsid w:val="009065F4"/>
    <w:rsid w:val="00906E83"/>
    <w:rsid w:val="009075A7"/>
    <w:rsid w:val="009076AF"/>
    <w:rsid w:val="00907C05"/>
    <w:rsid w:val="00910FBA"/>
    <w:rsid w:val="00911D39"/>
    <w:rsid w:val="00912B9F"/>
    <w:rsid w:val="0091342F"/>
    <w:rsid w:val="00916E7E"/>
    <w:rsid w:val="00917C0F"/>
    <w:rsid w:val="0092040E"/>
    <w:rsid w:val="00920C6C"/>
    <w:rsid w:val="00921986"/>
    <w:rsid w:val="009227D9"/>
    <w:rsid w:val="00923DA2"/>
    <w:rsid w:val="009253FC"/>
    <w:rsid w:val="00925D9E"/>
    <w:rsid w:val="00927791"/>
    <w:rsid w:val="00930607"/>
    <w:rsid w:val="009309FF"/>
    <w:rsid w:val="00930D0A"/>
    <w:rsid w:val="009329BA"/>
    <w:rsid w:val="0093304D"/>
    <w:rsid w:val="009340DE"/>
    <w:rsid w:val="009356C6"/>
    <w:rsid w:val="009356D3"/>
    <w:rsid w:val="00936939"/>
    <w:rsid w:val="0094053B"/>
    <w:rsid w:val="00942040"/>
    <w:rsid w:val="00942830"/>
    <w:rsid w:val="00942C9F"/>
    <w:rsid w:val="00945631"/>
    <w:rsid w:val="00947549"/>
    <w:rsid w:val="0095123B"/>
    <w:rsid w:val="00951BDD"/>
    <w:rsid w:val="00951EBF"/>
    <w:rsid w:val="00955B33"/>
    <w:rsid w:val="00955DC8"/>
    <w:rsid w:val="0095793C"/>
    <w:rsid w:val="00960C97"/>
    <w:rsid w:val="0096111E"/>
    <w:rsid w:val="00961125"/>
    <w:rsid w:val="00961951"/>
    <w:rsid w:val="00963BD1"/>
    <w:rsid w:val="00966A5D"/>
    <w:rsid w:val="00966B1F"/>
    <w:rsid w:val="00970C06"/>
    <w:rsid w:val="00974518"/>
    <w:rsid w:val="00975B88"/>
    <w:rsid w:val="00977527"/>
    <w:rsid w:val="00980FE0"/>
    <w:rsid w:val="00983A15"/>
    <w:rsid w:val="00983D7E"/>
    <w:rsid w:val="00987C52"/>
    <w:rsid w:val="009927BB"/>
    <w:rsid w:val="009928B7"/>
    <w:rsid w:val="0099321A"/>
    <w:rsid w:val="0099593D"/>
    <w:rsid w:val="009960B7"/>
    <w:rsid w:val="00996B53"/>
    <w:rsid w:val="00997986"/>
    <w:rsid w:val="009A09F6"/>
    <w:rsid w:val="009A1B3A"/>
    <w:rsid w:val="009A28D2"/>
    <w:rsid w:val="009A324E"/>
    <w:rsid w:val="009A3D53"/>
    <w:rsid w:val="009B39D3"/>
    <w:rsid w:val="009B536C"/>
    <w:rsid w:val="009B6496"/>
    <w:rsid w:val="009B69D5"/>
    <w:rsid w:val="009C01DA"/>
    <w:rsid w:val="009C070E"/>
    <w:rsid w:val="009C13D0"/>
    <w:rsid w:val="009C20CC"/>
    <w:rsid w:val="009C3558"/>
    <w:rsid w:val="009C4A82"/>
    <w:rsid w:val="009C562E"/>
    <w:rsid w:val="009C7531"/>
    <w:rsid w:val="009D220C"/>
    <w:rsid w:val="009D221F"/>
    <w:rsid w:val="009D53E0"/>
    <w:rsid w:val="009D5FB5"/>
    <w:rsid w:val="009E09F0"/>
    <w:rsid w:val="009E19E8"/>
    <w:rsid w:val="009E377C"/>
    <w:rsid w:val="009E458A"/>
    <w:rsid w:val="009E5DFC"/>
    <w:rsid w:val="009E66E1"/>
    <w:rsid w:val="009E7242"/>
    <w:rsid w:val="009F1789"/>
    <w:rsid w:val="009F2913"/>
    <w:rsid w:val="009F36D2"/>
    <w:rsid w:val="009F4504"/>
    <w:rsid w:val="009F502C"/>
    <w:rsid w:val="009F603B"/>
    <w:rsid w:val="009F6987"/>
    <w:rsid w:val="009F720F"/>
    <w:rsid w:val="00A00A91"/>
    <w:rsid w:val="00A00CFB"/>
    <w:rsid w:val="00A010E7"/>
    <w:rsid w:val="00A01A17"/>
    <w:rsid w:val="00A01A60"/>
    <w:rsid w:val="00A02C07"/>
    <w:rsid w:val="00A0391D"/>
    <w:rsid w:val="00A04F67"/>
    <w:rsid w:val="00A064B8"/>
    <w:rsid w:val="00A076F9"/>
    <w:rsid w:val="00A07997"/>
    <w:rsid w:val="00A07F87"/>
    <w:rsid w:val="00A10577"/>
    <w:rsid w:val="00A11B05"/>
    <w:rsid w:val="00A12B81"/>
    <w:rsid w:val="00A13734"/>
    <w:rsid w:val="00A15F86"/>
    <w:rsid w:val="00A206ED"/>
    <w:rsid w:val="00A20806"/>
    <w:rsid w:val="00A20C7F"/>
    <w:rsid w:val="00A212DF"/>
    <w:rsid w:val="00A21BD8"/>
    <w:rsid w:val="00A22DBA"/>
    <w:rsid w:val="00A25992"/>
    <w:rsid w:val="00A25BFF"/>
    <w:rsid w:val="00A27522"/>
    <w:rsid w:val="00A2796E"/>
    <w:rsid w:val="00A3225B"/>
    <w:rsid w:val="00A330C5"/>
    <w:rsid w:val="00A34D76"/>
    <w:rsid w:val="00A365D0"/>
    <w:rsid w:val="00A370EA"/>
    <w:rsid w:val="00A37428"/>
    <w:rsid w:val="00A37BB4"/>
    <w:rsid w:val="00A402B8"/>
    <w:rsid w:val="00A4360E"/>
    <w:rsid w:val="00A443A6"/>
    <w:rsid w:val="00A45A1A"/>
    <w:rsid w:val="00A47F32"/>
    <w:rsid w:val="00A51337"/>
    <w:rsid w:val="00A53220"/>
    <w:rsid w:val="00A538E6"/>
    <w:rsid w:val="00A540C1"/>
    <w:rsid w:val="00A55E26"/>
    <w:rsid w:val="00A56800"/>
    <w:rsid w:val="00A56D7E"/>
    <w:rsid w:val="00A5729F"/>
    <w:rsid w:val="00A57404"/>
    <w:rsid w:val="00A575BD"/>
    <w:rsid w:val="00A57AB2"/>
    <w:rsid w:val="00A60EEC"/>
    <w:rsid w:val="00A65BD9"/>
    <w:rsid w:val="00A65C1E"/>
    <w:rsid w:val="00A66718"/>
    <w:rsid w:val="00A70750"/>
    <w:rsid w:val="00A7092A"/>
    <w:rsid w:val="00A70B31"/>
    <w:rsid w:val="00A71382"/>
    <w:rsid w:val="00A718B3"/>
    <w:rsid w:val="00A72A72"/>
    <w:rsid w:val="00A759FE"/>
    <w:rsid w:val="00A75B67"/>
    <w:rsid w:val="00A76D67"/>
    <w:rsid w:val="00A776B8"/>
    <w:rsid w:val="00A80DD3"/>
    <w:rsid w:val="00A827A3"/>
    <w:rsid w:val="00A831A9"/>
    <w:rsid w:val="00A85357"/>
    <w:rsid w:val="00A902DD"/>
    <w:rsid w:val="00A91617"/>
    <w:rsid w:val="00A91CB5"/>
    <w:rsid w:val="00A920F9"/>
    <w:rsid w:val="00A93207"/>
    <w:rsid w:val="00A9482B"/>
    <w:rsid w:val="00A95194"/>
    <w:rsid w:val="00A95230"/>
    <w:rsid w:val="00A96FA8"/>
    <w:rsid w:val="00A9770A"/>
    <w:rsid w:val="00A97A01"/>
    <w:rsid w:val="00A97A85"/>
    <w:rsid w:val="00AA0DD3"/>
    <w:rsid w:val="00AA158E"/>
    <w:rsid w:val="00AA1C07"/>
    <w:rsid w:val="00AA3688"/>
    <w:rsid w:val="00AA5887"/>
    <w:rsid w:val="00AA5A53"/>
    <w:rsid w:val="00AA699B"/>
    <w:rsid w:val="00AA7213"/>
    <w:rsid w:val="00AB19F8"/>
    <w:rsid w:val="00AB2A61"/>
    <w:rsid w:val="00AB3A12"/>
    <w:rsid w:val="00AB5A8D"/>
    <w:rsid w:val="00AB5C95"/>
    <w:rsid w:val="00AB5FA4"/>
    <w:rsid w:val="00AB607D"/>
    <w:rsid w:val="00AB6642"/>
    <w:rsid w:val="00AC2E93"/>
    <w:rsid w:val="00AC2EFE"/>
    <w:rsid w:val="00AC3930"/>
    <w:rsid w:val="00AC3AB1"/>
    <w:rsid w:val="00AC5B53"/>
    <w:rsid w:val="00AC5EC3"/>
    <w:rsid w:val="00AC68C6"/>
    <w:rsid w:val="00AC75AA"/>
    <w:rsid w:val="00AC79C1"/>
    <w:rsid w:val="00AC7CA4"/>
    <w:rsid w:val="00AD4A64"/>
    <w:rsid w:val="00AD598F"/>
    <w:rsid w:val="00AD62D6"/>
    <w:rsid w:val="00AD6D09"/>
    <w:rsid w:val="00AD72A5"/>
    <w:rsid w:val="00AD7B84"/>
    <w:rsid w:val="00AE098E"/>
    <w:rsid w:val="00AE0BBA"/>
    <w:rsid w:val="00AE2077"/>
    <w:rsid w:val="00AE2291"/>
    <w:rsid w:val="00AE25C8"/>
    <w:rsid w:val="00AE4113"/>
    <w:rsid w:val="00AE42BE"/>
    <w:rsid w:val="00AE4380"/>
    <w:rsid w:val="00AE52C0"/>
    <w:rsid w:val="00AE5525"/>
    <w:rsid w:val="00AE6381"/>
    <w:rsid w:val="00AE656F"/>
    <w:rsid w:val="00AE67D6"/>
    <w:rsid w:val="00AE743A"/>
    <w:rsid w:val="00AE7D78"/>
    <w:rsid w:val="00AF0902"/>
    <w:rsid w:val="00AF438E"/>
    <w:rsid w:val="00AF45CA"/>
    <w:rsid w:val="00AF4F08"/>
    <w:rsid w:val="00AF5CEE"/>
    <w:rsid w:val="00AF719C"/>
    <w:rsid w:val="00AF7506"/>
    <w:rsid w:val="00B007DD"/>
    <w:rsid w:val="00B0098A"/>
    <w:rsid w:val="00B01016"/>
    <w:rsid w:val="00B0146E"/>
    <w:rsid w:val="00B027CB"/>
    <w:rsid w:val="00B0298B"/>
    <w:rsid w:val="00B0352B"/>
    <w:rsid w:val="00B03A73"/>
    <w:rsid w:val="00B06321"/>
    <w:rsid w:val="00B06DD1"/>
    <w:rsid w:val="00B074F8"/>
    <w:rsid w:val="00B145CD"/>
    <w:rsid w:val="00B15FDF"/>
    <w:rsid w:val="00B17FAB"/>
    <w:rsid w:val="00B2099F"/>
    <w:rsid w:val="00B22C5F"/>
    <w:rsid w:val="00B23687"/>
    <w:rsid w:val="00B240E1"/>
    <w:rsid w:val="00B24420"/>
    <w:rsid w:val="00B25710"/>
    <w:rsid w:val="00B25B8C"/>
    <w:rsid w:val="00B2724E"/>
    <w:rsid w:val="00B27B03"/>
    <w:rsid w:val="00B301B0"/>
    <w:rsid w:val="00B30D53"/>
    <w:rsid w:val="00B30DCD"/>
    <w:rsid w:val="00B311B8"/>
    <w:rsid w:val="00B3147F"/>
    <w:rsid w:val="00B31B62"/>
    <w:rsid w:val="00B33711"/>
    <w:rsid w:val="00B3482A"/>
    <w:rsid w:val="00B34889"/>
    <w:rsid w:val="00B3523A"/>
    <w:rsid w:val="00B353AC"/>
    <w:rsid w:val="00B37550"/>
    <w:rsid w:val="00B402C6"/>
    <w:rsid w:val="00B41DC1"/>
    <w:rsid w:val="00B43058"/>
    <w:rsid w:val="00B46EC7"/>
    <w:rsid w:val="00B50A91"/>
    <w:rsid w:val="00B52022"/>
    <w:rsid w:val="00B52187"/>
    <w:rsid w:val="00B54691"/>
    <w:rsid w:val="00B5744E"/>
    <w:rsid w:val="00B60CCD"/>
    <w:rsid w:val="00B61614"/>
    <w:rsid w:val="00B62854"/>
    <w:rsid w:val="00B62EF1"/>
    <w:rsid w:val="00B640CC"/>
    <w:rsid w:val="00B645B6"/>
    <w:rsid w:val="00B64DAE"/>
    <w:rsid w:val="00B667BF"/>
    <w:rsid w:val="00B6797D"/>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2E16"/>
    <w:rsid w:val="00B96744"/>
    <w:rsid w:val="00B973D5"/>
    <w:rsid w:val="00BA1AC3"/>
    <w:rsid w:val="00BA20D5"/>
    <w:rsid w:val="00BA4877"/>
    <w:rsid w:val="00BA5927"/>
    <w:rsid w:val="00BA6419"/>
    <w:rsid w:val="00BA6550"/>
    <w:rsid w:val="00BB0EDC"/>
    <w:rsid w:val="00BB23A0"/>
    <w:rsid w:val="00BB2437"/>
    <w:rsid w:val="00BB2AEB"/>
    <w:rsid w:val="00BB2F21"/>
    <w:rsid w:val="00BB32A1"/>
    <w:rsid w:val="00BB3642"/>
    <w:rsid w:val="00BB66AB"/>
    <w:rsid w:val="00BC0AD6"/>
    <w:rsid w:val="00BC2BB8"/>
    <w:rsid w:val="00BC3584"/>
    <w:rsid w:val="00BC4673"/>
    <w:rsid w:val="00BC50E5"/>
    <w:rsid w:val="00BD5B0B"/>
    <w:rsid w:val="00BE0AA9"/>
    <w:rsid w:val="00BE1905"/>
    <w:rsid w:val="00BE1CB6"/>
    <w:rsid w:val="00BE2A1F"/>
    <w:rsid w:val="00BE329D"/>
    <w:rsid w:val="00BE4479"/>
    <w:rsid w:val="00BE4ED6"/>
    <w:rsid w:val="00BE54F3"/>
    <w:rsid w:val="00BE5F67"/>
    <w:rsid w:val="00BE633D"/>
    <w:rsid w:val="00BE6681"/>
    <w:rsid w:val="00BE6836"/>
    <w:rsid w:val="00BE7920"/>
    <w:rsid w:val="00BE793B"/>
    <w:rsid w:val="00BF2BA0"/>
    <w:rsid w:val="00BF2CD1"/>
    <w:rsid w:val="00BF4B6A"/>
    <w:rsid w:val="00BF5135"/>
    <w:rsid w:val="00BF792B"/>
    <w:rsid w:val="00BF7A3E"/>
    <w:rsid w:val="00C009F5"/>
    <w:rsid w:val="00C01129"/>
    <w:rsid w:val="00C01BB7"/>
    <w:rsid w:val="00C02239"/>
    <w:rsid w:val="00C022E1"/>
    <w:rsid w:val="00C0398D"/>
    <w:rsid w:val="00C0539F"/>
    <w:rsid w:val="00C10B94"/>
    <w:rsid w:val="00C10C5C"/>
    <w:rsid w:val="00C11D81"/>
    <w:rsid w:val="00C11E4C"/>
    <w:rsid w:val="00C14792"/>
    <w:rsid w:val="00C14954"/>
    <w:rsid w:val="00C16BEB"/>
    <w:rsid w:val="00C170A6"/>
    <w:rsid w:val="00C1743B"/>
    <w:rsid w:val="00C17D23"/>
    <w:rsid w:val="00C20CA6"/>
    <w:rsid w:val="00C2207E"/>
    <w:rsid w:val="00C23398"/>
    <w:rsid w:val="00C23B23"/>
    <w:rsid w:val="00C25A16"/>
    <w:rsid w:val="00C25D9E"/>
    <w:rsid w:val="00C26C22"/>
    <w:rsid w:val="00C27B03"/>
    <w:rsid w:val="00C3089B"/>
    <w:rsid w:val="00C3159C"/>
    <w:rsid w:val="00C31AE3"/>
    <w:rsid w:val="00C32116"/>
    <w:rsid w:val="00C34B40"/>
    <w:rsid w:val="00C35836"/>
    <w:rsid w:val="00C41CD3"/>
    <w:rsid w:val="00C43438"/>
    <w:rsid w:val="00C43DF2"/>
    <w:rsid w:val="00C44264"/>
    <w:rsid w:val="00C44A01"/>
    <w:rsid w:val="00C46251"/>
    <w:rsid w:val="00C4790F"/>
    <w:rsid w:val="00C47FC0"/>
    <w:rsid w:val="00C5072A"/>
    <w:rsid w:val="00C528CC"/>
    <w:rsid w:val="00C53ABD"/>
    <w:rsid w:val="00C53AD3"/>
    <w:rsid w:val="00C53C94"/>
    <w:rsid w:val="00C54012"/>
    <w:rsid w:val="00C56E1B"/>
    <w:rsid w:val="00C57741"/>
    <w:rsid w:val="00C57E1A"/>
    <w:rsid w:val="00C60B41"/>
    <w:rsid w:val="00C6210E"/>
    <w:rsid w:val="00C62121"/>
    <w:rsid w:val="00C62568"/>
    <w:rsid w:val="00C64143"/>
    <w:rsid w:val="00C6434D"/>
    <w:rsid w:val="00C652E5"/>
    <w:rsid w:val="00C659F1"/>
    <w:rsid w:val="00C66261"/>
    <w:rsid w:val="00C67446"/>
    <w:rsid w:val="00C7356B"/>
    <w:rsid w:val="00C73800"/>
    <w:rsid w:val="00C75574"/>
    <w:rsid w:val="00C7697F"/>
    <w:rsid w:val="00C80F6D"/>
    <w:rsid w:val="00C8136C"/>
    <w:rsid w:val="00C82FFA"/>
    <w:rsid w:val="00C8535A"/>
    <w:rsid w:val="00C85521"/>
    <w:rsid w:val="00C859DD"/>
    <w:rsid w:val="00C863EE"/>
    <w:rsid w:val="00C879CA"/>
    <w:rsid w:val="00C87CA0"/>
    <w:rsid w:val="00C90EA0"/>
    <w:rsid w:val="00C925C9"/>
    <w:rsid w:val="00C92646"/>
    <w:rsid w:val="00C9316A"/>
    <w:rsid w:val="00C93B5E"/>
    <w:rsid w:val="00C93FF3"/>
    <w:rsid w:val="00C94F99"/>
    <w:rsid w:val="00C9524B"/>
    <w:rsid w:val="00C95988"/>
    <w:rsid w:val="00C95D8D"/>
    <w:rsid w:val="00C96D90"/>
    <w:rsid w:val="00CA24F2"/>
    <w:rsid w:val="00CA2883"/>
    <w:rsid w:val="00CA2AEF"/>
    <w:rsid w:val="00CA2F20"/>
    <w:rsid w:val="00CA32F3"/>
    <w:rsid w:val="00CA3713"/>
    <w:rsid w:val="00CA6136"/>
    <w:rsid w:val="00CA6BCC"/>
    <w:rsid w:val="00CA71DA"/>
    <w:rsid w:val="00CB0B0F"/>
    <w:rsid w:val="00CB5032"/>
    <w:rsid w:val="00CB5C65"/>
    <w:rsid w:val="00CB62AC"/>
    <w:rsid w:val="00CB77EA"/>
    <w:rsid w:val="00CB7DF6"/>
    <w:rsid w:val="00CC303F"/>
    <w:rsid w:val="00CC3C96"/>
    <w:rsid w:val="00CD077C"/>
    <w:rsid w:val="00CD1ACE"/>
    <w:rsid w:val="00CD2C02"/>
    <w:rsid w:val="00CD342A"/>
    <w:rsid w:val="00CD3940"/>
    <w:rsid w:val="00CD4E32"/>
    <w:rsid w:val="00CD4FB3"/>
    <w:rsid w:val="00CD6CA5"/>
    <w:rsid w:val="00CD789E"/>
    <w:rsid w:val="00CD7E60"/>
    <w:rsid w:val="00CE0CCB"/>
    <w:rsid w:val="00CE3AE5"/>
    <w:rsid w:val="00CE5429"/>
    <w:rsid w:val="00CE6A0B"/>
    <w:rsid w:val="00CE6C15"/>
    <w:rsid w:val="00CF0950"/>
    <w:rsid w:val="00CF3B07"/>
    <w:rsid w:val="00CF4C13"/>
    <w:rsid w:val="00CF625A"/>
    <w:rsid w:val="00CF6384"/>
    <w:rsid w:val="00CF6902"/>
    <w:rsid w:val="00CF7924"/>
    <w:rsid w:val="00D02852"/>
    <w:rsid w:val="00D04855"/>
    <w:rsid w:val="00D048D0"/>
    <w:rsid w:val="00D06E88"/>
    <w:rsid w:val="00D11F90"/>
    <w:rsid w:val="00D13527"/>
    <w:rsid w:val="00D15E4E"/>
    <w:rsid w:val="00D161AC"/>
    <w:rsid w:val="00D174E6"/>
    <w:rsid w:val="00D17601"/>
    <w:rsid w:val="00D20D6E"/>
    <w:rsid w:val="00D21300"/>
    <w:rsid w:val="00D230DC"/>
    <w:rsid w:val="00D303E8"/>
    <w:rsid w:val="00D303E9"/>
    <w:rsid w:val="00D31BA6"/>
    <w:rsid w:val="00D31EB9"/>
    <w:rsid w:val="00D335E1"/>
    <w:rsid w:val="00D35FEA"/>
    <w:rsid w:val="00D366E4"/>
    <w:rsid w:val="00D423AC"/>
    <w:rsid w:val="00D43777"/>
    <w:rsid w:val="00D44DC6"/>
    <w:rsid w:val="00D501F4"/>
    <w:rsid w:val="00D50526"/>
    <w:rsid w:val="00D514E5"/>
    <w:rsid w:val="00D537B3"/>
    <w:rsid w:val="00D539D5"/>
    <w:rsid w:val="00D53F30"/>
    <w:rsid w:val="00D544D5"/>
    <w:rsid w:val="00D5508E"/>
    <w:rsid w:val="00D55F50"/>
    <w:rsid w:val="00D602DE"/>
    <w:rsid w:val="00D60892"/>
    <w:rsid w:val="00D6096A"/>
    <w:rsid w:val="00D60ABE"/>
    <w:rsid w:val="00D60CE5"/>
    <w:rsid w:val="00D61811"/>
    <w:rsid w:val="00D61BEE"/>
    <w:rsid w:val="00D62055"/>
    <w:rsid w:val="00D63F9F"/>
    <w:rsid w:val="00D646D3"/>
    <w:rsid w:val="00D64CD5"/>
    <w:rsid w:val="00D66264"/>
    <w:rsid w:val="00D662F2"/>
    <w:rsid w:val="00D665F1"/>
    <w:rsid w:val="00D6711E"/>
    <w:rsid w:val="00D67EF6"/>
    <w:rsid w:val="00D70F58"/>
    <w:rsid w:val="00D71EDD"/>
    <w:rsid w:val="00D73B08"/>
    <w:rsid w:val="00D74BE7"/>
    <w:rsid w:val="00D76ADD"/>
    <w:rsid w:val="00D774F5"/>
    <w:rsid w:val="00D80127"/>
    <w:rsid w:val="00D805D1"/>
    <w:rsid w:val="00D812FB"/>
    <w:rsid w:val="00D82FD7"/>
    <w:rsid w:val="00D84FA6"/>
    <w:rsid w:val="00D85ECC"/>
    <w:rsid w:val="00D864C7"/>
    <w:rsid w:val="00D86552"/>
    <w:rsid w:val="00D86EB7"/>
    <w:rsid w:val="00D92B5E"/>
    <w:rsid w:val="00D93388"/>
    <w:rsid w:val="00D95457"/>
    <w:rsid w:val="00D96C84"/>
    <w:rsid w:val="00D97A7B"/>
    <w:rsid w:val="00DA0D4C"/>
    <w:rsid w:val="00DA1259"/>
    <w:rsid w:val="00DA1AAD"/>
    <w:rsid w:val="00DA1BE8"/>
    <w:rsid w:val="00DA1E08"/>
    <w:rsid w:val="00DA3A1D"/>
    <w:rsid w:val="00DA4A52"/>
    <w:rsid w:val="00DA4FBC"/>
    <w:rsid w:val="00DA5393"/>
    <w:rsid w:val="00DA645B"/>
    <w:rsid w:val="00DA7457"/>
    <w:rsid w:val="00DB055B"/>
    <w:rsid w:val="00DB2237"/>
    <w:rsid w:val="00DB2995"/>
    <w:rsid w:val="00DB2ED0"/>
    <w:rsid w:val="00DB38F0"/>
    <w:rsid w:val="00DB3EE8"/>
    <w:rsid w:val="00DB4701"/>
    <w:rsid w:val="00DB4BAA"/>
    <w:rsid w:val="00DB59C0"/>
    <w:rsid w:val="00DB6369"/>
    <w:rsid w:val="00DB6DAE"/>
    <w:rsid w:val="00DB7F22"/>
    <w:rsid w:val="00DC0146"/>
    <w:rsid w:val="00DC03EE"/>
    <w:rsid w:val="00DC1BA1"/>
    <w:rsid w:val="00DC36B8"/>
    <w:rsid w:val="00DC417C"/>
    <w:rsid w:val="00DC4CAB"/>
    <w:rsid w:val="00DC53F2"/>
    <w:rsid w:val="00DC6B01"/>
    <w:rsid w:val="00DC7797"/>
    <w:rsid w:val="00DC77F4"/>
    <w:rsid w:val="00DD078A"/>
    <w:rsid w:val="00DD0D3B"/>
    <w:rsid w:val="00DD1737"/>
    <w:rsid w:val="00DD2EAE"/>
    <w:rsid w:val="00DD34E1"/>
    <w:rsid w:val="00DD4065"/>
    <w:rsid w:val="00DD70A2"/>
    <w:rsid w:val="00DD7667"/>
    <w:rsid w:val="00DD777C"/>
    <w:rsid w:val="00DE0299"/>
    <w:rsid w:val="00DE0D75"/>
    <w:rsid w:val="00DE19EB"/>
    <w:rsid w:val="00DE2F42"/>
    <w:rsid w:val="00DE5B0F"/>
    <w:rsid w:val="00DF07D1"/>
    <w:rsid w:val="00DF2CB1"/>
    <w:rsid w:val="00DF33CF"/>
    <w:rsid w:val="00DF61AD"/>
    <w:rsid w:val="00DF69F9"/>
    <w:rsid w:val="00E00330"/>
    <w:rsid w:val="00E028E5"/>
    <w:rsid w:val="00E02B50"/>
    <w:rsid w:val="00E03CC9"/>
    <w:rsid w:val="00E03D9F"/>
    <w:rsid w:val="00E04B08"/>
    <w:rsid w:val="00E04B3F"/>
    <w:rsid w:val="00E060C1"/>
    <w:rsid w:val="00E06B1E"/>
    <w:rsid w:val="00E07787"/>
    <w:rsid w:val="00E07FBC"/>
    <w:rsid w:val="00E10AAF"/>
    <w:rsid w:val="00E10CD0"/>
    <w:rsid w:val="00E115D0"/>
    <w:rsid w:val="00E1258C"/>
    <w:rsid w:val="00E147D5"/>
    <w:rsid w:val="00E14C0E"/>
    <w:rsid w:val="00E15C8F"/>
    <w:rsid w:val="00E16642"/>
    <w:rsid w:val="00E17389"/>
    <w:rsid w:val="00E1787C"/>
    <w:rsid w:val="00E2249E"/>
    <w:rsid w:val="00E22B76"/>
    <w:rsid w:val="00E234F1"/>
    <w:rsid w:val="00E239FB"/>
    <w:rsid w:val="00E24762"/>
    <w:rsid w:val="00E25AF8"/>
    <w:rsid w:val="00E25F49"/>
    <w:rsid w:val="00E26247"/>
    <w:rsid w:val="00E26C55"/>
    <w:rsid w:val="00E26F6C"/>
    <w:rsid w:val="00E27EC3"/>
    <w:rsid w:val="00E320A0"/>
    <w:rsid w:val="00E326EA"/>
    <w:rsid w:val="00E33605"/>
    <w:rsid w:val="00E34CA3"/>
    <w:rsid w:val="00E37DA6"/>
    <w:rsid w:val="00E37FE3"/>
    <w:rsid w:val="00E43AAA"/>
    <w:rsid w:val="00E44C62"/>
    <w:rsid w:val="00E54EF2"/>
    <w:rsid w:val="00E55FD9"/>
    <w:rsid w:val="00E60DC5"/>
    <w:rsid w:val="00E6123A"/>
    <w:rsid w:val="00E61A93"/>
    <w:rsid w:val="00E6231F"/>
    <w:rsid w:val="00E63559"/>
    <w:rsid w:val="00E67180"/>
    <w:rsid w:val="00E676E2"/>
    <w:rsid w:val="00E709E5"/>
    <w:rsid w:val="00E74F48"/>
    <w:rsid w:val="00E74FA5"/>
    <w:rsid w:val="00E756A8"/>
    <w:rsid w:val="00E76032"/>
    <w:rsid w:val="00E768F2"/>
    <w:rsid w:val="00E77744"/>
    <w:rsid w:val="00E77E9E"/>
    <w:rsid w:val="00E81DED"/>
    <w:rsid w:val="00E82316"/>
    <w:rsid w:val="00E825B3"/>
    <w:rsid w:val="00E849DE"/>
    <w:rsid w:val="00E84DEC"/>
    <w:rsid w:val="00E85948"/>
    <w:rsid w:val="00E86536"/>
    <w:rsid w:val="00E86CB8"/>
    <w:rsid w:val="00E87EE7"/>
    <w:rsid w:val="00E9167E"/>
    <w:rsid w:val="00E91AA0"/>
    <w:rsid w:val="00E922A4"/>
    <w:rsid w:val="00E936B7"/>
    <w:rsid w:val="00E93F3F"/>
    <w:rsid w:val="00E97944"/>
    <w:rsid w:val="00EA05D9"/>
    <w:rsid w:val="00EA0C7F"/>
    <w:rsid w:val="00EA1104"/>
    <w:rsid w:val="00EA1553"/>
    <w:rsid w:val="00EA18E1"/>
    <w:rsid w:val="00EA3B8C"/>
    <w:rsid w:val="00EA5257"/>
    <w:rsid w:val="00EA59B6"/>
    <w:rsid w:val="00EA6ACC"/>
    <w:rsid w:val="00EB0433"/>
    <w:rsid w:val="00EB1B8B"/>
    <w:rsid w:val="00EB3C54"/>
    <w:rsid w:val="00EB4951"/>
    <w:rsid w:val="00EB4F97"/>
    <w:rsid w:val="00EC055D"/>
    <w:rsid w:val="00EC098E"/>
    <w:rsid w:val="00EC0A93"/>
    <w:rsid w:val="00EC0BCB"/>
    <w:rsid w:val="00EC0E71"/>
    <w:rsid w:val="00EC10FE"/>
    <w:rsid w:val="00EC221F"/>
    <w:rsid w:val="00EC3081"/>
    <w:rsid w:val="00EC6962"/>
    <w:rsid w:val="00EC6B36"/>
    <w:rsid w:val="00ED242F"/>
    <w:rsid w:val="00ED281F"/>
    <w:rsid w:val="00ED50F6"/>
    <w:rsid w:val="00ED58B7"/>
    <w:rsid w:val="00ED613A"/>
    <w:rsid w:val="00ED6CFA"/>
    <w:rsid w:val="00ED6D53"/>
    <w:rsid w:val="00ED7874"/>
    <w:rsid w:val="00EE1855"/>
    <w:rsid w:val="00EE2B68"/>
    <w:rsid w:val="00EE6D70"/>
    <w:rsid w:val="00EF1386"/>
    <w:rsid w:val="00EF2491"/>
    <w:rsid w:val="00EF256B"/>
    <w:rsid w:val="00EF4A1A"/>
    <w:rsid w:val="00EF5277"/>
    <w:rsid w:val="00EF52FB"/>
    <w:rsid w:val="00EF54CA"/>
    <w:rsid w:val="00EF5CAD"/>
    <w:rsid w:val="00EF611F"/>
    <w:rsid w:val="00EF65C6"/>
    <w:rsid w:val="00EF6A7E"/>
    <w:rsid w:val="00EF71DF"/>
    <w:rsid w:val="00EF7E90"/>
    <w:rsid w:val="00F1030E"/>
    <w:rsid w:val="00F10925"/>
    <w:rsid w:val="00F10A81"/>
    <w:rsid w:val="00F12F6C"/>
    <w:rsid w:val="00F12F7D"/>
    <w:rsid w:val="00F13DAE"/>
    <w:rsid w:val="00F155BC"/>
    <w:rsid w:val="00F157D8"/>
    <w:rsid w:val="00F160F6"/>
    <w:rsid w:val="00F172C9"/>
    <w:rsid w:val="00F201AD"/>
    <w:rsid w:val="00F20D59"/>
    <w:rsid w:val="00F21391"/>
    <w:rsid w:val="00F21481"/>
    <w:rsid w:val="00F222BB"/>
    <w:rsid w:val="00F2491A"/>
    <w:rsid w:val="00F24C6C"/>
    <w:rsid w:val="00F24EF6"/>
    <w:rsid w:val="00F254E4"/>
    <w:rsid w:val="00F2778D"/>
    <w:rsid w:val="00F27AE8"/>
    <w:rsid w:val="00F34547"/>
    <w:rsid w:val="00F35D19"/>
    <w:rsid w:val="00F37007"/>
    <w:rsid w:val="00F3760A"/>
    <w:rsid w:val="00F41269"/>
    <w:rsid w:val="00F41319"/>
    <w:rsid w:val="00F44B13"/>
    <w:rsid w:val="00F44FAB"/>
    <w:rsid w:val="00F45429"/>
    <w:rsid w:val="00F45BE7"/>
    <w:rsid w:val="00F45C51"/>
    <w:rsid w:val="00F463D7"/>
    <w:rsid w:val="00F50163"/>
    <w:rsid w:val="00F508B4"/>
    <w:rsid w:val="00F510E2"/>
    <w:rsid w:val="00F515F1"/>
    <w:rsid w:val="00F5194B"/>
    <w:rsid w:val="00F52269"/>
    <w:rsid w:val="00F5273A"/>
    <w:rsid w:val="00F52A7E"/>
    <w:rsid w:val="00F52D6B"/>
    <w:rsid w:val="00F52F7A"/>
    <w:rsid w:val="00F546FB"/>
    <w:rsid w:val="00F55335"/>
    <w:rsid w:val="00F57D1C"/>
    <w:rsid w:val="00F6086A"/>
    <w:rsid w:val="00F62824"/>
    <w:rsid w:val="00F62D7C"/>
    <w:rsid w:val="00F634C8"/>
    <w:rsid w:val="00F66482"/>
    <w:rsid w:val="00F67155"/>
    <w:rsid w:val="00F7058F"/>
    <w:rsid w:val="00F70D21"/>
    <w:rsid w:val="00F70FEF"/>
    <w:rsid w:val="00F73275"/>
    <w:rsid w:val="00F7365E"/>
    <w:rsid w:val="00F74F3A"/>
    <w:rsid w:val="00F75C02"/>
    <w:rsid w:val="00F76504"/>
    <w:rsid w:val="00F77ECB"/>
    <w:rsid w:val="00F817F1"/>
    <w:rsid w:val="00F81E47"/>
    <w:rsid w:val="00F824EF"/>
    <w:rsid w:val="00F832D2"/>
    <w:rsid w:val="00F85FED"/>
    <w:rsid w:val="00F86474"/>
    <w:rsid w:val="00F868B4"/>
    <w:rsid w:val="00F8730A"/>
    <w:rsid w:val="00F87CE1"/>
    <w:rsid w:val="00F90601"/>
    <w:rsid w:val="00F92941"/>
    <w:rsid w:val="00F94BDC"/>
    <w:rsid w:val="00F961BB"/>
    <w:rsid w:val="00F96713"/>
    <w:rsid w:val="00F97406"/>
    <w:rsid w:val="00FA072C"/>
    <w:rsid w:val="00FA1B16"/>
    <w:rsid w:val="00FB11BE"/>
    <w:rsid w:val="00FB1357"/>
    <w:rsid w:val="00FB13FA"/>
    <w:rsid w:val="00FB1B56"/>
    <w:rsid w:val="00FB41DE"/>
    <w:rsid w:val="00FB4C6F"/>
    <w:rsid w:val="00FB6181"/>
    <w:rsid w:val="00FB6673"/>
    <w:rsid w:val="00FB66EF"/>
    <w:rsid w:val="00FC04FC"/>
    <w:rsid w:val="00FC0EB1"/>
    <w:rsid w:val="00FC3636"/>
    <w:rsid w:val="00FC5E76"/>
    <w:rsid w:val="00FC69CF"/>
    <w:rsid w:val="00FC7214"/>
    <w:rsid w:val="00FC7473"/>
    <w:rsid w:val="00FD0B70"/>
    <w:rsid w:val="00FD11B8"/>
    <w:rsid w:val="00FD1440"/>
    <w:rsid w:val="00FD1489"/>
    <w:rsid w:val="00FD1B6A"/>
    <w:rsid w:val="00FD234F"/>
    <w:rsid w:val="00FD2DA9"/>
    <w:rsid w:val="00FD3E97"/>
    <w:rsid w:val="00FD48D3"/>
    <w:rsid w:val="00FD59F1"/>
    <w:rsid w:val="00FD6268"/>
    <w:rsid w:val="00FD6FE2"/>
    <w:rsid w:val="00FD7383"/>
    <w:rsid w:val="00FD74CB"/>
    <w:rsid w:val="00FD7543"/>
    <w:rsid w:val="00FD7BF5"/>
    <w:rsid w:val="00FE0DC0"/>
    <w:rsid w:val="00FE185C"/>
    <w:rsid w:val="00FE3C5F"/>
    <w:rsid w:val="00FE4705"/>
    <w:rsid w:val="00FE557C"/>
    <w:rsid w:val="00FE6D45"/>
    <w:rsid w:val="00FF087D"/>
    <w:rsid w:val="00FF0AEC"/>
    <w:rsid w:val="00FF16C0"/>
    <w:rsid w:val="00FF1862"/>
    <w:rsid w:val="00FF3314"/>
    <w:rsid w:val="00FF3E78"/>
    <w:rsid w:val="00FF4199"/>
    <w:rsid w:val="00FF45E9"/>
    <w:rsid w:val="00FF47A7"/>
    <w:rsid w:val="00FF4C3A"/>
    <w:rsid w:val="00FF521E"/>
    <w:rsid w:val="00FF62F4"/>
    <w:rsid w:val="00FF6519"/>
    <w:rsid w:val="00FF7732"/>
    <w:rsid w:val="00FF7FC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E989CE"/>
  <w15:chartTrackingRefBased/>
  <w15:docId w15:val="{C7C4A30F-3E9A-48FC-B9B8-51935369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uiPriority w:val="9"/>
    <w:qFormat/>
    <w:rsid w:val="00A21BD8"/>
    <w:pPr>
      <w:keepNext/>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lang w:val="en-US"/>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lang w:val="en-US"/>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rPr>
  </w:style>
  <w:style w:type="character" w:customStyle="1" w:styleId="Cmsor7Char">
    <w:name w:val="Címsor 7 Char"/>
    <w:link w:val="Cmsor7"/>
    <w:rsid w:val="00A21BD8"/>
    <w:rPr>
      <w:rFonts w:eastAsia="Times New Roman"/>
      <w:i/>
      <w:sz w:val="22"/>
    </w:rPr>
  </w:style>
  <w:style w:type="character" w:customStyle="1" w:styleId="Cmsor8Char">
    <w:name w:val="Címsor 8 Char"/>
    <w:link w:val="Cmsor8"/>
    <w:rsid w:val="00A21BD8"/>
    <w:rPr>
      <w:rFonts w:eastAsia="Times New Roman"/>
      <w:b/>
      <w:i/>
      <w:sz w:val="22"/>
    </w:rPr>
  </w:style>
  <w:style w:type="character" w:customStyle="1" w:styleId="Cmsor9Char">
    <w:name w:val="Címsor 9 Char"/>
    <w:link w:val="Cmsor9"/>
    <w:rsid w:val="00A21BD8"/>
    <w:rPr>
      <w:rFonts w:eastAsia="Times New Roman"/>
      <w:b/>
      <w:i/>
      <w:sz w:val="22"/>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Listaszerbekezds">
    <w:name w:val="List Paragraph"/>
    <w:basedOn w:val="Norml"/>
    <w:uiPriority w:val="34"/>
    <w:qFormat/>
    <w:rsid w:val="004F59B5"/>
    <w:pPr>
      <w:ind w:left="708"/>
    </w:pPr>
  </w:style>
  <w:style w:type="paragraph" w:styleId="Nincstrkz">
    <w:name w:val="No Spacing"/>
    <w:uiPriority w:val="1"/>
    <w:qFormat/>
    <w:rsid w:val="006343B0"/>
    <w:rPr>
      <w:rFonts w:ascii="Calibri" w:eastAsia="Calibri" w:hAnsi="Calibri"/>
      <w:sz w:val="22"/>
      <w:szCs w:val="22"/>
      <w:lang w:eastAsia="en-US"/>
    </w:rPr>
  </w:style>
  <w:style w:type="paragraph" w:styleId="Vltozat">
    <w:name w:val="Revision"/>
    <w:hidden/>
    <w:uiPriority w:val="99"/>
    <w:semiHidden/>
    <w:rsid w:val="00900BB2"/>
    <w:rPr>
      <w:snapToGrid w:val="0"/>
      <w:sz w:val="22"/>
      <w:lang w:val="en-GB" w:eastAsia="zh-CN"/>
    </w:rPr>
  </w:style>
  <w:style w:type="character" w:customStyle="1" w:styleId="lfejChar">
    <w:name w:val="Élőfej Char"/>
    <w:link w:val="lfej"/>
    <w:uiPriority w:val="99"/>
    <w:rsid w:val="00BB2AEB"/>
    <w:rPr>
      <w:snapToGrid w:val="0"/>
      <w:sz w:val="22"/>
      <w:lang w:val="en-GB" w:eastAsia="zh-CN"/>
    </w:rPr>
  </w:style>
  <w:style w:type="table" w:customStyle="1" w:styleId="TableGrid">
    <w:name w:val="TableGrid"/>
    <w:rsid w:val="004E1960"/>
    <w:rPr>
      <w:rFonts w:ascii="Calibri" w:eastAsia="Times New Roman" w:hAnsi="Calibri"/>
      <w:sz w:val="22"/>
      <w:szCs w:val="22"/>
    </w:rPr>
    <w:tblPr>
      <w:tblCellMar>
        <w:top w:w="0" w:type="dxa"/>
        <w:left w:w="0" w:type="dxa"/>
        <w:bottom w:w="0" w:type="dxa"/>
        <w:right w:w="0" w:type="dxa"/>
      </w:tblCellMar>
    </w:tblPr>
  </w:style>
  <w:style w:type="table" w:customStyle="1" w:styleId="TableGrid1">
    <w:name w:val="TableGrid1"/>
    <w:rsid w:val="004E1960"/>
    <w:rPr>
      <w:rFonts w:ascii="Calibri" w:eastAsia="Times New Roman"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767209">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776871172">
      <w:bodyDiv w:val="1"/>
      <w:marLeft w:val="0"/>
      <w:marRight w:val="0"/>
      <w:marTop w:val="0"/>
      <w:marBottom w:val="0"/>
      <w:divBdr>
        <w:top w:val="none" w:sz="0" w:space="0" w:color="auto"/>
        <w:left w:val="none" w:sz="0" w:space="0" w:color="auto"/>
        <w:bottom w:val="none" w:sz="0" w:space="0" w:color="auto"/>
        <w:right w:val="none" w:sz="0" w:space="0" w:color="auto"/>
      </w:divBdr>
      <w:divsChild>
        <w:div w:id="509293633">
          <w:marLeft w:val="0"/>
          <w:marRight w:val="0"/>
          <w:marTop w:val="0"/>
          <w:marBottom w:val="0"/>
          <w:divBdr>
            <w:top w:val="none" w:sz="0" w:space="0" w:color="auto"/>
            <w:left w:val="none" w:sz="0" w:space="0" w:color="auto"/>
            <w:bottom w:val="none" w:sz="0" w:space="0" w:color="auto"/>
            <w:right w:val="none" w:sz="0" w:space="0" w:color="auto"/>
          </w:divBdr>
          <w:divsChild>
            <w:div w:id="1235775073">
              <w:marLeft w:val="0"/>
              <w:marRight w:val="0"/>
              <w:marTop w:val="0"/>
              <w:marBottom w:val="0"/>
              <w:divBdr>
                <w:top w:val="none" w:sz="0" w:space="0" w:color="auto"/>
                <w:left w:val="none" w:sz="0" w:space="0" w:color="auto"/>
                <w:bottom w:val="none" w:sz="0" w:space="0" w:color="auto"/>
                <w:right w:val="none" w:sz="0" w:space="0" w:color="auto"/>
              </w:divBdr>
              <w:divsChild>
                <w:div w:id="1311901605">
                  <w:marLeft w:val="0"/>
                  <w:marRight w:val="0"/>
                  <w:marTop w:val="0"/>
                  <w:marBottom w:val="0"/>
                  <w:divBdr>
                    <w:top w:val="none" w:sz="0" w:space="0" w:color="auto"/>
                    <w:left w:val="none" w:sz="0" w:space="0" w:color="auto"/>
                    <w:bottom w:val="none" w:sz="0" w:space="0" w:color="auto"/>
                    <w:right w:val="none" w:sz="0" w:space="0" w:color="auto"/>
                  </w:divBdr>
                  <w:divsChild>
                    <w:div w:id="2097897677">
                      <w:marLeft w:val="0"/>
                      <w:marRight w:val="0"/>
                      <w:marTop w:val="0"/>
                      <w:marBottom w:val="0"/>
                      <w:divBdr>
                        <w:top w:val="none" w:sz="0" w:space="0" w:color="auto"/>
                        <w:left w:val="none" w:sz="0" w:space="0" w:color="auto"/>
                        <w:bottom w:val="none" w:sz="0" w:space="0" w:color="auto"/>
                        <w:right w:val="none" w:sz="0" w:space="0" w:color="auto"/>
                      </w:divBdr>
                      <w:divsChild>
                        <w:div w:id="888230117">
                          <w:marLeft w:val="0"/>
                          <w:marRight w:val="0"/>
                          <w:marTop w:val="0"/>
                          <w:marBottom w:val="0"/>
                          <w:divBdr>
                            <w:top w:val="none" w:sz="0" w:space="0" w:color="auto"/>
                            <w:left w:val="none" w:sz="0" w:space="0" w:color="auto"/>
                            <w:bottom w:val="none" w:sz="0" w:space="0" w:color="auto"/>
                            <w:right w:val="none" w:sz="0" w:space="0" w:color="auto"/>
                          </w:divBdr>
                          <w:divsChild>
                            <w:div w:id="111674303">
                              <w:marLeft w:val="0"/>
                              <w:marRight w:val="0"/>
                              <w:marTop w:val="0"/>
                              <w:marBottom w:val="0"/>
                              <w:divBdr>
                                <w:top w:val="none" w:sz="0" w:space="0" w:color="auto"/>
                                <w:left w:val="none" w:sz="0" w:space="0" w:color="auto"/>
                                <w:bottom w:val="none" w:sz="0" w:space="0" w:color="auto"/>
                                <w:right w:val="none" w:sz="0" w:space="0" w:color="auto"/>
                              </w:divBdr>
                              <w:divsChild>
                                <w:div w:id="463473772">
                                  <w:marLeft w:val="0"/>
                                  <w:marRight w:val="0"/>
                                  <w:marTop w:val="0"/>
                                  <w:marBottom w:val="0"/>
                                  <w:divBdr>
                                    <w:top w:val="none" w:sz="0" w:space="0" w:color="auto"/>
                                    <w:left w:val="none" w:sz="0" w:space="0" w:color="auto"/>
                                    <w:bottom w:val="none" w:sz="0" w:space="0" w:color="auto"/>
                                    <w:right w:val="none" w:sz="0" w:space="0" w:color="auto"/>
                                  </w:divBdr>
                                  <w:divsChild>
                                    <w:div w:id="799496282">
                                      <w:marLeft w:val="0"/>
                                      <w:marRight w:val="0"/>
                                      <w:marTop w:val="0"/>
                                      <w:marBottom w:val="0"/>
                                      <w:divBdr>
                                        <w:top w:val="none" w:sz="0" w:space="0" w:color="auto"/>
                                        <w:left w:val="none" w:sz="0" w:space="0" w:color="auto"/>
                                        <w:bottom w:val="none" w:sz="0" w:space="0" w:color="auto"/>
                                        <w:right w:val="none" w:sz="0" w:space="0" w:color="auto"/>
                                      </w:divBdr>
                                      <w:divsChild>
                                        <w:div w:id="739324295">
                                          <w:marLeft w:val="0"/>
                                          <w:marRight w:val="0"/>
                                          <w:marTop w:val="0"/>
                                          <w:marBottom w:val="0"/>
                                          <w:divBdr>
                                            <w:top w:val="none" w:sz="0" w:space="0" w:color="auto"/>
                                            <w:left w:val="none" w:sz="0" w:space="0" w:color="auto"/>
                                            <w:bottom w:val="none" w:sz="0" w:space="0" w:color="auto"/>
                                            <w:right w:val="none" w:sz="0" w:space="0" w:color="auto"/>
                                          </w:divBdr>
                                          <w:divsChild>
                                            <w:div w:id="1276449598">
                                              <w:marLeft w:val="0"/>
                                              <w:marRight w:val="0"/>
                                              <w:marTop w:val="0"/>
                                              <w:marBottom w:val="0"/>
                                              <w:divBdr>
                                                <w:top w:val="none" w:sz="0" w:space="0" w:color="auto"/>
                                                <w:left w:val="none" w:sz="0" w:space="0" w:color="auto"/>
                                                <w:bottom w:val="none" w:sz="0" w:space="0" w:color="auto"/>
                                                <w:right w:val="none" w:sz="0" w:space="0" w:color="auto"/>
                                              </w:divBdr>
                                              <w:divsChild>
                                                <w:div w:id="1472819250">
                                                  <w:marLeft w:val="0"/>
                                                  <w:marRight w:val="0"/>
                                                  <w:marTop w:val="0"/>
                                                  <w:marBottom w:val="0"/>
                                                  <w:divBdr>
                                                    <w:top w:val="none" w:sz="0" w:space="0" w:color="auto"/>
                                                    <w:left w:val="none" w:sz="0" w:space="0" w:color="auto"/>
                                                    <w:bottom w:val="none" w:sz="0" w:space="0" w:color="auto"/>
                                                    <w:right w:val="none" w:sz="0" w:space="0" w:color="auto"/>
                                                  </w:divBdr>
                                                  <w:divsChild>
                                                    <w:div w:id="636298738">
                                                      <w:marLeft w:val="0"/>
                                                      <w:marRight w:val="0"/>
                                                      <w:marTop w:val="0"/>
                                                      <w:marBottom w:val="0"/>
                                                      <w:divBdr>
                                                        <w:top w:val="none" w:sz="0" w:space="0" w:color="auto"/>
                                                        <w:left w:val="none" w:sz="0" w:space="0" w:color="auto"/>
                                                        <w:bottom w:val="none" w:sz="0" w:space="0" w:color="auto"/>
                                                        <w:right w:val="none" w:sz="0" w:space="0" w:color="auto"/>
                                                      </w:divBdr>
                                                      <w:divsChild>
                                                        <w:div w:id="1097100733">
                                                          <w:marLeft w:val="0"/>
                                                          <w:marRight w:val="0"/>
                                                          <w:marTop w:val="0"/>
                                                          <w:marBottom w:val="0"/>
                                                          <w:divBdr>
                                                            <w:top w:val="none" w:sz="0" w:space="0" w:color="auto"/>
                                                            <w:left w:val="none" w:sz="0" w:space="0" w:color="auto"/>
                                                            <w:bottom w:val="none" w:sz="0" w:space="0" w:color="auto"/>
                                                            <w:right w:val="none" w:sz="0" w:space="0" w:color="auto"/>
                                                          </w:divBdr>
                                                          <w:divsChild>
                                                            <w:div w:id="20619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1188377">
      <w:bodyDiv w:val="1"/>
      <w:marLeft w:val="0"/>
      <w:marRight w:val="0"/>
      <w:marTop w:val="0"/>
      <w:marBottom w:val="0"/>
      <w:divBdr>
        <w:top w:val="none" w:sz="0" w:space="0" w:color="auto"/>
        <w:left w:val="none" w:sz="0" w:space="0" w:color="auto"/>
        <w:bottom w:val="none" w:sz="0" w:space="0" w:color="auto"/>
        <w:right w:val="none" w:sz="0" w:space="0" w:color="auto"/>
      </w:divBdr>
    </w:div>
    <w:div w:id="1010763222">
      <w:bodyDiv w:val="1"/>
      <w:marLeft w:val="0"/>
      <w:marRight w:val="0"/>
      <w:marTop w:val="0"/>
      <w:marBottom w:val="0"/>
      <w:divBdr>
        <w:top w:val="none" w:sz="0" w:space="0" w:color="auto"/>
        <w:left w:val="none" w:sz="0" w:space="0" w:color="auto"/>
        <w:bottom w:val="none" w:sz="0" w:space="0" w:color="auto"/>
        <w:right w:val="none" w:sz="0" w:space="0" w:color="auto"/>
      </w:divBdr>
    </w:div>
    <w:div w:id="1547521304">
      <w:bodyDiv w:val="1"/>
      <w:marLeft w:val="0"/>
      <w:marRight w:val="0"/>
      <w:marTop w:val="0"/>
      <w:marBottom w:val="0"/>
      <w:divBdr>
        <w:top w:val="none" w:sz="0" w:space="0" w:color="auto"/>
        <w:left w:val="none" w:sz="0" w:space="0" w:color="auto"/>
        <w:bottom w:val="none" w:sz="0" w:space="0" w:color="auto"/>
        <w:right w:val="none" w:sz="0" w:space="0" w:color="auto"/>
      </w:divBdr>
      <w:divsChild>
        <w:div w:id="939798750">
          <w:marLeft w:val="0"/>
          <w:marRight w:val="0"/>
          <w:marTop w:val="0"/>
          <w:marBottom w:val="0"/>
          <w:divBdr>
            <w:top w:val="none" w:sz="0" w:space="0" w:color="auto"/>
            <w:left w:val="none" w:sz="0" w:space="0" w:color="auto"/>
            <w:bottom w:val="none" w:sz="0" w:space="0" w:color="auto"/>
            <w:right w:val="none" w:sz="0" w:space="0" w:color="auto"/>
          </w:divBdr>
          <w:divsChild>
            <w:div w:id="1110974337">
              <w:marLeft w:val="0"/>
              <w:marRight w:val="0"/>
              <w:marTop w:val="0"/>
              <w:marBottom w:val="0"/>
              <w:divBdr>
                <w:top w:val="none" w:sz="0" w:space="0" w:color="auto"/>
                <w:left w:val="none" w:sz="0" w:space="0" w:color="auto"/>
                <w:bottom w:val="none" w:sz="0" w:space="0" w:color="auto"/>
                <w:right w:val="none" w:sz="0" w:space="0" w:color="auto"/>
              </w:divBdr>
              <w:divsChild>
                <w:div w:id="1082676542">
                  <w:marLeft w:val="0"/>
                  <w:marRight w:val="0"/>
                  <w:marTop w:val="0"/>
                  <w:marBottom w:val="0"/>
                  <w:divBdr>
                    <w:top w:val="none" w:sz="0" w:space="0" w:color="auto"/>
                    <w:left w:val="none" w:sz="0" w:space="0" w:color="auto"/>
                    <w:bottom w:val="none" w:sz="0" w:space="0" w:color="auto"/>
                    <w:right w:val="none" w:sz="0" w:space="0" w:color="auto"/>
                  </w:divBdr>
                  <w:divsChild>
                    <w:div w:id="732777155">
                      <w:marLeft w:val="0"/>
                      <w:marRight w:val="0"/>
                      <w:marTop w:val="0"/>
                      <w:marBottom w:val="0"/>
                      <w:divBdr>
                        <w:top w:val="none" w:sz="0" w:space="0" w:color="auto"/>
                        <w:left w:val="none" w:sz="0" w:space="0" w:color="auto"/>
                        <w:bottom w:val="none" w:sz="0" w:space="0" w:color="auto"/>
                        <w:right w:val="none" w:sz="0" w:space="0" w:color="auto"/>
                      </w:divBdr>
                      <w:divsChild>
                        <w:div w:id="362747766">
                          <w:marLeft w:val="0"/>
                          <w:marRight w:val="0"/>
                          <w:marTop w:val="0"/>
                          <w:marBottom w:val="0"/>
                          <w:divBdr>
                            <w:top w:val="none" w:sz="0" w:space="0" w:color="auto"/>
                            <w:left w:val="none" w:sz="0" w:space="0" w:color="auto"/>
                            <w:bottom w:val="none" w:sz="0" w:space="0" w:color="auto"/>
                            <w:right w:val="none" w:sz="0" w:space="0" w:color="auto"/>
                          </w:divBdr>
                          <w:divsChild>
                            <w:div w:id="944968025">
                              <w:marLeft w:val="0"/>
                              <w:marRight w:val="0"/>
                              <w:marTop w:val="0"/>
                              <w:marBottom w:val="0"/>
                              <w:divBdr>
                                <w:top w:val="none" w:sz="0" w:space="0" w:color="auto"/>
                                <w:left w:val="none" w:sz="0" w:space="0" w:color="auto"/>
                                <w:bottom w:val="none" w:sz="0" w:space="0" w:color="auto"/>
                                <w:right w:val="none" w:sz="0" w:space="0" w:color="auto"/>
                              </w:divBdr>
                              <w:divsChild>
                                <w:div w:id="670914714">
                                  <w:marLeft w:val="0"/>
                                  <w:marRight w:val="0"/>
                                  <w:marTop w:val="0"/>
                                  <w:marBottom w:val="0"/>
                                  <w:divBdr>
                                    <w:top w:val="none" w:sz="0" w:space="0" w:color="auto"/>
                                    <w:left w:val="none" w:sz="0" w:space="0" w:color="auto"/>
                                    <w:bottom w:val="none" w:sz="0" w:space="0" w:color="auto"/>
                                    <w:right w:val="none" w:sz="0" w:space="0" w:color="auto"/>
                                  </w:divBdr>
                                  <w:divsChild>
                                    <w:div w:id="1270427272">
                                      <w:marLeft w:val="0"/>
                                      <w:marRight w:val="0"/>
                                      <w:marTop w:val="0"/>
                                      <w:marBottom w:val="0"/>
                                      <w:divBdr>
                                        <w:top w:val="none" w:sz="0" w:space="0" w:color="auto"/>
                                        <w:left w:val="none" w:sz="0" w:space="0" w:color="auto"/>
                                        <w:bottom w:val="none" w:sz="0" w:space="0" w:color="auto"/>
                                        <w:right w:val="none" w:sz="0" w:space="0" w:color="auto"/>
                                      </w:divBdr>
                                      <w:divsChild>
                                        <w:div w:id="1689520014">
                                          <w:marLeft w:val="0"/>
                                          <w:marRight w:val="0"/>
                                          <w:marTop w:val="0"/>
                                          <w:marBottom w:val="0"/>
                                          <w:divBdr>
                                            <w:top w:val="none" w:sz="0" w:space="0" w:color="auto"/>
                                            <w:left w:val="none" w:sz="0" w:space="0" w:color="auto"/>
                                            <w:bottom w:val="none" w:sz="0" w:space="0" w:color="auto"/>
                                            <w:right w:val="none" w:sz="0" w:space="0" w:color="auto"/>
                                          </w:divBdr>
                                          <w:divsChild>
                                            <w:div w:id="2126187887">
                                              <w:marLeft w:val="0"/>
                                              <w:marRight w:val="0"/>
                                              <w:marTop w:val="0"/>
                                              <w:marBottom w:val="0"/>
                                              <w:divBdr>
                                                <w:top w:val="none" w:sz="0" w:space="0" w:color="auto"/>
                                                <w:left w:val="none" w:sz="0" w:space="0" w:color="auto"/>
                                                <w:bottom w:val="none" w:sz="0" w:space="0" w:color="auto"/>
                                                <w:right w:val="none" w:sz="0" w:space="0" w:color="auto"/>
                                              </w:divBdr>
                                              <w:divsChild>
                                                <w:div w:id="1846825886">
                                                  <w:marLeft w:val="0"/>
                                                  <w:marRight w:val="0"/>
                                                  <w:marTop w:val="0"/>
                                                  <w:marBottom w:val="0"/>
                                                  <w:divBdr>
                                                    <w:top w:val="none" w:sz="0" w:space="0" w:color="auto"/>
                                                    <w:left w:val="none" w:sz="0" w:space="0" w:color="auto"/>
                                                    <w:bottom w:val="none" w:sz="0" w:space="0" w:color="auto"/>
                                                    <w:right w:val="none" w:sz="0" w:space="0" w:color="auto"/>
                                                  </w:divBdr>
                                                  <w:divsChild>
                                                    <w:div w:id="1440879113">
                                                      <w:marLeft w:val="0"/>
                                                      <w:marRight w:val="0"/>
                                                      <w:marTop w:val="0"/>
                                                      <w:marBottom w:val="0"/>
                                                      <w:divBdr>
                                                        <w:top w:val="none" w:sz="0" w:space="0" w:color="auto"/>
                                                        <w:left w:val="none" w:sz="0" w:space="0" w:color="auto"/>
                                                        <w:bottom w:val="none" w:sz="0" w:space="0" w:color="auto"/>
                                                        <w:right w:val="none" w:sz="0" w:space="0" w:color="auto"/>
                                                      </w:divBdr>
                                                      <w:divsChild>
                                                        <w:div w:id="1089351545">
                                                          <w:marLeft w:val="0"/>
                                                          <w:marRight w:val="0"/>
                                                          <w:marTop w:val="0"/>
                                                          <w:marBottom w:val="0"/>
                                                          <w:divBdr>
                                                            <w:top w:val="none" w:sz="0" w:space="0" w:color="auto"/>
                                                            <w:left w:val="none" w:sz="0" w:space="0" w:color="auto"/>
                                                            <w:bottom w:val="none" w:sz="0" w:space="0" w:color="auto"/>
                                                            <w:right w:val="none" w:sz="0" w:space="0" w:color="auto"/>
                                                          </w:divBdr>
                                                          <w:divsChild>
                                                            <w:div w:id="142182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02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7cc0c2024e34c55fe916e4ab4a5c3a97">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fceec7e82b8cd4255f6099a40765180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805C4-A7D6-4072-ACAC-F80A79A024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24341F-4292-4646-BBF1-2C3B2FFC06C6}">
  <ds:schemaRefs>
    <ds:schemaRef ds:uri="http://schemas.microsoft.com/sharepoint/v3/contenttype/forms"/>
  </ds:schemaRefs>
</ds:datastoreItem>
</file>

<file path=customXml/itemProps3.xml><?xml version="1.0" encoding="utf-8"?>
<ds:datastoreItem xmlns:ds="http://schemas.openxmlformats.org/officeDocument/2006/customXml" ds:itemID="{93D4DC5E-99D1-41A0-BF9A-1947A3C2F50A}">
  <ds:schemaRefs>
    <ds:schemaRef ds:uri="http://schemas.openxmlformats.org/officeDocument/2006/bibliography"/>
  </ds:schemaRefs>
</ds:datastoreItem>
</file>

<file path=customXml/itemProps4.xml><?xml version="1.0" encoding="utf-8"?>
<ds:datastoreItem xmlns:ds="http://schemas.openxmlformats.org/officeDocument/2006/customXml" ds:itemID="{F76BB053-6433-4748-8EE2-404E350C9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8166</Words>
  <Characters>56349</Characters>
  <Application>Microsoft Office Word</Application>
  <DocSecurity>0</DocSecurity>
  <Lines>469</Lines>
  <Paragraphs>128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64387</CharactersWithSpaces>
  <SharedDoc>false</SharedDoc>
  <HLinks>
    <vt:vector size="12" baseType="variant">
      <vt:variant>
        <vt:i4>2359399</vt:i4>
      </vt:variant>
      <vt:variant>
        <vt:i4>3</vt:i4>
      </vt:variant>
      <vt:variant>
        <vt:i4>0</vt:i4>
      </vt:variant>
      <vt:variant>
        <vt:i4>5</vt:i4>
      </vt:variant>
      <vt:variant>
        <vt:lpwstr>http://www.ema.europa.eu/docs/en_GB/document_library/Template_or_form/2013/03/WC500139752.doc</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European Medicines Agency</dc:creator>
  <cp:keywords/>
  <cp:lastModifiedBy>HU_NNGYK_56.1</cp:lastModifiedBy>
  <cp:revision>7</cp:revision>
  <cp:lastPrinted>2023-02-27T16:30:00Z</cp:lastPrinted>
  <dcterms:created xsi:type="dcterms:W3CDTF">2025-07-18T10:40:00Z</dcterms:created>
  <dcterms:modified xsi:type="dcterms:W3CDTF">2026-02-03T10:40:00Z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General-EMA/423415/2010</vt:lpwstr>
  </property>
  <property fmtid="{D5CDD505-2E9C-101B-9397-08002B2CF9AE}" pid="6" name="DM_Title">
    <vt:lpwstr/>
  </property>
  <property fmtid="{D5CDD505-2E9C-101B-9397-08002B2CF9AE}" pid="7" name="DM_Language">
    <vt:lpwstr/>
  </property>
  <property fmtid="{D5CDD505-2E9C-101B-9397-08002B2CF9AE}" pid="8" name="DM_Owner">
    <vt:lpwstr>Espinasse Claire</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423415</vt:lpwstr>
  </property>
  <property fmtid="{D5CDD505-2E9C-101B-9397-08002B2CF9AE}" pid="12" name="DM_emea_received_date">
    <vt:lpwstr>nulldate</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General</vt:lpwstr>
  </property>
  <property fmtid="{D5CDD505-2E9C-101B-9397-08002B2CF9AE}" pid="18" name="DM_emea_from">
    <vt:lpwstr/>
  </property>
  <property fmtid="{D5CDD505-2E9C-101B-9397-08002B2CF9AE}" pid="19" name="DM_emea_internal_label">
    <vt:lpwstr>EMA</vt:lpwstr>
  </property>
  <property fmtid="{D5CDD505-2E9C-101B-9397-08002B2CF9AE}" pid="20" name="DM_emea_legal_date">
    <vt:lpwstr>nulldate</vt:lpwstr>
  </property>
  <property fmtid="{D5CDD505-2E9C-101B-9397-08002B2CF9AE}" pid="21" name="DM_emea_year">
    <vt:lpwstr>2010</vt:lpwstr>
  </property>
  <property fmtid="{D5CDD505-2E9C-101B-9397-08002B2CF9AE}" pid="22" name="DM_emea_sent_date">
    <vt:lpwstr>nulldate</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CURRENT,3.0</vt:lpwstr>
  </property>
  <property fmtid="{D5CDD505-2E9C-101B-9397-08002B2CF9AE}" pid="31" name="DM_Name">
    <vt:lpwstr>Hreferralspccleanhu</vt:lpwstr>
  </property>
  <property fmtid="{D5CDD505-2E9C-101B-9397-08002B2CF9AE}" pid="32" name="DM_Creation_Date">
    <vt:lpwstr>08/02/2016 10:51:00</vt:lpwstr>
  </property>
  <property fmtid="{D5CDD505-2E9C-101B-9397-08002B2CF9AE}" pid="33" name="DM_Modify_Date">
    <vt:lpwstr>08/02/2016 10:51:21</vt:lpwstr>
  </property>
  <property fmtid="{D5CDD505-2E9C-101B-9397-08002B2CF9AE}" pid="34" name="DM_Creator_Name">
    <vt:lpwstr>Guardado Susana</vt:lpwstr>
  </property>
  <property fmtid="{D5CDD505-2E9C-101B-9397-08002B2CF9AE}" pid="35" name="DM_Modifier_Name">
    <vt:lpwstr>Guardado Susana</vt:lpwstr>
  </property>
  <property fmtid="{D5CDD505-2E9C-101B-9397-08002B2CF9AE}" pid="36" name="DM_Type">
    <vt:lpwstr>emea_document</vt:lpwstr>
  </property>
  <property fmtid="{D5CDD505-2E9C-101B-9397-08002B2CF9AE}" pid="37" name="DM_DocRefId">
    <vt:lpwstr>EMA/88345/2016</vt:lpwstr>
  </property>
  <property fmtid="{D5CDD505-2E9C-101B-9397-08002B2CF9AE}" pid="38" name="DM_Category">
    <vt:lpwstr>Templates and Form</vt:lpwstr>
  </property>
  <property fmtid="{D5CDD505-2E9C-101B-9397-08002B2CF9AE}" pid="39" name="DM_Path">
    <vt:lpwstr>/02b. Administration of Scientific Meeting/WPs SAGs DGs and other WGs/CxMP - QRD/3. Other activities/02. Procedures/01. QRD PI templates/03 QRD H-Referral templates/08 H Referral template v 4.0 February16/Publication Feb 2016/Clean language templates</vt:lpwstr>
  </property>
  <property fmtid="{D5CDD505-2E9C-101B-9397-08002B2CF9AE}" pid="40" name="DM_emea_doc_ref_id">
    <vt:lpwstr>EMA/88345/2016</vt:lpwstr>
  </property>
  <property fmtid="{D5CDD505-2E9C-101B-9397-08002B2CF9AE}" pid="41" name="DM_Modifer_Name">
    <vt:lpwstr>Guardado Susana</vt:lpwstr>
  </property>
  <property fmtid="{D5CDD505-2E9C-101B-9397-08002B2CF9AE}" pid="42" name="DM_Modified_Date">
    <vt:lpwstr>08/02/2016 10:51:21</vt:lpwstr>
  </property>
  <property fmtid="{D5CDD505-2E9C-101B-9397-08002B2CF9AE}" pid="43" name="ContentTypeId">
    <vt:lpwstr>0x0101006E338591365A14478504AD036729F18A</vt:lpwstr>
  </property>
</Properties>
</file>