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69147" w14:textId="77777777" w:rsidR="002C5BBB" w:rsidRPr="002C5BBB" w:rsidRDefault="002C5BBB" w:rsidP="002C5BBB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 w:rsidRPr="002C5BBB">
        <w:rPr>
          <w:rFonts w:ascii="Times New Roman" w:eastAsia="Times New Roman" w:hAnsi="Times New Roman" w:cs="Times New Roman"/>
          <w:b/>
        </w:rPr>
        <w:t>1.</w:t>
      </w:r>
      <w:r w:rsidRPr="002C5BBB">
        <w:rPr>
          <w:rFonts w:ascii="Times New Roman" w:eastAsia="Times New Roman" w:hAnsi="Times New Roman" w:cs="Times New Roman"/>
          <w:b/>
        </w:rPr>
        <w:tab/>
        <w:t>A GYÓGYSZER NEVE</w:t>
      </w:r>
    </w:p>
    <w:p w14:paraId="16104E27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A92DD3A" w14:textId="4E7E6026" w:rsidR="002C5BBB" w:rsidRPr="002C5BBB" w:rsidRDefault="00AD4479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bookmarkStart w:id="1" w:name="OLE_LINK1"/>
      <w:proofErr w:type="spellStart"/>
      <w:r>
        <w:rPr>
          <w:rFonts w:ascii="Times New Roman" w:eastAsia="Times New Roman" w:hAnsi="Times New Roman" w:cs="Times New Roman"/>
          <w:lang w:eastAsia="de-DE"/>
        </w:rPr>
        <w:t>Novapoll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20 mg tabletta</w:t>
      </w:r>
      <w:bookmarkEnd w:id="1"/>
    </w:p>
    <w:p w14:paraId="3F3DB03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C9F20E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FBD0FDC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2.</w:t>
      </w:r>
      <w:r w:rsidRPr="002C5BBB">
        <w:rPr>
          <w:rFonts w:ascii="Times New Roman" w:eastAsia="Times New Roman" w:hAnsi="Times New Roman" w:cs="Times New Roman"/>
          <w:b/>
        </w:rPr>
        <w:tab/>
        <w:t>MINŐSÉGI ÉS MENNYISÉGI ÖSSZETÉTEL</w:t>
      </w:r>
    </w:p>
    <w:p w14:paraId="531646A2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18A09B48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 xml:space="preserve">20 mg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bilasztint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 xml:space="preserve"> tartalmaz tablettánként.</w:t>
      </w:r>
    </w:p>
    <w:p w14:paraId="6471D83E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</w:p>
    <w:p w14:paraId="7E81C079" w14:textId="77777777" w:rsidR="002C5BBB" w:rsidRPr="002C5BBB" w:rsidRDefault="002C5BBB" w:rsidP="002C5BBB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A segédanyagok teljes listáját lásd a 6.1 pontban.</w:t>
      </w:r>
    </w:p>
    <w:p w14:paraId="52C1EF1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4FF5A31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333F327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3.</w:t>
      </w:r>
      <w:r w:rsidRPr="002C5BBB">
        <w:rPr>
          <w:rFonts w:ascii="Times New Roman" w:eastAsia="Times New Roman" w:hAnsi="Times New Roman" w:cs="Times New Roman"/>
          <w:b/>
        </w:rPr>
        <w:tab/>
        <w:t>GYÓGYSZERFORMA</w:t>
      </w:r>
    </w:p>
    <w:p w14:paraId="7B03E1A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EF3BBC0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>Tabletta.</w:t>
      </w:r>
    </w:p>
    <w:p w14:paraId="477692A3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</w:p>
    <w:p w14:paraId="3CA35CBA" w14:textId="4FF2AF68" w:rsidR="00353724" w:rsidRDefault="002C5BBB" w:rsidP="0035372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 xml:space="preserve">Fehér vagy </w:t>
      </w:r>
      <w:r w:rsidR="00D76EA4">
        <w:rPr>
          <w:rFonts w:ascii="Times New Roman" w:eastAsia="Times New Roman" w:hAnsi="Times New Roman" w:cs="Times New Roman"/>
          <w:lang w:eastAsia="de-DE"/>
        </w:rPr>
        <w:t>majdnem</w:t>
      </w:r>
      <w:r w:rsidR="00D76EA4" w:rsidRPr="002C5BBB">
        <w:rPr>
          <w:rFonts w:ascii="Times New Roman" w:eastAsia="Times New Roman" w:hAnsi="Times New Roman" w:cs="Times New Roman"/>
          <w:lang w:eastAsia="de-DE"/>
        </w:rPr>
        <w:t xml:space="preserve"> </w:t>
      </w:r>
      <w:r w:rsidRPr="002C5BBB">
        <w:rPr>
          <w:rFonts w:ascii="Times New Roman" w:eastAsia="Times New Roman" w:hAnsi="Times New Roman" w:cs="Times New Roman"/>
          <w:lang w:eastAsia="de-DE"/>
        </w:rPr>
        <w:t>fehér</w:t>
      </w:r>
      <w:r w:rsidR="00D76EA4" w:rsidRPr="00D76EA4">
        <w:rPr>
          <w:rFonts w:ascii="Times New Roman" w:hAnsi="Times New Roman"/>
          <w:spacing w:val="-3"/>
          <w:szCs w:val="24"/>
        </w:rPr>
        <w:t xml:space="preserve"> </w:t>
      </w:r>
      <w:r w:rsidR="00D76EA4" w:rsidRPr="00101A36">
        <w:rPr>
          <w:rFonts w:ascii="Times New Roman" w:hAnsi="Times New Roman"/>
          <w:spacing w:val="-3"/>
          <w:szCs w:val="24"/>
        </w:rPr>
        <w:t>hosszúkás</w:t>
      </w:r>
      <w:r w:rsidRPr="002C5BBB">
        <w:rPr>
          <w:rFonts w:ascii="Times New Roman" w:eastAsia="Times New Roman" w:hAnsi="Times New Roman" w:cs="Times New Roman"/>
          <w:lang w:eastAsia="de-DE"/>
        </w:rPr>
        <w:t>, mindkét oldalán domború</w:t>
      </w:r>
      <w:r w:rsidR="000F05C6">
        <w:rPr>
          <w:rFonts w:ascii="Times New Roman" w:hAnsi="Times New Roman"/>
          <w:spacing w:val="-3"/>
          <w:szCs w:val="24"/>
        </w:rPr>
        <w:t>,</w:t>
      </w:r>
      <w:r w:rsidR="00353724">
        <w:rPr>
          <w:rFonts w:ascii="Times New Roman" w:eastAsia="Times New Roman" w:hAnsi="Times New Roman" w:cs="Times New Roman"/>
          <w:lang w:eastAsia="de-DE"/>
        </w:rPr>
        <w:t xml:space="preserve"> bevonat nélküli tabletta, egyik oldalán bemetszéssel, </w:t>
      </w:r>
      <w:r w:rsidR="009B4909">
        <w:rPr>
          <w:rFonts w:ascii="Times New Roman" w:eastAsia="Times New Roman" w:hAnsi="Times New Roman" w:cs="Times New Roman"/>
          <w:lang w:eastAsia="de-DE"/>
        </w:rPr>
        <w:t xml:space="preserve">a </w:t>
      </w:r>
      <w:r w:rsidR="00353724">
        <w:rPr>
          <w:rFonts w:ascii="Times New Roman" w:eastAsia="Times New Roman" w:hAnsi="Times New Roman" w:cs="Times New Roman"/>
          <w:lang w:eastAsia="de-DE"/>
        </w:rPr>
        <w:t>másik oldala sima, a bemetszés két oldalán mélynyomású „M” és „B” jelöléssel.</w:t>
      </w:r>
    </w:p>
    <w:p w14:paraId="4B14CBA3" w14:textId="77777777" w:rsidR="000A6F5F" w:rsidRDefault="000A6F5F" w:rsidP="00353724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</w:p>
    <w:p w14:paraId="2771E78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noProof/>
        </w:rPr>
      </w:pPr>
      <w:r w:rsidRPr="002C5BBB">
        <w:rPr>
          <w:rFonts w:ascii="Times New Roman" w:eastAsia="Times New Roman" w:hAnsi="Times New Roman" w:cs="Times New Roman"/>
          <w:noProof/>
        </w:rPr>
        <w:t>A tablettán lévő bemetszés csak a széttörés elősegítésére és a lenyelés megkönnyítésére szolgál, nem arra, hogy a készítményt egyenlő adagokra ossza.</w:t>
      </w:r>
    </w:p>
    <w:p w14:paraId="57CAE6E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1E08F7B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9152D55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aps/>
        </w:rPr>
      </w:pPr>
      <w:r w:rsidRPr="002C5BBB">
        <w:rPr>
          <w:rFonts w:ascii="Times New Roman" w:eastAsia="Times New Roman" w:hAnsi="Times New Roman" w:cs="Times New Roman"/>
          <w:b/>
          <w:caps/>
        </w:rPr>
        <w:t>4.</w:t>
      </w:r>
      <w:r w:rsidRPr="002C5BBB">
        <w:rPr>
          <w:rFonts w:ascii="Times New Roman" w:eastAsia="Times New Roman" w:hAnsi="Times New Roman" w:cs="Times New Roman"/>
          <w:b/>
          <w:caps/>
        </w:rPr>
        <w:tab/>
        <w:t>KLINIKAI JELLEMZŐK</w:t>
      </w:r>
    </w:p>
    <w:p w14:paraId="1C78F2A5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7015278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4.1</w:t>
      </w:r>
      <w:r w:rsidRPr="002C5BBB">
        <w:rPr>
          <w:rFonts w:ascii="Times New Roman" w:eastAsia="Times New Roman" w:hAnsi="Times New Roman" w:cs="Times New Roman"/>
          <w:b/>
        </w:rPr>
        <w:tab/>
        <w:t>Terápiás javallatok</w:t>
      </w:r>
    </w:p>
    <w:p w14:paraId="38C5BE1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1519E21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Allergiás (</w:t>
      </w:r>
      <w:bookmarkStart w:id="2" w:name="OLE_LINK2"/>
      <w:bookmarkStart w:id="3" w:name="OLE_LINK3"/>
      <w:r w:rsidRPr="002C5BBB">
        <w:rPr>
          <w:rFonts w:ascii="Times New Roman" w:eastAsia="Times New Roman" w:hAnsi="Times New Roman" w:cs="Times New Roman"/>
        </w:rPr>
        <w:t xml:space="preserve">szezonális és </w:t>
      </w:r>
      <w:proofErr w:type="spellStart"/>
      <w:r w:rsidRPr="002C5BBB">
        <w:rPr>
          <w:rFonts w:ascii="Times New Roman" w:eastAsia="Times New Roman" w:hAnsi="Times New Roman" w:cs="Times New Roman"/>
        </w:rPr>
        <w:t>perenniális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)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2C5BBB">
        <w:rPr>
          <w:rFonts w:ascii="Times New Roman" w:eastAsia="Times New Roman" w:hAnsi="Times New Roman" w:cs="Times New Roman"/>
        </w:rPr>
        <w:t>urticaria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bookmarkEnd w:id="2"/>
      <w:bookmarkEnd w:id="3"/>
      <w:r w:rsidRPr="002C5BBB">
        <w:rPr>
          <w:rFonts w:ascii="Times New Roman" w:eastAsia="Times New Roman" w:hAnsi="Times New Roman" w:cs="Times New Roman"/>
        </w:rPr>
        <w:t>tüneti kezelése.</w:t>
      </w:r>
    </w:p>
    <w:p w14:paraId="1D03DB4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80133B3" w14:textId="0F340155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="00AD4479">
        <w:rPr>
          <w:rFonts w:ascii="Times New Roman" w:eastAsia="Times New Roman" w:hAnsi="Times New Roman" w:cs="Times New Roman"/>
          <w:lang w:eastAsia="de-DE"/>
        </w:rPr>
        <w:t>Novapoll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felnőttek és serdülők (</w:t>
      </w:r>
      <w:r w:rsidR="009D6C2E" w:rsidRPr="009D6C2E">
        <w:rPr>
          <w:rFonts w:ascii="Times New Roman" w:eastAsia="Times New Roman" w:hAnsi="Times New Roman" w:cs="Times New Roman"/>
        </w:rPr>
        <w:t>12</w:t>
      </w:r>
      <w:r w:rsidRPr="002C5BBB">
        <w:rPr>
          <w:rFonts w:ascii="Times New Roman" w:eastAsia="Times New Roman" w:hAnsi="Times New Roman" w:cs="Times New Roman"/>
        </w:rPr>
        <w:t> évesek</w:t>
      </w:r>
      <w:r w:rsidR="009D6C2E" w:rsidRPr="009D6C2E">
        <w:rPr>
          <w:rFonts w:ascii="Times New Roman" w:eastAsia="Times New Roman" w:hAnsi="Times New Roman" w:cs="Times New Roman"/>
        </w:rPr>
        <w:t xml:space="preserve"> és </w:t>
      </w:r>
      <w:r w:rsidRPr="002C5BBB">
        <w:rPr>
          <w:rFonts w:ascii="Times New Roman" w:eastAsia="Times New Roman" w:hAnsi="Times New Roman" w:cs="Times New Roman"/>
        </w:rPr>
        <w:t>annál idősebbek) számára javallott.</w:t>
      </w:r>
    </w:p>
    <w:p w14:paraId="4538F78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57BC942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4.2</w:t>
      </w:r>
      <w:r w:rsidRPr="002C5BBB">
        <w:rPr>
          <w:rFonts w:ascii="Times New Roman" w:eastAsia="Times New Roman" w:hAnsi="Times New Roman" w:cs="Times New Roman"/>
          <w:b/>
        </w:rPr>
        <w:tab/>
        <w:t>Adagolás és alkalmazás</w:t>
      </w:r>
    </w:p>
    <w:p w14:paraId="68E4C80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BDBD48C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  <w:r w:rsidRPr="002C5BBB">
        <w:rPr>
          <w:rFonts w:ascii="Times New Roman" w:eastAsia="Times New Roman" w:hAnsi="Times New Roman" w:cs="Times New Roman"/>
          <w:u w:val="single"/>
          <w:lang w:eastAsia="de-DE"/>
        </w:rPr>
        <w:t>Adagolás</w:t>
      </w:r>
    </w:p>
    <w:p w14:paraId="2B75C452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eastAsia="de-DE"/>
        </w:rPr>
      </w:pPr>
    </w:p>
    <w:p w14:paraId="5FF93FE0" w14:textId="619B8CC0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i/>
          <w:lang w:eastAsia="de-DE"/>
        </w:rPr>
      </w:pPr>
      <w:r w:rsidRPr="002C5BBB">
        <w:rPr>
          <w:rFonts w:ascii="Times New Roman" w:eastAsia="Times New Roman" w:hAnsi="Times New Roman" w:cs="Times New Roman"/>
          <w:i/>
          <w:lang w:eastAsia="de-DE"/>
        </w:rPr>
        <w:t>Felnőttek és serdülők (</w:t>
      </w:r>
      <w:r w:rsidR="009D6C2E" w:rsidRPr="009D6C2E">
        <w:rPr>
          <w:rFonts w:ascii="Times New Roman" w:eastAsia="Times New Roman" w:hAnsi="Times New Roman" w:cs="Times New Roman"/>
          <w:i/>
          <w:lang w:eastAsia="de-DE"/>
        </w:rPr>
        <w:t>12</w:t>
      </w:r>
      <w:r w:rsidRPr="002C5BBB">
        <w:rPr>
          <w:rFonts w:ascii="Times New Roman" w:eastAsia="Times New Roman" w:hAnsi="Times New Roman" w:cs="Times New Roman"/>
          <w:i/>
          <w:lang w:eastAsia="de-DE"/>
        </w:rPr>
        <w:t> évesek</w:t>
      </w:r>
      <w:r w:rsidR="009D6C2E" w:rsidRPr="009D6C2E">
        <w:rPr>
          <w:rFonts w:ascii="Times New Roman" w:eastAsia="Times New Roman" w:hAnsi="Times New Roman" w:cs="Times New Roman"/>
          <w:i/>
          <w:lang w:eastAsia="de-DE"/>
        </w:rPr>
        <w:t xml:space="preserve"> és </w:t>
      </w:r>
      <w:r w:rsidRPr="002C5BBB">
        <w:rPr>
          <w:rFonts w:ascii="Times New Roman" w:eastAsia="Times New Roman" w:hAnsi="Times New Roman" w:cs="Times New Roman"/>
          <w:i/>
          <w:lang w:eastAsia="de-DE"/>
        </w:rPr>
        <w:t>annál idősebbek)</w:t>
      </w:r>
    </w:p>
    <w:p w14:paraId="78145627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</w:p>
    <w:p w14:paraId="3F3A17F2" w14:textId="77777777" w:rsid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 xml:space="preserve">20 mg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 xml:space="preserve"> (1 tabletta) naponta egyszer az allergiás (szezonális és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perenniális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 xml:space="preserve">)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rhinoconjunctivitis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 xml:space="preserve"> és az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urticaria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 xml:space="preserve"> tüneteinek enyhítésére.</w:t>
      </w:r>
    </w:p>
    <w:p w14:paraId="749BF02A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>A tablettát étkezés vagy gyümölcslé elfogyasztása előtt egy órával, vagy két órával ezt követően kell bevenni (lásd 4.5 pont).</w:t>
      </w:r>
    </w:p>
    <w:p w14:paraId="1D5977B7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</w:p>
    <w:p w14:paraId="0C527615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  <w:r w:rsidRPr="002C5BBB">
        <w:rPr>
          <w:rFonts w:ascii="Times New Roman" w:eastAsia="Times New Roman" w:hAnsi="Times New Roman" w:cs="Times New Roman"/>
          <w:u w:val="single"/>
          <w:lang w:eastAsia="de-DE"/>
        </w:rPr>
        <w:t>A kezelés időtartama:</w:t>
      </w:r>
    </w:p>
    <w:p w14:paraId="650194A8" w14:textId="27739E5C" w:rsidR="002C5BBB" w:rsidRPr="002C5BBB" w:rsidRDefault="002C5BBB" w:rsidP="002C5BBB">
      <w:pPr>
        <w:suppressAutoHyphens/>
        <w:spacing w:after="0" w:line="240" w:lineRule="auto"/>
        <w:ind w:right="-145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esetében a kezelésnek az allergén-expozíció időtartamára kell korlátozódnia. Szezonális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esetében a tünetek megszűnésekor </w:t>
      </w:r>
      <w:r w:rsidRPr="002C5BBB">
        <w:rPr>
          <w:rFonts w:ascii="Times New Roman" w:eastAsia="Times New Roman" w:hAnsi="Times New Roman" w:cs="Times New Roman"/>
          <w:bCs/>
        </w:rPr>
        <w:t>a kezelést abba lehet hagyni</w:t>
      </w:r>
      <w:r w:rsidRPr="002C5BBB">
        <w:rPr>
          <w:rFonts w:ascii="Times New Roman" w:eastAsia="Times New Roman" w:hAnsi="Times New Roman" w:cs="Times New Roman"/>
        </w:rPr>
        <w:t xml:space="preserve">, majd ismételt jelentkezésükkor újra lehet kezdeni. </w:t>
      </w:r>
      <w:proofErr w:type="spellStart"/>
      <w:r w:rsidRPr="002C5BBB">
        <w:rPr>
          <w:rFonts w:ascii="Times New Roman" w:eastAsia="Times New Roman" w:hAnsi="Times New Roman" w:cs="Times New Roman"/>
        </w:rPr>
        <w:t>Perenniális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esetén folyamatos kezelés ajánlott a betegnek az allergén-expozíciónak kitett időszakban. </w:t>
      </w:r>
      <w:proofErr w:type="spellStart"/>
      <w:r w:rsidRPr="002C5BBB">
        <w:rPr>
          <w:rFonts w:ascii="Times New Roman" w:eastAsia="Times New Roman" w:hAnsi="Times New Roman" w:cs="Times New Roman"/>
        </w:rPr>
        <w:t>Urticaria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esetén a kezelés időtartama a panaszok típusától, időtartamától és lefolyásától függ.</w:t>
      </w:r>
    </w:p>
    <w:p w14:paraId="08B0D3CA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</w:p>
    <w:p w14:paraId="02B9AF4C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i/>
          <w:iCs/>
          <w:lang w:eastAsia="de-DE"/>
        </w:rPr>
      </w:pPr>
      <w:r w:rsidRPr="002C5BBB">
        <w:rPr>
          <w:rFonts w:ascii="Times New Roman" w:eastAsia="Times New Roman" w:hAnsi="Times New Roman" w:cs="Times New Roman"/>
          <w:i/>
          <w:iCs/>
          <w:lang w:eastAsia="de-DE"/>
        </w:rPr>
        <w:t>Különleges betegcsoportok</w:t>
      </w:r>
    </w:p>
    <w:p w14:paraId="2886B1F4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</w:p>
    <w:p w14:paraId="5265B216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  <w:r w:rsidRPr="002C5BBB">
        <w:rPr>
          <w:rFonts w:ascii="Times New Roman" w:eastAsia="Times New Roman" w:hAnsi="Times New Roman" w:cs="Times New Roman"/>
          <w:u w:val="single"/>
          <w:lang w:eastAsia="de-DE"/>
        </w:rPr>
        <w:t>Idősek</w:t>
      </w:r>
    </w:p>
    <w:p w14:paraId="226DDBAC" w14:textId="77777777" w:rsidR="002C5BBB" w:rsidRPr="002C5BBB" w:rsidRDefault="002C5BBB" w:rsidP="002C5BBB">
      <w:pPr>
        <w:tabs>
          <w:tab w:val="left" w:pos="6885"/>
        </w:tabs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>Idős betegeknél nincs szükség az adagolás módosítására (lásd 5.1 és 5.2 pont).</w:t>
      </w:r>
    </w:p>
    <w:p w14:paraId="6B911B9D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</w:p>
    <w:p w14:paraId="38DD56D6" w14:textId="77777777" w:rsidR="002C5BBB" w:rsidRPr="002C5BBB" w:rsidRDefault="002C5BBB" w:rsidP="002C5BBB">
      <w:pPr>
        <w:keepNext/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  <w:r w:rsidRPr="002C5BBB">
        <w:rPr>
          <w:rFonts w:ascii="Times New Roman" w:eastAsia="Times New Roman" w:hAnsi="Times New Roman" w:cs="Times New Roman"/>
          <w:u w:val="single"/>
          <w:lang w:eastAsia="de-DE"/>
        </w:rPr>
        <w:lastRenderedPageBreak/>
        <w:t>Vesekárosodás</w:t>
      </w:r>
    </w:p>
    <w:p w14:paraId="5F017AC3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 xml:space="preserve">Felnőttek különleges kockázati csoportjában (vesekárosodásban szenvedő betegeknél) végzett vizsgálatok alapján felnőtteknél nincs szükség a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 xml:space="preserve"> dózisának módosítására (lásd 5.2 pont).</w:t>
      </w:r>
    </w:p>
    <w:p w14:paraId="56CF7E4E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</w:p>
    <w:p w14:paraId="712D4CA7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  <w:r w:rsidRPr="002C5BBB">
        <w:rPr>
          <w:rFonts w:ascii="Times New Roman" w:eastAsia="Times New Roman" w:hAnsi="Times New Roman" w:cs="Times New Roman"/>
          <w:u w:val="single"/>
          <w:lang w:eastAsia="de-DE"/>
        </w:rPr>
        <w:t>Májkárosodás</w:t>
      </w:r>
    </w:p>
    <w:p w14:paraId="1A3F486C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 xml:space="preserve">A készítmény májkárosodásban szenvedő felnőtt betegeknél történő alkalmazására vonatkozóan nem állnak rendelkezésre klinikai tapasztalatok. Azonban, mivel a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 xml:space="preserve"> nem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metabolizálódik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>, és változatlan formában a vizelettel és a széklettel ürül, nem várható, hogy a májkárosodás a biztonságos szint fölé növelné a szisztémás expozíciót felnőtt betegeknél. Ezért májkárosodásban szenvedő felnőtt betegeknél nincs szükség az adagolás módosítására (lásd 5.2 pont).</w:t>
      </w:r>
    </w:p>
    <w:p w14:paraId="08CA1AE6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</w:p>
    <w:p w14:paraId="4C769DD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</w:rPr>
      </w:pPr>
      <w:r w:rsidRPr="002C5BBB">
        <w:rPr>
          <w:rFonts w:ascii="Times New Roman" w:eastAsia="Times New Roman" w:hAnsi="Times New Roman" w:cs="Times New Roman"/>
          <w:b/>
          <w:bCs/>
          <w:i/>
        </w:rPr>
        <w:t>Gyermekek</w:t>
      </w:r>
    </w:p>
    <w:p w14:paraId="7D92AC27" w14:textId="77777777" w:rsidR="002C5BBB" w:rsidRPr="002C5BBB" w:rsidRDefault="002C5BBB" w:rsidP="002C5BBB">
      <w:pPr>
        <w:numPr>
          <w:ilvl w:val="0"/>
          <w:numId w:val="19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>6–11 éves, legalább 20 kg testtömegű gyermekek</w:t>
      </w:r>
    </w:p>
    <w:p w14:paraId="7EE34CF3" w14:textId="77777777" w:rsidR="002C5BBB" w:rsidRPr="002C5BBB" w:rsidRDefault="002C5BBB" w:rsidP="002C5BBB">
      <w:pPr>
        <w:suppressAutoHyphens/>
        <w:spacing w:after="0" w:line="260" w:lineRule="exact"/>
        <w:ind w:left="567"/>
        <w:rPr>
          <w:rFonts w:ascii="Times New Roman" w:eastAsia="Times New Roman" w:hAnsi="Times New Roman" w:cs="Times New Roman"/>
          <w:szCs w:val="20"/>
        </w:rPr>
      </w:pPr>
      <w:r w:rsidRPr="002C5BBB">
        <w:rPr>
          <w:rFonts w:ascii="Times New Roman" w:eastAsia="Times New Roman" w:hAnsi="Times New Roman" w:cs="Times New Roman"/>
          <w:szCs w:val="20"/>
        </w:rPr>
        <w:t>Ebben a betegcsoportban a 10 mg-</w:t>
      </w:r>
      <w:proofErr w:type="spellStart"/>
      <w:r w:rsidRPr="002C5BBB">
        <w:rPr>
          <w:rFonts w:ascii="Times New Roman" w:eastAsia="Times New Roman" w:hAnsi="Times New Roman" w:cs="Times New Roman"/>
          <w:szCs w:val="20"/>
        </w:rPr>
        <w:t>os</w:t>
      </w:r>
      <w:proofErr w:type="spellEnd"/>
      <w:r w:rsidRPr="002C5BBB">
        <w:rPr>
          <w:rFonts w:ascii="Times New Roman" w:eastAsia="Times New Roman" w:hAnsi="Times New Roman" w:cs="Times New Roman"/>
          <w:szCs w:val="20"/>
        </w:rPr>
        <w:t xml:space="preserve"> szájban </w:t>
      </w:r>
      <w:proofErr w:type="spellStart"/>
      <w:r w:rsidRPr="002C5BBB">
        <w:rPr>
          <w:rFonts w:ascii="Times New Roman" w:eastAsia="Times New Roman" w:hAnsi="Times New Roman" w:cs="Times New Roman"/>
          <w:szCs w:val="20"/>
        </w:rPr>
        <w:t>diszpergálódó</w:t>
      </w:r>
      <w:proofErr w:type="spellEnd"/>
      <w:r w:rsidRPr="002C5BBB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  <w:szCs w:val="20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szCs w:val="20"/>
        </w:rPr>
        <w:t xml:space="preserve"> tabletta és a 2,5 mg/ml-</w:t>
      </w:r>
      <w:proofErr w:type="spellStart"/>
      <w:r w:rsidRPr="002C5BBB">
        <w:rPr>
          <w:rFonts w:ascii="Times New Roman" w:eastAsia="Times New Roman" w:hAnsi="Times New Roman" w:cs="Times New Roman"/>
          <w:szCs w:val="20"/>
        </w:rPr>
        <w:t>os</w:t>
      </w:r>
      <w:proofErr w:type="spellEnd"/>
      <w:r w:rsidRPr="002C5BBB">
        <w:rPr>
          <w:rFonts w:ascii="Times New Roman" w:eastAsia="Times New Roman" w:hAnsi="Times New Roman" w:cs="Times New Roman"/>
          <w:szCs w:val="20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  <w:szCs w:val="20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szCs w:val="20"/>
        </w:rPr>
        <w:t xml:space="preserve"> belsőleges oldat alkalmazása a megfelelő.</w:t>
      </w:r>
    </w:p>
    <w:p w14:paraId="710BFEFC" w14:textId="77777777" w:rsidR="002C5BBB" w:rsidRPr="002C5BBB" w:rsidRDefault="002C5BBB" w:rsidP="002C5BBB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de-DE"/>
        </w:rPr>
      </w:pPr>
    </w:p>
    <w:p w14:paraId="7441FB5C" w14:textId="5923E5B5" w:rsidR="002C5BBB" w:rsidRPr="002C5BBB" w:rsidRDefault="002C5BBB" w:rsidP="002C5BBB">
      <w:pPr>
        <w:numPr>
          <w:ilvl w:val="0"/>
          <w:numId w:val="20"/>
        </w:num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6 évesnél fiatalabb és 20 kg-nál </w:t>
      </w:r>
      <w:r w:rsidR="00FD03DC">
        <w:rPr>
          <w:rFonts w:ascii="Times New Roman" w:eastAsia="Times New Roman" w:hAnsi="Times New Roman" w:cs="Times New Roman"/>
        </w:rPr>
        <w:t>kisebb</w:t>
      </w:r>
      <w:r w:rsidR="00FD03DC" w:rsidRPr="002C5BBB">
        <w:rPr>
          <w:rFonts w:ascii="Times New Roman" w:eastAsia="Times New Roman" w:hAnsi="Times New Roman" w:cs="Times New Roman"/>
        </w:rPr>
        <w:t xml:space="preserve"> </w:t>
      </w:r>
      <w:r w:rsidRPr="002C5BBB">
        <w:rPr>
          <w:rFonts w:ascii="Times New Roman" w:eastAsia="Times New Roman" w:hAnsi="Times New Roman" w:cs="Times New Roman"/>
        </w:rPr>
        <w:t>testtömegű gyermekek</w:t>
      </w:r>
    </w:p>
    <w:p w14:paraId="2254F554" w14:textId="77777777" w:rsidR="002C5BBB" w:rsidRPr="002C5BBB" w:rsidRDefault="002C5BBB" w:rsidP="002C5BBB">
      <w:pPr>
        <w:tabs>
          <w:tab w:val="left" w:pos="709"/>
        </w:tabs>
        <w:suppressAutoHyphens/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jelenleg rendelkezésre álló adatok leírása a 4.4, 4.8, 5.1 és 5.2 pontban található, de nincs az adagolásra vonatkozó javaslat. Ezért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ebben a korcsoportban nem alkalmazható.</w:t>
      </w:r>
    </w:p>
    <w:p w14:paraId="30546990" w14:textId="77777777" w:rsidR="002C5BBB" w:rsidRPr="002C5BBB" w:rsidRDefault="002C5BBB" w:rsidP="002C5BBB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de-DE"/>
        </w:rPr>
      </w:pPr>
    </w:p>
    <w:p w14:paraId="31628F2E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 xml:space="preserve"> biztonságosságát és hatásosságát vese- és májkárosodásban szenvedő gyermekek esetében nem igazolták.</w:t>
      </w:r>
    </w:p>
    <w:p w14:paraId="2D1BB7B2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</w:p>
    <w:p w14:paraId="1B62F54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  <w:u w:val="single"/>
        </w:rPr>
        <w:t>Az alkalmazás módja</w:t>
      </w:r>
    </w:p>
    <w:p w14:paraId="3E68F89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C168BFB" w14:textId="77777777" w:rsidR="002C5BBB" w:rsidRPr="008D269C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8D269C">
        <w:rPr>
          <w:rFonts w:ascii="Times New Roman" w:eastAsia="Times New Roman" w:hAnsi="Times New Roman" w:cs="Times New Roman"/>
        </w:rPr>
        <w:t>Szájon át történő alkalmazásra.</w:t>
      </w:r>
    </w:p>
    <w:p w14:paraId="21FA4EDF" w14:textId="1A07FEB4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8D269C">
        <w:rPr>
          <w:rFonts w:ascii="Times New Roman" w:eastAsia="Times New Roman" w:hAnsi="Times New Roman" w:cs="Times New Roman"/>
          <w:lang w:eastAsia="de-DE"/>
        </w:rPr>
        <w:t>A tablettát vízzel kell lenyelni.</w:t>
      </w:r>
      <w:r w:rsidR="00FB12DF" w:rsidRPr="008D269C">
        <w:rPr>
          <w:rFonts w:ascii="Times New Roman" w:eastAsia="Times New Roman" w:hAnsi="Times New Roman" w:cs="Times New Roman"/>
          <w:lang w:eastAsia="de-DE"/>
        </w:rPr>
        <w:t xml:space="preserve"> </w:t>
      </w:r>
      <w:r w:rsidRPr="008D269C">
        <w:rPr>
          <w:rFonts w:ascii="Times New Roman" w:eastAsia="Times New Roman" w:hAnsi="Times New Roman" w:cs="Times New Roman"/>
          <w:lang w:eastAsia="de-DE"/>
        </w:rPr>
        <w:t>Javasolt a napi</w:t>
      </w:r>
      <w:r w:rsidRPr="002C5BBB">
        <w:rPr>
          <w:rFonts w:ascii="Times New Roman" w:eastAsia="Times New Roman" w:hAnsi="Times New Roman" w:cs="Times New Roman"/>
          <w:lang w:eastAsia="de-DE"/>
        </w:rPr>
        <w:t xml:space="preserve"> adagot egyszerre bevenni.</w:t>
      </w:r>
    </w:p>
    <w:p w14:paraId="1AB07BA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F85A4AA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4.3</w:t>
      </w:r>
      <w:r w:rsidRPr="002C5BBB">
        <w:rPr>
          <w:rFonts w:ascii="Times New Roman" w:eastAsia="Times New Roman" w:hAnsi="Times New Roman" w:cs="Times New Roman"/>
          <w:b/>
        </w:rPr>
        <w:tab/>
        <w:t>Ellenjavallatok</w:t>
      </w:r>
    </w:p>
    <w:p w14:paraId="450B018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2463D95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A készítmény hatóanyagával vagy a 6.1 pontban felsorolt bármely segédanyagával szembeni túlérzékenység.</w:t>
      </w:r>
    </w:p>
    <w:p w14:paraId="6BB5570A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6D919A3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4.4</w:t>
      </w:r>
      <w:r w:rsidRPr="002C5BBB">
        <w:rPr>
          <w:rFonts w:ascii="Times New Roman" w:eastAsia="Times New Roman" w:hAnsi="Times New Roman" w:cs="Times New Roman"/>
          <w:b/>
        </w:rPr>
        <w:tab/>
        <w:t>Különleges figyelmeztetések és az alkalmazással kapcsolatos óvintézkedések</w:t>
      </w:r>
    </w:p>
    <w:p w14:paraId="71B9578E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i/>
          <w:u w:val="single"/>
          <w:lang w:eastAsia="de-DE"/>
        </w:rPr>
      </w:pPr>
    </w:p>
    <w:p w14:paraId="6E60DE84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i/>
          <w:lang w:eastAsia="de-DE"/>
        </w:rPr>
      </w:pPr>
      <w:r w:rsidRPr="002C5BBB">
        <w:rPr>
          <w:rFonts w:ascii="Times New Roman" w:eastAsia="Times New Roman" w:hAnsi="Times New Roman" w:cs="Times New Roman"/>
          <w:i/>
          <w:lang w:eastAsia="de-DE"/>
        </w:rPr>
        <w:t>Gyermekek</w:t>
      </w:r>
    </w:p>
    <w:p w14:paraId="2063EB87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2C5BBB">
        <w:rPr>
          <w:rFonts w:ascii="Times New Roman" w:eastAsia="Times New Roman" w:hAnsi="Times New Roman" w:cs="Times New Roman"/>
          <w:lang w:eastAsia="de-DE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 xml:space="preserve"> biztonságosságát és hatásosságát 2 évesnél fiatalabb gyermekeknél még nem állapították meg, és kevés klinikai tapasztalat áll rendelkezésre a 2–5 éves gyermekekre vonatkozóan, ezért a </w:t>
      </w:r>
      <w:proofErr w:type="spellStart"/>
      <w:r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lang w:eastAsia="de-DE"/>
        </w:rPr>
        <w:t xml:space="preserve"> ebben a korcsoportban nem alkalmazható.</w:t>
      </w:r>
    </w:p>
    <w:p w14:paraId="344F51A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1FBD1E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Közepesen súlyos vagy súlyos fokú vesekárosodásban szenvedő betegeknél a </w:t>
      </w:r>
      <w:proofErr w:type="spellStart"/>
      <w:r w:rsidRPr="002C5BBB">
        <w:rPr>
          <w:rFonts w:ascii="Times New Roman" w:eastAsia="Times New Roman" w:hAnsi="Times New Roman" w:cs="Times New Roman"/>
        </w:rPr>
        <w:t>bilasztinnak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P</w:t>
      </w:r>
      <w:r w:rsidRPr="002C5BBB">
        <w:rPr>
          <w:rFonts w:ascii="Times New Roman" w:eastAsia="Times New Roman" w:hAnsi="Times New Roman" w:cs="Times New Roman"/>
        </w:rPr>
        <w:noBreakHyphen/>
      </w:r>
      <w:proofErr w:type="spellStart"/>
      <w:r w:rsidRPr="002C5BBB">
        <w:rPr>
          <w:rFonts w:ascii="Times New Roman" w:eastAsia="Times New Roman" w:hAnsi="Times New Roman" w:cs="Times New Roman"/>
        </w:rPr>
        <w:t>glikoprotein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gátlókkal, pl. </w:t>
      </w:r>
      <w:proofErr w:type="spellStart"/>
      <w:r w:rsidRPr="002C5BBB">
        <w:rPr>
          <w:rFonts w:ascii="Times New Roman" w:eastAsia="Times New Roman" w:hAnsi="Times New Roman" w:cs="Times New Roman"/>
        </w:rPr>
        <w:t>ketokonazollal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C5BBB">
        <w:rPr>
          <w:rFonts w:ascii="Times New Roman" w:eastAsia="Times New Roman" w:hAnsi="Times New Roman" w:cs="Times New Roman"/>
        </w:rPr>
        <w:t>eritromicinnel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C5BBB">
        <w:rPr>
          <w:rFonts w:ascii="Times New Roman" w:eastAsia="Times New Roman" w:hAnsi="Times New Roman" w:cs="Times New Roman"/>
        </w:rPr>
        <w:t>ciklosporinnal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C5BBB">
        <w:rPr>
          <w:rFonts w:ascii="Times New Roman" w:eastAsia="Times New Roman" w:hAnsi="Times New Roman" w:cs="Times New Roman"/>
        </w:rPr>
        <w:t>ritonavirrel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2C5BBB">
        <w:rPr>
          <w:rFonts w:ascii="Times New Roman" w:eastAsia="Times New Roman" w:hAnsi="Times New Roman" w:cs="Times New Roman"/>
        </w:rPr>
        <w:t>diltiazemmel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való </w:t>
      </w:r>
      <w:proofErr w:type="spellStart"/>
      <w:r w:rsidRPr="002C5BBB">
        <w:rPr>
          <w:rFonts w:ascii="Times New Roman" w:eastAsia="Times New Roman" w:hAnsi="Times New Roman" w:cs="Times New Roman"/>
        </w:rPr>
        <w:t>együttadásakor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megemelkedhet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plazmaszintje, és ezért fokozódhat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okozta mellékhatások kialakulásának kockázata. Ezért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P-</w:t>
      </w:r>
      <w:proofErr w:type="spellStart"/>
      <w:r w:rsidRPr="002C5BBB">
        <w:rPr>
          <w:rFonts w:ascii="Times New Roman" w:eastAsia="Times New Roman" w:hAnsi="Times New Roman" w:cs="Times New Roman"/>
        </w:rPr>
        <w:t>glikoprotein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-gátlókkal történő </w:t>
      </w:r>
      <w:proofErr w:type="spellStart"/>
      <w:r w:rsidRPr="002C5BBB">
        <w:rPr>
          <w:rFonts w:ascii="Times New Roman" w:eastAsia="Times New Roman" w:hAnsi="Times New Roman" w:cs="Times New Roman"/>
        </w:rPr>
        <w:t>együttadása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kerülendő közepesen súlyos vagy súlyos fokú vesekárosodásban szenvedő betegek esetében.</w:t>
      </w:r>
    </w:p>
    <w:p w14:paraId="14AF5B4A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1D5A2C5" w14:textId="77777777" w:rsidR="00411881" w:rsidRPr="00411881" w:rsidRDefault="00411881" w:rsidP="00411881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411881">
        <w:rPr>
          <w:rFonts w:ascii="Times New Roman" w:eastAsia="Times New Roman" w:hAnsi="Times New Roman" w:cs="Times New Roman"/>
        </w:rPr>
        <w:t>Bilasztint</w:t>
      </w:r>
      <w:proofErr w:type="spellEnd"/>
      <w:r w:rsidRPr="00411881">
        <w:rPr>
          <w:rFonts w:ascii="Times New Roman" w:eastAsia="Times New Roman" w:hAnsi="Times New Roman" w:cs="Times New Roman"/>
        </w:rPr>
        <w:t xml:space="preserve"> szedő betegeknél jelentettek olyan eseteket, amikor megnyúlt QT-szakasz </w:t>
      </w:r>
      <w:proofErr w:type="spellStart"/>
      <w:r w:rsidRPr="00411881">
        <w:rPr>
          <w:rFonts w:ascii="Times New Roman" w:eastAsia="Times New Roman" w:hAnsi="Times New Roman" w:cs="Times New Roman"/>
        </w:rPr>
        <w:t>ábrázolódott</w:t>
      </w:r>
      <w:proofErr w:type="spellEnd"/>
      <w:r w:rsidR="00CB6F47">
        <w:rPr>
          <w:rFonts w:ascii="Times New Roman" w:eastAsia="Times New Roman" w:hAnsi="Times New Roman" w:cs="Times New Roman"/>
        </w:rPr>
        <w:t xml:space="preserve"> </w:t>
      </w:r>
      <w:r w:rsidRPr="00411881">
        <w:rPr>
          <w:rFonts w:ascii="Times New Roman" w:eastAsia="Times New Roman" w:hAnsi="Times New Roman" w:cs="Times New Roman"/>
        </w:rPr>
        <w:t>az EKG-n (lásd 4.8, 4.9 és 5.1 pont). A QT-/</w:t>
      </w:r>
      <w:proofErr w:type="spellStart"/>
      <w:r w:rsidRPr="00411881">
        <w:rPr>
          <w:rFonts w:ascii="Times New Roman" w:eastAsia="Times New Roman" w:hAnsi="Times New Roman" w:cs="Times New Roman"/>
        </w:rPr>
        <w:t>QTc</w:t>
      </w:r>
      <w:proofErr w:type="spellEnd"/>
      <w:r w:rsidRPr="00411881">
        <w:rPr>
          <w:rFonts w:ascii="Times New Roman" w:eastAsia="Times New Roman" w:hAnsi="Times New Roman" w:cs="Times New Roman"/>
        </w:rPr>
        <w:t>-szakasz megnyúlását okozó gyógyszerek</w:t>
      </w:r>
      <w:r w:rsidR="00CB6F47">
        <w:rPr>
          <w:rFonts w:ascii="Times New Roman" w:eastAsia="Times New Roman" w:hAnsi="Times New Roman" w:cs="Times New Roman"/>
        </w:rPr>
        <w:t xml:space="preserve"> </w:t>
      </w:r>
      <w:r w:rsidRPr="00411881">
        <w:rPr>
          <w:rFonts w:ascii="Times New Roman" w:eastAsia="Times New Roman" w:hAnsi="Times New Roman" w:cs="Times New Roman"/>
        </w:rPr>
        <w:t xml:space="preserve">feltételezhetően növelik a </w:t>
      </w:r>
      <w:proofErr w:type="spellStart"/>
      <w:r w:rsidRPr="007869AF">
        <w:rPr>
          <w:rFonts w:ascii="Times New Roman" w:eastAsia="Times New Roman" w:hAnsi="Times New Roman" w:cs="Times New Roman"/>
          <w:i/>
        </w:rPr>
        <w:t>Torsade</w:t>
      </w:r>
      <w:proofErr w:type="spellEnd"/>
      <w:r w:rsidRPr="007869AF">
        <w:rPr>
          <w:rFonts w:ascii="Times New Roman" w:eastAsia="Times New Roman" w:hAnsi="Times New Roman" w:cs="Times New Roman"/>
          <w:i/>
        </w:rPr>
        <w:t xml:space="preserve"> de </w:t>
      </w:r>
      <w:proofErr w:type="spellStart"/>
      <w:r w:rsidRPr="007869AF">
        <w:rPr>
          <w:rFonts w:ascii="Times New Roman" w:eastAsia="Times New Roman" w:hAnsi="Times New Roman" w:cs="Times New Roman"/>
          <w:i/>
        </w:rPr>
        <w:t>pointes</w:t>
      </w:r>
      <w:proofErr w:type="spellEnd"/>
      <w:r w:rsidRPr="00411881">
        <w:rPr>
          <w:rFonts w:ascii="Times New Roman" w:eastAsia="Times New Roman" w:hAnsi="Times New Roman" w:cs="Times New Roman"/>
        </w:rPr>
        <w:t xml:space="preserve"> kialakulásának kockázatát.</w:t>
      </w:r>
    </w:p>
    <w:p w14:paraId="6BD23FEC" w14:textId="77777777" w:rsidR="00411881" w:rsidRPr="00411881" w:rsidRDefault="00411881" w:rsidP="00411881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411881">
        <w:rPr>
          <w:rFonts w:ascii="Times New Roman" w:eastAsia="Times New Roman" w:hAnsi="Times New Roman" w:cs="Times New Roman"/>
        </w:rPr>
        <w:t xml:space="preserve">Ezért a </w:t>
      </w:r>
      <w:proofErr w:type="spellStart"/>
      <w:r w:rsidRPr="00411881">
        <w:rPr>
          <w:rFonts w:ascii="Times New Roman" w:eastAsia="Times New Roman" w:hAnsi="Times New Roman" w:cs="Times New Roman"/>
        </w:rPr>
        <w:t>bilasztin</w:t>
      </w:r>
      <w:proofErr w:type="spellEnd"/>
      <w:r w:rsidRPr="00411881">
        <w:rPr>
          <w:rFonts w:ascii="Times New Roman" w:eastAsia="Times New Roman" w:hAnsi="Times New Roman" w:cs="Times New Roman"/>
        </w:rPr>
        <w:t xml:space="preserve"> csak kellő körültekintéssel adható olyan betegeknek, akiknél a QT-/</w:t>
      </w:r>
      <w:proofErr w:type="spellStart"/>
      <w:r w:rsidRPr="00411881">
        <w:rPr>
          <w:rFonts w:ascii="Times New Roman" w:eastAsia="Times New Roman" w:hAnsi="Times New Roman" w:cs="Times New Roman"/>
        </w:rPr>
        <w:t>QTc</w:t>
      </w:r>
      <w:proofErr w:type="spellEnd"/>
      <w:r w:rsidR="00CB6F47">
        <w:rPr>
          <w:rFonts w:ascii="Times New Roman" w:eastAsia="Times New Roman" w:hAnsi="Times New Roman" w:cs="Times New Roman"/>
        </w:rPr>
        <w:t>-</w:t>
      </w:r>
      <w:r w:rsidRPr="00411881">
        <w:rPr>
          <w:rFonts w:ascii="Times New Roman" w:eastAsia="Times New Roman" w:hAnsi="Times New Roman" w:cs="Times New Roman"/>
        </w:rPr>
        <w:t>szakasz</w:t>
      </w:r>
      <w:r w:rsidR="00CB6F47">
        <w:rPr>
          <w:rFonts w:ascii="Times New Roman" w:eastAsia="Times New Roman" w:hAnsi="Times New Roman" w:cs="Times New Roman"/>
        </w:rPr>
        <w:t xml:space="preserve"> </w:t>
      </w:r>
      <w:r w:rsidRPr="00411881">
        <w:rPr>
          <w:rFonts w:ascii="Times New Roman" w:eastAsia="Times New Roman" w:hAnsi="Times New Roman" w:cs="Times New Roman"/>
        </w:rPr>
        <w:t>megnyúlásának fokozott kockázata áll fenn. Ide tartoznak azok a betegek, akik</w:t>
      </w:r>
      <w:r>
        <w:rPr>
          <w:rFonts w:ascii="Times New Roman" w:eastAsia="Times New Roman" w:hAnsi="Times New Roman" w:cs="Times New Roman"/>
        </w:rPr>
        <w:t xml:space="preserve"> </w:t>
      </w:r>
      <w:r w:rsidRPr="00411881">
        <w:rPr>
          <w:rFonts w:ascii="Times New Roman" w:eastAsia="Times New Roman" w:hAnsi="Times New Roman" w:cs="Times New Roman"/>
        </w:rPr>
        <w:t xml:space="preserve">anamnézisében </w:t>
      </w:r>
      <w:proofErr w:type="spellStart"/>
      <w:r w:rsidRPr="00411881">
        <w:rPr>
          <w:rFonts w:ascii="Times New Roman" w:eastAsia="Times New Roman" w:hAnsi="Times New Roman" w:cs="Times New Roman"/>
        </w:rPr>
        <w:t>cardialis</w:t>
      </w:r>
      <w:proofErr w:type="spellEnd"/>
      <w:r w:rsidRPr="0041188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1881">
        <w:rPr>
          <w:rFonts w:ascii="Times New Roman" w:eastAsia="Times New Roman" w:hAnsi="Times New Roman" w:cs="Times New Roman"/>
        </w:rPr>
        <w:t>arrhythmia</w:t>
      </w:r>
      <w:proofErr w:type="spellEnd"/>
      <w:r w:rsidRPr="00411881">
        <w:rPr>
          <w:rFonts w:ascii="Times New Roman" w:eastAsia="Times New Roman" w:hAnsi="Times New Roman" w:cs="Times New Roman"/>
        </w:rPr>
        <w:t xml:space="preserve"> szerepel; akiknél </w:t>
      </w:r>
      <w:proofErr w:type="spellStart"/>
      <w:r w:rsidRPr="00411881">
        <w:rPr>
          <w:rFonts w:ascii="Times New Roman" w:eastAsia="Times New Roman" w:hAnsi="Times New Roman" w:cs="Times New Roman"/>
        </w:rPr>
        <w:t>hypokalaemia</w:t>
      </w:r>
      <w:proofErr w:type="spellEnd"/>
      <w:r w:rsidRPr="00411881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411881">
        <w:rPr>
          <w:rFonts w:ascii="Times New Roman" w:eastAsia="Times New Roman" w:hAnsi="Times New Roman" w:cs="Times New Roman"/>
        </w:rPr>
        <w:t>hypomagnesaemia</w:t>
      </w:r>
      <w:proofErr w:type="spellEnd"/>
      <w:r w:rsidRPr="00411881">
        <w:rPr>
          <w:rFonts w:ascii="Times New Roman" w:eastAsia="Times New Roman" w:hAnsi="Times New Roman" w:cs="Times New Roman"/>
        </w:rPr>
        <w:t>, illetve</w:t>
      </w:r>
      <w:r w:rsidR="00CB6F4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1881">
        <w:rPr>
          <w:rFonts w:ascii="Times New Roman" w:eastAsia="Times New Roman" w:hAnsi="Times New Roman" w:cs="Times New Roman"/>
        </w:rPr>
        <w:t>hypocalcaemia</w:t>
      </w:r>
      <w:proofErr w:type="spellEnd"/>
      <w:r w:rsidRPr="00411881">
        <w:rPr>
          <w:rFonts w:ascii="Times New Roman" w:eastAsia="Times New Roman" w:hAnsi="Times New Roman" w:cs="Times New Roman"/>
        </w:rPr>
        <w:t xml:space="preserve"> áll fenn; akiknél a QT-szakasz megnyúlása eleve ismert, vagy akiknél a</w:t>
      </w:r>
      <w:r w:rsidR="00CB6F47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11881">
        <w:rPr>
          <w:rFonts w:ascii="Times New Roman" w:eastAsia="Times New Roman" w:hAnsi="Times New Roman" w:cs="Times New Roman"/>
        </w:rPr>
        <w:t>bradycardia</w:t>
      </w:r>
      <w:proofErr w:type="spellEnd"/>
      <w:r w:rsidRPr="00411881">
        <w:rPr>
          <w:rFonts w:ascii="Times New Roman" w:eastAsia="Times New Roman" w:hAnsi="Times New Roman" w:cs="Times New Roman"/>
        </w:rPr>
        <w:t xml:space="preserve"> jelentős mértékű; illetve azok a betegek, akik egyidejűleg más, QT-/</w:t>
      </w:r>
      <w:proofErr w:type="spellStart"/>
      <w:r w:rsidRPr="00411881">
        <w:rPr>
          <w:rFonts w:ascii="Times New Roman" w:eastAsia="Times New Roman" w:hAnsi="Times New Roman" w:cs="Times New Roman"/>
        </w:rPr>
        <w:t>QTc</w:t>
      </w:r>
      <w:proofErr w:type="spellEnd"/>
      <w:r w:rsidR="00CB6F47">
        <w:rPr>
          <w:rFonts w:ascii="Times New Roman" w:eastAsia="Times New Roman" w:hAnsi="Times New Roman" w:cs="Times New Roman"/>
        </w:rPr>
        <w:t>-</w:t>
      </w:r>
      <w:r w:rsidRPr="00411881">
        <w:rPr>
          <w:rFonts w:ascii="Times New Roman" w:eastAsia="Times New Roman" w:hAnsi="Times New Roman" w:cs="Times New Roman"/>
        </w:rPr>
        <w:t>megnyúlást</w:t>
      </w:r>
      <w:r w:rsidR="00CB6F47">
        <w:rPr>
          <w:rFonts w:ascii="Times New Roman" w:eastAsia="Times New Roman" w:hAnsi="Times New Roman" w:cs="Times New Roman"/>
        </w:rPr>
        <w:t xml:space="preserve"> </w:t>
      </w:r>
      <w:r w:rsidRPr="00411881">
        <w:rPr>
          <w:rFonts w:ascii="Times New Roman" w:eastAsia="Times New Roman" w:hAnsi="Times New Roman" w:cs="Times New Roman"/>
        </w:rPr>
        <w:t>esetlegesen előidéző gyógyszert is alkalmaznak.</w:t>
      </w:r>
    </w:p>
    <w:p w14:paraId="7BEB3133" w14:textId="77777777" w:rsidR="00411881" w:rsidRPr="002C5BBB" w:rsidRDefault="00411881" w:rsidP="00411881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64DE25A" w14:textId="513023B3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2C5BBB">
        <w:rPr>
          <w:rFonts w:ascii="Times New Roman" w:eastAsia="Times New Roman" w:hAnsi="Times New Roman" w:cs="Times New Roman"/>
          <w:i/>
          <w:iCs/>
        </w:rPr>
        <w:lastRenderedPageBreak/>
        <w:t xml:space="preserve">A </w:t>
      </w:r>
      <w:proofErr w:type="spellStart"/>
      <w:r w:rsidR="00AD4479">
        <w:rPr>
          <w:rFonts w:ascii="Times New Roman" w:eastAsia="Times New Roman" w:hAnsi="Times New Roman" w:cs="Times New Roman"/>
          <w:i/>
          <w:iCs/>
        </w:rPr>
        <w:t>Novapoll</w:t>
      </w:r>
      <w:proofErr w:type="spellEnd"/>
      <w:r w:rsidRPr="002C5BBB">
        <w:rPr>
          <w:rFonts w:ascii="Times New Roman" w:eastAsia="Times New Roman" w:hAnsi="Times New Roman" w:cs="Times New Roman"/>
          <w:i/>
          <w:iCs/>
        </w:rPr>
        <w:t xml:space="preserve"> nátriumot tartalmaz</w:t>
      </w:r>
    </w:p>
    <w:p w14:paraId="14F1609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2C5BBB">
        <w:rPr>
          <w:rFonts w:ascii="Times New Roman" w:eastAsia="Times New Roman" w:hAnsi="Times New Roman" w:cs="Times New Roman"/>
          <w:bCs/>
        </w:rPr>
        <w:t>Ez a gyógyszer kevesebb mint 1 </w:t>
      </w:r>
      <w:proofErr w:type="spellStart"/>
      <w:r w:rsidRPr="002C5BBB">
        <w:rPr>
          <w:rFonts w:ascii="Times New Roman" w:eastAsia="Times New Roman" w:hAnsi="Times New Roman" w:cs="Times New Roman"/>
          <w:bCs/>
        </w:rPr>
        <w:t>mmol</w:t>
      </w:r>
      <w:proofErr w:type="spellEnd"/>
      <w:r w:rsidRPr="002C5BBB">
        <w:rPr>
          <w:rFonts w:ascii="Times New Roman" w:eastAsia="Times New Roman" w:hAnsi="Times New Roman" w:cs="Times New Roman"/>
          <w:bCs/>
        </w:rPr>
        <w:t xml:space="preserve"> (23 mg) nátriumot tartalmaz tablettánként, azaz gyakorlatilag „nátriummentes”.</w:t>
      </w:r>
    </w:p>
    <w:p w14:paraId="0B12C4F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6A1BF2BA" w14:textId="77777777" w:rsidR="002C5BBB" w:rsidRPr="002C5BBB" w:rsidRDefault="002C5BBB" w:rsidP="002C5BBB">
      <w:pPr>
        <w:keepNext/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4.5</w:t>
      </w:r>
      <w:r w:rsidRPr="002C5BBB">
        <w:rPr>
          <w:rFonts w:ascii="Times New Roman" w:eastAsia="Times New Roman" w:hAnsi="Times New Roman" w:cs="Times New Roman"/>
          <w:b/>
        </w:rPr>
        <w:tab/>
        <w:t>Gyógyszerkölcsönhatások és egyéb interakciók</w:t>
      </w:r>
    </w:p>
    <w:p w14:paraId="4D3BBB16" w14:textId="77777777" w:rsidR="002C5BBB" w:rsidRPr="002C5BBB" w:rsidRDefault="002C5BBB" w:rsidP="002C5BBB">
      <w:pPr>
        <w:keepNext/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</w:rPr>
      </w:pPr>
    </w:p>
    <w:p w14:paraId="07851BF4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  <w:r w:rsidRPr="002C5BBB">
        <w:rPr>
          <w:rFonts w:ascii="Times New Roman" w:eastAsia="Times New Roman" w:hAnsi="Times New Roman" w:cs="Times New Roman"/>
          <w:u w:val="single"/>
          <w:lang w:eastAsia="de-DE"/>
        </w:rPr>
        <w:t>Interakciós vizsgálatokat csak felnőttek körében végeztek, amelyek az alábbiakban kerülnek összefoglalásra.</w:t>
      </w:r>
    </w:p>
    <w:p w14:paraId="188E14C4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</w:p>
    <w:p w14:paraId="1DBF74BA" w14:textId="602CC0C2" w:rsidR="002C5BBB" w:rsidRPr="002C5BBB" w:rsidRDefault="005269C5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0711DF">
        <w:rPr>
          <w:rFonts w:ascii="Times New Roman" w:hAnsi="Times New Roman"/>
          <w:u w:val="single"/>
        </w:rPr>
        <w:t>Táplálékkal való kölcsönhatás</w:t>
      </w:r>
      <w:r w:rsidR="002C5BBB" w:rsidRPr="002C5BBB">
        <w:rPr>
          <w:rFonts w:ascii="Times New Roman" w:eastAsia="Times New Roman" w:hAnsi="Times New Roman" w:cs="Times New Roman"/>
          <w:u w:val="single"/>
          <w:lang w:eastAsia="de-DE"/>
        </w:rPr>
        <w:t>:</w:t>
      </w:r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A táplálékbevitel jelentős mértékben, 30%-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kal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csökkenti a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orális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biohasznosulását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>.</w:t>
      </w:r>
    </w:p>
    <w:p w14:paraId="54EDCF06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de-DE"/>
        </w:rPr>
      </w:pPr>
    </w:p>
    <w:p w14:paraId="422BEFA6" w14:textId="233B8CC2" w:rsidR="002C5BBB" w:rsidRPr="002C5BBB" w:rsidRDefault="005269C5" w:rsidP="002C5BBB">
      <w:pPr>
        <w:spacing w:after="0" w:line="240" w:lineRule="auto"/>
        <w:rPr>
          <w:rFonts w:ascii="Times New Roman" w:eastAsia="Times New Roman" w:hAnsi="Times New Roman" w:cs="Times New Roman"/>
          <w:lang w:eastAsia="de-DE"/>
        </w:rPr>
      </w:pPr>
      <w:r w:rsidRPr="000711DF">
        <w:rPr>
          <w:rFonts w:ascii="Times New Roman" w:hAnsi="Times New Roman"/>
          <w:u w:val="single"/>
        </w:rPr>
        <w:t>Gr</w:t>
      </w:r>
      <w:r w:rsidR="00CB6F47">
        <w:rPr>
          <w:rFonts w:ascii="Times New Roman" w:hAnsi="Times New Roman"/>
          <w:u w:val="single"/>
        </w:rPr>
        <w:t>é</w:t>
      </w:r>
      <w:r w:rsidRPr="000711DF">
        <w:rPr>
          <w:rFonts w:ascii="Times New Roman" w:hAnsi="Times New Roman"/>
          <w:u w:val="single"/>
        </w:rPr>
        <w:t>pfr</w:t>
      </w:r>
      <w:r w:rsidR="00CB6F47">
        <w:rPr>
          <w:rFonts w:ascii="Times New Roman" w:hAnsi="Times New Roman"/>
          <w:u w:val="single"/>
        </w:rPr>
        <w:t>ú</w:t>
      </w:r>
      <w:r w:rsidRPr="000711DF">
        <w:rPr>
          <w:rFonts w:ascii="Times New Roman" w:hAnsi="Times New Roman"/>
          <w:u w:val="single"/>
        </w:rPr>
        <w:t>tlével való kölcsönhatás</w:t>
      </w:r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: 20 mg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és grépfrútlé egyidejű bevitele 30%-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kal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csökkentette a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orális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biohasznosulását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. Ezt a hatást más gyümölcslevek is kiválthatják. A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biohasznosulás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csökkenése változó mértékű lehet a termék gyártójától és a gyümölcstől függően. Az interakció mechanizmusa egy felvevő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transzporter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, az OATP1A2 gátlásán alapul, amelynek a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egy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szubsztrátja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(lásd 5.2 pont). Azok a gyógyszerek, amelyek az OATP1A2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szubsztrátjai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vagy gátlói, például a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ritonavir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vagy a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rifampicin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, szintén rendelkeznek a </w:t>
      </w:r>
      <w:proofErr w:type="spellStart"/>
      <w:r w:rsidR="002C5BBB" w:rsidRPr="002C5BBB">
        <w:rPr>
          <w:rFonts w:ascii="Times New Roman" w:eastAsia="Times New Roman" w:hAnsi="Times New Roman" w:cs="Times New Roman"/>
          <w:lang w:eastAsia="de-DE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  <w:lang w:eastAsia="de-DE"/>
        </w:rPr>
        <w:t xml:space="preserve"> plazmakoncentrációját csökkentő potenciállal.</w:t>
      </w:r>
    </w:p>
    <w:p w14:paraId="2A957E4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14:paraId="441B6FB8" w14:textId="714BC844" w:rsidR="002C5BBB" w:rsidRPr="002C5BBB" w:rsidRDefault="00865538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92B00">
        <w:rPr>
          <w:rFonts w:ascii="Times New Roman" w:hAnsi="Times New Roman" w:cs="Times New Roman"/>
          <w:u w:val="single"/>
        </w:rPr>
        <w:t>Ketokonazollal</w:t>
      </w:r>
      <w:proofErr w:type="spellEnd"/>
      <w:r w:rsidRPr="00592B00">
        <w:rPr>
          <w:rFonts w:ascii="Times New Roman" w:hAnsi="Times New Roman" w:cs="Times New Roman"/>
          <w:u w:val="single"/>
        </w:rPr>
        <w:t xml:space="preserve"> vagy </w:t>
      </w:r>
      <w:proofErr w:type="spellStart"/>
      <w:r w:rsidRPr="00592B00">
        <w:rPr>
          <w:rFonts w:ascii="Times New Roman" w:hAnsi="Times New Roman" w:cs="Times New Roman"/>
          <w:u w:val="single"/>
        </w:rPr>
        <w:t>eritromicinnel</w:t>
      </w:r>
      <w:proofErr w:type="spellEnd"/>
      <w:r w:rsidRPr="00592B00">
        <w:rPr>
          <w:rFonts w:ascii="Times New Roman" w:hAnsi="Times New Roman" w:cs="Times New Roman"/>
          <w:u w:val="single"/>
        </w:rPr>
        <w:t xml:space="preserve"> való kölcsönhatás</w:t>
      </w:r>
      <w:r w:rsidR="002C5BBB" w:rsidRPr="00865538">
        <w:rPr>
          <w:rFonts w:ascii="Times New Roman" w:eastAsia="Times New Roman" w:hAnsi="Times New Roman" w:cs="Times New Roman"/>
          <w:u w:val="single"/>
        </w:rPr>
        <w:t>:</w:t>
      </w:r>
      <w:r w:rsidR="002C5BBB" w:rsidRPr="002C5BBB">
        <w:rPr>
          <w:rFonts w:ascii="Times New Roman" w:eastAsia="Times New Roman" w:hAnsi="Times New Roman" w:cs="Times New Roman"/>
        </w:rPr>
        <w:t xml:space="preserve"> Napi egyszeri 20 mg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és napi egyszeri 400 mg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ketokonazol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vagy napi háromszori 500 mg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eritromicin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egyidejű alkalmazásakor a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AUC-értéke 2-szeresére, a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C</w:t>
      </w:r>
      <w:r w:rsidR="002C5BBB" w:rsidRPr="002C5BBB">
        <w:rPr>
          <w:rFonts w:ascii="Times New Roman" w:eastAsia="Times New Roman" w:hAnsi="Times New Roman" w:cs="Times New Roman"/>
          <w:vertAlign w:val="subscript"/>
        </w:rPr>
        <w:t>max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>-érték pedig 2-3-szorosára emelkedett.</w:t>
      </w:r>
    </w:p>
    <w:p w14:paraId="6B99C992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Ezek a változások az </w:t>
      </w:r>
      <w:proofErr w:type="spellStart"/>
      <w:r w:rsidRPr="002C5BBB">
        <w:rPr>
          <w:rFonts w:ascii="Times New Roman" w:eastAsia="Times New Roman" w:hAnsi="Times New Roman" w:cs="Times New Roman"/>
        </w:rPr>
        <w:t>intestinalis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efflux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transzporterekkel létrejövő kölcsönhatással </w:t>
      </w:r>
      <w:proofErr w:type="spellStart"/>
      <w:r w:rsidRPr="002C5BBB">
        <w:rPr>
          <w:rFonts w:ascii="Times New Roman" w:eastAsia="Times New Roman" w:hAnsi="Times New Roman" w:cs="Times New Roman"/>
        </w:rPr>
        <w:t>magyarázhatóak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mivel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 P-</w:t>
      </w:r>
      <w:proofErr w:type="spellStart"/>
      <w:r w:rsidRPr="002C5BBB">
        <w:rPr>
          <w:rFonts w:ascii="Times New Roman" w:eastAsia="Times New Roman" w:hAnsi="Times New Roman" w:cs="Times New Roman"/>
        </w:rPr>
        <w:t>gp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szubsztrátja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és nem </w:t>
      </w:r>
      <w:proofErr w:type="spellStart"/>
      <w:r w:rsidRPr="002C5BBB">
        <w:rPr>
          <w:rFonts w:ascii="Times New Roman" w:eastAsia="Times New Roman" w:hAnsi="Times New Roman" w:cs="Times New Roman"/>
        </w:rPr>
        <w:t>metabolizálódik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(lásd 5.2 pont). Ezek a változások valószínűleg nem befolyásolják sem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sem a </w:t>
      </w:r>
      <w:proofErr w:type="spellStart"/>
      <w:r w:rsidRPr="002C5BBB">
        <w:rPr>
          <w:rFonts w:ascii="Times New Roman" w:eastAsia="Times New Roman" w:hAnsi="Times New Roman" w:cs="Times New Roman"/>
        </w:rPr>
        <w:t>ketokonazol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vagy az </w:t>
      </w:r>
      <w:proofErr w:type="spellStart"/>
      <w:r w:rsidRPr="002C5BBB">
        <w:rPr>
          <w:rFonts w:ascii="Times New Roman" w:eastAsia="Times New Roman" w:hAnsi="Times New Roman" w:cs="Times New Roman"/>
        </w:rPr>
        <w:t>eritromicin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biztonságossági profilját. Más olyan gyógyszerek, melyek a P-</w:t>
      </w:r>
      <w:proofErr w:type="spellStart"/>
      <w:r w:rsidRPr="002C5BBB">
        <w:rPr>
          <w:rFonts w:ascii="Times New Roman" w:eastAsia="Times New Roman" w:hAnsi="Times New Roman" w:cs="Times New Roman"/>
        </w:rPr>
        <w:t>gp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szubsztrátjai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vagy inhibitorai, például a </w:t>
      </w:r>
      <w:proofErr w:type="spellStart"/>
      <w:r w:rsidRPr="002C5BBB">
        <w:rPr>
          <w:rFonts w:ascii="Times New Roman" w:eastAsia="Times New Roman" w:hAnsi="Times New Roman" w:cs="Times New Roman"/>
        </w:rPr>
        <w:t>ciklosporin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szintén képesek lehetnek növelni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plazmakoncentrációját.</w:t>
      </w:r>
    </w:p>
    <w:p w14:paraId="05D6DD2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14:paraId="1EEFD9FF" w14:textId="3ED666CA" w:rsidR="002C5BBB" w:rsidRPr="002C5BBB" w:rsidRDefault="00933EA7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92B00">
        <w:rPr>
          <w:rFonts w:ascii="Times New Roman" w:hAnsi="Times New Roman" w:cs="Times New Roman"/>
          <w:u w:val="single"/>
        </w:rPr>
        <w:t>Diltiazemm</w:t>
      </w:r>
      <w:r w:rsidR="00FD03DC">
        <w:rPr>
          <w:rFonts w:ascii="Times New Roman" w:hAnsi="Times New Roman" w:cs="Times New Roman"/>
          <w:u w:val="single"/>
        </w:rPr>
        <w:t>e</w:t>
      </w:r>
      <w:r w:rsidRPr="00592B00">
        <w:rPr>
          <w:rFonts w:ascii="Times New Roman" w:hAnsi="Times New Roman" w:cs="Times New Roman"/>
          <w:u w:val="single"/>
        </w:rPr>
        <w:t>l</w:t>
      </w:r>
      <w:proofErr w:type="spellEnd"/>
      <w:r w:rsidRPr="00592B00">
        <w:rPr>
          <w:rFonts w:ascii="Times New Roman" w:hAnsi="Times New Roman" w:cs="Times New Roman"/>
          <w:u w:val="single"/>
        </w:rPr>
        <w:t xml:space="preserve"> való kölcsönhatás</w:t>
      </w:r>
      <w:r w:rsidR="002C5BBB" w:rsidRPr="00933EA7">
        <w:rPr>
          <w:rFonts w:ascii="Times New Roman" w:eastAsia="Times New Roman" w:hAnsi="Times New Roman" w:cs="Times New Roman"/>
        </w:rPr>
        <w:t xml:space="preserve">: </w:t>
      </w:r>
      <w:r w:rsidR="002C5BBB" w:rsidRPr="002C5BBB">
        <w:rPr>
          <w:rFonts w:ascii="Times New Roman" w:eastAsia="Times New Roman" w:hAnsi="Times New Roman" w:cs="Times New Roman"/>
        </w:rPr>
        <w:t xml:space="preserve">Napi egyszeri 20 mg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és napi egyszeri 60 mg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diltiazem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egyidejű alkalmazásakor a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C</w:t>
      </w:r>
      <w:r w:rsidR="002C5BBB" w:rsidRPr="002C5BBB">
        <w:rPr>
          <w:rFonts w:ascii="Times New Roman" w:eastAsia="Times New Roman" w:hAnsi="Times New Roman" w:cs="Times New Roman"/>
          <w:vertAlign w:val="subscript"/>
        </w:rPr>
        <w:t>max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>-értéke 50%-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kal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emelkedett. Ez a változás az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intestinalis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efflux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transzporterekkel (lásd 5.2 pont) létrejövő kölcsönhatással magyarázható, és valószínűleg nem befolyásolja a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biztonságossági profilját.</w:t>
      </w:r>
    </w:p>
    <w:p w14:paraId="728ACC8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14:paraId="51D5160F" w14:textId="40EB53A3" w:rsidR="002C5BBB" w:rsidRPr="002C5BBB" w:rsidRDefault="00933EA7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592B00">
        <w:rPr>
          <w:rFonts w:ascii="Times New Roman" w:hAnsi="Times New Roman" w:cs="Times New Roman"/>
          <w:u w:val="single"/>
        </w:rPr>
        <w:t>Alkohollal való kölcsönhatás</w:t>
      </w:r>
      <w:r w:rsidR="002C5BBB" w:rsidRPr="002C5BBB">
        <w:rPr>
          <w:rFonts w:ascii="Times New Roman" w:eastAsia="Times New Roman" w:hAnsi="Times New Roman" w:cs="Times New Roman"/>
        </w:rPr>
        <w:t xml:space="preserve"> A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psychomotoros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teljesítmény alkohol és napi egyszeri 20 mg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egyidejű bevitelét követően hasonló volt az alkohol és a placebo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együttadása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esetén tapasztaltakkal.</w:t>
      </w:r>
    </w:p>
    <w:p w14:paraId="76BC0E25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14:paraId="27779356" w14:textId="1EF45C70" w:rsidR="002C5BBB" w:rsidRPr="002C5BBB" w:rsidRDefault="00933EA7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92B00">
        <w:rPr>
          <w:rFonts w:ascii="Times New Roman" w:hAnsi="Times New Roman" w:cs="Times New Roman"/>
          <w:u w:val="single"/>
        </w:rPr>
        <w:t>Lorazepámmal</w:t>
      </w:r>
      <w:proofErr w:type="spellEnd"/>
      <w:r w:rsidRPr="00592B00">
        <w:rPr>
          <w:rFonts w:ascii="Times New Roman" w:hAnsi="Times New Roman" w:cs="Times New Roman"/>
          <w:u w:val="single"/>
        </w:rPr>
        <w:t xml:space="preserve"> való kölcsönhatás</w:t>
      </w:r>
      <w:r w:rsidR="002C5BBB" w:rsidRPr="002C5BBB">
        <w:rPr>
          <w:rFonts w:ascii="Times New Roman" w:eastAsia="Times New Roman" w:hAnsi="Times New Roman" w:cs="Times New Roman"/>
        </w:rPr>
        <w:t xml:space="preserve">: 8 napos, napi egyszeri 20 mg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és napi egyszeri 3 mg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lorazepámmal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történő egyidejű kezelés nem fokozta a </w:t>
      </w:r>
      <w:proofErr w:type="spellStart"/>
      <w:r w:rsidR="002C5BBB" w:rsidRPr="002C5BBB">
        <w:rPr>
          <w:rFonts w:ascii="Times New Roman" w:eastAsia="Times New Roman" w:hAnsi="Times New Roman" w:cs="Times New Roman"/>
        </w:rPr>
        <w:t>lorazepám</w:t>
      </w:r>
      <w:proofErr w:type="spellEnd"/>
      <w:r w:rsidR="002C5BBB" w:rsidRPr="002C5BBB">
        <w:rPr>
          <w:rFonts w:ascii="Times New Roman" w:eastAsia="Times New Roman" w:hAnsi="Times New Roman" w:cs="Times New Roman"/>
        </w:rPr>
        <w:t xml:space="preserve"> központi idegrendszeri depressziót okozó hatásait.</w:t>
      </w:r>
    </w:p>
    <w:p w14:paraId="315C0151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1AB474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</w:rPr>
      </w:pPr>
      <w:r w:rsidRPr="002C5BBB">
        <w:rPr>
          <w:rFonts w:ascii="Times New Roman" w:eastAsia="Times New Roman" w:hAnsi="Times New Roman" w:cs="Times New Roman"/>
          <w:i/>
        </w:rPr>
        <w:t>Gyermekek és serdülők</w:t>
      </w:r>
    </w:p>
    <w:p w14:paraId="0827F9E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Interakciós vizsgálatokat csak felnőttek körében végeztek. Mivel gyermekek és serdülők esetében nincs klinikai tapasztalat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más gyógyszerekkel, étellel vagy gyümölcslevekkel való kölcsönhatásaira vonatkozóan, ezért jelenleg a felnőtteknél végzett interakciós vizsgálatok eredményeire kell támaszkodni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gyermekeknek és serdülőknek történő felírásakor. Gyermekek és serdülők esetében nincsenek klinikai adatok annak megállapítására, hogy a kölcsönhatások miatt bekövetkező AUC vagy a </w:t>
      </w:r>
      <w:proofErr w:type="spellStart"/>
      <w:r w:rsidRPr="002C5BBB">
        <w:rPr>
          <w:rFonts w:ascii="Times New Roman" w:eastAsia="Times New Roman" w:hAnsi="Times New Roman" w:cs="Times New Roman"/>
        </w:rPr>
        <w:t>C</w:t>
      </w:r>
      <w:r w:rsidRPr="002C5BBB">
        <w:rPr>
          <w:rFonts w:ascii="Times New Roman" w:eastAsia="Times New Roman" w:hAnsi="Times New Roman" w:cs="Times New Roman"/>
          <w:vertAlign w:val="subscript"/>
        </w:rPr>
        <w:t>max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változások befolyásolják-e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biztonságossági profilját.</w:t>
      </w:r>
    </w:p>
    <w:p w14:paraId="00ABDBA2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C1583DB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4.6</w:t>
      </w:r>
      <w:r w:rsidRPr="002C5BBB">
        <w:rPr>
          <w:rFonts w:ascii="Times New Roman" w:eastAsia="Times New Roman" w:hAnsi="Times New Roman" w:cs="Times New Roman"/>
          <w:b/>
        </w:rPr>
        <w:tab/>
        <w:t>Termékenység, terhesség és szoptatás</w:t>
      </w:r>
    </w:p>
    <w:p w14:paraId="407056A1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0B83D46" w14:textId="4076561D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852977">
        <w:rPr>
          <w:rFonts w:ascii="Times New Roman" w:eastAsia="Times New Roman" w:hAnsi="Times New Roman" w:cs="Times New Roman"/>
          <w:u w:val="single"/>
        </w:rPr>
        <w:t>Terhesség</w:t>
      </w:r>
      <w:r w:rsidRPr="00852977">
        <w:rPr>
          <w:rFonts w:ascii="Times New Roman" w:eastAsia="Times New Roman" w:hAnsi="Times New Roman" w:cs="Times New Roman"/>
        </w:rPr>
        <w:t xml:space="preserve">: A </w:t>
      </w:r>
      <w:proofErr w:type="spellStart"/>
      <w:r w:rsidRPr="00852977">
        <w:rPr>
          <w:rFonts w:ascii="Times New Roman" w:eastAsia="Times New Roman" w:hAnsi="Times New Roman" w:cs="Times New Roman"/>
        </w:rPr>
        <w:t>bilasztin</w:t>
      </w:r>
      <w:proofErr w:type="spellEnd"/>
      <w:r w:rsidRPr="00852977">
        <w:rPr>
          <w:rFonts w:ascii="Times New Roman" w:eastAsia="Times New Roman" w:hAnsi="Times New Roman" w:cs="Times New Roman"/>
        </w:rPr>
        <w:t xml:space="preserve"> terhes nőknél történő alkalmazására vonatkozóan nem állnak rendelkezésre adatok, vagy csak korlátozott mennyiségű adat áll rendelkezésre. </w:t>
      </w:r>
      <w:r w:rsidR="00E121DE" w:rsidRPr="00852977">
        <w:rPr>
          <w:rFonts w:ascii="Times New Roman" w:eastAsia="Times New Roman" w:hAnsi="Times New Roman" w:cs="Times New Roman"/>
        </w:rPr>
        <w:t xml:space="preserve">Az állatkísérletek során </w:t>
      </w:r>
      <w:r w:rsidRPr="00852977">
        <w:rPr>
          <w:rFonts w:ascii="Times New Roman" w:eastAsia="Times New Roman" w:hAnsi="Times New Roman" w:cs="Times New Roman"/>
        </w:rPr>
        <w:t>nem</w:t>
      </w:r>
      <w:r w:rsidR="00E121DE" w:rsidRPr="00852977">
        <w:rPr>
          <w:rFonts w:ascii="Times New Roman" w:eastAsia="Times New Roman" w:hAnsi="Times New Roman" w:cs="Times New Roman"/>
        </w:rPr>
        <w:t xml:space="preserve"> mutattak ki a </w:t>
      </w:r>
      <w:r w:rsidRPr="00852977">
        <w:rPr>
          <w:rFonts w:ascii="Times New Roman" w:eastAsia="Times New Roman" w:hAnsi="Times New Roman" w:cs="Times New Roman"/>
        </w:rPr>
        <w:t>reprodukcióra,</w:t>
      </w:r>
      <w:r w:rsidR="00E121DE" w:rsidRPr="00852977">
        <w:rPr>
          <w:rFonts w:ascii="Times New Roman" w:eastAsia="Times New Roman" w:hAnsi="Times New Roman" w:cs="Times New Roman"/>
        </w:rPr>
        <w:t xml:space="preserve"> a </w:t>
      </w:r>
      <w:r w:rsidRPr="00852977">
        <w:rPr>
          <w:rFonts w:ascii="Times New Roman" w:eastAsia="Times New Roman" w:hAnsi="Times New Roman" w:cs="Times New Roman"/>
        </w:rPr>
        <w:t>szülésre vagy</w:t>
      </w:r>
      <w:r w:rsidR="00E121DE" w:rsidRPr="00852977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852977">
        <w:rPr>
          <w:rFonts w:ascii="Times New Roman" w:eastAsia="Times New Roman" w:hAnsi="Times New Roman" w:cs="Times New Roman"/>
        </w:rPr>
        <w:t>postnatalis</w:t>
      </w:r>
      <w:proofErr w:type="spellEnd"/>
      <w:r w:rsidRPr="00852977">
        <w:rPr>
          <w:rFonts w:ascii="Times New Roman" w:eastAsia="Times New Roman" w:hAnsi="Times New Roman" w:cs="Times New Roman"/>
        </w:rPr>
        <w:t xml:space="preserve"> fejlődésre kifejtett, közvetlen vagy közvetett káros hatásokat</w:t>
      </w:r>
      <w:r w:rsidR="00E121DE" w:rsidRPr="00852977">
        <w:rPr>
          <w:rFonts w:ascii="Times New Roman" w:eastAsia="Times New Roman" w:hAnsi="Times New Roman" w:cs="Times New Roman"/>
        </w:rPr>
        <w:t xml:space="preserve"> </w:t>
      </w:r>
      <w:r w:rsidRPr="00852977">
        <w:rPr>
          <w:rFonts w:ascii="Times New Roman" w:eastAsia="Times New Roman" w:hAnsi="Times New Roman" w:cs="Times New Roman"/>
          <w:bCs/>
          <w:iCs/>
        </w:rPr>
        <w:t>(</w:t>
      </w:r>
      <w:r w:rsidRPr="00852977">
        <w:rPr>
          <w:rFonts w:ascii="Times New Roman" w:eastAsia="Times New Roman" w:hAnsi="Times New Roman" w:cs="Times New Roman"/>
        </w:rPr>
        <w:t xml:space="preserve">lásd 5.3 pont). Elővigyázatosságból azonban a </w:t>
      </w:r>
      <w:proofErr w:type="spellStart"/>
      <w:r w:rsidRPr="00852977">
        <w:rPr>
          <w:rFonts w:ascii="Times New Roman" w:eastAsia="Times New Roman" w:hAnsi="Times New Roman" w:cs="Times New Roman"/>
        </w:rPr>
        <w:t>bilasztin</w:t>
      </w:r>
      <w:proofErr w:type="spellEnd"/>
      <w:r w:rsidRPr="00852977">
        <w:rPr>
          <w:rFonts w:ascii="Times New Roman" w:eastAsia="Times New Roman" w:hAnsi="Times New Roman" w:cs="Times New Roman"/>
        </w:rPr>
        <w:t xml:space="preserve"> alkalmazása terhesség idején kerülendő.</w:t>
      </w:r>
    </w:p>
    <w:p w14:paraId="271377A7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0E2179D" w14:textId="6CCAF854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  <w:u w:val="single"/>
        </w:rPr>
        <w:t>Szoptatás</w:t>
      </w:r>
      <w:r w:rsidRPr="002C5BBB">
        <w:rPr>
          <w:rFonts w:ascii="Times New Roman" w:eastAsia="Times New Roman" w:hAnsi="Times New Roman" w:cs="Times New Roman"/>
        </w:rPr>
        <w:t xml:space="preserve">: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humán anyatejbe történő kiválasztódását nem vizsgálták. A rendelkezésre álló, állatkísérletek során kapott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adatok azt igazolták, hogy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kiválasztódik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az anyatejbe (lásd 5.3 pont). Annak eldöntéséhez, hogy a szoptatást vagy </w:t>
      </w:r>
      <w:proofErr w:type="spellStart"/>
      <w:r w:rsidR="00AD4479">
        <w:rPr>
          <w:rFonts w:ascii="Times New Roman" w:eastAsia="Times New Roman" w:hAnsi="Times New Roman" w:cs="Times New Roman"/>
        </w:rPr>
        <w:t>Novapoll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-kezelést hagyják-e abba, figyelembe kell venni a szoptatás előnyét a gyermek, valamint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-terápia előnyét az anya </w:t>
      </w:r>
      <w:r w:rsidR="00FD03DC">
        <w:rPr>
          <w:rFonts w:ascii="Times New Roman" w:eastAsia="Times New Roman" w:hAnsi="Times New Roman" w:cs="Times New Roman"/>
        </w:rPr>
        <w:t>szempontjából</w:t>
      </w:r>
      <w:r w:rsidRPr="002C5BBB">
        <w:rPr>
          <w:rFonts w:ascii="Times New Roman" w:eastAsia="Times New Roman" w:hAnsi="Times New Roman" w:cs="Times New Roman"/>
        </w:rPr>
        <w:t>.</w:t>
      </w:r>
    </w:p>
    <w:p w14:paraId="6CB0A29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Verdana" w:hAnsi="Times New Roman" w:cs="Times New Roman"/>
        </w:rPr>
      </w:pPr>
    </w:p>
    <w:p w14:paraId="4F5B9DA1" w14:textId="1F8B0324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  <w:u w:val="single"/>
        </w:rPr>
        <w:t>Termékenység:</w:t>
      </w:r>
      <w:r w:rsidRPr="002C5BBB">
        <w:rPr>
          <w:rFonts w:ascii="Times New Roman" w:eastAsia="Times New Roman" w:hAnsi="Times New Roman" w:cs="Times New Roman"/>
        </w:rPr>
        <w:t xml:space="preserve"> Klinikai adatok nem állnak rendelkezésre, vagy csak korlátozott mennyiségű adat áll rendelkezésre. Egy patkányok</w:t>
      </w:r>
      <w:r w:rsidR="00933EA7">
        <w:rPr>
          <w:rFonts w:ascii="Times New Roman" w:eastAsia="Times New Roman" w:hAnsi="Times New Roman" w:cs="Times New Roman"/>
        </w:rPr>
        <w:t>kal</w:t>
      </w:r>
      <w:r w:rsidRPr="002C5BBB">
        <w:rPr>
          <w:rFonts w:ascii="Times New Roman" w:eastAsia="Times New Roman" w:hAnsi="Times New Roman" w:cs="Times New Roman"/>
        </w:rPr>
        <w:t xml:space="preserve"> végzett vizsgálat során nem mutattak ki a termékenységre vonatkozó</w:t>
      </w:r>
      <w:r w:rsidRPr="002C5BBB" w:rsidDel="0052421E">
        <w:rPr>
          <w:rFonts w:ascii="Times New Roman" w:eastAsia="Times New Roman" w:hAnsi="Times New Roman" w:cs="Times New Roman"/>
        </w:rPr>
        <w:t xml:space="preserve"> </w:t>
      </w:r>
      <w:r w:rsidRPr="002C5BBB">
        <w:rPr>
          <w:rFonts w:ascii="Times New Roman" w:eastAsia="Times New Roman" w:hAnsi="Times New Roman" w:cs="Times New Roman"/>
        </w:rPr>
        <w:t>negatív hatást (lásd 5.3 pont).</w:t>
      </w:r>
    </w:p>
    <w:p w14:paraId="08BB0AAD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A953284" w14:textId="77777777" w:rsidR="002C5BBB" w:rsidRPr="002C5BBB" w:rsidRDefault="002C5BBB" w:rsidP="00592B00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</w:rPr>
      </w:pPr>
      <w:r w:rsidRPr="002C5BBB">
        <w:rPr>
          <w:rFonts w:ascii="Times New Roman" w:eastAsia="Times New Roman" w:hAnsi="Times New Roman" w:cs="Times New Roman"/>
          <w:b/>
          <w:bCs/>
        </w:rPr>
        <w:t>4.7</w:t>
      </w:r>
      <w:r w:rsidRPr="002C5BBB">
        <w:rPr>
          <w:rFonts w:ascii="Times New Roman" w:eastAsia="Times New Roman" w:hAnsi="Times New Roman" w:cs="Times New Roman"/>
          <w:b/>
          <w:bCs/>
        </w:rPr>
        <w:tab/>
        <w:t>A készítmény hatásai a gépjárművezetéshez és a gépek kezeléséhez szükséges képességekre</w:t>
      </w:r>
    </w:p>
    <w:p w14:paraId="18BFB71D" w14:textId="77777777" w:rsidR="002C5BBB" w:rsidRPr="002C5BBB" w:rsidRDefault="002C5BBB" w:rsidP="00592B00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DE0A01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Egy,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r w:rsidRPr="002C5BBB">
        <w:rPr>
          <w:rFonts w:ascii="Times New Roman" w:eastAsia="Times New Roman" w:hAnsi="Times New Roman" w:cs="Times New Roman"/>
          <w:bCs/>
        </w:rPr>
        <w:t>gépjárművezetéshez és gépek kezeléséhez szükséges képességekre</w:t>
      </w:r>
      <w:r w:rsidRPr="002C5BBB">
        <w:rPr>
          <w:rFonts w:ascii="Times New Roman" w:eastAsia="Times New Roman" w:hAnsi="Times New Roman" w:cs="Times New Roman"/>
        </w:rPr>
        <w:t xml:space="preserve"> gyakorolt hatását értékelő vizsgálatban 20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történő kezelés nem befolyásolta a gépjárművezetéshez és gépek kezeléséhez szükséges képességeket. Azonban, mivel a gyógyszerre adott egyéni válaszok különbözőek lehetnek, a betegeket figyelmeztetni kell, hogy ne vezessenek gépjárművet vagy ne kezeljenek gépeket, amíg meg nem győződnek arról, hogy hogyan reagál saját szervezetük a </w:t>
      </w:r>
      <w:proofErr w:type="spellStart"/>
      <w:r w:rsidRPr="002C5BBB">
        <w:rPr>
          <w:rFonts w:ascii="Times New Roman" w:eastAsia="Times New Roman" w:hAnsi="Times New Roman" w:cs="Times New Roman"/>
        </w:rPr>
        <w:t>bilasztinra</w:t>
      </w:r>
      <w:proofErr w:type="spellEnd"/>
      <w:r w:rsidRPr="002C5BBB">
        <w:rPr>
          <w:rFonts w:ascii="Times New Roman" w:eastAsia="Times New Roman" w:hAnsi="Times New Roman" w:cs="Times New Roman"/>
        </w:rPr>
        <w:t>.</w:t>
      </w:r>
    </w:p>
    <w:p w14:paraId="7D6B446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172D569B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4.8</w:t>
      </w:r>
      <w:r w:rsidRPr="002C5BBB">
        <w:rPr>
          <w:rFonts w:ascii="Times New Roman" w:eastAsia="Times New Roman" w:hAnsi="Times New Roman" w:cs="Times New Roman"/>
          <w:b/>
        </w:rPr>
        <w:tab/>
        <w:t>Nemkívánatos hatások, mellékhatások</w:t>
      </w:r>
    </w:p>
    <w:p w14:paraId="41602A9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14E91C3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u w:val="single"/>
        </w:rPr>
      </w:pPr>
      <w:r w:rsidRPr="002C5BBB">
        <w:rPr>
          <w:rFonts w:ascii="Times New Roman" w:eastAsia="Times New Roman" w:hAnsi="Times New Roman" w:cs="Times New Roman"/>
          <w:iCs/>
          <w:u w:val="single"/>
        </w:rPr>
        <w:t>A biztonságossági profil összefoglalása felnőtteknél és serdülőknél</w:t>
      </w:r>
    </w:p>
    <w:p w14:paraId="0D291B49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klinikai vizsgálatok során a 20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kezelt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rhinoconjunctivitisben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vagy krónikus </w:t>
      </w:r>
      <w:proofErr w:type="spellStart"/>
      <w:r w:rsidRPr="002C5BBB">
        <w:rPr>
          <w:rFonts w:ascii="Times New Roman" w:eastAsia="Times New Roman" w:hAnsi="Times New Roman" w:cs="Times New Roman"/>
        </w:rPr>
        <w:t>idiopathiás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urticariában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szenvedő felnőtteknél és serdülőknél a mellékhatások előfordulási gyakorisága hasonló volt, mint a </w:t>
      </w:r>
      <w:proofErr w:type="spellStart"/>
      <w:r w:rsidRPr="002C5BBB">
        <w:rPr>
          <w:rFonts w:ascii="Times New Roman" w:eastAsia="Times New Roman" w:hAnsi="Times New Roman" w:cs="Times New Roman"/>
        </w:rPr>
        <w:t>placebóval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kezelt betegeknél (12,7% </w:t>
      </w:r>
      <w:r w:rsidRPr="002C5BBB">
        <w:rPr>
          <w:rFonts w:ascii="Times New Roman" w:eastAsia="Times New Roman" w:hAnsi="Times New Roman" w:cs="Times New Roman"/>
          <w:i/>
          <w:iCs/>
        </w:rPr>
        <w:t>vs.</w:t>
      </w:r>
      <w:r w:rsidRPr="002C5BBB">
        <w:rPr>
          <w:rFonts w:ascii="Times New Roman" w:eastAsia="Times New Roman" w:hAnsi="Times New Roman" w:cs="Times New Roman"/>
        </w:rPr>
        <w:t xml:space="preserve"> 12,8%).</w:t>
      </w:r>
    </w:p>
    <w:p w14:paraId="7D0876E3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8C5EB95" w14:textId="090AA3A0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klinikai fejlesztés során végzett II. és III. fázisú klinikai vizsgálatokban 2525 felnőtt vagy serdülőkorú beteget kezeltek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különböző dózisaival, akik közül 1697 beteg kapott 20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. Ezekben a vizsgálatokban 1362 beteg kapott placebokezelést. A 20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kezelt,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rhinoconjunctivitisben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vagy krónikus </w:t>
      </w:r>
      <w:proofErr w:type="spellStart"/>
      <w:r w:rsidRPr="002C5BBB">
        <w:rPr>
          <w:rFonts w:ascii="Times New Roman" w:eastAsia="Times New Roman" w:hAnsi="Times New Roman" w:cs="Times New Roman"/>
        </w:rPr>
        <w:t>idiopathiás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urticariában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szenvedő felnőtteknél vagy serdülőknél észlelt leggyakoribb mellékhatások a következők voltak: fejfájás, álmosság, szédülés és fáradékonyság. Ezek a mellékhatások hasonló gyakorisággal fordultak elő a </w:t>
      </w:r>
      <w:proofErr w:type="spellStart"/>
      <w:r w:rsidRPr="002C5BBB">
        <w:rPr>
          <w:rFonts w:ascii="Times New Roman" w:eastAsia="Times New Roman" w:hAnsi="Times New Roman" w:cs="Times New Roman"/>
        </w:rPr>
        <w:t>placebót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kapó betegeknél is.</w:t>
      </w:r>
    </w:p>
    <w:p w14:paraId="6BEB9C8D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8E1BCD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</w:rPr>
      </w:pPr>
      <w:r w:rsidRPr="002C5BBB">
        <w:rPr>
          <w:rFonts w:ascii="Times New Roman" w:eastAsia="Times New Roman" w:hAnsi="Times New Roman" w:cs="Times New Roman"/>
          <w:iCs/>
          <w:u w:val="single"/>
        </w:rPr>
        <w:t>A mellékhatások táblázatos összefoglalása felnőtteknél és serdülőknél</w:t>
      </w:r>
    </w:p>
    <w:p w14:paraId="7657A65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Az alábbi táblázat azokat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-kezeléssel legalább potenciálisan összefüggésbe hozható mellékhatásokat mutatja be, amelyeket a klinikai fejlesztés során a 20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kezelt betegek (n = 1697) több mint 0,1%-</w:t>
      </w:r>
      <w:proofErr w:type="spellStart"/>
      <w:r w:rsidRPr="002C5BBB">
        <w:rPr>
          <w:rFonts w:ascii="Times New Roman" w:eastAsia="Times New Roman" w:hAnsi="Times New Roman" w:cs="Times New Roman"/>
        </w:rPr>
        <w:t>ánál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jelentettek.</w:t>
      </w:r>
    </w:p>
    <w:p w14:paraId="1B95FDB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432939E" w14:textId="77777777" w:rsidR="002C5BBB" w:rsidRPr="002C5BBB" w:rsidDel="00006FF0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</w:rPr>
      </w:pPr>
      <w:r w:rsidRPr="002C5BBB">
        <w:rPr>
          <w:rFonts w:ascii="Times New Roman" w:eastAsia="Times New Roman" w:hAnsi="Times New Roman" w:cs="Times New Roman"/>
          <w:iCs/>
        </w:rPr>
        <w:t>A gyakorisági kategóriák az alábbiak:</w:t>
      </w:r>
    </w:p>
    <w:p w14:paraId="0355FB34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Nagyon gyakori (</w:t>
      </w:r>
      <w:r w:rsidRPr="002C5BBB">
        <w:rPr>
          <w:rFonts w:ascii="Times New Roman" w:eastAsia="Times New Roman" w:hAnsi="Times New Roman" w:cs="Times New Roman"/>
        </w:rPr>
        <w:sym w:font="Symbol" w:char="F0B3"/>
      </w:r>
      <w:r w:rsidRPr="002C5BBB">
        <w:rPr>
          <w:rFonts w:ascii="Times New Roman" w:eastAsia="Times New Roman" w:hAnsi="Times New Roman" w:cs="Times New Roman"/>
        </w:rPr>
        <w:t> 1/10)</w:t>
      </w:r>
    </w:p>
    <w:p w14:paraId="1492B576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Gyakori (</w:t>
      </w:r>
      <w:r w:rsidRPr="002C5BBB">
        <w:rPr>
          <w:rFonts w:ascii="Times New Roman" w:eastAsia="Times New Roman" w:hAnsi="Times New Roman" w:cs="Times New Roman"/>
        </w:rPr>
        <w:sym w:font="Symbol" w:char="F0B3"/>
      </w:r>
      <w:r w:rsidRPr="002C5BBB">
        <w:rPr>
          <w:rFonts w:ascii="Times New Roman" w:eastAsia="Times New Roman" w:hAnsi="Times New Roman" w:cs="Times New Roman"/>
        </w:rPr>
        <w:t> 1/100–&lt; 1/10)</w:t>
      </w:r>
    </w:p>
    <w:p w14:paraId="5B4832DA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Nem gyakori (</w:t>
      </w:r>
      <w:r w:rsidRPr="002C5BBB">
        <w:rPr>
          <w:rFonts w:ascii="Times New Roman" w:eastAsia="Times New Roman" w:hAnsi="Times New Roman" w:cs="Times New Roman"/>
        </w:rPr>
        <w:sym w:font="Symbol" w:char="F0B3"/>
      </w:r>
      <w:r w:rsidRPr="002C5BBB">
        <w:rPr>
          <w:rFonts w:ascii="Times New Roman" w:eastAsia="Times New Roman" w:hAnsi="Times New Roman" w:cs="Times New Roman"/>
        </w:rPr>
        <w:t> 1/1000–&lt; 1/100)</w:t>
      </w:r>
    </w:p>
    <w:p w14:paraId="7BD3BDDE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Ritka (</w:t>
      </w:r>
      <w:r w:rsidRPr="002C5BBB">
        <w:rPr>
          <w:rFonts w:ascii="Times New Roman" w:eastAsia="Times New Roman" w:hAnsi="Times New Roman" w:cs="Times New Roman"/>
        </w:rPr>
        <w:sym w:font="Symbol" w:char="F0B3"/>
      </w:r>
      <w:r w:rsidRPr="002C5BBB">
        <w:rPr>
          <w:rFonts w:ascii="Times New Roman" w:eastAsia="Times New Roman" w:hAnsi="Times New Roman" w:cs="Times New Roman"/>
        </w:rPr>
        <w:t> 1/10 000–&lt; 1/1000)</w:t>
      </w:r>
    </w:p>
    <w:p w14:paraId="0527E457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Nagyon ritka (&lt; 1/10 000)</w:t>
      </w:r>
    </w:p>
    <w:p w14:paraId="666F864A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Nem ismert (a gyakoriság a rendelkezésre álló adatokból nem állapítható meg).</w:t>
      </w:r>
    </w:p>
    <w:p w14:paraId="5F7FB6E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199671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Az alábbi táblázat nem tartalmazza a ritka, a nagyon ritka és a nem ismert gyakoriságú mellékhatásokat.</w:t>
      </w:r>
    </w:p>
    <w:p w14:paraId="35155BD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4974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1452"/>
        <w:gridCol w:w="3363"/>
        <w:gridCol w:w="1238"/>
        <w:gridCol w:w="18"/>
        <w:gridCol w:w="81"/>
        <w:gridCol w:w="1460"/>
        <w:gridCol w:w="1400"/>
      </w:tblGrid>
      <w:tr w:rsidR="002C5BBB" w:rsidRPr="002C5BBB" w14:paraId="332F51D2" w14:textId="77777777" w:rsidTr="00933EA7">
        <w:trPr>
          <w:cantSplit/>
          <w:tblHeader/>
        </w:trPr>
        <w:tc>
          <w:tcPr>
            <w:tcW w:w="26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F700EB6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lastRenderedPageBreak/>
              <w:t>Szervrendszeri kategória</w:t>
            </w:r>
          </w:p>
        </w:tc>
        <w:tc>
          <w:tcPr>
            <w:tcW w:w="687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8F10EEB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proofErr w:type="spellStart"/>
            <w:r w:rsidRPr="002C5BBB">
              <w:rPr>
                <w:rFonts w:ascii="Times New Roman" w:eastAsia="Times New Roman" w:hAnsi="Times New Roman" w:cs="Times New Roman"/>
                <w:b/>
                <w:bCs/>
                <w:iCs/>
              </w:rPr>
              <w:t>Bilasztin</w:t>
            </w:r>
            <w:proofErr w:type="spellEnd"/>
          </w:p>
          <w:p w14:paraId="32D62D0E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bCs/>
                <w:iCs/>
              </w:rPr>
              <w:t>20 mg</w:t>
            </w:r>
          </w:p>
          <w:p w14:paraId="5D8B4A33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bCs/>
                <w:iCs/>
              </w:rPr>
              <w:t>n = 1697</w:t>
            </w:r>
          </w:p>
        </w:tc>
        <w:tc>
          <w:tcPr>
            <w:tcW w:w="865" w:type="pct"/>
            <w:gridSpan w:val="3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3AA77BE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bCs/>
                <w:iCs/>
              </w:rPr>
              <w:t>Az összes</w:t>
            </w:r>
          </w:p>
          <w:p w14:paraId="7DC09F78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proofErr w:type="spellStart"/>
            <w:r w:rsidRPr="002C5BBB">
              <w:rPr>
                <w:rFonts w:ascii="Times New Roman" w:eastAsia="Times New Roman" w:hAnsi="Times New Roman" w:cs="Times New Roman"/>
                <w:b/>
                <w:bCs/>
                <w:iCs/>
              </w:rPr>
              <w:t>bilasztin</w:t>
            </w:r>
            <w:proofErr w:type="spellEnd"/>
          </w:p>
          <w:p w14:paraId="61B2AA90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bCs/>
                <w:iCs/>
              </w:rPr>
              <w:t>dózis</w:t>
            </w:r>
          </w:p>
          <w:p w14:paraId="1E464CC7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bCs/>
                <w:iCs/>
              </w:rPr>
              <w:t>n = 2525</w:t>
            </w:r>
          </w:p>
        </w:tc>
        <w:tc>
          <w:tcPr>
            <w:tcW w:w="777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14:paraId="09FC2871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bCs/>
                <w:iCs/>
              </w:rPr>
              <w:t>Placebo</w:t>
            </w:r>
          </w:p>
          <w:p w14:paraId="29A828BB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bCs/>
                <w:iCs/>
              </w:rPr>
              <w:t>n = 1362</w:t>
            </w:r>
          </w:p>
        </w:tc>
      </w:tr>
      <w:tr w:rsidR="002C5BBB" w:rsidRPr="002C5BBB" w14:paraId="02E31D54" w14:textId="77777777" w:rsidTr="00933EA7">
        <w:trPr>
          <w:cantSplit/>
          <w:tblHeader/>
        </w:trPr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962AE7F" w14:textId="77777777" w:rsidR="002C5BBB" w:rsidRPr="002C5BBB" w:rsidDel="008B0CFF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Gyakoriság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9CD0360" w14:textId="77777777" w:rsidR="002C5BBB" w:rsidRPr="002C5BBB" w:rsidDel="008B0CFF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Mellékhatás</w:t>
            </w:r>
          </w:p>
        </w:tc>
        <w:tc>
          <w:tcPr>
            <w:tcW w:w="687" w:type="pct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07270E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</w:p>
        </w:tc>
        <w:tc>
          <w:tcPr>
            <w:tcW w:w="865" w:type="pct"/>
            <w:gridSpan w:val="3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272323B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</w:p>
        </w:tc>
        <w:tc>
          <w:tcPr>
            <w:tcW w:w="777" w:type="pct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DDBBA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</w:p>
        </w:tc>
      </w:tr>
      <w:tr w:rsidR="002C5BBB" w:rsidRPr="002C5BBB" w14:paraId="2AC4D35A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5DE8E02E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Fertőző betegségek és parazitafertőzések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9ED2C2F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1BB702E2" w14:textId="77777777" w:rsidTr="00933EA7">
        <w:trPr>
          <w:cantSplit/>
        </w:trPr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ECFA16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30864" w14:textId="41A5A2E1" w:rsidR="002C5BBB" w:rsidRPr="002C5BBB" w:rsidRDefault="008679CF" w:rsidP="002C5BBB">
            <w:pPr>
              <w:keepNext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</w:rPr>
              <w:t>o</w:t>
            </w:r>
            <w:r w:rsidR="002C5BBB" w:rsidRPr="002C5BBB">
              <w:rPr>
                <w:rFonts w:ascii="Times New Roman" w:eastAsia="Times New Roman" w:hAnsi="Times New Roman" w:cs="Times New Roman"/>
                <w:bCs/>
                <w:iCs/>
              </w:rPr>
              <w:t>rális herpeszfertőzés</w:t>
            </w:r>
          </w:p>
        </w:tc>
        <w:tc>
          <w:tcPr>
            <w:tcW w:w="6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A5BB77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15CDF4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(0,08%)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8AB7B9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0 (0,0%)</w:t>
            </w:r>
          </w:p>
        </w:tc>
      </w:tr>
      <w:tr w:rsidR="002C5BBB" w:rsidRPr="002C5BBB" w14:paraId="1C3333A0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56F6674D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8679CF">
              <w:rPr>
                <w:rFonts w:ascii="Times New Roman" w:eastAsia="Times New Roman" w:hAnsi="Times New Roman" w:cs="Times New Roman"/>
                <w:b/>
                <w:iCs/>
              </w:rPr>
              <w:t>Anyagcsere- és táplálkozási betegségek és tünetek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5E5CE96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5AB99DE7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shd w:val="clear" w:color="auto" w:fill="FFFFFF"/>
            <w:vAlign w:val="center"/>
          </w:tcPr>
          <w:p w14:paraId="73504083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68C7D50D" w14:textId="0A666F07" w:rsidR="002C5BBB" w:rsidRPr="002C5BBB" w:rsidRDefault="008679CF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</w:rPr>
              <w:t>f</w:t>
            </w:r>
            <w:r w:rsidR="002C5BBB" w:rsidRPr="002C5BBB">
              <w:rPr>
                <w:rFonts w:ascii="Times New Roman" w:eastAsia="Times New Roman" w:hAnsi="Times New Roman" w:cs="Times New Roman"/>
                <w:bCs/>
                <w:iCs/>
              </w:rPr>
              <w:t>okozott étvágy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545507A" w14:textId="77777777" w:rsidR="002C5BBB" w:rsidRPr="002C5BBB" w:rsidRDefault="002C5BBB" w:rsidP="002C5B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10 (0,59%)</w:t>
            </w:r>
          </w:p>
        </w:tc>
        <w:tc>
          <w:tcPr>
            <w:tcW w:w="865" w:type="pct"/>
            <w:gridSpan w:val="3"/>
            <w:shd w:val="clear" w:color="auto" w:fill="FFFFFF"/>
            <w:vAlign w:val="center"/>
          </w:tcPr>
          <w:p w14:paraId="5F2D42B8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11 (0,44%)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666563FC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7 (0,51%)</w:t>
            </w:r>
          </w:p>
        </w:tc>
      </w:tr>
      <w:tr w:rsidR="002C5BBB" w:rsidRPr="002C5BBB" w14:paraId="2C2F4349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1DEB7B37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Pszichiátriai kórképek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6DE2ADB7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72C8444C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 w:val="restart"/>
            <w:shd w:val="clear" w:color="auto" w:fill="FFFFFF"/>
          </w:tcPr>
          <w:p w14:paraId="2C352076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0D2B19A6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szorongás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983B36C" w14:textId="77777777" w:rsidR="002C5BBB" w:rsidRPr="002C5BBB" w:rsidRDefault="002C5BBB" w:rsidP="002C5B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6 (0,35%)</w:t>
            </w:r>
          </w:p>
        </w:tc>
        <w:tc>
          <w:tcPr>
            <w:tcW w:w="865" w:type="pct"/>
            <w:gridSpan w:val="3"/>
            <w:shd w:val="clear" w:color="auto" w:fill="FFFFFF"/>
            <w:vAlign w:val="center"/>
          </w:tcPr>
          <w:p w14:paraId="5C86FFF6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8 (0,32%)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216766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0 (0,0%)</w:t>
            </w:r>
          </w:p>
        </w:tc>
      </w:tr>
      <w:tr w:rsidR="002C5BBB" w:rsidRPr="002C5BBB" w14:paraId="08C2C15D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07F10861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44DB32F3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álmatlanság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83E7995" w14:textId="77777777" w:rsidR="002C5BBB" w:rsidRPr="002C5BBB" w:rsidRDefault="002C5BBB" w:rsidP="002C5B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65" w:type="pct"/>
            <w:gridSpan w:val="3"/>
            <w:shd w:val="clear" w:color="auto" w:fill="FFFFFF"/>
            <w:vAlign w:val="center"/>
          </w:tcPr>
          <w:p w14:paraId="7FCB12C8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(0,16%)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2C9C71B4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0 (0,0%)</w:t>
            </w:r>
          </w:p>
        </w:tc>
      </w:tr>
      <w:tr w:rsidR="002C5BBB" w:rsidRPr="002C5BBB" w14:paraId="06F9A137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3280BE64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Idegrendszeri betegségek és tünetek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1014BF40" w14:textId="77777777" w:rsidR="002C5BBB" w:rsidRPr="002C5BBB" w:rsidDel="000A5223" w:rsidRDefault="002C5BBB" w:rsidP="002C5BBB">
            <w:pPr>
              <w:keepNext/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54BB2F81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 w:val="restart"/>
            <w:shd w:val="clear" w:color="auto" w:fill="FFFFFF"/>
          </w:tcPr>
          <w:p w14:paraId="31AA7FD7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74F7322B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álmosság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4A4C9E5F" w14:textId="77777777" w:rsidR="002C5BBB" w:rsidRPr="002C5BBB" w:rsidRDefault="002C5BBB" w:rsidP="002C5B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52 (3,06%)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78647B00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82 (3,25%)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1CF9CB2" w14:textId="77777777" w:rsidR="002C5BBB" w:rsidRPr="002C5BBB" w:rsidDel="000A5223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39 (2,86%)</w:t>
            </w:r>
          </w:p>
        </w:tc>
      </w:tr>
      <w:tr w:rsidR="002C5BBB" w:rsidRPr="002C5BBB" w14:paraId="58EAC0AA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2C1A55B6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0956E589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fejfájás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65B07802" w14:textId="77777777" w:rsidR="002C5BBB" w:rsidRPr="002C5BBB" w:rsidRDefault="002C5BBB" w:rsidP="002C5B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68 (4,01%)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3DF8CA4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90 (3,56%)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0C73FE2D" w14:textId="77777777" w:rsidR="002C5BBB" w:rsidRPr="002C5BBB" w:rsidDel="000A5223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46 (3,38%)</w:t>
            </w:r>
          </w:p>
        </w:tc>
      </w:tr>
      <w:tr w:rsidR="002C5BBB" w:rsidRPr="002C5BBB" w14:paraId="7049FE13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shd w:val="clear" w:color="auto" w:fill="FFFFFF"/>
            <w:vAlign w:val="center"/>
          </w:tcPr>
          <w:p w14:paraId="40EE1C10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09B777A5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szédülés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5E75A2A5" w14:textId="77777777" w:rsidR="002C5BBB" w:rsidRPr="002C5BBB" w:rsidRDefault="002C5BBB" w:rsidP="002C5BB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14 (0,83%)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61ED8C80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23 (0,91%)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7133EE4D" w14:textId="77777777" w:rsidR="002C5BBB" w:rsidRPr="002C5BBB" w:rsidDel="000A5223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8 (0,59%)</w:t>
            </w:r>
          </w:p>
        </w:tc>
      </w:tr>
      <w:tr w:rsidR="002C5BBB" w:rsidRPr="002C5BBB" w14:paraId="2AC9E891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61A513B7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A fül és az egyensúly-érzékelő szerv betegségei és tünetei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14F23437" w14:textId="77777777" w:rsidR="002C5BBB" w:rsidRPr="002C5BBB" w:rsidRDefault="002C5BBB" w:rsidP="002C5BBB">
            <w:pPr>
              <w:keepNext/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126C5810" w14:textId="77777777" w:rsidTr="00933EA7">
        <w:trPr>
          <w:cantSplit/>
        </w:trPr>
        <w:tc>
          <w:tcPr>
            <w:tcW w:w="80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EEBBA33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300DB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tinnitus</w:t>
            </w:r>
            <w:proofErr w:type="spellEnd"/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4B298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542D50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(0,08%)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5B2377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0 (0,0%)</w:t>
            </w:r>
          </w:p>
        </w:tc>
      </w:tr>
      <w:tr w:rsidR="002C5BBB" w:rsidRPr="002C5BBB" w14:paraId="02894333" w14:textId="77777777" w:rsidTr="00933EA7">
        <w:trPr>
          <w:cantSplit/>
        </w:trPr>
        <w:tc>
          <w:tcPr>
            <w:tcW w:w="80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7B0A65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4AA174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vertigo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0B408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(0,18%)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78F63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(0,12%)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34CC2B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0 (0,0%)</w:t>
            </w:r>
          </w:p>
        </w:tc>
      </w:tr>
      <w:tr w:rsidR="002C5BBB" w:rsidRPr="002C5BBB" w14:paraId="4DAAE5C5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66E3AA2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Szívbetegségek és a szívvel kapcsolatos tünetek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702B372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1F89C29D" w14:textId="77777777" w:rsidTr="00933E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0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03D89BD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D9E2F7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 xml:space="preserve">jobb </w:t>
            </w: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Tawara-szárblokk</w:t>
            </w:r>
            <w:proofErr w:type="spellEnd"/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E4E644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(0,24%)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626B96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 (0,20%)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62BC3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(0,22%)</w:t>
            </w:r>
          </w:p>
        </w:tc>
      </w:tr>
      <w:tr w:rsidR="002C5BBB" w:rsidRPr="002C5BBB" w14:paraId="4734845B" w14:textId="77777777" w:rsidTr="00933E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FBD4BC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1CDFA8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 xml:space="preserve">sinus </w:t>
            </w: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arrhythmia</w:t>
            </w:r>
            <w:proofErr w:type="spellEnd"/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BCDBB7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 (0,30%)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45E85B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 (0,20%)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EF9BB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 (0,07%)</w:t>
            </w:r>
          </w:p>
        </w:tc>
      </w:tr>
      <w:tr w:rsidR="002C5BBB" w:rsidRPr="002C5BBB" w14:paraId="50F19DB8" w14:textId="77777777" w:rsidTr="00933E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C681F6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74A3CB" w14:textId="315E6C42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QT-megnyúlás az EKG-n</w:t>
            </w:r>
            <w:r w:rsidR="00411881" w:rsidRPr="00293752">
              <w:t>*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C6C07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9 (0,53%)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8914BE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10 (0,40%)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EDB2D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 (0,37%)</w:t>
            </w:r>
          </w:p>
        </w:tc>
      </w:tr>
      <w:tr w:rsidR="002C5BBB" w:rsidRPr="002C5BBB" w14:paraId="2F52B4DB" w14:textId="77777777" w:rsidTr="00933E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3C729C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05B18D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egyéb EKG eltérések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7930C3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7 (0,41%)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5067B5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11 (0,44%)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A74D70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(0,15%)</w:t>
            </w:r>
          </w:p>
        </w:tc>
      </w:tr>
      <w:tr w:rsidR="002C5BBB" w:rsidRPr="002C5BBB" w14:paraId="2B52A1C6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12F0F00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 xml:space="preserve">Légzőrendszeri, mellkasi és </w:t>
            </w:r>
            <w:proofErr w:type="spellStart"/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mediastinális</w:t>
            </w:r>
            <w:proofErr w:type="spellEnd"/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 xml:space="preserve"> betegségek és tünetek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03423EA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7F53D02B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 w:val="restart"/>
            <w:shd w:val="clear" w:color="auto" w:fill="FFFFFF"/>
          </w:tcPr>
          <w:p w14:paraId="1C14F3A3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6AD36B5C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dyspnoe</w:t>
            </w:r>
            <w:proofErr w:type="spellEnd"/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4BCA9CA3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36E7E89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(0,08%)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79D1C3DC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0 (0,0%)</w:t>
            </w:r>
          </w:p>
        </w:tc>
      </w:tr>
      <w:tr w:rsidR="002C5BBB" w:rsidRPr="002C5BBB" w14:paraId="5915DECF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4D660E90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5F49776A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nasalis</w:t>
            </w:r>
            <w:proofErr w:type="spellEnd"/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 xml:space="preserve"> diszkomfortérzés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2076F3D4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0E74C916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(0,08%)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315305E5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0 (0,0%)</w:t>
            </w:r>
          </w:p>
        </w:tc>
      </w:tr>
      <w:tr w:rsidR="002C5BBB" w:rsidRPr="002C5BBB" w14:paraId="0A4A68CB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37118304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35DC05CC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orrnyálkahártya-szárazság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54D738AD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(0,18%)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5FA62F52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6 (0,24%)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05723AE7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(0,29%)</w:t>
            </w:r>
          </w:p>
        </w:tc>
      </w:tr>
      <w:tr w:rsidR="002C5BBB" w:rsidRPr="002C5BBB" w14:paraId="3CFDA32C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63A2E20D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Emésztőrendszeri betegségek és tünetek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7AC6F04D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435D5739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 w:val="restart"/>
            <w:shd w:val="clear" w:color="auto" w:fill="FFFFFF"/>
          </w:tcPr>
          <w:p w14:paraId="6969A9B8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15A0F6C6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 xml:space="preserve">gyomortáji fájdalom 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5B27D83A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11 (0,65%)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229F2228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14 (0,55%)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DEE2063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6 (0,44%)</w:t>
            </w:r>
          </w:p>
        </w:tc>
      </w:tr>
      <w:tr w:rsidR="002C5BBB" w:rsidRPr="002C5BBB" w14:paraId="47D382BB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6EE7F6B4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53F03ECA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 xml:space="preserve">hasi fájdalom 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42A5BEB3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 (0,30%)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6B91A168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 (0,20%)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CE9FE74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(0,29%)</w:t>
            </w:r>
          </w:p>
        </w:tc>
      </w:tr>
      <w:tr w:rsidR="002C5BBB" w:rsidRPr="002C5BBB" w14:paraId="634D424E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184B0A91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11E10CDC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hányinger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01B6FF89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7 (0,41%)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6475D34E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10 (0,40%)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17383B72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14 (1,03%)</w:t>
            </w:r>
          </w:p>
        </w:tc>
      </w:tr>
      <w:tr w:rsidR="002C5BBB" w:rsidRPr="002C5BBB" w14:paraId="297F12FC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25F58587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571041B1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hasi diszkomfortérzés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25B4FF3D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(0,18%)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2BB09C2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(0,16%)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31627714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0 (0,0%)</w:t>
            </w:r>
          </w:p>
        </w:tc>
      </w:tr>
      <w:tr w:rsidR="002C5BBB" w:rsidRPr="002C5BBB" w14:paraId="3961AC91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0B08036D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4D7810B6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hasmenés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12260517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(0,24%)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579DF734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6 (0,24%)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62217A67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(0,22%)</w:t>
            </w:r>
          </w:p>
        </w:tc>
      </w:tr>
      <w:tr w:rsidR="002C5BBB" w:rsidRPr="002C5BBB" w14:paraId="65843572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732606C5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14DEBA71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szájszárazság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3FA332BB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72DDF3D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6 (0,24%)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7DF887E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 (0,37%)</w:t>
            </w:r>
          </w:p>
        </w:tc>
      </w:tr>
      <w:tr w:rsidR="002C5BBB" w:rsidRPr="002C5BBB" w14:paraId="7C85B756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1C0330EE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4178DE1F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dyspepsia</w:t>
            </w:r>
            <w:proofErr w:type="spellEnd"/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54EE25ED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4F31C6B2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(0,16%)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3A06D16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(0,29%)</w:t>
            </w:r>
          </w:p>
        </w:tc>
      </w:tr>
      <w:tr w:rsidR="002C5BBB" w:rsidRPr="002C5BBB" w14:paraId="59BF5A56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30D74FFC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4F244632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gastritis</w:t>
            </w:r>
            <w:proofErr w:type="spellEnd"/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3DA5C93A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(0,24%)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1C25807A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(0,16%)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65BE89F5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0 (0,0%)</w:t>
            </w:r>
          </w:p>
        </w:tc>
      </w:tr>
      <w:tr w:rsidR="002C5BBB" w:rsidRPr="002C5BBB" w14:paraId="38E574FC" w14:textId="77777777" w:rsidTr="00933EA7">
        <w:trPr>
          <w:cantSplit/>
        </w:trPr>
        <w:tc>
          <w:tcPr>
            <w:tcW w:w="42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F98962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A bőr és a bőr alatti szövet betegségei és tünetei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83CE9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2D4F6BAC" w14:textId="77777777" w:rsidTr="00933EA7">
        <w:trPr>
          <w:cantSplit/>
        </w:trPr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C5C62E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50BC5D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pruritus</w:t>
            </w:r>
            <w:proofErr w:type="spellEnd"/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56F39B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CC6782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(0,16%)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ABDD24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(0,15%)</w:t>
            </w:r>
          </w:p>
        </w:tc>
      </w:tr>
      <w:tr w:rsidR="002C5BBB" w:rsidRPr="002C5BBB" w14:paraId="0A395EC0" w14:textId="77777777" w:rsidTr="00933EA7">
        <w:trPr>
          <w:cantSplit/>
        </w:trPr>
        <w:tc>
          <w:tcPr>
            <w:tcW w:w="42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264CC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Általános tünetek, az alkalmazás helyén fellépő reakciók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41D29B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52501B31" w14:textId="77777777" w:rsidTr="00933EA7">
        <w:trPr>
          <w:cantSplit/>
        </w:trPr>
        <w:tc>
          <w:tcPr>
            <w:tcW w:w="80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55F4A871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EED5D6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fáradékonyság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8E43F7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14 (0,83%)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230AD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19 (0,75%)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A21D6F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18 (1,32%)</w:t>
            </w:r>
          </w:p>
        </w:tc>
      </w:tr>
      <w:tr w:rsidR="002C5BBB" w:rsidRPr="002C5BBB" w14:paraId="3A7F36A1" w14:textId="77777777" w:rsidTr="00933EA7">
        <w:trPr>
          <w:cantSplit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3007E8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AC38B4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szomjúság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084108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(0,18%)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B3C279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(0,16%)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386B75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 (0,07%)</w:t>
            </w:r>
          </w:p>
        </w:tc>
      </w:tr>
      <w:tr w:rsidR="002C5BBB" w:rsidRPr="002C5BBB" w14:paraId="197893D4" w14:textId="77777777" w:rsidTr="00933EA7">
        <w:trPr>
          <w:cantSplit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5F9122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FAC9B" w14:textId="77777777" w:rsidR="002C5BBB" w:rsidRPr="00AB3221" w:rsidRDefault="002C5BBB" w:rsidP="002C5BBB">
            <w:pP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A53AC3">
              <w:rPr>
                <w:rFonts w:ascii="Times New Roman" w:eastAsia="Times New Roman" w:hAnsi="Times New Roman" w:cs="Times New Roman"/>
                <w:bCs/>
                <w:iCs/>
              </w:rPr>
              <w:t>a korábbi állapot javulása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9D7554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AC1C6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(0,08%)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D8B3DA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 (0,07%)</w:t>
            </w:r>
          </w:p>
        </w:tc>
      </w:tr>
      <w:tr w:rsidR="002C5BBB" w:rsidRPr="002C5BBB" w14:paraId="077B1557" w14:textId="77777777" w:rsidTr="00933EA7">
        <w:trPr>
          <w:cantSplit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CBF97E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F2992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láz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5A94DD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0DBF6B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(0,12%)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75639B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 (0,07%)</w:t>
            </w:r>
          </w:p>
        </w:tc>
      </w:tr>
      <w:tr w:rsidR="002C5BBB" w:rsidRPr="002C5BBB" w14:paraId="55AA13F6" w14:textId="77777777" w:rsidTr="00933EA7">
        <w:trPr>
          <w:cantSplit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E70E4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6D9CD7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asthenia</w:t>
            </w:r>
            <w:proofErr w:type="spellEnd"/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26BEEB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(0,18%)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771CE8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4 (0,16%)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9CBA76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 (0,37%)</w:t>
            </w:r>
          </w:p>
        </w:tc>
      </w:tr>
      <w:tr w:rsidR="002C5BBB" w:rsidRPr="002C5BBB" w14:paraId="3DB7F6F6" w14:textId="77777777" w:rsidTr="00933EA7">
        <w:trPr>
          <w:cantSplit/>
        </w:trPr>
        <w:tc>
          <w:tcPr>
            <w:tcW w:w="42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CAF10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Laboratóriumi és egyéb vizsgálatok eredményei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64EBD3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</w:tr>
      <w:tr w:rsidR="002C5BBB" w:rsidRPr="002C5BBB" w14:paraId="5C5EB46C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 w:val="restart"/>
            <w:shd w:val="clear" w:color="auto" w:fill="FFFFFF"/>
          </w:tcPr>
          <w:p w14:paraId="558A1821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2DCC7EE2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</w:rPr>
              <w:t>emelkedett gamma-</w:t>
            </w: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</w:rPr>
              <w:t>glutamiltranszferáz</w:t>
            </w:r>
            <w:proofErr w:type="spellEnd"/>
            <w:r w:rsidRPr="002C5BBB">
              <w:rPr>
                <w:rFonts w:ascii="Times New Roman" w:eastAsia="Times New Roman" w:hAnsi="Times New Roman" w:cs="Times New Roman"/>
                <w:bCs/>
              </w:rPr>
              <w:t xml:space="preserve">-szint (Gamma-GT) 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192C763A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7 (0,41%)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59C0458B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8 (0,32%)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038C15C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(0,15%)</w:t>
            </w:r>
          </w:p>
        </w:tc>
      </w:tr>
      <w:tr w:rsidR="002C5BBB" w:rsidRPr="002C5BBB" w14:paraId="00BD1EAF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383C7072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01B29DC2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</w:rPr>
              <w:t xml:space="preserve">emelkedett </w:t>
            </w:r>
            <w:proofErr w:type="spellStart"/>
            <w:r w:rsidRPr="002C5BBB">
              <w:rPr>
                <w:rFonts w:ascii="Times New Roman" w:eastAsia="Times New Roman" w:hAnsi="Times New Roman" w:cs="Times New Roman"/>
              </w:rPr>
              <w:t>glutamát</w:t>
            </w:r>
            <w:proofErr w:type="spellEnd"/>
            <w:r w:rsidRPr="002C5BBB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2C5BBB">
              <w:rPr>
                <w:rFonts w:ascii="Times New Roman" w:eastAsia="Times New Roman" w:hAnsi="Times New Roman" w:cs="Times New Roman"/>
              </w:rPr>
              <w:t>piruvát</w:t>
            </w:r>
            <w:proofErr w:type="spellEnd"/>
            <w:r w:rsidRPr="002C5BBB">
              <w:rPr>
                <w:rFonts w:ascii="Times New Roman" w:eastAsia="Times New Roman" w:hAnsi="Times New Roman" w:cs="Times New Roman"/>
              </w:rPr>
              <w:t>-</w:t>
            </w:r>
            <w:proofErr w:type="spellStart"/>
            <w:r w:rsidRPr="002C5BBB">
              <w:rPr>
                <w:rFonts w:ascii="Times New Roman" w:eastAsia="Times New Roman" w:hAnsi="Times New Roman" w:cs="Times New Roman"/>
              </w:rPr>
              <w:t>transzamináz</w:t>
            </w:r>
            <w:proofErr w:type="spellEnd"/>
            <w:r w:rsidRPr="002C5BBB">
              <w:rPr>
                <w:rFonts w:ascii="Times New Roman" w:eastAsia="Times New Roman" w:hAnsi="Times New Roman" w:cs="Times New Roman"/>
              </w:rPr>
              <w:t>-szint (</w:t>
            </w: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GPT/ALAT)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3C5AD4DF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 (0,30%)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03A54E1A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5 (0,20%)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77B1F2D0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(0,22%)</w:t>
            </w:r>
          </w:p>
        </w:tc>
      </w:tr>
      <w:tr w:rsidR="002C5BBB" w:rsidRPr="002C5BBB" w14:paraId="22277FCF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724EE2A2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5759507F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</w:rPr>
              <w:t xml:space="preserve">emelkedett </w:t>
            </w:r>
            <w:proofErr w:type="spellStart"/>
            <w:r w:rsidRPr="002C5BBB">
              <w:rPr>
                <w:rFonts w:ascii="Times New Roman" w:eastAsia="Times New Roman" w:hAnsi="Times New Roman" w:cs="Times New Roman"/>
              </w:rPr>
              <w:t>glutamát</w:t>
            </w:r>
            <w:proofErr w:type="spellEnd"/>
            <w:r w:rsidRPr="002C5BBB">
              <w:rPr>
                <w:rFonts w:ascii="Times New Roman" w:eastAsia="Times New Roman" w:hAnsi="Times New Roman" w:cs="Times New Roman"/>
              </w:rPr>
              <w:t>-oxálacetát-</w:t>
            </w:r>
            <w:proofErr w:type="spellStart"/>
            <w:r w:rsidRPr="002C5BBB">
              <w:rPr>
                <w:rFonts w:ascii="Times New Roman" w:eastAsia="Times New Roman" w:hAnsi="Times New Roman" w:cs="Times New Roman"/>
              </w:rPr>
              <w:t>transzamináz</w:t>
            </w:r>
            <w:proofErr w:type="spellEnd"/>
            <w:r w:rsidRPr="002C5BBB">
              <w:rPr>
                <w:rFonts w:ascii="Times New Roman" w:eastAsia="Times New Roman" w:hAnsi="Times New Roman" w:cs="Times New Roman"/>
              </w:rPr>
              <w:t>-szint (GOT/ASAT)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1871EFE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(0,18%)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660C591C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(0,12%)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02C3873A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(0,22%)</w:t>
            </w:r>
          </w:p>
        </w:tc>
      </w:tr>
      <w:tr w:rsidR="002C5BBB" w:rsidRPr="002C5BBB" w14:paraId="5783D4B7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605EE378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33495713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</w:rPr>
              <w:t xml:space="preserve">emelkedett szérum </w:t>
            </w:r>
            <w:proofErr w:type="spellStart"/>
            <w:r w:rsidRPr="002C5BBB">
              <w:rPr>
                <w:rFonts w:ascii="Times New Roman" w:eastAsia="Times New Roman" w:hAnsi="Times New Roman" w:cs="Times New Roman"/>
                <w:bCs/>
              </w:rPr>
              <w:t>kreatininszint</w:t>
            </w:r>
            <w:proofErr w:type="spellEnd"/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1F9E3DA2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14AF3F81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(0,08%)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2223EE90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0 (0,0%)</w:t>
            </w:r>
          </w:p>
        </w:tc>
      </w:tr>
      <w:tr w:rsidR="002C5BBB" w:rsidRPr="002C5BBB" w14:paraId="75F0B070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7784587A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2B434505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</w:rPr>
              <w:t>emelkedett szérum trigliceridszint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4EBB9EAB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(0,12%)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0EC2D566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(0,08%)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63816446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3 (0,22%)</w:t>
            </w:r>
          </w:p>
        </w:tc>
      </w:tr>
      <w:tr w:rsidR="002C5BBB" w:rsidRPr="002C5BBB" w14:paraId="421D27BD" w14:textId="77777777" w:rsidTr="00933EA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</w:trPr>
        <w:tc>
          <w:tcPr>
            <w:tcW w:w="805" w:type="pct"/>
            <w:vMerge/>
            <w:shd w:val="clear" w:color="auto" w:fill="FFFFFF"/>
            <w:vAlign w:val="center"/>
          </w:tcPr>
          <w:p w14:paraId="2DAD9ED1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78B28194" w14:textId="77777777" w:rsidR="002C5BBB" w:rsidRPr="002C5BBB" w:rsidRDefault="002C5BBB" w:rsidP="002C5BB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</w:rPr>
              <w:t>testtömeg-növekedés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7321F9CE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8 (0,47%)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79795B87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12 (0,48%)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3FB94873" w14:textId="77777777" w:rsidR="002C5BBB" w:rsidRPr="002C5BBB" w:rsidRDefault="002C5BBB" w:rsidP="002C5BBB">
            <w:pPr>
              <w:suppressAutoHyphens/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Cs/>
                <w:iCs/>
              </w:rPr>
              <w:t>2 (0,15%)</w:t>
            </w:r>
          </w:p>
        </w:tc>
      </w:tr>
    </w:tbl>
    <w:p w14:paraId="0E6BF6E6" w14:textId="1B3651BA" w:rsidR="00411881" w:rsidRDefault="00411881" w:rsidP="007869AF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8A1319">
        <w:lastRenderedPageBreak/>
        <w:t>*</w:t>
      </w:r>
      <w:r w:rsidRPr="00411881">
        <w:rPr>
          <w:rFonts w:ascii="Times New Roman" w:eastAsia="Times New Roman" w:hAnsi="Times New Roman" w:cs="Times New Roman"/>
        </w:rPr>
        <w:t xml:space="preserve">A forgalomba hozatalt követően is jelentettek olyan eseteket, amikor megnyúlt QT-szakasz </w:t>
      </w:r>
      <w:proofErr w:type="spellStart"/>
      <w:r w:rsidRPr="00411881">
        <w:rPr>
          <w:rFonts w:ascii="Times New Roman" w:eastAsia="Times New Roman" w:hAnsi="Times New Roman" w:cs="Times New Roman"/>
        </w:rPr>
        <w:t>ábrázolódott</w:t>
      </w:r>
      <w:proofErr w:type="spellEnd"/>
      <w:r w:rsidRPr="00411881">
        <w:rPr>
          <w:rFonts w:ascii="Times New Roman" w:eastAsia="Times New Roman" w:hAnsi="Times New Roman" w:cs="Times New Roman"/>
        </w:rPr>
        <w:t xml:space="preserve"> az EKG-n.</w:t>
      </w:r>
    </w:p>
    <w:p w14:paraId="738A4DD5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1BD8CBDB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  <w:b/>
          <w:i/>
        </w:rPr>
        <w:t>Nem ismert gyakoriságú mellékhatások</w:t>
      </w:r>
      <w:r w:rsidRPr="002C5BBB">
        <w:rPr>
          <w:rFonts w:ascii="Times New Roman" w:eastAsia="Times New Roman" w:hAnsi="Times New Roman" w:cs="Times New Roman"/>
          <w:bCs/>
          <w:iCs/>
        </w:rPr>
        <w:t xml:space="preserve"> </w:t>
      </w:r>
      <w:r w:rsidRPr="002C5BBB">
        <w:rPr>
          <w:rFonts w:ascii="Times New Roman" w:eastAsia="Times New Roman" w:hAnsi="Times New Roman" w:cs="Times New Roman"/>
        </w:rPr>
        <w:t>(a gyakoriság a rendelkezésre álló adatokból nem állapítható meg):</w:t>
      </w:r>
    </w:p>
    <w:p w14:paraId="6711648D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2C5BBB">
        <w:rPr>
          <w:rFonts w:ascii="Times New Roman" w:eastAsia="Times New Roman" w:hAnsi="Times New Roman" w:cs="Times New Roman"/>
        </w:rPr>
        <w:t>Palpitatio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C5BBB">
        <w:rPr>
          <w:rFonts w:ascii="Times New Roman" w:eastAsia="Times New Roman" w:hAnsi="Times New Roman" w:cs="Times New Roman"/>
        </w:rPr>
        <w:t>tachycardia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túlérzékenységi reakciók (pl. </w:t>
      </w:r>
      <w:proofErr w:type="spellStart"/>
      <w:r w:rsidRPr="002C5BBB">
        <w:rPr>
          <w:rFonts w:ascii="Times New Roman" w:eastAsia="Times New Roman" w:hAnsi="Times New Roman" w:cs="Times New Roman"/>
        </w:rPr>
        <w:t>anaphylaxia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C5BBB">
        <w:rPr>
          <w:rFonts w:ascii="Times New Roman" w:eastAsia="Times New Roman" w:hAnsi="Times New Roman" w:cs="Times New Roman"/>
        </w:rPr>
        <w:t>angiooedema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C5BBB">
        <w:rPr>
          <w:rFonts w:ascii="Times New Roman" w:eastAsia="Times New Roman" w:hAnsi="Times New Roman" w:cs="Times New Roman"/>
        </w:rPr>
        <w:t>dyspnoe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bőrkiütés, lokalizált </w:t>
      </w:r>
      <w:proofErr w:type="spellStart"/>
      <w:r w:rsidRPr="002C5BBB">
        <w:rPr>
          <w:rFonts w:ascii="Times New Roman" w:eastAsia="Times New Roman" w:hAnsi="Times New Roman" w:cs="Times New Roman"/>
        </w:rPr>
        <w:t>oedema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/helyi duzzanat és </w:t>
      </w:r>
      <w:proofErr w:type="spellStart"/>
      <w:r w:rsidRPr="002C5BBB">
        <w:rPr>
          <w:rFonts w:ascii="Times New Roman" w:eastAsia="Times New Roman" w:hAnsi="Times New Roman" w:cs="Times New Roman"/>
        </w:rPr>
        <w:t>erythema</w:t>
      </w:r>
      <w:proofErr w:type="spellEnd"/>
      <w:r w:rsidRPr="002C5BBB">
        <w:rPr>
          <w:rFonts w:ascii="Times New Roman" w:eastAsia="Times New Roman" w:hAnsi="Times New Roman" w:cs="Times New Roman"/>
        </w:rPr>
        <w:t>) és hányás eseteit figyelték meg a gyógyszer forgalomba hozatalát követően.</w:t>
      </w:r>
    </w:p>
    <w:p w14:paraId="214B66D1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D758FC6" w14:textId="33043660" w:rsidR="002C5BBB" w:rsidRPr="002C5BBB" w:rsidRDefault="002C5BBB" w:rsidP="002C5BBB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2C5BBB">
        <w:rPr>
          <w:rFonts w:ascii="Times New Roman" w:eastAsia="Times New Roman" w:hAnsi="Times New Roman" w:cs="Times New Roman"/>
          <w:u w:val="single"/>
        </w:rPr>
        <w:t>Egyes kiválasztott mellékhatások leírása felnőtteknél és serdülőknél</w:t>
      </w:r>
    </w:p>
    <w:p w14:paraId="5219973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Álmosságot, fejfájást, szédülést és </w:t>
      </w:r>
      <w:proofErr w:type="spellStart"/>
      <w:r w:rsidRPr="002C5BBB">
        <w:rPr>
          <w:rFonts w:ascii="Times New Roman" w:eastAsia="Times New Roman" w:hAnsi="Times New Roman" w:cs="Times New Roman"/>
        </w:rPr>
        <w:t>fáradékonyságot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r w:rsidRPr="002C5BBB">
        <w:rPr>
          <w:rFonts w:ascii="Times New Roman" w:eastAsia="Calibri" w:hAnsi="Times New Roman" w:cs="Times New Roman"/>
          <w:color w:val="000000"/>
          <w:lang w:eastAsia="it-IT"/>
        </w:rPr>
        <w:t xml:space="preserve">egyaránt észleltek a </w:t>
      </w:r>
      <w:r w:rsidRPr="002C5BBB">
        <w:rPr>
          <w:rFonts w:ascii="Times New Roman" w:eastAsia="Times New Roman" w:hAnsi="Times New Roman" w:cs="Times New Roman"/>
        </w:rPr>
        <w:t xml:space="preserve">20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és a </w:t>
      </w:r>
      <w:proofErr w:type="spellStart"/>
      <w:r w:rsidRPr="002C5BBB">
        <w:rPr>
          <w:rFonts w:ascii="Times New Roman" w:eastAsia="Times New Roman" w:hAnsi="Times New Roman" w:cs="Times New Roman"/>
        </w:rPr>
        <w:t>placebóval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kezelt betegeknél, amelyeknek gyakoriságai a következők voltak: álmosság 3,06% </w:t>
      </w:r>
      <w:r w:rsidRPr="002C5BBB">
        <w:rPr>
          <w:rFonts w:ascii="Times New Roman" w:eastAsia="Times New Roman" w:hAnsi="Times New Roman" w:cs="Times New Roman"/>
          <w:i/>
          <w:iCs/>
        </w:rPr>
        <w:t>vs</w:t>
      </w:r>
      <w:r w:rsidRPr="002C5BBB">
        <w:rPr>
          <w:rFonts w:ascii="Times New Roman" w:eastAsia="Times New Roman" w:hAnsi="Times New Roman" w:cs="Times New Roman"/>
        </w:rPr>
        <w:t xml:space="preserve">. 2,86%, fejfájás 4,01% </w:t>
      </w:r>
      <w:r w:rsidRPr="002C5BBB">
        <w:rPr>
          <w:rFonts w:ascii="Times New Roman" w:eastAsia="Times New Roman" w:hAnsi="Times New Roman" w:cs="Times New Roman"/>
          <w:i/>
          <w:iCs/>
        </w:rPr>
        <w:t>vs</w:t>
      </w:r>
      <w:r w:rsidRPr="002C5BBB">
        <w:rPr>
          <w:rFonts w:ascii="Times New Roman" w:eastAsia="Times New Roman" w:hAnsi="Times New Roman" w:cs="Times New Roman"/>
        </w:rPr>
        <w:t xml:space="preserve">. 3,38%; szédülés 0,83% </w:t>
      </w:r>
      <w:r w:rsidRPr="002C5BBB">
        <w:rPr>
          <w:rFonts w:ascii="Times New Roman" w:eastAsia="Times New Roman" w:hAnsi="Times New Roman" w:cs="Times New Roman"/>
          <w:i/>
          <w:iCs/>
        </w:rPr>
        <w:t>vs.</w:t>
      </w:r>
      <w:r w:rsidRPr="002C5BBB" w:rsidDel="00A67772">
        <w:rPr>
          <w:rFonts w:ascii="Times New Roman" w:eastAsia="Times New Roman" w:hAnsi="Times New Roman" w:cs="Times New Roman"/>
        </w:rPr>
        <w:t xml:space="preserve"> </w:t>
      </w:r>
      <w:r w:rsidRPr="002C5BBB">
        <w:rPr>
          <w:rFonts w:ascii="Times New Roman" w:eastAsia="Times New Roman" w:hAnsi="Times New Roman" w:cs="Times New Roman"/>
        </w:rPr>
        <w:t xml:space="preserve">0,59%, és fáradékonyság 0,83% </w:t>
      </w:r>
      <w:r w:rsidRPr="002C5BBB">
        <w:rPr>
          <w:rFonts w:ascii="Times New Roman" w:eastAsia="Times New Roman" w:hAnsi="Times New Roman" w:cs="Times New Roman"/>
          <w:i/>
          <w:iCs/>
        </w:rPr>
        <w:t>vs</w:t>
      </w:r>
      <w:r w:rsidRPr="002C5BBB">
        <w:rPr>
          <w:rFonts w:ascii="Times New Roman" w:eastAsia="Times New Roman" w:hAnsi="Times New Roman" w:cs="Times New Roman"/>
        </w:rPr>
        <w:t>. 1,32%.</w:t>
      </w:r>
    </w:p>
    <w:p w14:paraId="3AC9FAC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A forgalomba hozatalt követő megfigyelés során összegyűjtött információk megerősítették a klinikai fejlesztés során megfigyelt biztonságossági profilt.</w:t>
      </w:r>
    </w:p>
    <w:p w14:paraId="71A7A007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Cs/>
        </w:rPr>
      </w:pPr>
    </w:p>
    <w:p w14:paraId="60390A9E" w14:textId="43A6C07D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</w:rPr>
      </w:pPr>
      <w:r w:rsidRPr="002C5BBB">
        <w:rPr>
          <w:rFonts w:ascii="Times New Roman" w:eastAsia="Times New Roman" w:hAnsi="Times New Roman" w:cs="Times New Roman"/>
          <w:iCs/>
          <w:u w:val="single"/>
        </w:rPr>
        <w:t>A biztonságossági profil összefoglalása gyermekeknél és serdülőknél</w:t>
      </w:r>
    </w:p>
    <w:p w14:paraId="075942A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A klinikai fejlesztés során a (12–18 éves) serdülőknél észlelt mellékhatások gyakorisága, típusa és súlyossága a felnőtteknél tapasztaltakkal azonos volt. A forgalomba hozatalt követő megfigyelés során az ebben a betegcsoportban (serdülők) összegyűjtött információk alátámasztották a klinikai vizsgálatok eredményeit.</w:t>
      </w:r>
    </w:p>
    <w:p w14:paraId="065E4EFF" w14:textId="50247F13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Azoknak az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vagy krónikus </w:t>
      </w:r>
      <w:proofErr w:type="spellStart"/>
      <w:r w:rsidRPr="002C5BBB">
        <w:rPr>
          <w:rFonts w:ascii="Times New Roman" w:eastAsia="Times New Roman" w:hAnsi="Times New Roman" w:cs="Times New Roman"/>
        </w:rPr>
        <w:t>idiopathiás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urticaria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miatt 10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kezelt, 12 hetes, kontrollos klinikai vizsgálatban részt vevő (2–11 éves) gyermekeknek az aránya, akik a kezelést követően mellékhatásról számoltak be, hasonló volt ahhoz, amit a </w:t>
      </w:r>
      <w:proofErr w:type="spellStart"/>
      <w:r w:rsidRPr="002C5BBB">
        <w:rPr>
          <w:rFonts w:ascii="Times New Roman" w:eastAsia="Times New Roman" w:hAnsi="Times New Roman" w:cs="Times New Roman"/>
        </w:rPr>
        <w:t>placebót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kapó betegeknél tapasztaltak (68,5% </w:t>
      </w:r>
      <w:r w:rsidRPr="002C5BBB">
        <w:rPr>
          <w:rFonts w:ascii="Times New Roman" w:eastAsia="Times New Roman" w:hAnsi="Times New Roman" w:cs="Times New Roman"/>
          <w:i/>
          <w:iCs/>
        </w:rPr>
        <w:t>vs.</w:t>
      </w:r>
      <w:r w:rsidRPr="002C5BBB">
        <w:rPr>
          <w:rFonts w:ascii="Times New Roman" w:eastAsia="Times New Roman" w:hAnsi="Times New Roman" w:cs="Times New Roman"/>
        </w:rPr>
        <w:t xml:space="preserve"> 67,5%). </w:t>
      </w:r>
    </w:p>
    <w:p w14:paraId="6B092FB3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A77E687" w14:textId="02BFD92F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(szájban </w:t>
      </w:r>
      <w:proofErr w:type="spellStart"/>
      <w:r w:rsidRPr="002C5BBB">
        <w:rPr>
          <w:rFonts w:ascii="Times New Roman" w:eastAsia="Times New Roman" w:hAnsi="Times New Roman" w:cs="Times New Roman"/>
        </w:rPr>
        <w:t>diszpergálódó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tabletta) végzett klinikai vizsgálatok során a leggyakrabban, 291 (2–11 éves) gyermek által jelentett mellékhatások a fejfájás, az allergiás </w:t>
      </w:r>
      <w:proofErr w:type="spellStart"/>
      <w:r w:rsidRPr="002C5BBB">
        <w:rPr>
          <w:rFonts w:ascii="Times New Roman" w:eastAsia="Times New Roman" w:hAnsi="Times New Roman" w:cs="Times New Roman"/>
        </w:rPr>
        <w:t>conjunctivitis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a </w:t>
      </w:r>
      <w:proofErr w:type="spellStart"/>
      <w:r w:rsidRPr="002C5BBB">
        <w:rPr>
          <w:rFonts w:ascii="Times New Roman" w:eastAsia="Times New Roman" w:hAnsi="Times New Roman" w:cs="Times New Roman"/>
        </w:rPr>
        <w:t>rhinitis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és a hasi fájdalom voltak (260 gyermeket a klinikai biztonságossági vizsgálatokban, 31 gyermeket a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vizsgálatokban kezeltek). Ezek a kezeléssel összefüggésbe hozható nemkívánatos események hasonló gyakorisággal fordultak elő a 249 </w:t>
      </w:r>
      <w:proofErr w:type="spellStart"/>
      <w:r w:rsidRPr="002C5BBB">
        <w:rPr>
          <w:rFonts w:ascii="Times New Roman" w:eastAsia="Times New Roman" w:hAnsi="Times New Roman" w:cs="Times New Roman"/>
        </w:rPr>
        <w:t>placebót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kapó betegnél is.</w:t>
      </w:r>
    </w:p>
    <w:p w14:paraId="44D3B6AA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87B7D74" w14:textId="6F335D6A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  <w:iCs/>
          <w:u w:val="single"/>
        </w:rPr>
        <w:t>A mellékhatások táblázatos összefoglalása gyermekeknél</w:t>
      </w:r>
    </w:p>
    <w:p w14:paraId="4488AF8B" w14:textId="78012EB2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Az alábbi táblázat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-kezeléssel legalább potenciálisan összefüggésbe hozható, és a klinikai fejlesztés során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>-kezelést kapó (2–11 éves) gyermekek több mint 0,1%</w:t>
      </w:r>
      <w:r w:rsidRPr="002C5BBB">
        <w:rPr>
          <w:rFonts w:ascii="Times New Roman" w:eastAsia="Times New Roman" w:hAnsi="Times New Roman" w:cs="Times New Roman"/>
        </w:rPr>
        <w:noBreakHyphen/>
      </w:r>
      <w:proofErr w:type="spellStart"/>
      <w:r w:rsidRPr="002C5BBB">
        <w:rPr>
          <w:rFonts w:ascii="Times New Roman" w:eastAsia="Times New Roman" w:hAnsi="Times New Roman" w:cs="Times New Roman"/>
        </w:rPr>
        <w:t>ánál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jelentett mellékhatásokat mutatja be. </w:t>
      </w:r>
    </w:p>
    <w:p w14:paraId="4AC3509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1F8B788" w14:textId="77777777" w:rsidR="002C5BBB" w:rsidRPr="002C5BBB" w:rsidDel="00006FF0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</w:rPr>
      </w:pPr>
      <w:r w:rsidRPr="002C5BBB">
        <w:rPr>
          <w:rFonts w:ascii="Times New Roman" w:eastAsia="Times New Roman" w:hAnsi="Times New Roman" w:cs="Times New Roman"/>
          <w:iCs/>
        </w:rPr>
        <w:t>A gyakorisági kategóriák az alábbiak:</w:t>
      </w:r>
    </w:p>
    <w:p w14:paraId="7DA5B917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Nagyon gyakori (</w:t>
      </w:r>
      <w:r w:rsidRPr="002C5BBB">
        <w:rPr>
          <w:rFonts w:ascii="Times New Roman" w:eastAsia="Times New Roman" w:hAnsi="Times New Roman" w:cs="Times New Roman"/>
        </w:rPr>
        <w:sym w:font="Symbol" w:char="F0B3"/>
      </w:r>
      <w:r w:rsidRPr="002C5BBB">
        <w:rPr>
          <w:rFonts w:ascii="Times New Roman" w:eastAsia="Times New Roman" w:hAnsi="Times New Roman" w:cs="Times New Roman"/>
        </w:rPr>
        <w:t> 1/10)</w:t>
      </w:r>
    </w:p>
    <w:p w14:paraId="59BA9BA5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Gyakori (</w:t>
      </w:r>
      <w:r w:rsidRPr="002C5BBB">
        <w:rPr>
          <w:rFonts w:ascii="Times New Roman" w:eastAsia="Times New Roman" w:hAnsi="Times New Roman" w:cs="Times New Roman"/>
        </w:rPr>
        <w:sym w:font="Symbol" w:char="F0B3"/>
      </w:r>
      <w:r w:rsidRPr="002C5BBB">
        <w:rPr>
          <w:rFonts w:ascii="Times New Roman" w:eastAsia="Times New Roman" w:hAnsi="Times New Roman" w:cs="Times New Roman"/>
        </w:rPr>
        <w:t> 1/100 –&lt; 1/10)</w:t>
      </w:r>
    </w:p>
    <w:p w14:paraId="66F1DF2F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Nem gyakori (</w:t>
      </w:r>
      <w:r w:rsidRPr="002C5BBB">
        <w:rPr>
          <w:rFonts w:ascii="Times New Roman" w:eastAsia="Times New Roman" w:hAnsi="Times New Roman" w:cs="Times New Roman"/>
        </w:rPr>
        <w:sym w:font="Symbol" w:char="F0B3"/>
      </w:r>
      <w:r w:rsidRPr="002C5BBB">
        <w:rPr>
          <w:rFonts w:ascii="Times New Roman" w:eastAsia="Times New Roman" w:hAnsi="Times New Roman" w:cs="Times New Roman"/>
        </w:rPr>
        <w:t> 1/1000–&lt; 1/100)</w:t>
      </w:r>
    </w:p>
    <w:p w14:paraId="680BEA89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Ritka (</w:t>
      </w:r>
      <w:r w:rsidRPr="002C5BBB">
        <w:rPr>
          <w:rFonts w:ascii="Times New Roman" w:eastAsia="Times New Roman" w:hAnsi="Times New Roman" w:cs="Times New Roman"/>
        </w:rPr>
        <w:sym w:font="Symbol" w:char="F0B3"/>
      </w:r>
      <w:r w:rsidRPr="002C5BBB">
        <w:rPr>
          <w:rFonts w:ascii="Times New Roman" w:eastAsia="Times New Roman" w:hAnsi="Times New Roman" w:cs="Times New Roman"/>
        </w:rPr>
        <w:t> 1/10 000–&lt; 1/1000)</w:t>
      </w:r>
    </w:p>
    <w:p w14:paraId="2C316928" w14:textId="77777777" w:rsidR="002C5BBB" w:rsidRPr="002C5BBB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Nagyon ritka (&lt; 1/10 000)</w:t>
      </w:r>
    </w:p>
    <w:p w14:paraId="7E9BDFC5" w14:textId="77777777" w:rsidR="002C5BBB" w:rsidRPr="002C5BBB" w:rsidDel="00006FF0" w:rsidRDefault="002C5BBB" w:rsidP="002C5B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Nem ismert (a gyakoriság a rendelkezésre álló adatokból nem állapítható meg).</w:t>
      </w:r>
    </w:p>
    <w:p w14:paraId="3CE48A45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A táblázat nem tartalmazza a ritka, a nagyon ritka és a nem ismert gyakoriságú mellékhatásokat.</w:t>
      </w:r>
    </w:p>
    <w:p w14:paraId="26993CB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8783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11"/>
        <w:gridCol w:w="4100"/>
        <w:gridCol w:w="1701"/>
        <w:gridCol w:w="1412"/>
      </w:tblGrid>
      <w:tr w:rsidR="002C5BBB" w:rsidRPr="002C5BBB" w14:paraId="26F9A133" w14:textId="77777777" w:rsidTr="00933EA7">
        <w:trPr>
          <w:trHeight w:val="330"/>
          <w:tblHeader/>
        </w:trPr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BB863B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Szervrendszeri kategória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197D65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123" w:right="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2C5BBB">
              <w:rPr>
                <w:rFonts w:ascii="Times New Roman" w:eastAsia="Times New Roman" w:hAnsi="Times New Roman" w:cs="Times New Roman"/>
                <w:b/>
              </w:rPr>
              <w:t>Bilasztin</w:t>
            </w:r>
            <w:proofErr w:type="spellEnd"/>
          </w:p>
          <w:p w14:paraId="44EC5E1D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123" w:right="142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5BBB">
              <w:rPr>
                <w:rFonts w:ascii="Times New Roman" w:eastAsia="Times New Roman" w:hAnsi="Times New Roman" w:cs="Times New Roman"/>
                <w:b/>
              </w:rPr>
              <w:t xml:space="preserve">10 mg </w:t>
            </w:r>
          </w:p>
          <w:p w14:paraId="3AE350E2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Times New Roman" w:hAnsi="Times New Roman" w:cs="Times New Roman"/>
                <w:b/>
              </w:rPr>
              <w:t>(n = 291)</w:t>
            </w:r>
            <w:r w:rsidRPr="002C5BBB">
              <w:rPr>
                <w:rFonts w:ascii="Times New Roman" w:eastAsia="Times New Roman" w:hAnsi="Times New Roman" w:cs="Times New Roman"/>
                <w:b/>
                <w:vertAlign w:val="superscript"/>
              </w:rPr>
              <w:t>#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A2B97B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C5BBB">
              <w:rPr>
                <w:rFonts w:ascii="Times New Roman" w:eastAsia="Times New Roman" w:hAnsi="Times New Roman" w:cs="Times New Roman"/>
                <w:b/>
              </w:rPr>
              <w:t>Placebo</w:t>
            </w:r>
          </w:p>
          <w:p w14:paraId="26B2732F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335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Times New Roman" w:hAnsi="Times New Roman" w:cs="Times New Roman"/>
                <w:b/>
              </w:rPr>
              <w:t>(n = 249)</w:t>
            </w:r>
          </w:p>
        </w:tc>
      </w:tr>
      <w:tr w:rsidR="002C5BBB" w:rsidRPr="002C5BBB" w14:paraId="1EACA2CE" w14:textId="77777777" w:rsidTr="00933EA7">
        <w:trPr>
          <w:trHeight w:val="330"/>
          <w:tblHeader/>
        </w:trPr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A9F42C" w14:textId="77777777" w:rsidR="002C5BBB" w:rsidRPr="002C5BBB" w:rsidDel="007B61AC" w:rsidRDefault="002C5BBB" w:rsidP="002C5BBB">
            <w:pPr>
              <w:widowControl w:val="0"/>
              <w:suppressAutoHyphens/>
              <w:spacing w:after="0" w:line="240" w:lineRule="auto"/>
              <w:ind w:left="67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Gyakoriság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09233D" w14:textId="77777777" w:rsidR="002C5BBB" w:rsidRPr="002C5BBB" w:rsidDel="007B61AC" w:rsidRDefault="002C5BBB" w:rsidP="002C5BBB">
            <w:pPr>
              <w:widowControl w:val="0"/>
              <w:suppressAutoHyphens/>
              <w:spacing w:after="0" w:line="240" w:lineRule="auto"/>
              <w:ind w:left="67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  <w:r w:rsidRPr="002C5BBB">
              <w:rPr>
                <w:rFonts w:ascii="Times New Roman" w:eastAsia="Times New Roman" w:hAnsi="Times New Roman" w:cs="Times New Roman"/>
                <w:b/>
                <w:iCs/>
              </w:rPr>
              <w:t>Mellékhatás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999A2C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123" w:right="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C80FA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2C5BBB" w:rsidRPr="002C5BBB" w14:paraId="5C53017A" w14:textId="77777777" w:rsidTr="00933EA7">
        <w:trPr>
          <w:trHeight w:val="224"/>
        </w:trPr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8436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Times New Roman" w:hAnsi="Times New Roman" w:cs="Times New Roman"/>
                <w:b/>
              </w:rPr>
              <w:t>Fertőző betegségek és parazitafertőzések</w:t>
            </w:r>
          </w:p>
        </w:tc>
      </w:tr>
      <w:tr w:rsidR="002C5BBB" w:rsidRPr="002C5BBB" w14:paraId="14CE7739" w14:textId="77777777" w:rsidTr="00933EA7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9ACE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Gyakori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C9D9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proofErr w:type="spellStart"/>
            <w:r w:rsidRPr="002C5BBB">
              <w:rPr>
                <w:rFonts w:ascii="Times New Roman" w:eastAsia="Calibri" w:hAnsi="Times New Roman" w:cs="Times New Roman"/>
                <w:w w:val="105"/>
              </w:rPr>
              <w:t>rhinitis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4ACB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3 (1,0%)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3A17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335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3 (1,2%)</w:t>
            </w:r>
          </w:p>
        </w:tc>
      </w:tr>
      <w:tr w:rsidR="002C5BBB" w:rsidRPr="002C5BBB" w14:paraId="2893939D" w14:textId="77777777" w:rsidTr="00933EA7">
        <w:trPr>
          <w:trHeight w:val="224"/>
        </w:trPr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8AA4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Times New Roman" w:hAnsi="Times New Roman" w:cs="Times New Roman"/>
                <w:b/>
              </w:rPr>
              <w:t>Idegrendszeri betegségek és tünetek</w:t>
            </w:r>
          </w:p>
        </w:tc>
      </w:tr>
      <w:tr w:rsidR="002C5BBB" w:rsidRPr="002C5BBB" w14:paraId="4762F1D3" w14:textId="77777777" w:rsidTr="00933EA7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C64D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Gyakori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50C3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fejfájás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2C0B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6 (2,1%)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8EB8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3 (1,2%)</w:t>
            </w:r>
          </w:p>
        </w:tc>
      </w:tr>
      <w:tr w:rsidR="002C5BBB" w:rsidRPr="002C5BBB" w14:paraId="4A1206F0" w14:textId="77777777" w:rsidTr="00933EA7">
        <w:trPr>
          <w:trHeight w:val="70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E40258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Nem gyakori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C9E0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szédülés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8366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1 (0,3%)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9EA0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0 (0,0%)</w:t>
            </w:r>
          </w:p>
        </w:tc>
      </w:tr>
      <w:tr w:rsidR="002C5BBB" w:rsidRPr="002C5BBB" w14:paraId="50E32E51" w14:textId="77777777" w:rsidTr="00933EA7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027A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C9A7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eszméletvesztés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E283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1 (0,3%)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8312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0 (0,0%)</w:t>
            </w:r>
          </w:p>
        </w:tc>
      </w:tr>
      <w:tr w:rsidR="002C5BBB" w:rsidRPr="002C5BBB" w14:paraId="37D15512" w14:textId="77777777" w:rsidTr="00933EA7">
        <w:trPr>
          <w:trHeight w:val="224"/>
        </w:trPr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BF08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Times New Roman" w:hAnsi="Times New Roman" w:cs="Times New Roman"/>
                <w:b/>
              </w:rPr>
              <w:t>Szembetegségek és szemészeti tünetek</w:t>
            </w:r>
          </w:p>
        </w:tc>
      </w:tr>
      <w:tr w:rsidR="002C5BBB" w:rsidRPr="002C5BBB" w14:paraId="0B340C08" w14:textId="77777777" w:rsidTr="00933EA7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7218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lastRenderedPageBreak/>
              <w:t>Gyakori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0BC4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 xml:space="preserve">allergiás </w:t>
            </w:r>
            <w:proofErr w:type="spellStart"/>
            <w:r w:rsidRPr="002C5BBB">
              <w:rPr>
                <w:rFonts w:ascii="Times New Roman" w:eastAsia="Calibri" w:hAnsi="Times New Roman" w:cs="Times New Roman"/>
                <w:w w:val="105"/>
              </w:rPr>
              <w:t>conjunctivitis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1A3A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4</w:t>
            </w:r>
            <w:r w:rsidRPr="002C5BBB">
              <w:rPr>
                <w:rFonts w:ascii="Times New Roman" w:eastAsia="Calibri" w:hAnsi="Times New Roman" w:cs="Times New Roman"/>
                <w:spacing w:val="17"/>
              </w:rPr>
              <w:t xml:space="preserve"> </w:t>
            </w:r>
            <w:r w:rsidRPr="002C5BBB">
              <w:rPr>
                <w:rFonts w:ascii="Times New Roman" w:eastAsia="Calibri" w:hAnsi="Times New Roman" w:cs="Times New Roman"/>
              </w:rPr>
              <w:t>(1,4%)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DC323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06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5</w:t>
            </w:r>
            <w:r w:rsidRPr="002C5BBB">
              <w:rPr>
                <w:rFonts w:ascii="Times New Roman" w:eastAsia="Calibri" w:hAnsi="Times New Roman" w:cs="Times New Roman"/>
                <w:spacing w:val="-12"/>
              </w:rPr>
              <w:t xml:space="preserve"> </w:t>
            </w:r>
            <w:r w:rsidRPr="002C5BBB">
              <w:rPr>
                <w:rFonts w:ascii="Times New Roman" w:eastAsia="Calibri" w:hAnsi="Times New Roman" w:cs="Times New Roman"/>
              </w:rPr>
              <w:t>(2,0%)</w:t>
            </w:r>
          </w:p>
        </w:tc>
      </w:tr>
      <w:tr w:rsidR="002C5BBB" w:rsidRPr="002C5BBB" w14:paraId="3F4D2B48" w14:textId="77777777" w:rsidTr="00933EA7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3B30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Nem gyakori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87B1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szemirritáció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5052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1 (0,3%)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040D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0 (0,0%)</w:t>
            </w:r>
          </w:p>
        </w:tc>
      </w:tr>
      <w:tr w:rsidR="002C5BBB" w:rsidRPr="002C5BBB" w14:paraId="377914FD" w14:textId="77777777" w:rsidTr="00933EA7">
        <w:trPr>
          <w:trHeight w:val="224"/>
        </w:trPr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4AB7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Times New Roman" w:hAnsi="Times New Roman" w:cs="Times New Roman"/>
                <w:b/>
              </w:rPr>
              <w:t>Emésztőrendszeri betegségek és tünetek</w:t>
            </w:r>
          </w:p>
        </w:tc>
      </w:tr>
      <w:tr w:rsidR="002C5BBB" w:rsidRPr="002C5BBB" w14:paraId="74CF130E" w14:textId="77777777" w:rsidTr="00933EA7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04D4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Gyakori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0777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hasi fájdalom/ gyomortáji fájdalom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40E3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3 (1,0%)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2A71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3 (1,2%)</w:t>
            </w:r>
          </w:p>
        </w:tc>
      </w:tr>
      <w:tr w:rsidR="002C5BBB" w:rsidRPr="002C5BBB" w14:paraId="2EDD06E8" w14:textId="77777777" w:rsidTr="00933EA7">
        <w:trPr>
          <w:trHeight w:val="224"/>
        </w:trPr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71AF067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Nem gyakori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840B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hasmenés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9806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2 (0,7%)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0C1A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0 (0,0%)</w:t>
            </w:r>
          </w:p>
        </w:tc>
      </w:tr>
      <w:tr w:rsidR="002C5BBB" w:rsidRPr="002C5BBB" w14:paraId="365806CC" w14:textId="77777777" w:rsidTr="00933EA7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5EB45E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5BED" w14:textId="59CDD248" w:rsidR="002C5BBB" w:rsidRPr="00471D32" w:rsidRDefault="006A57EA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w w:val="105"/>
              </w:rPr>
              <w:t>hányinger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94F2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1 (0,3%)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FFE0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0 (0,0%)</w:t>
            </w:r>
          </w:p>
        </w:tc>
      </w:tr>
      <w:tr w:rsidR="002C5BBB" w:rsidRPr="002C5BBB" w14:paraId="7827A22F" w14:textId="77777777" w:rsidTr="00933EA7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9274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5DE3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Times New Roman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ajakduzzanat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769A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1 (0,3%)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C111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0 (0,0%)</w:t>
            </w:r>
          </w:p>
        </w:tc>
      </w:tr>
      <w:tr w:rsidR="002C5BBB" w:rsidRPr="002C5BBB" w14:paraId="5EFC71AE" w14:textId="77777777" w:rsidTr="00933EA7">
        <w:trPr>
          <w:trHeight w:val="224"/>
        </w:trPr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5CC54" w14:textId="77777777" w:rsidR="002C5BBB" w:rsidRPr="002C5BBB" w:rsidRDefault="002C5BBB" w:rsidP="00D87335">
            <w:pPr>
              <w:keepNext/>
              <w:suppressAutoHyphens/>
              <w:spacing w:after="0" w:line="240" w:lineRule="auto"/>
              <w:ind w:left="68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Times New Roman" w:hAnsi="Times New Roman" w:cs="Times New Roman"/>
                <w:b/>
              </w:rPr>
              <w:t>A bőr és a bőr alatti szövet betegségei és tünetei</w:t>
            </w:r>
          </w:p>
        </w:tc>
      </w:tr>
      <w:tr w:rsidR="002C5BBB" w:rsidRPr="002C5BBB" w14:paraId="16E1C590" w14:textId="77777777" w:rsidTr="00933EA7">
        <w:trPr>
          <w:trHeight w:val="224"/>
        </w:trPr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A1FEC6" w14:textId="77777777" w:rsidR="002C5BBB" w:rsidRPr="002C5BBB" w:rsidRDefault="002C5BBB" w:rsidP="00592B00">
            <w:pPr>
              <w:keepNext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Nem gyakori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AE40" w14:textId="77777777" w:rsidR="002C5BBB" w:rsidRPr="002C5BBB" w:rsidRDefault="002C5BBB" w:rsidP="00592B00">
            <w:pPr>
              <w:keepNext/>
              <w:suppressAutoHyphens/>
              <w:spacing w:after="0" w:line="240" w:lineRule="auto"/>
              <w:ind w:left="67"/>
              <w:rPr>
                <w:rFonts w:ascii="Times New Roman" w:eastAsia="Times New Roman" w:hAnsi="Times New Roman" w:cs="Times New Roman"/>
              </w:rPr>
            </w:pPr>
            <w:proofErr w:type="spellStart"/>
            <w:r w:rsidRPr="002C5BBB">
              <w:rPr>
                <w:rFonts w:ascii="Times New Roman" w:eastAsia="Calibri" w:hAnsi="Times New Roman" w:cs="Times New Roman"/>
                <w:w w:val="105"/>
              </w:rPr>
              <w:t>eczema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8931" w14:textId="77777777" w:rsidR="002C5BBB" w:rsidRPr="002C5BBB" w:rsidRDefault="002C5BBB" w:rsidP="00592B00">
            <w:pPr>
              <w:keepNext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1 (0,3%)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02A1" w14:textId="77777777" w:rsidR="002C5BBB" w:rsidRPr="002C5BBB" w:rsidRDefault="002C5BBB" w:rsidP="00592B00">
            <w:pPr>
              <w:keepNext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0 (0,0%)</w:t>
            </w:r>
          </w:p>
        </w:tc>
      </w:tr>
      <w:tr w:rsidR="002C5BBB" w:rsidRPr="002C5BBB" w14:paraId="2BFC1D25" w14:textId="77777777" w:rsidTr="00933EA7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EE71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49AE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proofErr w:type="spellStart"/>
            <w:r w:rsidRPr="002C5BBB">
              <w:rPr>
                <w:rFonts w:ascii="Times New Roman" w:eastAsia="Calibri" w:hAnsi="Times New Roman" w:cs="Times New Roman"/>
                <w:w w:val="105"/>
              </w:rPr>
              <w:t>urticaria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6FF4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2 (0,7%)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B204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2 (0,8%)</w:t>
            </w:r>
          </w:p>
        </w:tc>
      </w:tr>
      <w:tr w:rsidR="002C5BBB" w:rsidRPr="002C5BBB" w14:paraId="75D017FA" w14:textId="77777777" w:rsidTr="00933EA7">
        <w:trPr>
          <w:trHeight w:val="224"/>
        </w:trPr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6D82E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Times New Roman" w:hAnsi="Times New Roman" w:cs="Times New Roman"/>
                <w:b/>
              </w:rPr>
              <w:t>Általános tünetek, az alkalmazás helyén fellépő reakciók</w:t>
            </w:r>
          </w:p>
        </w:tc>
      </w:tr>
      <w:tr w:rsidR="002C5BBB" w:rsidRPr="002C5BBB" w14:paraId="4CD9DE2A" w14:textId="77777777" w:rsidTr="00933EA7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C5A9" w14:textId="77777777" w:rsidR="002C5BBB" w:rsidRPr="002C5BBB" w:rsidRDefault="002C5BBB" w:rsidP="002C5BBB">
            <w:pPr>
              <w:widowControl w:val="0"/>
              <w:tabs>
                <w:tab w:val="left" w:pos="142"/>
              </w:tabs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 w:rsidRPr="002C5BBB">
              <w:rPr>
                <w:rFonts w:ascii="Times New Roman" w:eastAsia="Calibri" w:hAnsi="Times New Roman" w:cs="Times New Roman"/>
                <w:w w:val="105"/>
              </w:rPr>
              <w:t>Nem gyakori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CE45" w14:textId="16BE187E" w:rsidR="002C5BBB" w:rsidRPr="002C5BBB" w:rsidRDefault="008679CF" w:rsidP="002C5BBB">
            <w:pPr>
              <w:widowControl w:val="0"/>
              <w:suppressAutoHyphens/>
              <w:spacing w:after="0" w:line="240" w:lineRule="auto"/>
              <w:ind w:left="67"/>
              <w:rPr>
                <w:rFonts w:ascii="Times New Roman" w:eastAsia="Calibri" w:hAnsi="Times New Roman" w:cs="Times New Roman"/>
                <w:w w:val="105"/>
              </w:rPr>
            </w:pPr>
            <w:r>
              <w:rPr>
                <w:rFonts w:ascii="Times New Roman" w:eastAsia="Calibri" w:hAnsi="Times New Roman" w:cs="Times New Roman"/>
              </w:rPr>
              <w:t>f</w:t>
            </w:r>
            <w:r w:rsidR="002C5BBB" w:rsidRPr="002C5BBB">
              <w:rPr>
                <w:rFonts w:ascii="Times New Roman" w:eastAsia="Calibri" w:hAnsi="Times New Roman" w:cs="Times New Roman"/>
              </w:rPr>
              <w:t>áradékonyság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F9CC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2 (0,7%)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BA97" w14:textId="77777777" w:rsidR="002C5BBB" w:rsidRPr="002C5BBB" w:rsidRDefault="002C5BBB" w:rsidP="002C5BBB">
            <w:pPr>
              <w:widowControl w:val="0"/>
              <w:suppressAutoHyphens/>
              <w:spacing w:after="0" w:line="240" w:lineRule="auto"/>
              <w:ind w:left="431"/>
              <w:rPr>
                <w:rFonts w:ascii="Times New Roman" w:eastAsia="Calibri" w:hAnsi="Times New Roman" w:cs="Times New Roman"/>
              </w:rPr>
            </w:pPr>
            <w:r w:rsidRPr="002C5BBB">
              <w:rPr>
                <w:rFonts w:ascii="Times New Roman" w:eastAsia="Calibri" w:hAnsi="Times New Roman" w:cs="Times New Roman"/>
              </w:rPr>
              <w:t>0 (0,0%)</w:t>
            </w:r>
          </w:p>
        </w:tc>
      </w:tr>
    </w:tbl>
    <w:p w14:paraId="5D2CCAA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2C5BBB">
        <w:rPr>
          <w:rFonts w:ascii="Times New Roman" w:eastAsia="Calibri" w:hAnsi="Times New Roman" w:cs="Times New Roman"/>
          <w:b/>
          <w:sz w:val="18"/>
          <w:szCs w:val="18"/>
          <w:vertAlign w:val="superscript"/>
        </w:rPr>
        <w:t>#</w:t>
      </w:r>
      <w:r w:rsidRPr="002C5BBB">
        <w:rPr>
          <w:rFonts w:ascii="Times New Roman" w:eastAsia="Times New Roman" w:hAnsi="Times New Roman" w:cs="Times New Roman"/>
          <w:sz w:val="18"/>
          <w:szCs w:val="18"/>
        </w:rPr>
        <w:t xml:space="preserve">260 gyermek vett részt a klinikai biztonságossági vizsgálatban, 31 gyermek pedig a </w:t>
      </w:r>
      <w:proofErr w:type="spellStart"/>
      <w:r w:rsidRPr="002C5BBB">
        <w:rPr>
          <w:rFonts w:ascii="Times New Roman" w:eastAsia="Times New Roman" w:hAnsi="Times New Roman" w:cs="Times New Roman"/>
          <w:sz w:val="18"/>
          <w:szCs w:val="18"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  <w:sz w:val="18"/>
          <w:szCs w:val="18"/>
        </w:rPr>
        <w:t xml:space="preserve"> vizsgálatban.</w:t>
      </w:r>
    </w:p>
    <w:p w14:paraId="1A672789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2647576" w14:textId="77777777" w:rsidR="002C5BBB" w:rsidRPr="002C5BBB" w:rsidRDefault="002C5BBB" w:rsidP="002C5BBB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2C5BBB">
        <w:rPr>
          <w:rFonts w:ascii="Times New Roman" w:eastAsia="Times New Roman" w:hAnsi="Times New Roman" w:cs="Times New Roman"/>
          <w:u w:val="single"/>
        </w:rPr>
        <w:t>Egyes kiválasztott mellékhatások leírása gyermekeknél</w:t>
      </w:r>
    </w:p>
    <w:p w14:paraId="4BFC4F25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Fejfájást, hasi fájdalmat, allergiás </w:t>
      </w:r>
      <w:proofErr w:type="spellStart"/>
      <w:r w:rsidRPr="002C5BBB">
        <w:rPr>
          <w:rFonts w:ascii="Times New Roman" w:eastAsia="Calibri" w:hAnsi="Times New Roman" w:cs="Times New Roman"/>
          <w:color w:val="000000"/>
          <w:lang w:eastAsia="it-IT"/>
        </w:rPr>
        <w:t>conjunctivitist</w:t>
      </w:r>
      <w:proofErr w:type="spellEnd"/>
      <w:r w:rsidRPr="002C5BBB">
        <w:rPr>
          <w:rFonts w:ascii="Times New Roman" w:eastAsia="Calibri" w:hAnsi="Times New Roman" w:cs="Times New Roman"/>
          <w:color w:val="000000"/>
          <w:lang w:eastAsia="it-IT"/>
        </w:rPr>
        <w:t xml:space="preserve"> és </w:t>
      </w:r>
      <w:proofErr w:type="spellStart"/>
      <w:r w:rsidRPr="002C5BBB">
        <w:rPr>
          <w:rFonts w:ascii="Times New Roman" w:eastAsia="Calibri" w:hAnsi="Times New Roman" w:cs="Times New Roman"/>
          <w:color w:val="000000"/>
          <w:lang w:eastAsia="it-IT"/>
        </w:rPr>
        <w:t>rhinitist</w:t>
      </w:r>
      <w:proofErr w:type="spellEnd"/>
      <w:r w:rsidRPr="002C5BBB">
        <w:rPr>
          <w:rFonts w:ascii="Times New Roman" w:eastAsia="Calibri" w:hAnsi="Times New Roman" w:cs="Times New Roman"/>
          <w:color w:val="000000"/>
          <w:lang w:eastAsia="it-IT"/>
        </w:rPr>
        <w:t xml:space="preserve"> egyaránt észleltek a </w:t>
      </w:r>
      <w:r w:rsidRPr="002C5BBB">
        <w:rPr>
          <w:rFonts w:ascii="Times New Roman" w:eastAsia="Times New Roman" w:hAnsi="Times New Roman" w:cs="Times New Roman"/>
        </w:rPr>
        <w:t xml:space="preserve">10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és a </w:t>
      </w:r>
      <w:proofErr w:type="spellStart"/>
      <w:r w:rsidRPr="002C5BBB">
        <w:rPr>
          <w:rFonts w:ascii="Times New Roman" w:eastAsia="Times New Roman" w:hAnsi="Times New Roman" w:cs="Times New Roman"/>
        </w:rPr>
        <w:t>placebóval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kezelt gyermekeknél, amelyeknek gyakoriságai a következők voltak: fejfájás 2,1% </w:t>
      </w:r>
      <w:r w:rsidRPr="002C5BBB">
        <w:rPr>
          <w:rFonts w:ascii="Times New Roman" w:eastAsia="Times New Roman" w:hAnsi="Times New Roman" w:cs="Times New Roman"/>
          <w:i/>
          <w:iCs/>
        </w:rPr>
        <w:t>vs</w:t>
      </w:r>
      <w:r w:rsidRPr="002C5BBB">
        <w:rPr>
          <w:rFonts w:ascii="Times New Roman" w:eastAsia="Times New Roman" w:hAnsi="Times New Roman" w:cs="Times New Roman"/>
        </w:rPr>
        <w:t xml:space="preserve">. 1,2%; hasi fájdalom 1,0% </w:t>
      </w:r>
      <w:r w:rsidRPr="002C5BBB">
        <w:rPr>
          <w:rFonts w:ascii="Times New Roman" w:eastAsia="Times New Roman" w:hAnsi="Times New Roman" w:cs="Times New Roman"/>
          <w:i/>
          <w:iCs/>
        </w:rPr>
        <w:t>vs</w:t>
      </w:r>
      <w:r w:rsidRPr="002C5BBB">
        <w:rPr>
          <w:rFonts w:ascii="Times New Roman" w:eastAsia="Times New Roman" w:hAnsi="Times New Roman" w:cs="Times New Roman"/>
        </w:rPr>
        <w:t xml:space="preserve">. 1,2%; allergiás </w:t>
      </w:r>
      <w:proofErr w:type="spellStart"/>
      <w:r w:rsidRPr="002C5BBB">
        <w:rPr>
          <w:rFonts w:ascii="Times New Roman" w:eastAsia="Calibri" w:hAnsi="Times New Roman" w:cs="Times New Roman"/>
          <w:color w:val="000000"/>
          <w:lang w:eastAsia="it-IT"/>
        </w:rPr>
        <w:t>conjunctivitis</w:t>
      </w:r>
      <w:proofErr w:type="spellEnd"/>
      <w:r w:rsidRPr="002C5BBB">
        <w:rPr>
          <w:rFonts w:ascii="Times New Roman" w:eastAsia="Calibri" w:hAnsi="Times New Roman" w:cs="Times New Roman"/>
          <w:color w:val="000000"/>
          <w:lang w:eastAsia="it-IT"/>
        </w:rPr>
        <w:t xml:space="preserve"> </w:t>
      </w:r>
      <w:r w:rsidRPr="002C5BBB">
        <w:rPr>
          <w:rFonts w:ascii="Times New Roman" w:eastAsia="Times New Roman" w:hAnsi="Times New Roman" w:cs="Times New Roman"/>
        </w:rPr>
        <w:t xml:space="preserve">1,4% </w:t>
      </w:r>
      <w:r w:rsidRPr="002C5BBB">
        <w:rPr>
          <w:rFonts w:ascii="Times New Roman" w:eastAsia="Times New Roman" w:hAnsi="Times New Roman" w:cs="Times New Roman"/>
          <w:i/>
          <w:iCs/>
        </w:rPr>
        <w:t>vs.</w:t>
      </w:r>
      <w:r w:rsidRPr="002C5BBB">
        <w:rPr>
          <w:rFonts w:ascii="Times New Roman" w:eastAsia="Times New Roman" w:hAnsi="Times New Roman" w:cs="Times New Roman"/>
        </w:rPr>
        <w:t xml:space="preserve"> 2,0%; </w:t>
      </w:r>
      <w:proofErr w:type="spellStart"/>
      <w:r w:rsidRPr="002C5BBB">
        <w:rPr>
          <w:rFonts w:ascii="Times New Roman" w:eastAsia="Times New Roman" w:hAnsi="Times New Roman" w:cs="Times New Roman"/>
        </w:rPr>
        <w:t>rhinitis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1,0% </w:t>
      </w:r>
      <w:r w:rsidRPr="002C5BBB">
        <w:rPr>
          <w:rFonts w:ascii="Times New Roman" w:eastAsia="Times New Roman" w:hAnsi="Times New Roman" w:cs="Times New Roman"/>
          <w:i/>
          <w:iCs/>
        </w:rPr>
        <w:t>vs</w:t>
      </w:r>
      <w:r w:rsidRPr="002C5BBB">
        <w:rPr>
          <w:rFonts w:ascii="Times New Roman" w:eastAsia="Times New Roman" w:hAnsi="Times New Roman" w:cs="Times New Roman"/>
        </w:rPr>
        <w:t>. 1,2%.</w:t>
      </w:r>
    </w:p>
    <w:p w14:paraId="297522F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14:paraId="0DCC615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2C5BBB">
        <w:rPr>
          <w:rFonts w:ascii="Times New Roman" w:eastAsia="Times New Roman" w:hAnsi="Times New Roman" w:cs="Times New Roman"/>
          <w:u w:val="single"/>
        </w:rPr>
        <w:t>Feltételezett mellékhatások bejelentése</w:t>
      </w:r>
    </w:p>
    <w:p w14:paraId="74BEEBC4" w14:textId="60694FAF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7" w:history="1">
        <w:r w:rsidRPr="002C5BBB">
          <w:rPr>
            <w:rFonts w:ascii="Times New Roman" w:eastAsia="Times New Roman" w:hAnsi="Times New Roman" w:cs="Times New Roman"/>
            <w:color w:val="0000FF"/>
            <w:highlight w:val="lightGray"/>
            <w:u w:val="single"/>
          </w:rPr>
          <w:t>V. függelékben</w:t>
        </w:r>
      </w:hyperlink>
      <w:r w:rsidRPr="002C5BBB">
        <w:rPr>
          <w:rFonts w:ascii="Times New Roman" w:eastAsia="Times New Roman" w:hAnsi="Times New Roman" w:cs="Times New Roman"/>
          <w:highlight w:val="lightGray"/>
        </w:rPr>
        <w:t xml:space="preserve"> található elérhetőségek valamelyikén keresztül</w:t>
      </w:r>
      <w:r w:rsidRPr="002C5BBB">
        <w:rPr>
          <w:rFonts w:ascii="Times New Roman" w:eastAsia="Times New Roman" w:hAnsi="Times New Roman" w:cs="Times New Roman"/>
        </w:rPr>
        <w:t>.</w:t>
      </w:r>
    </w:p>
    <w:p w14:paraId="5B67C20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68A6752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4.9</w:t>
      </w:r>
      <w:r w:rsidRPr="002C5BBB">
        <w:rPr>
          <w:rFonts w:ascii="Times New Roman" w:eastAsia="Times New Roman" w:hAnsi="Times New Roman" w:cs="Times New Roman"/>
          <w:b/>
        </w:rPr>
        <w:tab/>
        <w:t>Túladagolás</w:t>
      </w:r>
    </w:p>
    <w:p w14:paraId="76AA8F26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</w:rPr>
      </w:pPr>
    </w:p>
    <w:p w14:paraId="0842A742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akut túladagolására vonatkozó információk a gyógyszerfejlesztés során végzett klinikai vizsgálatok tapasztalataiból és a forgalomba hozatalt követő megfigyelésből származnak. A klinikai vizsgálatokban 26 egészséges önkéntesnél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terápiás dózisának 10-11-szeresét (220 mg egyszeri dózisban, vagy 7 napon át 200 mg/nap dózisban) alkalmazva a kezeléssel összefüggő mellékhatások gyakorisága kétszer nagyobb volt, mint placebo esetén. A leggyakoribb mellékhatások a szédülés, a fejfájás és a hányinger voltak. Nem jelentettek sem súlyos mellékhatást, sem a </w:t>
      </w:r>
      <w:proofErr w:type="spellStart"/>
      <w:r w:rsidRPr="002C5BBB">
        <w:rPr>
          <w:rFonts w:ascii="Times New Roman" w:eastAsia="Times New Roman" w:hAnsi="Times New Roman" w:cs="Times New Roman"/>
        </w:rPr>
        <w:t>QTc</w:t>
      </w:r>
      <w:proofErr w:type="spellEnd"/>
      <w:r w:rsidRPr="002C5BBB">
        <w:rPr>
          <w:rFonts w:ascii="Times New Roman" w:eastAsia="Times New Roman" w:hAnsi="Times New Roman" w:cs="Times New Roman"/>
        </w:rPr>
        <w:t>-intervallum szignifikáns megnyúlását. A forgalomba hozatalt követő megfigyelésből származó információk összhangban vannak a klinikai vizsgálatok során jelentettekkel.</w:t>
      </w:r>
    </w:p>
    <w:p w14:paraId="00174B99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18BBDE0A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ismételt dózisainak (4 napon át 100 mg) a </w:t>
      </w:r>
      <w:proofErr w:type="spellStart"/>
      <w:r w:rsidRPr="002C5BBB">
        <w:rPr>
          <w:rFonts w:ascii="Times New Roman" w:eastAsia="Times New Roman" w:hAnsi="Times New Roman" w:cs="Times New Roman"/>
        </w:rPr>
        <w:t>ventricularis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repolarizációra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kifejtett hatását egy 30 egészséges önkéntesen végzett “QT/</w:t>
      </w:r>
      <w:proofErr w:type="spellStart"/>
      <w:r w:rsidRPr="002C5BBB">
        <w:rPr>
          <w:rFonts w:ascii="Times New Roman" w:eastAsia="Times New Roman" w:hAnsi="Times New Roman" w:cs="Times New Roman"/>
        </w:rPr>
        <w:t>QTc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keresztezett elrendezésű átfogó klinikai vizsgálat” elemzésének elbírálásakor nem volt kimutatható a </w:t>
      </w:r>
      <w:proofErr w:type="spellStart"/>
      <w:r w:rsidRPr="002C5BBB">
        <w:rPr>
          <w:rFonts w:ascii="Times New Roman" w:eastAsia="Times New Roman" w:hAnsi="Times New Roman" w:cs="Times New Roman"/>
        </w:rPr>
        <w:t>QTc</w:t>
      </w:r>
      <w:proofErr w:type="spellEnd"/>
      <w:r w:rsidRPr="002C5BBB">
        <w:rPr>
          <w:rFonts w:ascii="Times New Roman" w:eastAsia="Times New Roman" w:hAnsi="Times New Roman" w:cs="Times New Roman"/>
        </w:rPr>
        <w:t>-intervallum szignifikáns megnyúlása.</w:t>
      </w:r>
    </w:p>
    <w:p w14:paraId="7A41D49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A866E42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Gyermekek esetében nincsenek túladagolásra vonatkozó adatok.</w:t>
      </w:r>
    </w:p>
    <w:p w14:paraId="2240BEE8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Túladagolás esetén tüneti és támogató kezelés javasolt.</w:t>
      </w:r>
    </w:p>
    <w:p w14:paraId="28E8977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bilasztinnak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nincs specifikus </w:t>
      </w:r>
      <w:proofErr w:type="spellStart"/>
      <w:r w:rsidRPr="002C5BBB">
        <w:rPr>
          <w:rFonts w:ascii="Times New Roman" w:eastAsia="Times New Roman" w:hAnsi="Times New Roman" w:cs="Times New Roman"/>
        </w:rPr>
        <w:t>antidotuma</w:t>
      </w:r>
      <w:proofErr w:type="spellEnd"/>
      <w:r w:rsidRPr="002C5BBB">
        <w:rPr>
          <w:rFonts w:ascii="Times New Roman" w:eastAsia="Times New Roman" w:hAnsi="Times New Roman" w:cs="Times New Roman"/>
        </w:rPr>
        <w:t>.</w:t>
      </w:r>
    </w:p>
    <w:p w14:paraId="7E0740C9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74D64B0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</w:rPr>
      </w:pPr>
    </w:p>
    <w:p w14:paraId="6F1CB5EF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5.</w:t>
      </w:r>
      <w:r w:rsidRPr="002C5BBB">
        <w:rPr>
          <w:rFonts w:ascii="Times New Roman" w:eastAsia="Times New Roman" w:hAnsi="Times New Roman" w:cs="Times New Roman"/>
          <w:b/>
        </w:rPr>
        <w:tab/>
        <w:t>FARMAKOLÓGIAI TULAJDONSÁGOK</w:t>
      </w:r>
    </w:p>
    <w:p w14:paraId="3B7C97B9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35D55E76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5.1</w:t>
      </w:r>
      <w:r w:rsidRPr="002C5BBB">
        <w:rPr>
          <w:rFonts w:ascii="Times New Roman" w:eastAsia="Times New Roman" w:hAnsi="Times New Roman" w:cs="Times New Roman"/>
          <w:b/>
        </w:rPr>
        <w:tab/>
      </w:r>
      <w:proofErr w:type="spellStart"/>
      <w:r w:rsidRPr="002C5BBB">
        <w:rPr>
          <w:rFonts w:ascii="Times New Roman" w:eastAsia="Times New Roman" w:hAnsi="Times New Roman" w:cs="Times New Roman"/>
          <w:b/>
        </w:rPr>
        <w:t>Farmakodinámiás</w:t>
      </w:r>
      <w:proofErr w:type="spellEnd"/>
      <w:r w:rsidRPr="002C5BBB">
        <w:rPr>
          <w:rFonts w:ascii="Times New Roman" w:eastAsia="Times New Roman" w:hAnsi="Times New Roman" w:cs="Times New Roman"/>
          <w:b/>
        </w:rPr>
        <w:t xml:space="preserve"> tulajdonságok</w:t>
      </w:r>
    </w:p>
    <w:p w14:paraId="5595AEE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A64C709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2C5BBB">
        <w:rPr>
          <w:rFonts w:ascii="Times New Roman" w:eastAsia="Times New Roman" w:hAnsi="Times New Roman" w:cs="Times New Roman"/>
        </w:rPr>
        <w:t>Farmakoterápiás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csoport: Szisztémás </w:t>
      </w:r>
      <w:proofErr w:type="spellStart"/>
      <w:r w:rsidRPr="002C5BBB">
        <w:rPr>
          <w:rFonts w:ascii="Times New Roman" w:eastAsia="Times New Roman" w:hAnsi="Times New Roman" w:cs="Times New Roman"/>
        </w:rPr>
        <w:t>antihisztaminok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egyéb szisztémás </w:t>
      </w:r>
      <w:proofErr w:type="spellStart"/>
      <w:r w:rsidRPr="002C5BBB">
        <w:rPr>
          <w:rFonts w:ascii="Times New Roman" w:eastAsia="Times New Roman" w:hAnsi="Times New Roman" w:cs="Times New Roman"/>
        </w:rPr>
        <w:t>antihisztaminok</w:t>
      </w:r>
      <w:proofErr w:type="spellEnd"/>
      <w:r w:rsidRPr="002C5BBB">
        <w:rPr>
          <w:rFonts w:ascii="Times New Roman" w:eastAsia="Times New Roman" w:hAnsi="Times New Roman" w:cs="Times New Roman"/>
        </w:rPr>
        <w:t>, ATC kód: R06AX29</w:t>
      </w:r>
    </w:p>
    <w:p w14:paraId="373497A9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</w:rPr>
      </w:pPr>
    </w:p>
    <w:p w14:paraId="77AAFDB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2C5BBB">
        <w:rPr>
          <w:rFonts w:ascii="Times New Roman" w:eastAsia="Times New Roman" w:hAnsi="Times New Roman" w:cs="Times New Roman"/>
          <w:u w:val="single"/>
        </w:rPr>
        <w:t>Hatásmechanizmus</w:t>
      </w:r>
    </w:p>
    <w:p w14:paraId="75D54992" w14:textId="15BE4F0D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lastRenderedPageBreak/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egy nem</w:t>
      </w:r>
      <w:r w:rsidR="008679C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szedatív</w:t>
      </w:r>
      <w:proofErr w:type="spellEnd"/>
      <w:r w:rsidRPr="002C5BBB">
        <w:rPr>
          <w:rFonts w:ascii="Times New Roman" w:eastAsia="Times New Roman" w:hAnsi="Times New Roman" w:cs="Times New Roman"/>
        </w:rPr>
        <w:t>, tartós hatású hisztamin-</w:t>
      </w:r>
      <w:proofErr w:type="spellStart"/>
      <w:r w:rsidRPr="002C5BBB">
        <w:rPr>
          <w:rFonts w:ascii="Times New Roman" w:eastAsia="Times New Roman" w:hAnsi="Times New Roman" w:cs="Times New Roman"/>
        </w:rPr>
        <w:t>antagonista</w:t>
      </w:r>
      <w:proofErr w:type="spellEnd"/>
      <w:r w:rsidRPr="002C5BBB">
        <w:rPr>
          <w:rFonts w:ascii="Times New Roman" w:eastAsia="Times New Roman" w:hAnsi="Times New Roman" w:cs="Times New Roman"/>
        </w:rPr>
        <w:t>, amely szelektív perifériás H</w:t>
      </w:r>
      <w:r w:rsidRPr="002C5BBB">
        <w:rPr>
          <w:rFonts w:ascii="Times New Roman" w:eastAsia="Times New Roman" w:hAnsi="Times New Roman" w:cs="Times New Roman"/>
          <w:vertAlign w:val="subscript"/>
        </w:rPr>
        <w:t>1</w:t>
      </w:r>
      <w:r w:rsidRPr="002C5BBB">
        <w:rPr>
          <w:rFonts w:ascii="Times New Roman" w:eastAsia="Times New Roman" w:hAnsi="Times New Roman" w:cs="Times New Roman"/>
        </w:rPr>
        <w:noBreakHyphen/>
        <w:t xml:space="preserve">receptor-antagonista affinitással rendelkezik, és nem mutat affinitást a </w:t>
      </w:r>
      <w:proofErr w:type="spellStart"/>
      <w:r w:rsidRPr="002C5BBB">
        <w:rPr>
          <w:rFonts w:ascii="Times New Roman" w:eastAsia="Times New Roman" w:hAnsi="Times New Roman" w:cs="Times New Roman"/>
        </w:rPr>
        <w:t>muszkarin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receptorok iránt.</w:t>
      </w:r>
    </w:p>
    <w:p w14:paraId="12746771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16B1283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egyszeri dózisai 24 órán át gátolták a hisztamin által kiváltott “</w:t>
      </w:r>
      <w:proofErr w:type="spellStart"/>
      <w:r w:rsidRPr="002C5BBB">
        <w:rPr>
          <w:rFonts w:ascii="Times New Roman" w:eastAsia="Times New Roman" w:hAnsi="Times New Roman" w:cs="Times New Roman"/>
        </w:rPr>
        <w:t>wheal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and </w:t>
      </w:r>
      <w:proofErr w:type="spellStart"/>
      <w:r w:rsidRPr="002C5BBB">
        <w:rPr>
          <w:rFonts w:ascii="Times New Roman" w:eastAsia="Times New Roman" w:hAnsi="Times New Roman" w:cs="Times New Roman"/>
        </w:rPr>
        <w:t>flare</w:t>
      </w:r>
      <w:proofErr w:type="spellEnd"/>
      <w:r w:rsidRPr="002C5BBB">
        <w:rPr>
          <w:rFonts w:ascii="Times New Roman" w:eastAsia="Times New Roman" w:hAnsi="Times New Roman" w:cs="Times New Roman"/>
        </w:rPr>
        <w:t>” bőrreakciót.</w:t>
      </w:r>
    </w:p>
    <w:p w14:paraId="256017AD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27917F1" w14:textId="77777777" w:rsidR="002C5BBB" w:rsidRPr="002C5BBB" w:rsidRDefault="002C5BBB" w:rsidP="002C5BBB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2C5BBB">
        <w:rPr>
          <w:rFonts w:ascii="Times New Roman" w:eastAsia="Times New Roman" w:hAnsi="Times New Roman" w:cs="Times New Roman"/>
          <w:u w:val="single"/>
        </w:rPr>
        <w:t>Klinikai hatásosság és biztonságosság</w:t>
      </w:r>
    </w:p>
    <w:p w14:paraId="375D2A47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szezonális és </w:t>
      </w:r>
      <w:proofErr w:type="spellStart"/>
      <w:r w:rsidRPr="002C5BBB">
        <w:rPr>
          <w:rFonts w:ascii="Times New Roman" w:eastAsia="Times New Roman" w:hAnsi="Times New Roman" w:cs="Times New Roman"/>
        </w:rPr>
        <w:t>perenniális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rhinoconjunctivitisben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szenvedő felnőttekkel és serdülőkkel végzett klinikai vizsgálatok során a 14–28 napon át naponta egyszer adagolt 20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hatékonynak bizonyult az alábbi tünetek enyhítésében: tüsszögés, orrfolyás, orrviszketés, orrdugulás, szemviszketés, könnyezés és szemvörösség.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24 órán keresztül hatásosnak bizonyult a tünetek kontrolljában.</w:t>
      </w:r>
    </w:p>
    <w:p w14:paraId="0C2BA9A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219416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Két klinikai vizsgálatban, amelyet krónikus </w:t>
      </w:r>
      <w:proofErr w:type="spellStart"/>
      <w:r w:rsidRPr="002C5BBB">
        <w:rPr>
          <w:rFonts w:ascii="Times New Roman" w:eastAsia="Times New Roman" w:hAnsi="Times New Roman" w:cs="Times New Roman"/>
        </w:rPr>
        <w:t>idiopathiás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urticariában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szenvedő betegek körében végeztek, a 28 napon át 20 mg dózisban adott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hatékonyan csökkentette a viszketés intenzitását és a bőrkiütések számát és kiterjedését, valamint a betegek </w:t>
      </w:r>
      <w:proofErr w:type="spellStart"/>
      <w:r w:rsidRPr="002C5BBB">
        <w:rPr>
          <w:rFonts w:ascii="Times New Roman" w:eastAsia="Times New Roman" w:hAnsi="Times New Roman" w:cs="Times New Roman"/>
        </w:rPr>
        <w:t>urticariának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tulajdonítható rossz közérzetét. A betegek jobban tudtak aludni, és életminőségük is javult.</w:t>
      </w:r>
    </w:p>
    <w:p w14:paraId="1DEF6B1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4ECBE5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végzett klinikai vizsgálatokban nem észleltek sem </w:t>
      </w:r>
      <w:proofErr w:type="spellStart"/>
      <w:r w:rsidRPr="002C5BBB">
        <w:rPr>
          <w:rFonts w:ascii="Times New Roman" w:eastAsia="Times New Roman" w:hAnsi="Times New Roman" w:cs="Times New Roman"/>
        </w:rPr>
        <w:t>klinikaikag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szignifikáns </w:t>
      </w:r>
      <w:proofErr w:type="spellStart"/>
      <w:r w:rsidRPr="002C5BBB">
        <w:rPr>
          <w:rFonts w:ascii="Times New Roman" w:eastAsia="Times New Roman" w:hAnsi="Times New Roman" w:cs="Times New Roman"/>
        </w:rPr>
        <w:t>QTc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-intervallum-megnyúlást, sem egyéb </w:t>
      </w:r>
      <w:proofErr w:type="spellStart"/>
      <w:r w:rsidRPr="002C5BBB">
        <w:rPr>
          <w:rFonts w:ascii="Times New Roman" w:eastAsia="Times New Roman" w:hAnsi="Times New Roman" w:cs="Times New Roman"/>
        </w:rPr>
        <w:t>cardiovasculáris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hatást; még akkor sem, amikor 9 betegnél 7 napon át napi 200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alkalmaztak (a terápiás dózis 10-szerese), vagy akkor, amikor egyidejűleg adták P-</w:t>
      </w:r>
      <w:proofErr w:type="spellStart"/>
      <w:r w:rsidRPr="002C5BBB">
        <w:rPr>
          <w:rFonts w:ascii="Times New Roman" w:eastAsia="Times New Roman" w:hAnsi="Times New Roman" w:cs="Times New Roman"/>
        </w:rPr>
        <w:t>gp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inhibitorokkal, pl. </w:t>
      </w:r>
      <w:proofErr w:type="spellStart"/>
      <w:r w:rsidRPr="002C5BBB">
        <w:rPr>
          <w:rFonts w:ascii="Times New Roman" w:eastAsia="Times New Roman" w:hAnsi="Times New Roman" w:cs="Times New Roman"/>
        </w:rPr>
        <w:t>ketokonazollal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(24 vizsgálati alanynak) és </w:t>
      </w:r>
      <w:proofErr w:type="spellStart"/>
      <w:r w:rsidRPr="002C5BBB">
        <w:rPr>
          <w:rFonts w:ascii="Times New Roman" w:eastAsia="Times New Roman" w:hAnsi="Times New Roman" w:cs="Times New Roman"/>
        </w:rPr>
        <w:t>eritromicinnel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(24 vizsgálati alanynak). Ezen kívül, 30 egészséges önkéntes bevonásával egy átfogó QT-vizsgálatot is végeztek.</w:t>
      </w:r>
    </w:p>
    <w:p w14:paraId="094F87D9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B1B3AB1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kontrollos klinikai vizsgálatokban a javasolt napi egyszeri 20 mg-os dózis mellett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központi idegrendszeri biztonságossági profilja a </w:t>
      </w:r>
      <w:proofErr w:type="spellStart"/>
      <w:r w:rsidRPr="002C5BBB">
        <w:rPr>
          <w:rFonts w:ascii="Times New Roman" w:eastAsia="Times New Roman" w:hAnsi="Times New Roman" w:cs="Times New Roman"/>
        </w:rPr>
        <w:t>placebóhoz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hasonló volt, és az álmosság előfordulása statisztikailag nem mutatott eltérést a </w:t>
      </w:r>
      <w:proofErr w:type="spellStart"/>
      <w:r w:rsidRPr="002C5BBB">
        <w:rPr>
          <w:rFonts w:ascii="Times New Roman" w:eastAsia="Times New Roman" w:hAnsi="Times New Roman" w:cs="Times New Roman"/>
        </w:rPr>
        <w:t>placebótól</w:t>
      </w:r>
      <w:proofErr w:type="spellEnd"/>
      <w:r w:rsidRPr="002C5BBB">
        <w:rPr>
          <w:rFonts w:ascii="Times New Roman" w:eastAsia="Times New Roman" w:hAnsi="Times New Roman" w:cs="Times New Roman"/>
        </w:rPr>
        <w:t>. A klinikai vizsgálatok során a naponta egyszer, legfeljebb 40 mg-</w:t>
      </w:r>
      <w:proofErr w:type="spellStart"/>
      <w:r w:rsidRPr="002C5BBB">
        <w:rPr>
          <w:rFonts w:ascii="Times New Roman" w:eastAsia="Times New Roman" w:hAnsi="Times New Roman" w:cs="Times New Roman"/>
        </w:rPr>
        <w:t>os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dózisban alkalmazott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nem befolyásolta a </w:t>
      </w:r>
      <w:proofErr w:type="spellStart"/>
      <w:r w:rsidRPr="002C5BBB">
        <w:rPr>
          <w:rFonts w:ascii="Times New Roman" w:eastAsia="Times New Roman" w:hAnsi="Times New Roman" w:cs="Times New Roman"/>
        </w:rPr>
        <w:t>pszichomotoros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teljesítményt, és egy standard gépjárművezetési teszten vizsgálva nem befolyásolta a gépjárművezetési képességet.</w:t>
      </w:r>
    </w:p>
    <w:p w14:paraId="6EA76E3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83D277A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A II. és III. fázisú klinikai vizsgálatokba bevont idős betegeknél (≥ 65 éves) a hatásosság és biztonságosság tekintetében nem volt kimutatható eltérés a fiatalabb betegekhez viszonyítva. Egy forgalomba hozatalt követően végzett vizsgálatban 146 idős beteg esetében a biztonságossági profil tekintetében nem volt kimutatható eltérés a fiatalabb betegekhez viszonyítva.</w:t>
      </w:r>
    </w:p>
    <w:p w14:paraId="4D203CF9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8D00B8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u w:val="single"/>
        </w:rPr>
      </w:pPr>
      <w:r w:rsidRPr="002C5BBB">
        <w:rPr>
          <w:rFonts w:ascii="Times New Roman" w:eastAsia="Times New Roman" w:hAnsi="Times New Roman" w:cs="Times New Roman"/>
          <w:iCs/>
          <w:u w:val="single"/>
        </w:rPr>
        <w:t>Gyermekek és serdülők</w:t>
      </w:r>
    </w:p>
    <w:p w14:paraId="10560EA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07E199A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klinikai fejlesztés folyamatába serdülőket (12–17 éves) is bevontak. A klinikai vizsgálatok során 128 serdülő kapott </w:t>
      </w:r>
      <w:proofErr w:type="spellStart"/>
      <w:r w:rsidRPr="002C5BBB">
        <w:rPr>
          <w:rFonts w:ascii="Times New Roman" w:eastAsia="Times New Roman" w:hAnsi="Times New Roman" w:cs="Times New Roman"/>
        </w:rPr>
        <w:t>bilasztint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(81 serdülő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rhinoconjunctivitisben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végzett kettős vak vizsgálatban). További 116 serdülőt </w:t>
      </w:r>
      <w:proofErr w:type="spellStart"/>
      <w:r w:rsidRPr="002C5BBB">
        <w:rPr>
          <w:rFonts w:ascii="Times New Roman" w:eastAsia="Times New Roman" w:hAnsi="Times New Roman" w:cs="Times New Roman"/>
        </w:rPr>
        <w:t>randomizáltak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az aktív komparátort vagy a </w:t>
      </w:r>
      <w:proofErr w:type="spellStart"/>
      <w:r w:rsidRPr="002C5BBB">
        <w:rPr>
          <w:rFonts w:ascii="Times New Roman" w:eastAsia="Times New Roman" w:hAnsi="Times New Roman" w:cs="Times New Roman"/>
        </w:rPr>
        <w:t>placebót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kapó csoportokba. A hatásosság és biztonságosság tekintetében nem találtak különbséget a felnőttek és serdülők között.</w:t>
      </w:r>
    </w:p>
    <w:p w14:paraId="41830C2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szakmai irányelvek szerint,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felnőtteknél és serdülőknél igazolt hatékonyságát </w:t>
      </w:r>
      <w:proofErr w:type="spellStart"/>
      <w:r w:rsidRPr="002C5BBB">
        <w:rPr>
          <w:rFonts w:ascii="Times New Roman" w:eastAsia="Times New Roman" w:hAnsi="Times New Roman" w:cs="Times New Roman"/>
        </w:rPr>
        <w:t>extrapolálni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lehet gyermekekre is, mivel bizonyított, hogy 10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szisztémás expozíciója 6–11 éves, legalább 20 kilogramm testtömegű gyermekeknél ekvivalens 20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expozíciójával felnőtteknél (lásd 5.2 pont). A felnőttektől és serdülőktől nyert adatok extrapolációja megfelelőnek tekinthető erre a készítményre, mivel az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és az </w:t>
      </w:r>
      <w:proofErr w:type="spellStart"/>
      <w:r w:rsidRPr="002C5BBB">
        <w:rPr>
          <w:rFonts w:ascii="Times New Roman" w:eastAsia="Times New Roman" w:hAnsi="Times New Roman" w:cs="Times New Roman"/>
        </w:rPr>
        <w:t>urticaria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patofiziológiája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azonos valamennyi korcsoportban.</w:t>
      </w:r>
    </w:p>
    <w:p w14:paraId="5B76BFE3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5AC4160" w14:textId="40EB5ED1" w:rsidR="002C5BBB" w:rsidRPr="002C5BBB" w:rsidRDefault="002C5BBB" w:rsidP="002C5BBB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Egy 12 hetes, 2–11 éves gyermekeknél végzett kontrollos klinikai vizsgálatban (összesen 509 gyermek bevonásával, 260 főt 10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kezeltek, ebből 58 fő 2–&lt; 6 éves, 105 fő 6–&lt; 9 éves, és 97 fő 9–&lt; 12 éves, és 249 főt </w:t>
      </w:r>
      <w:proofErr w:type="spellStart"/>
      <w:r w:rsidRPr="002C5BBB">
        <w:rPr>
          <w:rFonts w:ascii="Times New Roman" w:eastAsia="Times New Roman" w:hAnsi="Times New Roman" w:cs="Times New Roman"/>
        </w:rPr>
        <w:t>placebóval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kezeltek: ebből 58 fő 2–&lt; 6 éves, 95 fő 6–&lt; 9 éves és 96 fő 9</w:t>
      </w:r>
      <w:r w:rsidRPr="002C5BBB">
        <w:rPr>
          <w:rFonts w:ascii="Times New Roman" w:eastAsia="Times New Roman" w:hAnsi="Times New Roman" w:cs="Times New Roman"/>
        </w:rPr>
        <w:noBreakHyphen/>
        <w:t xml:space="preserve">&lt; 12 éves volt), a 10 mg-os ajánlott gyermekgyógyászati dózis naponta egyszer történő alkalmazása mellett,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biztonságossági profilja (n = 260) hasonló volt a </w:t>
      </w:r>
      <w:proofErr w:type="spellStart"/>
      <w:r w:rsidRPr="002C5BBB">
        <w:rPr>
          <w:rFonts w:ascii="Times New Roman" w:eastAsia="Times New Roman" w:hAnsi="Times New Roman" w:cs="Times New Roman"/>
        </w:rPr>
        <w:t>placebóval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(n = 249) kezelt csoportéhoz. Mellékhatást a 10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kezelt betegek 5,8%-</w:t>
      </w:r>
      <w:proofErr w:type="spellStart"/>
      <w:r w:rsidRPr="002C5BBB">
        <w:rPr>
          <w:rFonts w:ascii="Times New Roman" w:eastAsia="Times New Roman" w:hAnsi="Times New Roman" w:cs="Times New Roman"/>
        </w:rPr>
        <w:t>ánál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míg a </w:t>
      </w:r>
      <w:proofErr w:type="spellStart"/>
      <w:r w:rsidRPr="002C5BBB">
        <w:rPr>
          <w:rFonts w:ascii="Times New Roman" w:eastAsia="Times New Roman" w:hAnsi="Times New Roman" w:cs="Times New Roman"/>
        </w:rPr>
        <w:t>placebót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kapó betegek 8,0%-</w:t>
      </w:r>
      <w:proofErr w:type="spellStart"/>
      <w:r w:rsidRPr="002C5BBB">
        <w:rPr>
          <w:rFonts w:ascii="Times New Roman" w:eastAsia="Times New Roman" w:hAnsi="Times New Roman" w:cs="Times New Roman"/>
        </w:rPr>
        <w:t>ánál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jelentettek. Mind a 10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-kezelést, mind a placebokezelést kapó csoportban az </w:t>
      </w:r>
      <w:r w:rsidRPr="002C5BBB">
        <w:rPr>
          <w:rFonts w:ascii="Times New Roman" w:eastAsia="Times New Roman" w:hAnsi="Times New Roman" w:cs="Times New Roman"/>
        </w:rPr>
        <w:lastRenderedPageBreak/>
        <w:t xml:space="preserve">aluszékonyságra és a </w:t>
      </w:r>
      <w:proofErr w:type="spellStart"/>
      <w:r w:rsidRPr="002C5BBB">
        <w:rPr>
          <w:rFonts w:ascii="Times New Roman" w:eastAsia="Times New Roman" w:hAnsi="Times New Roman" w:cs="Times New Roman"/>
        </w:rPr>
        <w:t>szedáltságra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vonatkozó pontszámok kismértékű csökkenést mutattak a Gyermekgyógyászati Alvás Kérdőív (</w:t>
      </w:r>
      <w:proofErr w:type="spellStart"/>
      <w:r w:rsidRPr="002C5BBB">
        <w:rPr>
          <w:rFonts w:ascii="Times New Roman" w:eastAsia="Times New Roman" w:hAnsi="Times New Roman" w:cs="Times New Roman"/>
        </w:rPr>
        <w:t>Paediatric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Sleep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Questionnaire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) alapján a vizsgálat ideje alatt, a két csoport között azonban nem volt statisztikailag szignifikáns különbség. A 2–11 éves gyermekeknél nem volt szignifikáns különbség a </w:t>
      </w:r>
      <w:proofErr w:type="spellStart"/>
      <w:r w:rsidRPr="002C5BBB">
        <w:rPr>
          <w:rFonts w:ascii="Times New Roman" w:eastAsia="Times New Roman" w:hAnsi="Times New Roman" w:cs="Times New Roman"/>
        </w:rPr>
        <w:t>QTc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tekintetében a napi 10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kapó csoportban a </w:t>
      </w:r>
      <w:proofErr w:type="spellStart"/>
      <w:r w:rsidRPr="002C5BBB">
        <w:rPr>
          <w:rFonts w:ascii="Times New Roman" w:eastAsia="Times New Roman" w:hAnsi="Times New Roman" w:cs="Times New Roman"/>
        </w:rPr>
        <w:t>placebóhoz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viszonyítva. A kifejezetten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rhinoconjunctivitisben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vagy krónikus </w:t>
      </w:r>
      <w:proofErr w:type="spellStart"/>
      <w:r w:rsidRPr="002C5BBB">
        <w:rPr>
          <w:rFonts w:ascii="Times New Roman" w:eastAsia="Times New Roman" w:hAnsi="Times New Roman" w:cs="Times New Roman"/>
        </w:rPr>
        <w:t>urticariában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szenvedő gyermekek számára kifejlesztett Életminőség Kérdőív (</w:t>
      </w:r>
      <w:proofErr w:type="spellStart"/>
      <w:r w:rsidRPr="002C5BBB">
        <w:rPr>
          <w:rFonts w:ascii="Times New Roman" w:eastAsia="Times New Roman" w:hAnsi="Times New Roman" w:cs="Times New Roman"/>
        </w:rPr>
        <w:t>Quality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of Life </w:t>
      </w:r>
      <w:proofErr w:type="spellStart"/>
      <w:r w:rsidRPr="002C5BBB">
        <w:rPr>
          <w:rFonts w:ascii="Times New Roman" w:eastAsia="Times New Roman" w:hAnsi="Times New Roman" w:cs="Times New Roman"/>
        </w:rPr>
        <w:t>questionnaire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) általános pontszámnövekedést mutatott 12 héten át, de nem volt statisztikailag szignifikáns különbség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>- és a placeb</w:t>
      </w:r>
      <w:r w:rsidR="0094580A">
        <w:rPr>
          <w:rFonts w:ascii="Times New Roman" w:eastAsia="Times New Roman" w:hAnsi="Times New Roman" w:cs="Times New Roman"/>
        </w:rPr>
        <w:t>o</w:t>
      </w:r>
      <w:r w:rsidRPr="002C5BBB">
        <w:rPr>
          <w:rFonts w:ascii="Times New Roman" w:eastAsia="Times New Roman" w:hAnsi="Times New Roman" w:cs="Times New Roman"/>
        </w:rPr>
        <w:t xml:space="preserve">kar között. A vizsgált 509 gyermek közül 479 szenvedett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rhinoconjunctivitisben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és 30 vizsgálati alanynál diagnosztizáltak krónikus </w:t>
      </w:r>
      <w:proofErr w:type="spellStart"/>
      <w:r w:rsidRPr="002C5BBB">
        <w:rPr>
          <w:rFonts w:ascii="Times New Roman" w:eastAsia="Times New Roman" w:hAnsi="Times New Roman" w:cs="Times New Roman"/>
        </w:rPr>
        <w:t>urticariát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. 260 gyermek kapott </w:t>
      </w:r>
      <w:proofErr w:type="spellStart"/>
      <w:r w:rsidRPr="002C5BBB">
        <w:rPr>
          <w:rFonts w:ascii="Times New Roman" w:eastAsia="Times New Roman" w:hAnsi="Times New Roman" w:cs="Times New Roman"/>
        </w:rPr>
        <w:t>bilasztint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ebből 252 fő (96,9%)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és 8 fő (3,1%) krónikus </w:t>
      </w:r>
      <w:proofErr w:type="spellStart"/>
      <w:r w:rsidRPr="002C5BBB">
        <w:rPr>
          <w:rFonts w:ascii="Times New Roman" w:eastAsia="Times New Roman" w:hAnsi="Times New Roman" w:cs="Times New Roman"/>
        </w:rPr>
        <w:t>urticaria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kezelésére. Ehhez hasonlóan, 249 gyermek kapott </w:t>
      </w:r>
      <w:proofErr w:type="spellStart"/>
      <w:r w:rsidRPr="002C5BBB">
        <w:rPr>
          <w:rFonts w:ascii="Times New Roman" w:eastAsia="Times New Roman" w:hAnsi="Times New Roman" w:cs="Times New Roman"/>
        </w:rPr>
        <w:t>placebót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ebből 227 fő (91,2%)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és 22 fő (8,8%) krónikus </w:t>
      </w:r>
      <w:proofErr w:type="spellStart"/>
      <w:r w:rsidRPr="002C5BBB">
        <w:rPr>
          <w:rFonts w:ascii="Times New Roman" w:eastAsia="Times New Roman" w:hAnsi="Times New Roman" w:cs="Times New Roman"/>
        </w:rPr>
        <w:t>urticaria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kezelésére.</w:t>
      </w:r>
    </w:p>
    <w:p w14:paraId="6C54FEE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Cs/>
        </w:rPr>
      </w:pPr>
    </w:p>
    <w:p w14:paraId="13C2D31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Az Európai Gyógyszerügynökség gyermekek esetén a 2 évesnél fiatalabb korosztálynál eltekint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tartalmú referenciakészítmény vizsgálati eredményeinek benyújtási kötelezettségétől (lásd 4.2 pont, </w:t>
      </w:r>
      <w:r w:rsidRPr="002C5BBB">
        <w:rPr>
          <w:rFonts w:ascii="Times New Roman" w:eastAsia="Times New Roman" w:hAnsi="Times New Roman" w:cs="Times New Roman"/>
          <w:szCs w:val="20"/>
        </w:rPr>
        <w:t>gyermekeknél és serdülőknél történő alkalmazásra vonatkozó információk</w:t>
      </w:r>
      <w:r w:rsidRPr="002C5BBB">
        <w:rPr>
          <w:rFonts w:ascii="Times New Roman" w:eastAsia="Times New Roman" w:hAnsi="Times New Roman" w:cs="Times New Roman"/>
        </w:rPr>
        <w:t xml:space="preserve">). </w:t>
      </w:r>
    </w:p>
    <w:p w14:paraId="3428A24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Cs/>
        </w:rPr>
      </w:pPr>
    </w:p>
    <w:p w14:paraId="15E62283" w14:textId="77777777" w:rsidR="002C5BBB" w:rsidRPr="002C5BBB" w:rsidRDefault="002C5BBB" w:rsidP="002C5BBB">
      <w:pPr>
        <w:keepNext/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5.2</w:t>
      </w:r>
      <w:r w:rsidRPr="002C5BBB">
        <w:rPr>
          <w:rFonts w:ascii="Times New Roman" w:eastAsia="Times New Roman" w:hAnsi="Times New Roman" w:cs="Times New Roman"/>
          <w:b/>
        </w:rPr>
        <w:tab/>
      </w:r>
      <w:proofErr w:type="spellStart"/>
      <w:r w:rsidRPr="002C5BBB">
        <w:rPr>
          <w:rFonts w:ascii="Times New Roman" w:eastAsia="Times New Roman" w:hAnsi="Times New Roman" w:cs="Times New Roman"/>
          <w:b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  <w:b/>
        </w:rPr>
        <w:t xml:space="preserve"> tulajdonságok</w:t>
      </w:r>
    </w:p>
    <w:p w14:paraId="38C6AF37" w14:textId="77777777" w:rsidR="002C5BBB" w:rsidRPr="002C5BBB" w:rsidRDefault="002C5BBB" w:rsidP="002C5BBB">
      <w:pPr>
        <w:keepNext/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Cs/>
        </w:rPr>
      </w:pPr>
    </w:p>
    <w:p w14:paraId="393CB097" w14:textId="77777777" w:rsidR="002C5BBB" w:rsidRPr="002C5BBB" w:rsidRDefault="002C5BBB" w:rsidP="002C5BBB">
      <w:pPr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u w:val="single"/>
        </w:rPr>
      </w:pPr>
      <w:r w:rsidRPr="002C5BBB">
        <w:rPr>
          <w:rFonts w:ascii="Times New Roman" w:eastAsia="Times New Roman" w:hAnsi="Times New Roman" w:cs="Times New Roman"/>
          <w:u w:val="single"/>
        </w:rPr>
        <w:t>Felszívódás</w:t>
      </w:r>
    </w:p>
    <w:p w14:paraId="486F8F5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orális alkalmazást követően gyorsan felszívódik, és kb. 1,3 óra múlva éri el a maximális plazmakoncentrációt. Akkumuláció nem volt megfigyelhető.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orális </w:t>
      </w:r>
      <w:proofErr w:type="spellStart"/>
      <w:r w:rsidRPr="002C5BBB">
        <w:rPr>
          <w:rFonts w:ascii="Times New Roman" w:eastAsia="Times New Roman" w:hAnsi="Times New Roman" w:cs="Times New Roman"/>
        </w:rPr>
        <w:t>biohasznosulásának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átlagos értéke 61%.</w:t>
      </w:r>
    </w:p>
    <w:p w14:paraId="7ADAC15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537098F" w14:textId="77777777" w:rsidR="002C5BBB" w:rsidRPr="002C5BBB" w:rsidRDefault="002C5BBB" w:rsidP="002C5BBB">
      <w:pPr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u w:val="single"/>
        </w:rPr>
      </w:pPr>
      <w:r w:rsidRPr="002C5BBB">
        <w:rPr>
          <w:rFonts w:ascii="Times New Roman" w:eastAsia="Times New Roman" w:hAnsi="Times New Roman" w:cs="Times New Roman"/>
          <w:u w:val="single"/>
        </w:rPr>
        <w:t>Eloszlás</w:t>
      </w:r>
    </w:p>
    <w:p w14:paraId="29E222A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  <w:i/>
        </w:rPr>
        <w:t>In vitro</w:t>
      </w:r>
      <w:r w:rsidRPr="002C5BBB">
        <w:rPr>
          <w:rFonts w:ascii="Times New Roman" w:eastAsia="Times New Roman" w:hAnsi="Times New Roman" w:cs="Times New Roman"/>
        </w:rPr>
        <w:t xml:space="preserve"> és </w:t>
      </w:r>
      <w:r w:rsidRPr="002C5BBB">
        <w:rPr>
          <w:rFonts w:ascii="Times New Roman" w:eastAsia="Times New Roman" w:hAnsi="Times New Roman" w:cs="Times New Roman"/>
          <w:i/>
          <w:iCs/>
        </w:rPr>
        <w:t>in </w:t>
      </w:r>
      <w:r w:rsidRPr="002C5BBB">
        <w:rPr>
          <w:rFonts w:ascii="Times New Roman" w:eastAsia="Times New Roman" w:hAnsi="Times New Roman" w:cs="Times New Roman"/>
          <w:i/>
        </w:rPr>
        <w:t>vivo</w:t>
      </w:r>
      <w:r w:rsidRPr="002C5BBB">
        <w:rPr>
          <w:rFonts w:ascii="Times New Roman" w:eastAsia="Times New Roman" w:hAnsi="Times New Roman" w:cs="Times New Roman"/>
        </w:rPr>
        <w:t xml:space="preserve"> vizsgálatok kimutatták, hogy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 P-</w:t>
      </w:r>
      <w:proofErr w:type="spellStart"/>
      <w:r w:rsidRPr="002C5BBB">
        <w:rPr>
          <w:rFonts w:ascii="Times New Roman" w:eastAsia="Times New Roman" w:hAnsi="Times New Roman" w:cs="Times New Roman"/>
        </w:rPr>
        <w:t>gp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szubsztrátja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r w:rsidRPr="002C5BBB">
        <w:rPr>
          <w:rFonts w:ascii="Times New Roman" w:eastAsia="Times New Roman" w:hAnsi="Times New Roman" w:cs="Times New Roman"/>
          <w:snapToGrid w:val="0"/>
        </w:rPr>
        <w:t xml:space="preserve">(lásd 4.5 pont kölcsönhatások </w:t>
      </w:r>
      <w:proofErr w:type="spellStart"/>
      <w:r w:rsidRPr="002C5BBB">
        <w:rPr>
          <w:rFonts w:ascii="Times New Roman" w:eastAsia="Times New Roman" w:hAnsi="Times New Roman" w:cs="Times New Roman"/>
          <w:snapToGrid w:val="0"/>
        </w:rPr>
        <w:t>ketokonazollal</w:t>
      </w:r>
      <w:proofErr w:type="spellEnd"/>
      <w:r w:rsidRPr="002C5BBB">
        <w:rPr>
          <w:rFonts w:ascii="Times New Roman" w:eastAsia="Times New Roman" w:hAnsi="Times New Roman" w:cs="Times New Roman"/>
          <w:snapToGrid w:val="0"/>
        </w:rPr>
        <w:t xml:space="preserve">, </w:t>
      </w:r>
      <w:proofErr w:type="spellStart"/>
      <w:r w:rsidRPr="002C5BBB">
        <w:rPr>
          <w:rFonts w:ascii="Times New Roman" w:eastAsia="Times New Roman" w:hAnsi="Times New Roman" w:cs="Times New Roman"/>
          <w:snapToGrid w:val="0"/>
        </w:rPr>
        <w:t>eritromicinnel</w:t>
      </w:r>
      <w:proofErr w:type="spellEnd"/>
      <w:r w:rsidRPr="002C5BBB">
        <w:rPr>
          <w:rFonts w:ascii="Times New Roman" w:eastAsia="Times New Roman" w:hAnsi="Times New Roman" w:cs="Times New Roman"/>
          <w:snapToGrid w:val="0"/>
        </w:rPr>
        <w:t xml:space="preserve"> és </w:t>
      </w:r>
      <w:proofErr w:type="spellStart"/>
      <w:r w:rsidRPr="002C5BBB">
        <w:rPr>
          <w:rFonts w:ascii="Times New Roman" w:eastAsia="Times New Roman" w:hAnsi="Times New Roman" w:cs="Times New Roman"/>
          <w:snapToGrid w:val="0"/>
        </w:rPr>
        <w:t>diltiazemmel</w:t>
      </w:r>
      <w:proofErr w:type="spellEnd"/>
      <w:r w:rsidRPr="002C5BBB">
        <w:rPr>
          <w:rFonts w:ascii="Times New Roman" w:eastAsia="Times New Roman" w:hAnsi="Times New Roman" w:cs="Times New Roman"/>
          <w:snapToGrid w:val="0"/>
        </w:rPr>
        <w:t xml:space="preserve">), valamint az </w:t>
      </w:r>
      <w:r w:rsidRPr="002C5BBB">
        <w:rPr>
          <w:rFonts w:ascii="Times New Roman" w:eastAsia="Times New Roman" w:hAnsi="Times New Roman" w:cs="Times New Roman"/>
        </w:rPr>
        <w:t xml:space="preserve">OATP </w:t>
      </w:r>
      <w:proofErr w:type="spellStart"/>
      <w:r w:rsidRPr="002C5BBB">
        <w:rPr>
          <w:rFonts w:ascii="Times New Roman" w:eastAsia="Times New Roman" w:hAnsi="Times New Roman" w:cs="Times New Roman"/>
        </w:rPr>
        <w:t>szubsztrátja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r w:rsidRPr="002C5BBB">
        <w:rPr>
          <w:rFonts w:ascii="Times New Roman" w:eastAsia="Times New Roman" w:hAnsi="Times New Roman" w:cs="Times New Roman"/>
          <w:snapToGrid w:val="0"/>
        </w:rPr>
        <w:t>(lásd 4.5 pont kölcsönhatások grépfrútlével)</w:t>
      </w:r>
      <w:r w:rsidRPr="002C5BBB">
        <w:rPr>
          <w:rFonts w:ascii="Times New Roman" w:eastAsia="Times New Roman" w:hAnsi="Times New Roman" w:cs="Times New Roman"/>
        </w:rPr>
        <w:t xml:space="preserve">.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nem </w:t>
      </w:r>
      <w:proofErr w:type="spellStart"/>
      <w:r w:rsidRPr="002C5BBB">
        <w:rPr>
          <w:rFonts w:ascii="Times New Roman" w:eastAsia="Times New Roman" w:hAnsi="Times New Roman" w:cs="Times New Roman"/>
        </w:rPr>
        <w:t>szubsztrátja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 BCRP-</w:t>
      </w:r>
      <w:proofErr w:type="spellStart"/>
      <w:r w:rsidRPr="002C5BBB">
        <w:rPr>
          <w:rFonts w:ascii="Times New Roman" w:eastAsia="Times New Roman" w:hAnsi="Times New Roman" w:cs="Times New Roman"/>
        </w:rPr>
        <w:t>transzporternek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vagy a </w:t>
      </w:r>
      <w:proofErr w:type="spellStart"/>
      <w:r w:rsidRPr="002C5BBB">
        <w:rPr>
          <w:rFonts w:ascii="Times New Roman" w:eastAsia="Times New Roman" w:hAnsi="Times New Roman" w:cs="Times New Roman"/>
        </w:rPr>
        <w:t>renális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OCT2-, OAT1- és OAT3-transzportereknek. Az </w:t>
      </w:r>
      <w:r w:rsidRPr="002C5BBB">
        <w:rPr>
          <w:rFonts w:ascii="Times New Roman" w:eastAsia="Times New Roman" w:hAnsi="Times New Roman" w:cs="Times New Roman"/>
          <w:i/>
        </w:rPr>
        <w:t>in vitro</w:t>
      </w:r>
      <w:r w:rsidRPr="002C5BBB">
        <w:rPr>
          <w:rFonts w:ascii="Times New Roman" w:eastAsia="Times New Roman" w:hAnsi="Times New Roman" w:cs="Times New Roman"/>
        </w:rPr>
        <w:t xml:space="preserve"> vizsgálatok alapján </w:t>
      </w:r>
      <w:r w:rsidRPr="002C5BBB">
        <w:rPr>
          <w:rFonts w:ascii="Times New Roman" w:eastAsia="Times New Roman" w:hAnsi="Times New Roman" w:cs="Times New Roman"/>
          <w:snapToGrid w:val="0"/>
        </w:rPr>
        <w:t xml:space="preserve">nem várható, hogy a </w:t>
      </w:r>
      <w:proofErr w:type="spellStart"/>
      <w:r w:rsidRPr="002C5BBB">
        <w:rPr>
          <w:rFonts w:ascii="Times New Roman" w:eastAsia="Times New Roman" w:hAnsi="Times New Roman" w:cs="Times New Roman"/>
          <w:snapToGrid w:val="0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snapToGrid w:val="0"/>
        </w:rPr>
        <w:t xml:space="preserve"> </w:t>
      </w:r>
      <w:r w:rsidRPr="002C5BBB">
        <w:rPr>
          <w:rFonts w:ascii="Times New Roman" w:eastAsia="Times New Roman" w:hAnsi="Times New Roman" w:cs="Times New Roman"/>
        </w:rPr>
        <w:t>gátolja a következő transzportereket a szisztémás keringésben: P-</w:t>
      </w:r>
      <w:proofErr w:type="spellStart"/>
      <w:r w:rsidRPr="002C5BBB">
        <w:rPr>
          <w:rFonts w:ascii="Times New Roman" w:eastAsia="Times New Roman" w:hAnsi="Times New Roman" w:cs="Times New Roman"/>
        </w:rPr>
        <w:t>gp</w:t>
      </w:r>
      <w:proofErr w:type="spellEnd"/>
      <w:r w:rsidRPr="002C5BBB">
        <w:rPr>
          <w:rFonts w:ascii="Times New Roman" w:eastAsia="Times New Roman" w:hAnsi="Times New Roman" w:cs="Times New Roman"/>
        </w:rPr>
        <w:t>, MRP2, BCRP, BSEP, OATP1B1, OATP1B3, OATP2B1, OAT1, OAT3, OCT1, OCT2 és NTCP, mivel csak enyhe gátlás volt kimutatható a P-</w:t>
      </w:r>
      <w:proofErr w:type="spellStart"/>
      <w:r w:rsidRPr="002C5BBB">
        <w:rPr>
          <w:rFonts w:ascii="Times New Roman" w:eastAsia="Times New Roman" w:hAnsi="Times New Roman" w:cs="Times New Roman"/>
        </w:rPr>
        <w:t>gp</w:t>
      </w:r>
      <w:proofErr w:type="spellEnd"/>
      <w:r w:rsidRPr="002C5BBB">
        <w:rPr>
          <w:rFonts w:ascii="Times New Roman" w:eastAsia="Times New Roman" w:hAnsi="Times New Roman" w:cs="Times New Roman"/>
        </w:rPr>
        <w:t>, az OATP2B1 és az OCT1 esetében, becsült IC</w:t>
      </w:r>
      <w:r w:rsidRPr="002C5BBB">
        <w:rPr>
          <w:rFonts w:ascii="Times New Roman" w:eastAsia="Times New Roman" w:hAnsi="Times New Roman" w:cs="Times New Roman"/>
          <w:vertAlign w:val="subscript"/>
        </w:rPr>
        <w:t>50 </w:t>
      </w:r>
      <w:r w:rsidRPr="002C5BBB">
        <w:rPr>
          <w:rFonts w:ascii="Times New Roman" w:eastAsia="Times New Roman" w:hAnsi="Times New Roman" w:cs="Times New Roman"/>
        </w:rPr>
        <w:t>≥ 300 </w:t>
      </w:r>
      <w:proofErr w:type="spellStart"/>
      <w:r w:rsidRPr="002C5BBB">
        <w:rPr>
          <w:rFonts w:ascii="Times New Roman" w:eastAsia="Times New Roman" w:hAnsi="Times New Roman" w:cs="Times New Roman"/>
        </w:rPr>
        <w:t>mikromol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mellett, ami sokkal magasabb, mint a számított klinikai plazma </w:t>
      </w:r>
      <w:proofErr w:type="spellStart"/>
      <w:r w:rsidRPr="002C5BBB">
        <w:rPr>
          <w:rFonts w:ascii="Times New Roman" w:eastAsia="Times New Roman" w:hAnsi="Times New Roman" w:cs="Times New Roman"/>
        </w:rPr>
        <w:t>C</w:t>
      </w:r>
      <w:r w:rsidRPr="002C5BBB">
        <w:rPr>
          <w:rFonts w:ascii="Times New Roman" w:eastAsia="Times New Roman" w:hAnsi="Times New Roman" w:cs="Times New Roman"/>
          <w:vertAlign w:val="subscript"/>
        </w:rPr>
        <w:t>max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-érték, és ezért ezek az interakciók klinikailag nem relevánsak. </w:t>
      </w:r>
      <w:r w:rsidRPr="002C5BBB">
        <w:rPr>
          <w:rFonts w:ascii="Times New Roman" w:eastAsia="Times New Roman" w:hAnsi="Times New Roman" w:cs="Times New Roman"/>
          <w:snapToGrid w:val="0"/>
        </w:rPr>
        <w:t xml:space="preserve">Ugyanakkor, ezen eredmények alapján a </w:t>
      </w:r>
      <w:proofErr w:type="spellStart"/>
      <w:r w:rsidRPr="002C5BBB">
        <w:rPr>
          <w:rFonts w:ascii="Times New Roman" w:eastAsia="Times New Roman" w:hAnsi="Times New Roman" w:cs="Times New Roman"/>
          <w:snapToGrid w:val="0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snapToGrid w:val="0"/>
        </w:rPr>
        <w:t xml:space="preserve"> egyéb, az </w:t>
      </w:r>
      <w:proofErr w:type="spellStart"/>
      <w:r w:rsidRPr="002C5BBB">
        <w:rPr>
          <w:rFonts w:ascii="Times New Roman" w:eastAsia="Times New Roman" w:hAnsi="Times New Roman" w:cs="Times New Roman"/>
        </w:rPr>
        <w:t>intestinalis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mucosában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jelen lévő transzporterekre, </w:t>
      </w:r>
      <w:r w:rsidRPr="002C5BBB">
        <w:rPr>
          <w:rFonts w:ascii="Times New Roman" w:eastAsia="Times New Roman" w:hAnsi="Times New Roman" w:cs="Times New Roman"/>
          <w:snapToGrid w:val="0"/>
        </w:rPr>
        <w:t>pl. a P-</w:t>
      </w:r>
      <w:proofErr w:type="spellStart"/>
      <w:r w:rsidRPr="002C5BBB">
        <w:rPr>
          <w:rFonts w:ascii="Times New Roman" w:eastAsia="Times New Roman" w:hAnsi="Times New Roman" w:cs="Times New Roman"/>
          <w:snapToGrid w:val="0"/>
        </w:rPr>
        <w:t>gp</w:t>
      </w:r>
      <w:proofErr w:type="spellEnd"/>
      <w:r w:rsidRPr="002C5BBB">
        <w:rPr>
          <w:rFonts w:ascii="Times New Roman" w:eastAsia="Times New Roman" w:hAnsi="Times New Roman" w:cs="Times New Roman"/>
          <w:snapToGrid w:val="0"/>
        </w:rPr>
        <w:t>-re,</w:t>
      </w:r>
      <w:r w:rsidRPr="002C5BBB">
        <w:rPr>
          <w:rFonts w:ascii="Times New Roman" w:eastAsia="Times New Roman" w:hAnsi="Times New Roman" w:cs="Times New Roman"/>
        </w:rPr>
        <w:t xml:space="preserve"> kifejtett gátló hatását nem lehet kizárni.</w:t>
      </w:r>
    </w:p>
    <w:p w14:paraId="635801B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24680ED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Terápiás dózisok alkalmazása esetén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84–90%-</w:t>
      </w:r>
      <w:proofErr w:type="spellStart"/>
      <w:r w:rsidRPr="002C5BBB">
        <w:rPr>
          <w:rFonts w:ascii="Times New Roman" w:eastAsia="Times New Roman" w:hAnsi="Times New Roman" w:cs="Times New Roman"/>
        </w:rPr>
        <w:t>ban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kötődik a plazmaproteinekhez.</w:t>
      </w:r>
    </w:p>
    <w:p w14:paraId="25CCEDD3" w14:textId="77777777" w:rsidR="002C5BBB" w:rsidRPr="002C5BBB" w:rsidRDefault="002C5BBB" w:rsidP="002C5BBB">
      <w:pPr>
        <w:numPr>
          <w:ilvl w:val="12"/>
          <w:numId w:val="0"/>
        </w:numPr>
        <w:suppressLineNumbers/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u w:val="single"/>
        </w:rPr>
      </w:pPr>
    </w:p>
    <w:p w14:paraId="41CC7671" w14:textId="77777777" w:rsidR="002C5BBB" w:rsidRPr="002C5BBB" w:rsidRDefault="002C5BBB" w:rsidP="002C5BBB">
      <w:pPr>
        <w:numPr>
          <w:ilvl w:val="12"/>
          <w:numId w:val="0"/>
        </w:numPr>
        <w:suppressLineNumbers/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u w:val="single"/>
        </w:rPr>
      </w:pPr>
      <w:proofErr w:type="spellStart"/>
      <w:r w:rsidRPr="002C5BBB">
        <w:rPr>
          <w:rFonts w:ascii="Times New Roman" w:eastAsia="Times New Roman" w:hAnsi="Times New Roman" w:cs="Times New Roman"/>
          <w:u w:val="single"/>
        </w:rPr>
        <w:t>Biotranszformáció</w:t>
      </w:r>
      <w:proofErr w:type="spellEnd"/>
    </w:p>
    <w:p w14:paraId="08937C47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r w:rsidRPr="002C5BBB">
        <w:rPr>
          <w:rFonts w:ascii="Times New Roman" w:eastAsia="Times New Roman" w:hAnsi="Times New Roman" w:cs="Times New Roman"/>
          <w:i/>
        </w:rPr>
        <w:t>in vitro</w:t>
      </w:r>
      <w:r w:rsidRPr="002C5BBB">
        <w:rPr>
          <w:rFonts w:ascii="Times New Roman" w:eastAsia="Times New Roman" w:hAnsi="Times New Roman" w:cs="Times New Roman"/>
        </w:rPr>
        <w:t xml:space="preserve"> vizsgálatokban nem indukálta, és nem gátolta a CYP450 </w:t>
      </w:r>
      <w:proofErr w:type="spellStart"/>
      <w:r w:rsidRPr="002C5BBB">
        <w:rPr>
          <w:rFonts w:ascii="Times New Roman" w:eastAsia="Times New Roman" w:hAnsi="Times New Roman" w:cs="Times New Roman"/>
        </w:rPr>
        <w:t>izoenzimek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aktivitását.</w:t>
      </w:r>
    </w:p>
    <w:p w14:paraId="1D1369DD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CD1145C" w14:textId="77777777" w:rsidR="002C5BBB" w:rsidRPr="002C5BBB" w:rsidRDefault="002C5BBB" w:rsidP="002C5BBB">
      <w:pPr>
        <w:numPr>
          <w:ilvl w:val="12"/>
          <w:numId w:val="0"/>
        </w:numPr>
        <w:suppressLineNumbers/>
        <w:suppressAutoHyphens/>
        <w:spacing w:after="0" w:line="240" w:lineRule="auto"/>
        <w:ind w:right="-2"/>
        <w:rPr>
          <w:rFonts w:ascii="Times New Roman" w:eastAsia="Times New Roman" w:hAnsi="Times New Roman" w:cs="Times New Roman"/>
          <w:u w:val="single"/>
        </w:rPr>
      </w:pPr>
      <w:r w:rsidRPr="002C5BBB">
        <w:rPr>
          <w:rFonts w:ascii="Times New Roman" w:eastAsia="Times New Roman" w:hAnsi="Times New Roman" w:cs="Times New Roman"/>
          <w:u w:val="single"/>
        </w:rPr>
        <w:t>Elimináció</w:t>
      </w:r>
    </w:p>
    <w:p w14:paraId="3D36A5C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Egy egészséges önkéntesekkel végzett tömegegyensúly (“</w:t>
      </w:r>
      <w:proofErr w:type="spellStart"/>
      <w:r w:rsidRPr="002C5BBB">
        <w:rPr>
          <w:rFonts w:ascii="Times New Roman" w:eastAsia="Times New Roman" w:hAnsi="Times New Roman" w:cs="Times New Roman"/>
          <w:bCs/>
        </w:rPr>
        <w:t>mass</w:t>
      </w:r>
      <w:proofErr w:type="spellEnd"/>
      <w:r w:rsidRPr="002C5BBB">
        <w:rPr>
          <w:rFonts w:ascii="Times New Roman" w:eastAsia="Times New Roman" w:hAnsi="Times New Roman" w:cs="Times New Roman"/>
          <w:bCs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  <w:bCs/>
        </w:rPr>
        <w:t>balance</w:t>
      </w:r>
      <w:proofErr w:type="spellEnd"/>
      <w:r w:rsidRPr="002C5BBB">
        <w:rPr>
          <w:rFonts w:ascii="Times New Roman" w:eastAsia="Times New Roman" w:hAnsi="Times New Roman" w:cs="Times New Roman"/>
          <w:bCs/>
        </w:rPr>
        <w:t>”</w:t>
      </w:r>
      <w:r w:rsidRPr="002C5BBB">
        <w:rPr>
          <w:rFonts w:ascii="Times New Roman" w:eastAsia="Times New Roman" w:hAnsi="Times New Roman" w:cs="Times New Roman"/>
        </w:rPr>
        <w:t xml:space="preserve">) vizsgálatban 20 mg </w:t>
      </w:r>
      <w:r w:rsidRPr="002C5BBB">
        <w:rPr>
          <w:rFonts w:ascii="Times New Roman" w:eastAsia="Times New Roman" w:hAnsi="Times New Roman" w:cs="Times New Roman"/>
          <w:vertAlign w:val="superscript"/>
        </w:rPr>
        <w:t>14</w:t>
      </w:r>
      <w:r w:rsidRPr="002C5BBB">
        <w:rPr>
          <w:rFonts w:ascii="Times New Roman" w:eastAsia="Times New Roman" w:hAnsi="Times New Roman" w:cs="Times New Roman"/>
        </w:rPr>
        <w:t xml:space="preserve">C izotóppal jelzett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egyszeri adagolását követően, a bevitt dózis csaknem 95%-a változatlan formában ürült a vizelettel (28,3%) és a széklettel (66,5%), megerősítve, hogy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emberben nem </w:t>
      </w:r>
      <w:proofErr w:type="spellStart"/>
      <w:r w:rsidRPr="002C5BBB">
        <w:rPr>
          <w:rFonts w:ascii="Times New Roman" w:eastAsia="Times New Roman" w:hAnsi="Times New Roman" w:cs="Times New Roman"/>
        </w:rPr>
        <w:t>metabolizálódik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jelentős mértékben. Egészséges önkénteseknél a számított átlagos eliminációs felezési idő 14,5 óra volt.</w:t>
      </w:r>
    </w:p>
    <w:p w14:paraId="7483258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64287A6" w14:textId="77777777" w:rsidR="002C5BBB" w:rsidRPr="002C5BBB" w:rsidRDefault="002C5BBB" w:rsidP="002C5BBB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2C5BBB">
        <w:rPr>
          <w:rFonts w:ascii="Times New Roman" w:eastAsia="Times New Roman" w:hAnsi="Times New Roman" w:cs="Times New Roman"/>
          <w:u w:val="single"/>
        </w:rPr>
        <w:t>Linearitás</w:t>
      </w:r>
    </w:p>
    <w:p w14:paraId="3512CE0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lineáris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farmakokinetikát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mutat a vizsgált dózishatárokon belül (5–220 mg), alacsony egyéni szórással.</w:t>
      </w:r>
    </w:p>
    <w:p w14:paraId="2D773CC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264AF9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u w:val="single"/>
        </w:rPr>
      </w:pPr>
      <w:r w:rsidRPr="002C5BBB">
        <w:rPr>
          <w:rFonts w:ascii="Times New Roman" w:eastAsia="Times New Roman" w:hAnsi="Times New Roman" w:cs="Times New Roman"/>
          <w:iCs/>
          <w:u w:val="single"/>
        </w:rPr>
        <w:t>Vesekárosodás</w:t>
      </w:r>
    </w:p>
    <w:p w14:paraId="6E62750E" w14:textId="77777777" w:rsidR="002C5BBB" w:rsidRPr="002C5BBB" w:rsidRDefault="002C5BBB" w:rsidP="002C5BBB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Egy vesekárosodásban szenvedő betegek bevonásával végzett vizsgálatban az AUC</w:t>
      </w:r>
      <w:r w:rsidRPr="002C5BBB">
        <w:rPr>
          <w:rFonts w:ascii="Times New Roman" w:eastAsia="Times New Roman" w:hAnsi="Times New Roman" w:cs="Times New Roman"/>
          <w:vertAlign w:val="subscript"/>
        </w:rPr>
        <w:t>0-</w:t>
      </w:r>
      <w:r w:rsidRPr="002C5BBB">
        <w:rPr>
          <w:rFonts w:ascii="Times New Roman" w:eastAsia="Times New Roman" w:hAnsi="Times New Roman" w:cs="Times New Roman"/>
          <w:vertAlign w:val="subscript"/>
        </w:rPr>
        <w:sym w:font="Symbol" w:char="F0A5"/>
      </w:r>
      <w:r w:rsidRPr="002C5BBB">
        <w:rPr>
          <w:rFonts w:ascii="Times New Roman" w:eastAsia="Times New Roman" w:hAnsi="Times New Roman" w:cs="Times New Roman"/>
        </w:rPr>
        <w:t xml:space="preserve"> medián értéke (Standard </w:t>
      </w:r>
      <w:proofErr w:type="spellStart"/>
      <w:r w:rsidRPr="002C5BBB">
        <w:rPr>
          <w:rFonts w:ascii="Times New Roman" w:eastAsia="Times New Roman" w:hAnsi="Times New Roman" w:cs="Times New Roman"/>
        </w:rPr>
        <w:t>Deviation</w:t>
      </w:r>
      <w:proofErr w:type="spellEnd"/>
      <w:r w:rsidRPr="002C5BBB">
        <w:rPr>
          <w:rFonts w:ascii="Times New Roman" w:eastAsia="Times New Roman" w:hAnsi="Times New Roman" w:cs="Times New Roman"/>
        </w:rPr>
        <w:t>, SD) az egészséges veseműködésű (GFR: &gt; 80 ml/perc/1,73 m</w:t>
      </w:r>
      <w:r w:rsidRPr="002C5BBB">
        <w:rPr>
          <w:rFonts w:ascii="Times New Roman" w:eastAsia="Times New Roman" w:hAnsi="Times New Roman" w:cs="Times New Roman"/>
          <w:vertAlign w:val="superscript"/>
        </w:rPr>
        <w:t>2</w:t>
      </w:r>
      <w:r w:rsidRPr="002C5BBB">
        <w:rPr>
          <w:rFonts w:ascii="Times New Roman" w:eastAsia="Times New Roman" w:hAnsi="Times New Roman" w:cs="Times New Roman"/>
        </w:rPr>
        <w:t>) betegeknél tapasztalt 737,4 (±260,8) </w:t>
      </w:r>
      <w:proofErr w:type="spellStart"/>
      <w:r w:rsidRPr="002C5BBB">
        <w:rPr>
          <w:rFonts w:ascii="Times New Roman" w:eastAsia="Times New Roman" w:hAnsi="Times New Roman" w:cs="Times New Roman"/>
        </w:rPr>
        <w:t>ng</w:t>
      </w:r>
      <w:proofErr w:type="spellEnd"/>
      <w:r w:rsidRPr="002C5BBB">
        <w:rPr>
          <w:rFonts w:ascii="Times New Roman" w:eastAsia="Times New Roman" w:hAnsi="Times New Roman" w:cs="Times New Roman"/>
        </w:rPr>
        <w:t> × óra/ml értékéhez viszonyítva a következőképpen emelkedett: enyhe vesekárosodásban szenvedő betegeknél (GFR: 50–80 ml/perc/1,73 m</w:t>
      </w:r>
      <w:r w:rsidRPr="002C5BBB">
        <w:rPr>
          <w:rFonts w:ascii="Times New Roman" w:eastAsia="Times New Roman" w:hAnsi="Times New Roman" w:cs="Times New Roman"/>
          <w:vertAlign w:val="superscript"/>
        </w:rPr>
        <w:t>2</w:t>
      </w:r>
      <w:r w:rsidRPr="002C5BBB">
        <w:rPr>
          <w:rFonts w:ascii="Times New Roman" w:eastAsia="Times New Roman" w:hAnsi="Times New Roman" w:cs="Times New Roman"/>
        </w:rPr>
        <w:t>) 967,4 (±140,2) </w:t>
      </w:r>
      <w:proofErr w:type="spellStart"/>
      <w:r w:rsidRPr="002C5BBB">
        <w:rPr>
          <w:rFonts w:ascii="Times New Roman" w:eastAsia="Times New Roman" w:hAnsi="Times New Roman" w:cs="Times New Roman"/>
        </w:rPr>
        <w:t>ng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 × óra/ml-re, </w:t>
      </w:r>
      <w:r w:rsidRPr="002C5BBB">
        <w:rPr>
          <w:rFonts w:ascii="Times New Roman" w:eastAsia="Times New Roman" w:hAnsi="Times New Roman" w:cs="Times New Roman"/>
        </w:rPr>
        <w:lastRenderedPageBreak/>
        <w:t>közepesen súlyos vesekárosodásban szenvedő betegeknél (GFR: 30–&lt; 50 ml/perc/1,73 m</w:t>
      </w:r>
      <w:r w:rsidRPr="002C5BBB">
        <w:rPr>
          <w:rFonts w:ascii="Times New Roman" w:eastAsia="Times New Roman" w:hAnsi="Times New Roman" w:cs="Times New Roman"/>
          <w:vertAlign w:val="superscript"/>
        </w:rPr>
        <w:t>2</w:t>
      </w:r>
      <w:r w:rsidRPr="002C5BBB">
        <w:rPr>
          <w:rFonts w:ascii="Times New Roman" w:eastAsia="Times New Roman" w:hAnsi="Times New Roman" w:cs="Times New Roman"/>
        </w:rPr>
        <w:t>) 1384,2 (±263,23) </w:t>
      </w:r>
      <w:proofErr w:type="spellStart"/>
      <w:r w:rsidRPr="002C5BBB">
        <w:rPr>
          <w:rFonts w:ascii="Times New Roman" w:eastAsia="Times New Roman" w:hAnsi="Times New Roman" w:cs="Times New Roman"/>
        </w:rPr>
        <w:t>ng</w:t>
      </w:r>
      <w:proofErr w:type="spellEnd"/>
      <w:r w:rsidRPr="002C5BBB">
        <w:rPr>
          <w:rFonts w:ascii="Times New Roman" w:eastAsia="Times New Roman" w:hAnsi="Times New Roman" w:cs="Times New Roman"/>
        </w:rPr>
        <w:t> × óra/ml-re, súlyos vesekárosodásban szenvedő betegeknél (GFR: &lt; 30 ml/perc/1,73 m</w:t>
      </w:r>
      <w:r w:rsidRPr="002C5BBB">
        <w:rPr>
          <w:rFonts w:ascii="Times New Roman" w:eastAsia="Times New Roman" w:hAnsi="Times New Roman" w:cs="Times New Roman"/>
          <w:vertAlign w:val="superscript"/>
        </w:rPr>
        <w:t>2</w:t>
      </w:r>
      <w:r w:rsidRPr="002C5BBB">
        <w:rPr>
          <w:rFonts w:ascii="Times New Roman" w:eastAsia="Times New Roman" w:hAnsi="Times New Roman" w:cs="Times New Roman"/>
        </w:rPr>
        <w:t>) pedig 1708,5 (±699,0) </w:t>
      </w:r>
      <w:proofErr w:type="spellStart"/>
      <w:r w:rsidRPr="002C5BBB">
        <w:rPr>
          <w:rFonts w:ascii="Times New Roman" w:eastAsia="Times New Roman" w:hAnsi="Times New Roman" w:cs="Times New Roman"/>
        </w:rPr>
        <w:t>ng</w:t>
      </w:r>
      <w:proofErr w:type="spellEnd"/>
      <w:r w:rsidRPr="002C5BBB">
        <w:rPr>
          <w:rFonts w:ascii="Times New Roman" w:eastAsia="Times New Roman" w:hAnsi="Times New Roman" w:cs="Times New Roman"/>
        </w:rPr>
        <w:t> × óra/ml-re.</w:t>
      </w:r>
    </w:p>
    <w:p w14:paraId="52317F5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FEE093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átlagos (SD) felezési ideje 9,3 (±2,8) óra volt az egészséges veseműködésű betegeknél, 15,1 (±7,7) óra az enyhe vesekárosodásban szenvedő betegeknél, 10,5 (±2,3) óra a közepesen súlyos vesekárosodásban szenvedő betegeknél, és 18,4 (±11,4) óra a súlyos vesekárosodásban szenvedő betegeknél. A vizelettel történő kiválasztódás 48–72 órát követően lényegében teljes volt valamennyi betegnél. Ezek a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változások várhatóan nincsenek klinikailag releváns hatással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biztonságossági profiljára, mivel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plazmaszintjei a vesekárosodásban szenvedő betegeknél is a biztonságos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>-szinteken belül maradnak.</w:t>
      </w:r>
    </w:p>
    <w:p w14:paraId="79E34A3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1FA2AFF1" w14:textId="77777777" w:rsidR="002C5BBB" w:rsidRPr="002C5BBB" w:rsidRDefault="002C5BBB" w:rsidP="002C5BBB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iCs/>
          <w:u w:val="single"/>
        </w:rPr>
      </w:pPr>
      <w:r w:rsidRPr="002C5BBB">
        <w:rPr>
          <w:rFonts w:ascii="Times New Roman" w:eastAsia="Times New Roman" w:hAnsi="Times New Roman" w:cs="Times New Roman"/>
          <w:iCs/>
          <w:u w:val="single"/>
        </w:rPr>
        <w:t>Májkárosodás</w:t>
      </w:r>
    </w:p>
    <w:p w14:paraId="41B7C46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Májkárosodásban szenvedő betegeknél nem állnak rendelkezésre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adatok.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embernél nem </w:t>
      </w:r>
      <w:proofErr w:type="spellStart"/>
      <w:r w:rsidRPr="002C5BBB">
        <w:rPr>
          <w:rFonts w:ascii="Times New Roman" w:eastAsia="Times New Roman" w:hAnsi="Times New Roman" w:cs="Times New Roman"/>
        </w:rPr>
        <w:t>metabolizálódik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. Mivel a vesekárosodásban szenvedő betegeken végzett vizsgálatok eredményei azt bizonyítják, hogy a </w:t>
      </w:r>
      <w:proofErr w:type="spellStart"/>
      <w:r w:rsidRPr="002C5BBB">
        <w:rPr>
          <w:rFonts w:ascii="Times New Roman" w:eastAsia="Times New Roman" w:hAnsi="Times New Roman" w:cs="Times New Roman"/>
        </w:rPr>
        <w:t>renális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eliminációnak döntő szerepe van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kiválasztásában,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eliminációjában az epével történő kiválasztás valószínűleg csak csekély jelentőségű.</w:t>
      </w:r>
      <w:r w:rsidRPr="002C5BBB">
        <w:rPr>
          <w:rFonts w:ascii="Times New Roman" w:eastAsia="Times New Roman" w:hAnsi="Times New Roman" w:cs="Times New Roman"/>
          <w:i/>
        </w:rPr>
        <w:t xml:space="preserve"> </w:t>
      </w:r>
      <w:r w:rsidRPr="002C5BBB">
        <w:rPr>
          <w:rFonts w:ascii="Times New Roman" w:eastAsia="Times New Roman" w:hAnsi="Times New Roman" w:cs="Times New Roman"/>
        </w:rPr>
        <w:t>A májfunkcióban</w:t>
      </w:r>
      <w:r w:rsidRPr="002C5BBB">
        <w:rPr>
          <w:rFonts w:ascii="Times New Roman" w:eastAsia="Times New Roman" w:hAnsi="Times New Roman" w:cs="Times New Roman"/>
          <w:i/>
        </w:rPr>
        <w:t xml:space="preserve"> </w:t>
      </w:r>
      <w:r w:rsidRPr="002C5BBB">
        <w:rPr>
          <w:rFonts w:ascii="Times New Roman" w:eastAsia="Times New Roman" w:hAnsi="Times New Roman" w:cs="Times New Roman"/>
        </w:rPr>
        <w:t xml:space="preserve">bekövetkező változásoknak feltehetően nincs klinikailag releváns hatása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farmakokinetikájára</w:t>
      </w:r>
      <w:proofErr w:type="spellEnd"/>
      <w:r w:rsidRPr="002C5BBB">
        <w:rPr>
          <w:rFonts w:ascii="Times New Roman" w:eastAsia="Times New Roman" w:hAnsi="Times New Roman" w:cs="Times New Roman"/>
        </w:rPr>
        <w:t>.</w:t>
      </w:r>
    </w:p>
    <w:p w14:paraId="41F7AEAA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</w:rPr>
      </w:pPr>
    </w:p>
    <w:p w14:paraId="55F48F8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u w:val="single"/>
        </w:rPr>
      </w:pPr>
      <w:r w:rsidRPr="002C5BBB">
        <w:rPr>
          <w:rFonts w:ascii="Times New Roman" w:eastAsia="Times New Roman" w:hAnsi="Times New Roman" w:cs="Times New Roman"/>
          <w:iCs/>
          <w:u w:val="single"/>
        </w:rPr>
        <w:t>Idősek</w:t>
      </w:r>
    </w:p>
    <w:p w14:paraId="0A4C385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Csak korlátozott mennyiségű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adat áll rendelkezésre 65 évesnél idősebb betegek esetén. A 18–35 éves felnőtt populációhoz viszonyítva a 65 évesnél idősebbek esetén nem voltak megfigyelhetők statisztikailag szignifikáns eltérések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035E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farmakokinetikájában</w:t>
      </w:r>
      <w:proofErr w:type="spellEnd"/>
      <w:r w:rsidRPr="002C5BBB">
        <w:rPr>
          <w:rFonts w:ascii="Times New Roman" w:eastAsia="Times New Roman" w:hAnsi="Times New Roman" w:cs="Times New Roman"/>
        </w:rPr>
        <w:t>.</w:t>
      </w:r>
    </w:p>
    <w:p w14:paraId="291B339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C585942" w14:textId="194BC510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iCs/>
          <w:u w:val="single"/>
        </w:rPr>
      </w:pPr>
      <w:r w:rsidRPr="002C5BBB">
        <w:rPr>
          <w:rFonts w:ascii="Times New Roman" w:eastAsia="Times New Roman" w:hAnsi="Times New Roman" w:cs="Times New Roman"/>
          <w:iCs/>
          <w:u w:val="single"/>
        </w:rPr>
        <w:t>Gyermekek és serdülők</w:t>
      </w:r>
    </w:p>
    <w:p w14:paraId="2465146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Serdülőkre (12–17 éves) vonatkozó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adatok nem állnak rendelkezésre, mivel ezen készítmény esetében a felnőtt adatok extrapolációját megfelelőnek ítélték.</w:t>
      </w:r>
    </w:p>
    <w:p w14:paraId="54CC0AE1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2CA4FAD" w14:textId="77777777" w:rsidR="002C5BBB" w:rsidRPr="002C5BBB" w:rsidRDefault="002C5BBB" w:rsidP="002C5BBB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gyermekekre vonatkozó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adatok egy II. fázisú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vizsgálatból származnak, amelybe 31 fő 4–11 éves, allergiás </w:t>
      </w:r>
      <w:proofErr w:type="spellStart"/>
      <w:r w:rsidRPr="002C5BBB">
        <w:rPr>
          <w:rFonts w:ascii="Times New Roman" w:eastAsia="Times New Roman" w:hAnsi="Times New Roman" w:cs="Times New Roman"/>
        </w:rPr>
        <w:t>rhinoconjunctivitisben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vagy krónikus </w:t>
      </w:r>
      <w:proofErr w:type="spellStart"/>
      <w:r w:rsidRPr="002C5BBB">
        <w:rPr>
          <w:rFonts w:ascii="Times New Roman" w:eastAsia="Times New Roman" w:hAnsi="Times New Roman" w:cs="Times New Roman"/>
        </w:rPr>
        <w:t>urticariában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szenvedő gyermeket vontak be, akik naponta egyszer 10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kaptak, szájban </w:t>
      </w:r>
      <w:proofErr w:type="spellStart"/>
      <w:r w:rsidRPr="002C5BBB">
        <w:rPr>
          <w:rFonts w:ascii="Times New Roman" w:eastAsia="Times New Roman" w:hAnsi="Times New Roman" w:cs="Times New Roman"/>
        </w:rPr>
        <w:t>diszpergálódó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tabletta formájában.</w:t>
      </w:r>
    </w:p>
    <w:p w14:paraId="165F75F1" w14:textId="77777777" w:rsidR="002C5BBB" w:rsidRPr="002C5BBB" w:rsidRDefault="002C5BBB" w:rsidP="002C5BBB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673C6D13" w14:textId="77777777" w:rsidR="002C5BBB" w:rsidRPr="002C5BBB" w:rsidRDefault="002C5BBB" w:rsidP="002C5BBB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plazmakoncentrációs adatok </w:t>
      </w:r>
      <w:proofErr w:type="spellStart"/>
      <w:r w:rsidRPr="002C5BBB">
        <w:rPr>
          <w:rFonts w:ascii="Times New Roman" w:eastAsia="Times New Roman" w:hAnsi="Times New Roman" w:cs="Times New Roman"/>
        </w:rPr>
        <w:t>farmakokinetikai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elemzése azt mutatta, hogy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napi egyszeri 10 mg-</w:t>
      </w:r>
      <w:proofErr w:type="spellStart"/>
      <w:r w:rsidRPr="002C5BBB">
        <w:rPr>
          <w:rFonts w:ascii="Times New Roman" w:eastAsia="Times New Roman" w:hAnsi="Times New Roman" w:cs="Times New Roman"/>
        </w:rPr>
        <w:t>os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gyermekgyógyászati dózisa azonos mértékű szisztémás expozíciót eredményez, mint a 20 mg-os dózis felnőtteknél és serdülőknél, mivel a 6–11 éves gyermekeknél az átlagos AUC-érték 1014 </w:t>
      </w:r>
      <w:proofErr w:type="spellStart"/>
      <w:r w:rsidRPr="002C5BBB">
        <w:rPr>
          <w:rFonts w:ascii="Times New Roman" w:eastAsia="Times New Roman" w:hAnsi="Times New Roman" w:cs="Times New Roman"/>
        </w:rPr>
        <w:t>ng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 × óra/ml volt. Ezek az eredmények jóval a felnőtteknél alkalmazott, napi egyszeri 80 mg-os dózisra vonatkozó biztonságossági adatokon alapuló határ alatt voltak, ami összhangban van a gyógyszer biztonságossági profiljával. Ezek az eredmények megerősítették, hogy a naponta egyszer </w:t>
      </w:r>
      <w:r w:rsidRPr="002C5BBB">
        <w:rPr>
          <w:rFonts w:ascii="Times New Roman" w:eastAsia="Times New Roman" w:hAnsi="Times New Roman" w:cs="Times New Roman"/>
          <w:i/>
          <w:iCs/>
        </w:rPr>
        <w:t>per </w:t>
      </w:r>
      <w:proofErr w:type="spellStart"/>
      <w:r w:rsidRPr="002C5BBB">
        <w:rPr>
          <w:rFonts w:ascii="Times New Roman" w:eastAsia="Times New Roman" w:hAnsi="Times New Roman" w:cs="Times New Roman"/>
          <w:i/>
          <w:iCs/>
        </w:rPr>
        <w:t>os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alkalmazott 10 mg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megfelelő terápiás dózisnak tekinthető a 6–11 éves, legalább 20 kg testtömegű gyermekek számára. </w:t>
      </w:r>
    </w:p>
    <w:p w14:paraId="14315988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44471E6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5.3</w:t>
      </w:r>
      <w:r w:rsidRPr="002C5BBB">
        <w:rPr>
          <w:rFonts w:ascii="Times New Roman" w:eastAsia="Times New Roman" w:hAnsi="Times New Roman" w:cs="Times New Roman"/>
          <w:b/>
        </w:rPr>
        <w:tab/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  <w:b/>
        </w:rPr>
        <w:t>preklinikai</w:t>
      </w:r>
      <w:proofErr w:type="spellEnd"/>
      <w:r w:rsidRPr="002C5BBB">
        <w:rPr>
          <w:rFonts w:ascii="Times New Roman" w:eastAsia="Times New Roman" w:hAnsi="Times New Roman" w:cs="Times New Roman"/>
          <w:b/>
        </w:rPr>
        <w:t xml:space="preserve"> biztonságossági vizsgálatok eredményei</w:t>
      </w:r>
    </w:p>
    <w:p w14:paraId="10D266F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2C3CB9E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2C5BBB">
        <w:rPr>
          <w:rFonts w:ascii="Times New Roman" w:eastAsia="Times New Roman" w:hAnsi="Times New Roman" w:cs="Times New Roman"/>
        </w:rPr>
        <w:t>bilasztinnal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végzett hagyományos – farmakológiai biztonságossági, ismételt </w:t>
      </w:r>
      <w:proofErr w:type="spellStart"/>
      <w:r w:rsidRPr="002C5BBB">
        <w:rPr>
          <w:rFonts w:ascii="Times New Roman" w:eastAsia="Times New Roman" w:hAnsi="Times New Roman" w:cs="Times New Roman"/>
        </w:rPr>
        <w:t>adagolású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dózistoxicitási, </w:t>
      </w:r>
      <w:proofErr w:type="spellStart"/>
      <w:r w:rsidRPr="002C5BBB">
        <w:rPr>
          <w:rFonts w:ascii="Times New Roman" w:eastAsia="Times New Roman" w:hAnsi="Times New Roman" w:cs="Times New Roman"/>
        </w:rPr>
        <w:t>genotoxicitási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C5BBB">
        <w:rPr>
          <w:rFonts w:ascii="Times New Roman" w:eastAsia="Times New Roman" w:hAnsi="Times New Roman" w:cs="Times New Roman"/>
        </w:rPr>
        <w:t>karcinogenitási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– vizsgálatokból származó nem klinikai jellegű adatok azt igazolták, </w:t>
      </w:r>
      <w:r w:rsidRPr="002C5BBB">
        <w:rPr>
          <w:rFonts w:ascii="Times New Roman" w:eastAsia="Times New Roman" w:hAnsi="Times New Roman" w:cs="Times New Roman"/>
          <w:noProof/>
        </w:rPr>
        <w:t xml:space="preserve">hogy a készítmény </w:t>
      </w:r>
      <w:r w:rsidRPr="002C5BBB">
        <w:rPr>
          <w:rFonts w:ascii="Times New Roman" w:eastAsia="Times New Roman" w:hAnsi="Times New Roman" w:cs="Times New Roman"/>
          <w:noProof/>
          <w:szCs w:val="20"/>
        </w:rPr>
        <w:t>alkalmazásakor humán vonatkozásban különleges kockázat nem várható</w:t>
      </w:r>
      <w:r w:rsidRPr="002C5BBB">
        <w:rPr>
          <w:rFonts w:ascii="Times New Roman" w:eastAsia="Times New Roman" w:hAnsi="Times New Roman" w:cs="Times New Roman"/>
        </w:rPr>
        <w:t>.</w:t>
      </w:r>
    </w:p>
    <w:p w14:paraId="5C6762B5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542B2C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Reprodukcióra kifejtett toxicitási vizsgálatokban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magzati hatásai (pre- és post-implantációs veszteség patkányoknál, valamint a </w:t>
      </w:r>
      <w:proofErr w:type="spellStart"/>
      <w:r w:rsidRPr="002C5BBB">
        <w:rPr>
          <w:rFonts w:ascii="Times New Roman" w:eastAsia="Times New Roman" w:hAnsi="Times New Roman" w:cs="Times New Roman"/>
        </w:rPr>
        <w:t>cranialis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csontok, a </w:t>
      </w:r>
      <w:proofErr w:type="spellStart"/>
      <w:r w:rsidRPr="002C5BBB">
        <w:rPr>
          <w:rFonts w:ascii="Times New Roman" w:eastAsia="Times New Roman" w:hAnsi="Times New Roman" w:cs="Times New Roman"/>
        </w:rPr>
        <w:t>sternebrák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és a végtagok tökéletlen csontosodása nyulaknál) csak az anyára nézve toxikus dózisok alkalmazásakor voltak megfigyelhetőek. Az észlelhető mellékhatást még nem okozó dózisszint (No </w:t>
      </w:r>
      <w:proofErr w:type="spellStart"/>
      <w:r w:rsidRPr="002C5BBB">
        <w:rPr>
          <w:rFonts w:ascii="Times New Roman" w:eastAsia="Times New Roman" w:hAnsi="Times New Roman" w:cs="Times New Roman"/>
        </w:rPr>
        <w:t>Observed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Adverse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Effect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C5BBB">
        <w:rPr>
          <w:rFonts w:ascii="Times New Roman" w:eastAsia="Times New Roman" w:hAnsi="Times New Roman" w:cs="Times New Roman"/>
        </w:rPr>
        <w:t>Level</w:t>
      </w:r>
      <w:proofErr w:type="spellEnd"/>
      <w:r w:rsidRPr="002C5BBB">
        <w:rPr>
          <w:rFonts w:ascii="Times New Roman" w:eastAsia="Times New Roman" w:hAnsi="Times New Roman" w:cs="Times New Roman"/>
        </w:rPr>
        <w:t>, NOAEL) jóval (&gt; 30-szor) magasabb a javasolt humán terápiás dózis mellett kialakuló expozíciónál.</w:t>
      </w:r>
    </w:p>
    <w:p w14:paraId="66E5B9B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Verdana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lastRenderedPageBreak/>
        <w:t xml:space="preserve">Egy szoptatási vizsgálatban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egyszeri (20 mg/</w:t>
      </w:r>
      <w:proofErr w:type="spellStart"/>
      <w:r w:rsidRPr="002C5BBB">
        <w:rPr>
          <w:rFonts w:ascii="Times New Roman" w:eastAsia="Times New Roman" w:hAnsi="Times New Roman" w:cs="Times New Roman"/>
        </w:rPr>
        <w:t>ttkg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) orális dózisának beadása után a gyógyszert kimutatták a laktáló patkányok tejében. A tejben lévő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koncentrációja megközelítőleg az anyai plazmában lévő koncentráció fele volt. Ezen eredmények humán vonatkozásai nem ismertek.</w:t>
      </w:r>
    </w:p>
    <w:p w14:paraId="161331F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Verdana" w:hAnsi="Times New Roman" w:cs="Times New Roman"/>
        </w:rPr>
      </w:pPr>
    </w:p>
    <w:p w14:paraId="7971CF29" w14:textId="0AD3AE43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Patkányok</w:t>
      </w:r>
      <w:r w:rsidR="003A4184">
        <w:rPr>
          <w:rFonts w:ascii="Times New Roman" w:eastAsia="Times New Roman" w:hAnsi="Times New Roman" w:cs="Times New Roman"/>
        </w:rPr>
        <w:t>kal</w:t>
      </w:r>
      <w:r w:rsidRPr="002C5BBB">
        <w:rPr>
          <w:rFonts w:ascii="Times New Roman" w:eastAsia="Times New Roman" w:hAnsi="Times New Roman" w:cs="Times New Roman"/>
        </w:rPr>
        <w:t xml:space="preserve"> végzett fertilitási vizsgálatokban az orálisan adagolt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még napi 1000 mg/</w:t>
      </w:r>
      <w:proofErr w:type="spellStart"/>
      <w:r w:rsidRPr="002C5BBB">
        <w:rPr>
          <w:rFonts w:ascii="Times New Roman" w:eastAsia="Times New Roman" w:hAnsi="Times New Roman" w:cs="Times New Roman"/>
        </w:rPr>
        <w:t>ttkg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dózisban sem gyakorolt hatást a hím és a nőstény ivarszervekre.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nem befolyásolta a párzásra, a termékenységre és a vemhességre vonatkozó mutatókat.</w:t>
      </w:r>
    </w:p>
    <w:p w14:paraId="1E255BB2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1A3B82A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Patkányokkal végzett, a gyógyszer koncentrációját </w:t>
      </w:r>
      <w:proofErr w:type="spellStart"/>
      <w:r w:rsidRPr="002C5BBB">
        <w:rPr>
          <w:rFonts w:ascii="Times New Roman" w:eastAsia="Times New Roman" w:hAnsi="Times New Roman" w:cs="Times New Roman"/>
        </w:rPr>
        <w:t>autoradiográfiával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meghatározó eloszlási vizsgálat szerint a </w:t>
      </w:r>
      <w:proofErr w:type="spellStart"/>
      <w:r w:rsidRPr="002C5BBB">
        <w:rPr>
          <w:rFonts w:ascii="Times New Roman" w:eastAsia="Times New Roman" w:hAnsi="Times New Roman" w:cs="Times New Roman"/>
        </w:rPr>
        <w:t>bilasztin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nem </w:t>
      </w:r>
      <w:proofErr w:type="spellStart"/>
      <w:r w:rsidRPr="002C5BBB">
        <w:rPr>
          <w:rFonts w:ascii="Times New Roman" w:eastAsia="Times New Roman" w:hAnsi="Times New Roman" w:cs="Times New Roman"/>
        </w:rPr>
        <w:t>akkumulálódik</w:t>
      </w:r>
      <w:proofErr w:type="spellEnd"/>
      <w:r w:rsidRPr="002C5BBB">
        <w:rPr>
          <w:rFonts w:ascii="Times New Roman" w:eastAsia="Times New Roman" w:hAnsi="Times New Roman" w:cs="Times New Roman"/>
        </w:rPr>
        <w:t xml:space="preserve"> a központi idegrendszerben.</w:t>
      </w:r>
    </w:p>
    <w:p w14:paraId="780EE81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EEBEFB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C57FC18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6.</w:t>
      </w:r>
      <w:r w:rsidRPr="002C5BBB">
        <w:rPr>
          <w:rFonts w:ascii="Times New Roman" w:eastAsia="Times New Roman" w:hAnsi="Times New Roman" w:cs="Times New Roman"/>
          <w:b/>
        </w:rPr>
        <w:tab/>
        <w:t>GYÓGYSZERÉSZETI JELLEMZŐK</w:t>
      </w:r>
    </w:p>
    <w:p w14:paraId="066F22FA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09D86D7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6.1</w:t>
      </w:r>
      <w:r w:rsidRPr="002C5BBB">
        <w:rPr>
          <w:rFonts w:ascii="Times New Roman" w:eastAsia="Times New Roman" w:hAnsi="Times New Roman" w:cs="Times New Roman"/>
          <w:b/>
        </w:rPr>
        <w:tab/>
        <w:t>Segédanyagok felsorolása</w:t>
      </w:r>
    </w:p>
    <w:p w14:paraId="664AE4E2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623B98D4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mikrokristályos cellulóz</w:t>
      </w:r>
    </w:p>
    <w:p w14:paraId="2362D7F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típusú </w:t>
      </w:r>
      <w:proofErr w:type="spellStart"/>
      <w:r w:rsidRPr="002C5BBB">
        <w:rPr>
          <w:rFonts w:ascii="Times New Roman" w:eastAsia="Times New Roman" w:hAnsi="Times New Roman" w:cs="Times New Roman"/>
        </w:rPr>
        <w:t>karboximetil</w:t>
      </w:r>
      <w:proofErr w:type="spellEnd"/>
      <w:r w:rsidRPr="002C5BBB">
        <w:rPr>
          <w:rFonts w:ascii="Times New Roman" w:eastAsia="Times New Roman" w:hAnsi="Times New Roman" w:cs="Times New Roman"/>
        </w:rPr>
        <w:t>-keményítő-nátrium (burgonyakeményítőből)</w:t>
      </w:r>
    </w:p>
    <w:p w14:paraId="22047F4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vízmentes kolloid szilícium-dioxid</w:t>
      </w:r>
    </w:p>
    <w:p w14:paraId="2194222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magnézium-</w:t>
      </w:r>
      <w:proofErr w:type="spellStart"/>
      <w:r w:rsidRPr="002C5BBB">
        <w:rPr>
          <w:rFonts w:ascii="Times New Roman" w:eastAsia="Times New Roman" w:hAnsi="Times New Roman" w:cs="Times New Roman"/>
        </w:rPr>
        <w:t>sztearát</w:t>
      </w:r>
      <w:proofErr w:type="spellEnd"/>
    </w:p>
    <w:p w14:paraId="4AF038E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CC47306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6.2</w:t>
      </w:r>
      <w:r w:rsidRPr="002C5BBB">
        <w:rPr>
          <w:rFonts w:ascii="Times New Roman" w:eastAsia="Times New Roman" w:hAnsi="Times New Roman" w:cs="Times New Roman"/>
          <w:b/>
        </w:rPr>
        <w:tab/>
        <w:t>Inkompatibilitások</w:t>
      </w:r>
    </w:p>
    <w:p w14:paraId="177D9D5A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90A3606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Nem értelmezhető.</w:t>
      </w:r>
    </w:p>
    <w:p w14:paraId="27C76417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</w:p>
    <w:p w14:paraId="27578D04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6.3</w:t>
      </w:r>
      <w:r w:rsidRPr="002C5BBB">
        <w:rPr>
          <w:rFonts w:ascii="Times New Roman" w:eastAsia="Times New Roman" w:hAnsi="Times New Roman" w:cs="Times New Roman"/>
          <w:b/>
        </w:rPr>
        <w:tab/>
        <w:t>Felhasználhatósági időtartam</w:t>
      </w:r>
    </w:p>
    <w:p w14:paraId="64C990F1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3CA5A20" w14:textId="1B258609" w:rsidR="002C5BBB" w:rsidRPr="002C5BBB" w:rsidRDefault="00CB6F47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</w:t>
      </w:r>
      <w:r w:rsidR="002C5BBB" w:rsidRPr="002C5BBB">
        <w:rPr>
          <w:rFonts w:ascii="Times New Roman" w:eastAsia="Times New Roman" w:hAnsi="Times New Roman" w:cs="Times New Roman"/>
        </w:rPr>
        <w:t> év</w:t>
      </w:r>
    </w:p>
    <w:p w14:paraId="24F038A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EBAD70E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6.4</w:t>
      </w:r>
      <w:r w:rsidRPr="002C5BBB">
        <w:rPr>
          <w:rFonts w:ascii="Times New Roman" w:eastAsia="Times New Roman" w:hAnsi="Times New Roman" w:cs="Times New Roman"/>
          <w:b/>
        </w:rPr>
        <w:tab/>
        <w:t>Különleges tárolási előírások</w:t>
      </w:r>
    </w:p>
    <w:p w14:paraId="50D9133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2C42597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Ez a gyógyszer nem igényel különleges tárolást.</w:t>
      </w:r>
    </w:p>
    <w:p w14:paraId="29E2D332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7DCCE79F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6.5</w:t>
      </w:r>
      <w:r w:rsidRPr="002C5BBB">
        <w:rPr>
          <w:rFonts w:ascii="Times New Roman" w:eastAsia="Times New Roman" w:hAnsi="Times New Roman" w:cs="Times New Roman"/>
          <w:b/>
        </w:rPr>
        <w:tab/>
        <w:t>Csomagolás típusa és kiszerelése</w:t>
      </w:r>
    </w:p>
    <w:p w14:paraId="38DEC363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4FA73E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10 db, 20 db, 30 db, 40 db vagy 50 db tabletta OPA/Alumínium/PVC/Alumínium buborékcsomagolásban és dobozban.</w:t>
      </w:r>
    </w:p>
    <w:p w14:paraId="273DFF1A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10703E2C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>Nem feltétlenül mindegyik kiszerelés kerül kereskedelmi forgalomba.</w:t>
      </w:r>
    </w:p>
    <w:p w14:paraId="3D0DDA87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7853DE4" w14:textId="77777777" w:rsidR="002C5BBB" w:rsidRPr="002C5BBB" w:rsidRDefault="002C5BBB" w:rsidP="002C5BBB">
      <w:pPr>
        <w:keepNext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6.6</w:t>
      </w:r>
      <w:r w:rsidRPr="002C5BBB">
        <w:rPr>
          <w:rFonts w:ascii="Times New Roman" w:eastAsia="Times New Roman" w:hAnsi="Times New Roman" w:cs="Times New Roman"/>
          <w:b/>
        </w:rPr>
        <w:tab/>
        <w:t>A megsemmisítésre vonatkozó különleges óvintézkedések és egyéb, a készítmény kezelésével kapcsolatos információk</w:t>
      </w:r>
    </w:p>
    <w:p w14:paraId="2DA42D4B" w14:textId="77777777" w:rsidR="002C5BBB" w:rsidRPr="002C5BBB" w:rsidRDefault="002C5BBB" w:rsidP="002C5BBB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E6A6B71" w14:textId="06167B8B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Bármilyen fel nem használt </w:t>
      </w:r>
      <w:r w:rsidR="00CC76DE">
        <w:rPr>
          <w:rFonts w:ascii="Times New Roman" w:eastAsia="Times New Roman" w:hAnsi="Times New Roman" w:cs="Times New Roman"/>
        </w:rPr>
        <w:t>gyógyszer</w:t>
      </w:r>
      <w:r w:rsidRPr="002C5BBB">
        <w:rPr>
          <w:rFonts w:ascii="Times New Roman" w:eastAsia="Times New Roman" w:hAnsi="Times New Roman" w:cs="Times New Roman"/>
        </w:rPr>
        <w:t xml:space="preserve">, illetve hulladékanyag megsemmisítését a </w:t>
      </w:r>
      <w:r w:rsidR="00CC76DE">
        <w:rPr>
          <w:rFonts w:ascii="Times New Roman" w:eastAsia="Times New Roman" w:hAnsi="Times New Roman" w:cs="Times New Roman"/>
        </w:rPr>
        <w:t>gyógyszerekre vonatkozó</w:t>
      </w:r>
      <w:r w:rsidRPr="002C5BBB">
        <w:rPr>
          <w:rFonts w:ascii="Times New Roman" w:eastAsia="Times New Roman" w:hAnsi="Times New Roman" w:cs="Times New Roman"/>
        </w:rPr>
        <w:t xml:space="preserve"> előírások szerint kell végrehajtani.</w:t>
      </w:r>
    </w:p>
    <w:p w14:paraId="23A895AF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F563C63" w14:textId="618EE393" w:rsidR="00084A63" w:rsidRPr="00592B00" w:rsidRDefault="00084A63" w:rsidP="004B3390">
      <w:pPr>
        <w:spacing w:after="0" w:line="240" w:lineRule="auto"/>
        <w:rPr>
          <w:rFonts w:ascii="Times New Roman" w:hAnsi="Times New Roman" w:cs="Times New Roman"/>
        </w:rPr>
      </w:pPr>
      <w:r w:rsidRPr="00592B00">
        <w:rPr>
          <w:rFonts w:ascii="Times New Roman" w:hAnsi="Times New Roman" w:cs="Times New Roman"/>
          <w:b/>
          <w:spacing w:val="-3"/>
        </w:rPr>
        <w:t>Megjegyzés:</w:t>
      </w:r>
      <w:r w:rsidRPr="00592B00">
        <w:rPr>
          <w:rFonts w:ascii="Times New Roman" w:hAnsi="Times New Roman" w:cs="Times New Roman"/>
          <w:spacing w:val="-3"/>
        </w:rPr>
        <w:t xml:space="preserve"> </w:t>
      </w:r>
      <w:r w:rsidRPr="00592B00">
        <w:rPr>
          <w:rFonts w:ascii="Times New Roman" w:hAnsi="Times New Roman" w:cs="Times New Roman"/>
        </w:rPr>
        <w:sym w:font="Wingdings" w:char="F058"/>
      </w:r>
      <w:r w:rsidRPr="00592B00">
        <w:rPr>
          <w:rFonts w:ascii="Times New Roman" w:hAnsi="Times New Roman" w:cs="Times New Roman"/>
          <w:spacing w:val="-3"/>
        </w:rPr>
        <w:t xml:space="preserve"> (egy keresztes)</w:t>
      </w:r>
    </w:p>
    <w:p w14:paraId="1A578061" w14:textId="41BD7B15" w:rsidR="00084A63" w:rsidRPr="00084A63" w:rsidRDefault="00084A63" w:rsidP="004B3390">
      <w:pPr>
        <w:pStyle w:val="Cmsor2"/>
        <w:numPr>
          <w:ilvl w:val="1"/>
          <w:numId w:val="21"/>
        </w:numPr>
        <w:spacing w:before="0" w:after="0" w:line="240" w:lineRule="auto"/>
        <w:rPr>
          <w:rFonts w:ascii="Times New Roman" w:hAnsi="Times New Roman"/>
          <w:i w:val="0"/>
          <w:sz w:val="22"/>
          <w:szCs w:val="22"/>
        </w:rPr>
      </w:pPr>
      <w:r w:rsidRPr="00084A63">
        <w:rPr>
          <w:rFonts w:ascii="Times New Roman" w:hAnsi="Times New Roman"/>
          <w:i w:val="0"/>
          <w:sz w:val="22"/>
          <w:szCs w:val="22"/>
        </w:rPr>
        <w:t>Osztályozás: I. csoport</w:t>
      </w:r>
    </w:p>
    <w:p w14:paraId="29E4B79F" w14:textId="2C881319" w:rsidR="00084A63" w:rsidRPr="00086A18" w:rsidRDefault="00DB2BFF" w:rsidP="004B339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084A63" w:rsidRPr="00592B00">
        <w:rPr>
          <w:rFonts w:ascii="Times New Roman" w:hAnsi="Times New Roman" w:cs="Times New Roman"/>
        </w:rPr>
        <w:t>rvosi rendelvény</w:t>
      </w:r>
      <w:r w:rsidRPr="004F6399">
        <w:t xml:space="preserve"> </w:t>
      </w:r>
      <w:r w:rsidRPr="004F6399">
        <w:rPr>
          <w:rFonts w:ascii="Times-Roman" w:hAnsi="Times-Roman" w:cs="Times-Roman"/>
        </w:rPr>
        <w:t>nélkül is kiadható</w:t>
      </w:r>
      <w:r w:rsidR="00084A63" w:rsidRPr="00592B00">
        <w:rPr>
          <w:rFonts w:ascii="Times New Roman" w:hAnsi="Times New Roman" w:cs="Times New Roman"/>
        </w:rPr>
        <w:t xml:space="preserve"> gyógyszer (V</w:t>
      </w:r>
      <w:r>
        <w:rPr>
          <w:rFonts w:ascii="Times New Roman" w:hAnsi="Times New Roman" w:cs="Times New Roman"/>
        </w:rPr>
        <w:t>N</w:t>
      </w:r>
      <w:r w:rsidR="00084A63" w:rsidRPr="00592B00">
        <w:rPr>
          <w:rFonts w:ascii="Times New Roman" w:hAnsi="Times New Roman" w:cs="Times New Roman"/>
        </w:rPr>
        <w:t>).</w:t>
      </w:r>
    </w:p>
    <w:p w14:paraId="2E94B2FE" w14:textId="2EA9F48C" w:rsidR="00084A63" w:rsidRDefault="00084A63">
      <w:pPr>
        <w:spacing w:after="0" w:line="240" w:lineRule="auto"/>
        <w:rPr>
          <w:rFonts w:ascii="Times New Roman" w:hAnsi="Times New Roman" w:cs="Times New Roman"/>
        </w:rPr>
      </w:pPr>
    </w:p>
    <w:p w14:paraId="491765AB" w14:textId="77777777" w:rsidR="00086A18" w:rsidRPr="00592B00" w:rsidRDefault="00086A18" w:rsidP="00592B00">
      <w:pPr>
        <w:spacing w:after="0" w:line="240" w:lineRule="auto"/>
        <w:rPr>
          <w:rFonts w:ascii="Times New Roman" w:hAnsi="Times New Roman" w:cs="Times New Roman"/>
        </w:rPr>
      </w:pPr>
    </w:p>
    <w:p w14:paraId="63792F75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7.</w:t>
      </w:r>
      <w:r w:rsidRPr="002C5BBB">
        <w:rPr>
          <w:rFonts w:ascii="Times New Roman" w:eastAsia="Times New Roman" w:hAnsi="Times New Roman" w:cs="Times New Roman"/>
          <w:b/>
        </w:rPr>
        <w:tab/>
        <w:t>A FORGALOMBA HOZATALI ENGEDÉLY JOGOSULTJA</w:t>
      </w:r>
    </w:p>
    <w:p w14:paraId="3B1E81C8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98D4CEA" w14:textId="77777777" w:rsidR="0078201A" w:rsidRPr="008851BA" w:rsidRDefault="0078201A" w:rsidP="007820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8851BA">
        <w:rPr>
          <w:rFonts w:ascii="Times New Roman" w:eastAsia="Times New Roman" w:hAnsi="Times New Roman" w:cs="Times New Roman"/>
          <w:lang w:eastAsia="hu-HU"/>
        </w:rPr>
        <w:t>Egis Gyógyszergyár Zrt.</w:t>
      </w:r>
    </w:p>
    <w:p w14:paraId="7CCC75AF" w14:textId="77777777" w:rsidR="0078201A" w:rsidRDefault="0078201A" w:rsidP="0078201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u-HU"/>
        </w:rPr>
      </w:pPr>
      <w:r w:rsidRPr="008851BA">
        <w:rPr>
          <w:rFonts w:ascii="Times New Roman" w:eastAsia="Times New Roman" w:hAnsi="Times New Roman" w:cs="Times New Roman"/>
          <w:lang w:eastAsia="hu-HU"/>
        </w:rPr>
        <w:t>1106 Budapest, Keresztúri út 30-38.</w:t>
      </w:r>
    </w:p>
    <w:p w14:paraId="02DA99F2" w14:textId="4EF9F947" w:rsidR="002C5BBB" w:rsidRPr="002C5BBB" w:rsidRDefault="0078201A" w:rsidP="008A1319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hu-HU"/>
        </w:rPr>
        <w:t>Magyarország</w:t>
      </w:r>
    </w:p>
    <w:p w14:paraId="1750977B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4CFFD28D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09D016DE" w14:textId="77777777" w:rsidR="002C5BBB" w:rsidRPr="002C5BBB" w:rsidRDefault="002C5BBB" w:rsidP="00592B00">
      <w:pPr>
        <w:keepNext/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8.</w:t>
      </w:r>
      <w:r w:rsidRPr="002C5BBB">
        <w:rPr>
          <w:rFonts w:ascii="Times New Roman" w:eastAsia="Times New Roman" w:hAnsi="Times New Roman" w:cs="Times New Roman"/>
          <w:b/>
        </w:rPr>
        <w:tab/>
        <w:t>A FORGALOMBA HOZATALI ENGEDÉLY SZÁMA(I)</w:t>
      </w:r>
    </w:p>
    <w:p w14:paraId="0F09EA37" w14:textId="77777777" w:rsidR="002C5BBB" w:rsidRPr="002C5BBB" w:rsidRDefault="002C5BBB" w:rsidP="00592B00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i/>
        </w:rPr>
      </w:pPr>
    </w:p>
    <w:p w14:paraId="5844CBCD" w14:textId="278E4655" w:rsidR="000C7BEE" w:rsidRPr="000C7BEE" w:rsidRDefault="000C7BEE" w:rsidP="00940227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C7BEE">
        <w:rPr>
          <w:rFonts w:ascii="Times New Roman" w:hAnsi="Times New Roman" w:cs="Times New Roman"/>
          <w:iCs/>
          <w:color w:val="000000"/>
        </w:rPr>
        <w:t>OGYI-T-24026/01</w:t>
      </w:r>
      <w:r w:rsidRPr="000C7BEE">
        <w:rPr>
          <w:rFonts w:ascii="Times New Roman" w:hAnsi="Times New Roman" w:cs="Times New Roman"/>
          <w:iCs/>
          <w:color w:val="000000"/>
        </w:rPr>
        <w:tab/>
        <w:t>10</w:t>
      </w:r>
      <w:r w:rsidR="00CC76DE">
        <w:rPr>
          <w:rFonts w:ascii="Times New Roman" w:hAnsi="Times New Roman" w:cs="Times New Roman"/>
          <w:iCs/>
          <w:color w:val="000000"/>
        </w:rPr>
        <w:t>×</w:t>
      </w:r>
    </w:p>
    <w:p w14:paraId="624B4FE3" w14:textId="182D059F" w:rsidR="000C7BEE" w:rsidRPr="000C7BEE" w:rsidRDefault="000C7BEE" w:rsidP="00940227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C7BEE">
        <w:rPr>
          <w:rFonts w:ascii="Times New Roman" w:hAnsi="Times New Roman" w:cs="Times New Roman"/>
          <w:iCs/>
          <w:color w:val="000000"/>
        </w:rPr>
        <w:t>OGYI-T-24026/02</w:t>
      </w:r>
      <w:r w:rsidRPr="000C7BEE">
        <w:rPr>
          <w:rFonts w:ascii="Times New Roman" w:hAnsi="Times New Roman" w:cs="Times New Roman"/>
          <w:iCs/>
          <w:color w:val="000000"/>
        </w:rPr>
        <w:tab/>
        <w:t>20</w:t>
      </w:r>
      <w:r w:rsidR="00CC76DE">
        <w:rPr>
          <w:rFonts w:ascii="Times New Roman" w:hAnsi="Times New Roman" w:cs="Times New Roman"/>
          <w:iCs/>
          <w:color w:val="000000"/>
        </w:rPr>
        <w:t>×</w:t>
      </w:r>
    </w:p>
    <w:p w14:paraId="7E449E30" w14:textId="123D56F8" w:rsidR="000C7BEE" w:rsidRPr="000C7BEE" w:rsidRDefault="000C7BEE" w:rsidP="00940227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C7BEE">
        <w:rPr>
          <w:rFonts w:ascii="Times New Roman" w:hAnsi="Times New Roman" w:cs="Times New Roman"/>
          <w:iCs/>
          <w:color w:val="000000"/>
        </w:rPr>
        <w:t>OGYI-T-24026/03</w:t>
      </w:r>
      <w:r w:rsidRPr="000C7BEE">
        <w:rPr>
          <w:rFonts w:ascii="Times New Roman" w:hAnsi="Times New Roman" w:cs="Times New Roman"/>
          <w:iCs/>
          <w:color w:val="000000"/>
        </w:rPr>
        <w:tab/>
        <w:t>30</w:t>
      </w:r>
      <w:r w:rsidR="00CC76DE">
        <w:rPr>
          <w:rFonts w:ascii="Times New Roman" w:hAnsi="Times New Roman" w:cs="Times New Roman"/>
          <w:iCs/>
          <w:color w:val="000000"/>
        </w:rPr>
        <w:t>×</w:t>
      </w:r>
    </w:p>
    <w:p w14:paraId="297598C4" w14:textId="563E1008" w:rsidR="000C7BEE" w:rsidRPr="000C7BEE" w:rsidRDefault="000C7BEE" w:rsidP="00940227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C7BEE">
        <w:rPr>
          <w:rFonts w:ascii="Times New Roman" w:hAnsi="Times New Roman" w:cs="Times New Roman"/>
          <w:iCs/>
          <w:color w:val="000000"/>
        </w:rPr>
        <w:t>OGYI-T-24026/04</w:t>
      </w:r>
      <w:r w:rsidRPr="000C7BEE">
        <w:rPr>
          <w:rFonts w:ascii="Times New Roman" w:hAnsi="Times New Roman" w:cs="Times New Roman"/>
          <w:iCs/>
          <w:color w:val="000000"/>
        </w:rPr>
        <w:tab/>
        <w:t>40</w:t>
      </w:r>
      <w:r w:rsidR="00CC76DE">
        <w:rPr>
          <w:rFonts w:ascii="Times New Roman" w:hAnsi="Times New Roman" w:cs="Times New Roman"/>
          <w:iCs/>
          <w:color w:val="000000"/>
        </w:rPr>
        <w:t>×</w:t>
      </w:r>
    </w:p>
    <w:p w14:paraId="1F725E76" w14:textId="25F9D5A1" w:rsidR="000C7BEE" w:rsidRPr="000C7BEE" w:rsidRDefault="000C7BEE" w:rsidP="00940227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iCs/>
          <w:color w:val="000000"/>
        </w:rPr>
      </w:pPr>
      <w:r w:rsidRPr="000C7BEE">
        <w:rPr>
          <w:rFonts w:ascii="Times New Roman" w:hAnsi="Times New Roman" w:cs="Times New Roman"/>
          <w:iCs/>
          <w:color w:val="000000"/>
        </w:rPr>
        <w:t>OGYI-T-24026/05</w:t>
      </w:r>
      <w:r w:rsidRPr="000C7BEE">
        <w:rPr>
          <w:rFonts w:ascii="Times New Roman" w:hAnsi="Times New Roman" w:cs="Times New Roman"/>
          <w:iCs/>
          <w:color w:val="000000"/>
        </w:rPr>
        <w:tab/>
        <w:t>50</w:t>
      </w:r>
      <w:r w:rsidR="00CC76DE">
        <w:rPr>
          <w:rFonts w:ascii="Times New Roman" w:hAnsi="Times New Roman" w:cs="Times New Roman"/>
          <w:iCs/>
          <w:color w:val="000000"/>
        </w:rPr>
        <w:t>×</w:t>
      </w:r>
    </w:p>
    <w:p w14:paraId="1C19F5D7" w14:textId="429E2382" w:rsidR="000C7BEE" w:rsidRPr="008A1319" w:rsidRDefault="000C7BEE" w:rsidP="007869AF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47C517E7" w14:textId="77777777" w:rsidR="004B3390" w:rsidRPr="008A1319" w:rsidRDefault="004B3390" w:rsidP="007869AF">
      <w:pP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4380A762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  <w:r w:rsidRPr="002C5BBB">
        <w:rPr>
          <w:rFonts w:ascii="Times New Roman" w:eastAsia="Times New Roman" w:hAnsi="Times New Roman" w:cs="Times New Roman"/>
          <w:b/>
        </w:rPr>
        <w:t>9.</w:t>
      </w:r>
      <w:r w:rsidRPr="002C5BBB">
        <w:rPr>
          <w:rFonts w:ascii="Times New Roman" w:eastAsia="Times New Roman" w:hAnsi="Times New Roman" w:cs="Times New Roman"/>
          <w:b/>
        </w:rPr>
        <w:tab/>
        <w:t>A FORGALOMBA HOZATALI ENGEDÉLY ELSŐ KIADÁSÁNAK/ MEGÚJÍTÁSÁNAK DÁTUMA</w:t>
      </w:r>
    </w:p>
    <w:p w14:paraId="39A239FC" w14:textId="77777777" w:rsidR="002C5BBB" w:rsidRPr="002C5BBB" w:rsidRDefault="002C5BBB" w:rsidP="002C5BBB">
      <w:pPr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</w:rPr>
      </w:pPr>
    </w:p>
    <w:p w14:paraId="1F975B28" w14:textId="78292606" w:rsidR="002C5BBB" w:rsidRPr="000C7BEE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</w:rPr>
        <w:t xml:space="preserve">A forgalomba hozatali engedély első kiadásának dátuma: </w:t>
      </w:r>
      <w:r w:rsidR="000C7BEE" w:rsidRPr="000C7BEE">
        <w:rPr>
          <w:rFonts w:ascii="Times New Roman" w:hAnsi="Times New Roman" w:cs="Times New Roman"/>
          <w:color w:val="000000"/>
        </w:rPr>
        <w:t>2022. március 16.</w:t>
      </w:r>
    </w:p>
    <w:p w14:paraId="0C90C282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2882B8D0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39F8D742" w14:textId="0057B5E7" w:rsidR="002C5BBB" w:rsidRPr="000C7BEE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  <w:r w:rsidRPr="002C5BBB">
        <w:rPr>
          <w:rFonts w:ascii="Times New Roman" w:eastAsia="Times New Roman" w:hAnsi="Times New Roman" w:cs="Times New Roman"/>
          <w:b/>
        </w:rPr>
        <w:t>10.</w:t>
      </w:r>
      <w:r w:rsidRPr="002C5BBB">
        <w:rPr>
          <w:rFonts w:ascii="Times New Roman" w:eastAsia="Times New Roman" w:hAnsi="Times New Roman" w:cs="Times New Roman"/>
          <w:b/>
        </w:rPr>
        <w:tab/>
        <w:t>A SZÖVEG ELLENŐRZÉSÉNEK DÁTUMA</w:t>
      </w:r>
    </w:p>
    <w:p w14:paraId="1A66D4B2" w14:textId="77777777" w:rsidR="002C5BBB" w:rsidRPr="002C5BBB" w:rsidRDefault="002C5BBB" w:rsidP="002C5BBB">
      <w:pPr>
        <w:suppressAutoHyphens/>
        <w:spacing w:after="0" w:line="240" w:lineRule="auto"/>
        <w:rPr>
          <w:rFonts w:ascii="Times New Roman" w:eastAsia="Times New Roman" w:hAnsi="Times New Roman" w:cs="Times New Roman"/>
        </w:rPr>
      </w:pPr>
    </w:p>
    <w:p w14:paraId="5B41D7AC" w14:textId="4A5ABF02" w:rsidR="00145300" w:rsidRPr="008A1319" w:rsidRDefault="004B3390" w:rsidP="002C035E">
      <w:pPr>
        <w:suppressAutoHyphens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</w:t>
      </w:r>
      <w:r w:rsidR="00E778D9"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</w:rPr>
        <w:t xml:space="preserve">. </w:t>
      </w:r>
      <w:r w:rsidR="0094580A">
        <w:rPr>
          <w:rFonts w:ascii="Times New Roman" w:eastAsia="Times New Roman" w:hAnsi="Times New Roman" w:cs="Times New Roman"/>
        </w:rPr>
        <w:t>június 16.</w:t>
      </w:r>
    </w:p>
    <w:sectPr w:rsidR="00145300" w:rsidRPr="008A1319" w:rsidSect="002C5BBB">
      <w:headerReference w:type="even" r:id="rId8"/>
      <w:head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8A7FA" w14:textId="77777777" w:rsidR="008679CF" w:rsidRDefault="008679CF">
      <w:pPr>
        <w:spacing w:after="0" w:line="240" w:lineRule="auto"/>
      </w:pPr>
      <w:r>
        <w:separator/>
      </w:r>
    </w:p>
  </w:endnote>
  <w:endnote w:type="continuationSeparator" w:id="0">
    <w:p w14:paraId="143E16DC" w14:textId="77777777" w:rsidR="008679CF" w:rsidRDefault="00867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F8BA0" w14:textId="165E9735" w:rsidR="008679CF" w:rsidRPr="000C7BEE" w:rsidRDefault="008679CF">
    <w:pPr>
      <w:pStyle w:val="llb"/>
      <w:rPr>
        <w:rFonts w:ascii="Times New Roman" w:hAnsi="Times New Roman"/>
        <w:sz w:val="18"/>
        <w:szCs w:val="18"/>
      </w:rPr>
    </w:pPr>
    <w:r w:rsidRPr="00FD03DC">
      <w:rPr>
        <w:rFonts w:ascii="Times New Roman" w:hAnsi="Times New Roman"/>
        <w:color w:val="000000"/>
        <w:sz w:val="18"/>
        <w:szCs w:val="18"/>
      </w:rPr>
      <w:t>NNGYK/ETGY/18900/2025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60E163" w14:textId="77777777" w:rsidR="008679CF" w:rsidRDefault="008679CF">
      <w:pPr>
        <w:spacing w:after="0" w:line="240" w:lineRule="auto"/>
      </w:pPr>
      <w:r>
        <w:separator/>
      </w:r>
    </w:p>
  </w:footnote>
  <w:footnote w:type="continuationSeparator" w:id="0">
    <w:p w14:paraId="6CA1D7B3" w14:textId="77777777" w:rsidR="008679CF" w:rsidRDefault="00867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555FD" w14:textId="77777777" w:rsidR="008679CF" w:rsidRDefault="008679CF" w:rsidP="00933EA7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E7084AD" w14:textId="77777777" w:rsidR="008679CF" w:rsidRDefault="008679C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E9E93" w14:textId="6BA2292F" w:rsidR="008679CF" w:rsidRPr="000711DF" w:rsidRDefault="008679CF" w:rsidP="00933EA7">
    <w:pPr>
      <w:pStyle w:val="lfej"/>
      <w:jc w:val="center"/>
      <w:rPr>
        <w:rFonts w:ascii="Times New Roman" w:hAnsi="Times New Roman"/>
        <w:b/>
        <w:sz w:val="18"/>
        <w:szCs w:val="18"/>
      </w:rPr>
    </w:pPr>
    <w:r w:rsidRPr="000711DF">
      <w:rPr>
        <w:rFonts w:ascii="Times New Roman" w:hAnsi="Times New Roman"/>
        <w:sz w:val="18"/>
        <w:szCs w:val="18"/>
      </w:rPr>
      <w:fldChar w:fldCharType="begin"/>
    </w:r>
    <w:r w:rsidRPr="000711DF">
      <w:rPr>
        <w:rFonts w:ascii="Times New Roman" w:hAnsi="Times New Roman"/>
        <w:sz w:val="18"/>
        <w:szCs w:val="18"/>
      </w:rPr>
      <w:instrText xml:space="preserve"> PAGE   \* MERGEFORMAT </w:instrText>
    </w:r>
    <w:r w:rsidRPr="000711DF">
      <w:rPr>
        <w:rFonts w:ascii="Times New Roman" w:hAnsi="Times New Roman"/>
        <w:sz w:val="18"/>
        <w:szCs w:val="18"/>
      </w:rPr>
      <w:fldChar w:fldCharType="separate"/>
    </w:r>
    <w:r w:rsidR="002C035E">
      <w:rPr>
        <w:rFonts w:ascii="Times New Roman" w:hAnsi="Times New Roman"/>
        <w:noProof/>
        <w:sz w:val="18"/>
        <w:szCs w:val="18"/>
      </w:rPr>
      <w:t>11</w:t>
    </w:r>
    <w:r w:rsidRPr="000711DF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C716AE7"/>
    <w:multiLevelType w:val="hybridMultilevel"/>
    <w:tmpl w:val="0D804D82"/>
    <w:lvl w:ilvl="0" w:tplc="379A7482">
      <w:start w:val="7"/>
      <w:numFmt w:val="bullet"/>
      <w:lvlText w:val="-"/>
      <w:lvlJc w:val="left"/>
      <w:pPr>
        <w:ind w:left="786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4FC079A"/>
    <w:multiLevelType w:val="hybridMultilevel"/>
    <w:tmpl w:val="13D65F7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1813BC"/>
    <w:multiLevelType w:val="hybridMultilevel"/>
    <w:tmpl w:val="9E186730"/>
    <w:lvl w:ilvl="0" w:tplc="51E8C2E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B3A91"/>
    <w:multiLevelType w:val="hybridMultilevel"/>
    <w:tmpl w:val="F31621B6"/>
    <w:lvl w:ilvl="0" w:tplc="51E8C2E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99D46F8"/>
    <w:multiLevelType w:val="hybridMultilevel"/>
    <w:tmpl w:val="BC30346E"/>
    <w:lvl w:ilvl="0" w:tplc="2C2A9C94">
      <w:start w:val="1"/>
      <w:numFmt w:val="decimal"/>
      <w:lvlText w:val="%1."/>
      <w:lvlJc w:val="left"/>
      <w:pPr>
        <w:tabs>
          <w:tab w:val="num" w:pos="717"/>
        </w:tabs>
        <w:ind w:left="717" w:hanging="35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7"/>
  </w:num>
  <w:num w:numId="12">
    <w:abstractNumId w:val="12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8"/>
  </w:num>
  <w:num w:numId="15">
    <w:abstractNumId w:val="19"/>
  </w:num>
  <w:num w:numId="16">
    <w:abstractNumId w:val="11"/>
  </w:num>
  <w:num w:numId="17">
    <w:abstractNumId w:val="13"/>
  </w:num>
  <w:num w:numId="18">
    <w:abstractNumId w:val="14"/>
  </w:num>
  <w:num w:numId="19">
    <w:abstractNumId w:val="15"/>
  </w:num>
  <w:num w:numId="20">
    <w:abstractNumId w:val="16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B"/>
    <w:rsid w:val="0000487F"/>
    <w:rsid w:val="00057628"/>
    <w:rsid w:val="000840FA"/>
    <w:rsid w:val="00084A63"/>
    <w:rsid w:val="00086A18"/>
    <w:rsid w:val="000A00A8"/>
    <w:rsid w:val="000A6F5F"/>
    <w:rsid w:val="000C7BEE"/>
    <w:rsid w:val="000F05C6"/>
    <w:rsid w:val="00142EEE"/>
    <w:rsid w:val="00145300"/>
    <w:rsid w:val="001505E0"/>
    <w:rsid w:val="001545FC"/>
    <w:rsid w:val="00190CA3"/>
    <w:rsid w:val="001A3FBD"/>
    <w:rsid w:val="001F3847"/>
    <w:rsid w:val="00256696"/>
    <w:rsid w:val="00261CEB"/>
    <w:rsid w:val="00293752"/>
    <w:rsid w:val="002A6905"/>
    <w:rsid w:val="002C035E"/>
    <w:rsid w:val="002C3476"/>
    <w:rsid w:val="002C5BBB"/>
    <w:rsid w:val="002D7E69"/>
    <w:rsid w:val="002F08AE"/>
    <w:rsid w:val="002F5CB4"/>
    <w:rsid w:val="00337613"/>
    <w:rsid w:val="0035281C"/>
    <w:rsid w:val="00353724"/>
    <w:rsid w:val="00363A2A"/>
    <w:rsid w:val="003A4184"/>
    <w:rsid w:val="003E3A9E"/>
    <w:rsid w:val="003F4B42"/>
    <w:rsid w:val="00402908"/>
    <w:rsid w:val="0040394D"/>
    <w:rsid w:val="004105BD"/>
    <w:rsid w:val="00411881"/>
    <w:rsid w:val="0041768F"/>
    <w:rsid w:val="00436687"/>
    <w:rsid w:val="00453C48"/>
    <w:rsid w:val="00464BBE"/>
    <w:rsid w:val="00471D32"/>
    <w:rsid w:val="004B3390"/>
    <w:rsid w:val="004C54FA"/>
    <w:rsid w:val="00515CDC"/>
    <w:rsid w:val="005269C5"/>
    <w:rsid w:val="00592B00"/>
    <w:rsid w:val="0059451D"/>
    <w:rsid w:val="006136A7"/>
    <w:rsid w:val="00616B32"/>
    <w:rsid w:val="0068663C"/>
    <w:rsid w:val="006A2C93"/>
    <w:rsid w:val="006A57EA"/>
    <w:rsid w:val="006E58CD"/>
    <w:rsid w:val="007511D4"/>
    <w:rsid w:val="007558ED"/>
    <w:rsid w:val="00777B8F"/>
    <w:rsid w:val="0078201A"/>
    <w:rsid w:val="007869AF"/>
    <w:rsid w:val="0079454B"/>
    <w:rsid w:val="00794995"/>
    <w:rsid w:val="0082293B"/>
    <w:rsid w:val="00852977"/>
    <w:rsid w:val="00865538"/>
    <w:rsid w:val="008679CF"/>
    <w:rsid w:val="00882307"/>
    <w:rsid w:val="008A1319"/>
    <w:rsid w:val="008A5EFA"/>
    <w:rsid w:val="008B1936"/>
    <w:rsid w:val="008D269C"/>
    <w:rsid w:val="008E715B"/>
    <w:rsid w:val="008F071C"/>
    <w:rsid w:val="00907FCF"/>
    <w:rsid w:val="00933EA7"/>
    <w:rsid w:val="00940227"/>
    <w:rsid w:val="0094580A"/>
    <w:rsid w:val="00946029"/>
    <w:rsid w:val="00961697"/>
    <w:rsid w:val="009B4909"/>
    <w:rsid w:val="009D6C2E"/>
    <w:rsid w:val="00A52670"/>
    <w:rsid w:val="00A53AC3"/>
    <w:rsid w:val="00A545CE"/>
    <w:rsid w:val="00AB3221"/>
    <w:rsid w:val="00AD4479"/>
    <w:rsid w:val="00B135FE"/>
    <w:rsid w:val="00B3670A"/>
    <w:rsid w:val="00B5234D"/>
    <w:rsid w:val="00B62621"/>
    <w:rsid w:val="00B70581"/>
    <w:rsid w:val="00B83FC9"/>
    <w:rsid w:val="00B93771"/>
    <w:rsid w:val="00B96B42"/>
    <w:rsid w:val="00BA006A"/>
    <w:rsid w:val="00BA1351"/>
    <w:rsid w:val="00BA6D5C"/>
    <w:rsid w:val="00C04D2D"/>
    <w:rsid w:val="00CB6679"/>
    <w:rsid w:val="00CB6F47"/>
    <w:rsid w:val="00CC6848"/>
    <w:rsid w:val="00CC76DE"/>
    <w:rsid w:val="00CF71AC"/>
    <w:rsid w:val="00D168FE"/>
    <w:rsid w:val="00D66BEC"/>
    <w:rsid w:val="00D76EA4"/>
    <w:rsid w:val="00D87335"/>
    <w:rsid w:val="00DB2BFF"/>
    <w:rsid w:val="00DC2637"/>
    <w:rsid w:val="00DE3AD3"/>
    <w:rsid w:val="00DF6808"/>
    <w:rsid w:val="00E121DE"/>
    <w:rsid w:val="00E47D37"/>
    <w:rsid w:val="00E60D39"/>
    <w:rsid w:val="00E778D9"/>
    <w:rsid w:val="00E8336F"/>
    <w:rsid w:val="00ED09D2"/>
    <w:rsid w:val="00EF5CFA"/>
    <w:rsid w:val="00F26BC5"/>
    <w:rsid w:val="00F71644"/>
    <w:rsid w:val="00F90B65"/>
    <w:rsid w:val="00FB12DF"/>
    <w:rsid w:val="00FB66F1"/>
    <w:rsid w:val="00FD03DC"/>
    <w:rsid w:val="00FF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6EB64"/>
  <w15:chartTrackingRefBased/>
  <w15:docId w15:val="{27ED1A73-0BFE-46D8-B6F1-18A6C7B1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qFormat/>
    <w:rsid w:val="002C5BBB"/>
    <w:pPr>
      <w:numPr>
        <w:numId w:val="10"/>
      </w:numPr>
      <w:suppressAutoHyphens/>
      <w:spacing w:before="240" w:after="120" w:line="260" w:lineRule="exact"/>
      <w:outlineLvl w:val="0"/>
    </w:pPr>
    <w:rPr>
      <w:rFonts w:ascii="Times New Roman" w:eastAsia="Times New Roman" w:hAnsi="Times New Roman" w:cs="Times New Roman"/>
      <w:b/>
      <w:caps/>
      <w:sz w:val="26"/>
      <w:szCs w:val="20"/>
      <w:lang w:val="en-US"/>
    </w:rPr>
  </w:style>
  <w:style w:type="paragraph" w:styleId="Cmsor2">
    <w:name w:val="heading 2"/>
    <w:basedOn w:val="Norml"/>
    <w:next w:val="Norml"/>
    <w:link w:val="Cmsor2Char"/>
    <w:qFormat/>
    <w:rsid w:val="002C5BBB"/>
    <w:pPr>
      <w:keepNext/>
      <w:numPr>
        <w:ilvl w:val="1"/>
        <w:numId w:val="10"/>
      </w:numPr>
      <w:suppressAutoHyphens/>
      <w:spacing w:before="240" w:after="60" w:line="260" w:lineRule="exact"/>
      <w:outlineLvl w:val="1"/>
    </w:pPr>
    <w:rPr>
      <w:rFonts w:ascii="Helvetica" w:eastAsia="Times New Roman" w:hAnsi="Helvetica" w:cs="Times New Roman"/>
      <w:b/>
      <w:i/>
      <w:sz w:val="24"/>
      <w:szCs w:val="20"/>
    </w:rPr>
  </w:style>
  <w:style w:type="paragraph" w:styleId="Cmsor3">
    <w:name w:val="heading 3"/>
    <w:basedOn w:val="Norml"/>
    <w:next w:val="Norml"/>
    <w:link w:val="Cmsor3Char"/>
    <w:qFormat/>
    <w:rsid w:val="002C5BBB"/>
    <w:pPr>
      <w:keepNext/>
      <w:keepLines/>
      <w:numPr>
        <w:ilvl w:val="2"/>
        <w:numId w:val="10"/>
      </w:numPr>
      <w:suppressAutoHyphens/>
      <w:spacing w:before="120" w:after="80" w:line="260" w:lineRule="exact"/>
      <w:outlineLvl w:val="2"/>
    </w:pPr>
    <w:rPr>
      <w:rFonts w:ascii="Times New Roman" w:eastAsia="Times New Roman" w:hAnsi="Times New Roman" w:cs="Times New Roman"/>
      <w:b/>
      <w:kern w:val="1"/>
      <w:sz w:val="24"/>
      <w:szCs w:val="20"/>
      <w:lang w:val="en-US"/>
    </w:rPr>
  </w:style>
  <w:style w:type="paragraph" w:styleId="Cmsor4">
    <w:name w:val="heading 4"/>
    <w:basedOn w:val="Norml"/>
    <w:next w:val="Norml"/>
    <w:link w:val="Cmsor4Char"/>
    <w:qFormat/>
    <w:rsid w:val="002C5BBB"/>
    <w:pPr>
      <w:keepNext/>
      <w:numPr>
        <w:ilvl w:val="3"/>
        <w:numId w:val="10"/>
      </w:numPr>
      <w:suppressAutoHyphens/>
      <w:spacing w:after="0" w:line="260" w:lineRule="exact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paragraph" w:styleId="Cmsor5">
    <w:name w:val="heading 5"/>
    <w:basedOn w:val="Norml"/>
    <w:next w:val="Norml"/>
    <w:link w:val="Cmsor5Char"/>
    <w:qFormat/>
    <w:rsid w:val="002C5BBB"/>
    <w:pPr>
      <w:keepNext/>
      <w:numPr>
        <w:ilvl w:val="4"/>
        <w:numId w:val="10"/>
      </w:numPr>
      <w:suppressAutoHyphens/>
      <w:spacing w:after="0" w:line="260" w:lineRule="exact"/>
      <w:jc w:val="both"/>
      <w:outlineLvl w:val="4"/>
    </w:pPr>
    <w:rPr>
      <w:rFonts w:ascii="Times New Roman" w:eastAsia="Times New Roman" w:hAnsi="Times New Roman" w:cs="Times New Roman"/>
      <w:szCs w:val="20"/>
    </w:rPr>
  </w:style>
  <w:style w:type="paragraph" w:styleId="Cmsor6">
    <w:name w:val="heading 6"/>
    <w:basedOn w:val="Norml"/>
    <w:next w:val="Norml"/>
    <w:link w:val="Cmsor6Char"/>
    <w:qFormat/>
    <w:rsid w:val="002C5BBB"/>
    <w:pPr>
      <w:keepNext/>
      <w:numPr>
        <w:ilvl w:val="5"/>
        <w:numId w:val="10"/>
      </w:numPr>
      <w:tabs>
        <w:tab w:val="left" w:pos="567"/>
        <w:tab w:val="left" w:pos="4536"/>
      </w:tabs>
      <w:suppressAutoHyphens/>
      <w:spacing w:after="0" w:line="260" w:lineRule="exact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Cmsor7">
    <w:name w:val="heading 7"/>
    <w:basedOn w:val="Norml"/>
    <w:next w:val="Norml"/>
    <w:link w:val="Cmsor7Char"/>
    <w:qFormat/>
    <w:rsid w:val="002C5BBB"/>
    <w:pPr>
      <w:keepNext/>
      <w:numPr>
        <w:ilvl w:val="6"/>
        <w:numId w:val="10"/>
      </w:numPr>
      <w:tabs>
        <w:tab w:val="left" w:pos="567"/>
        <w:tab w:val="left" w:pos="4536"/>
      </w:tabs>
      <w:suppressAutoHyphens/>
      <w:spacing w:after="0" w:line="260" w:lineRule="exact"/>
      <w:jc w:val="both"/>
      <w:outlineLvl w:val="6"/>
    </w:pPr>
    <w:rPr>
      <w:rFonts w:ascii="Times New Roman" w:eastAsia="Times New Roman" w:hAnsi="Times New Roman" w:cs="Times New Roman"/>
      <w:i/>
      <w:szCs w:val="20"/>
    </w:rPr>
  </w:style>
  <w:style w:type="paragraph" w:styleId="Cmsor8">
    <w:name w:val="heading 8"/>
    <w:basedOn w:val="Norml"/>
    <w:next w:val="Norml"/>
    <w:link w:val="Cmsor8Char"/>
    <w:qFormat/>
    <w:rsid w:val="002C5BBB"/>
    <w:pPr>
      <w:keepNext/>
      <w:numPr>
        <w:ilvl w:val="7"/>
        <w:numId w:val="10"/>
      </w:numPr>
      <w:suppressAutoHyphens/>
      <w:spacing w:after="0" w:line="260" w:lineRule="exact"/>
      <w:jc w:val="both"/>
      <w:outlineLvl w:val="7"/>
    </w:pPr>
    <w:rPr>
      <w:rFonts w:ascii="Times New Roman" w:eastAsia="Times New Roman" w:hAnsi="Times New Roman" w:cs="Times New Roman"/>
      <w:b/>
      <w:i/>
      <w:szCs w:val="20"/>
    </w:rPr>
  </w:style>
  <w:style w:type="paragraph" w:styleId="Cmsor9">
    <w:name w:val="heading 9"/>
    <w:basedOn w:val="Norml"/>
    <w:next w:val="Norml"/>
    <w:link w:val="Cmsor9Char"/>
    <w:qFormat/>
    <w:rsid w:val="002C5BBB"/>
    <w:pPr>
      <w:keepNext/>
      <w:numPr>
        <w:ilvl w:val="8"/>
        <w:numId w:val="10"/>
      </w:numPr>
      <w:suppressAutoHyphens/>
      <w:spacing w:after="0" w:line="260" w:lineRule="exact"/>
      <w:jc w:val="both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2C5BBB"/>
    <w:rPr>
      <w:rFonts w:ascii="Times New Roman" w:eastAsia="Times New Roman" w:hAnsi="Times New Roman" w:cs="Times New Roman"/>
      <w:b/>
      <w:caps/>
      <w:sz w:val="26"/>
      <w:szCs w:val="20"/>
      <w:lang w:val="en-US"/>
    </w:rPr>
  </w:style>
  <w:style w:type="character" w:customStyle="1" w:styleId="Cmsor2Char">
    <w:name w:val="Címsor 2 Char"/>
    <w:basedOn w:val="Bekezdsalapbettpusa"/>
    <w:link w:val="Cmsor2"/>
    <w:rsid w:val="002C5BBB"/>
    <w:rPr>
      <w:rFonts w:ascii="Helvetica" w:eastAsia="Times New Roman" w:hAnsi="Helvetica" w:cs="Times New Roman"/>
      <w:b/>
      <w:i/>
      <w:sz w:val="24"/>
      <w:szCs w:val="20"/>
    </w:rPr>
  </w:style>
  <w:style w:type="character" w:customStyle="1" w:styleId="Cmsor3Char">
    <w:name w:val="Címsor 3 Char"/>
    <w:basedOn w:val="Bekezdsalapbettpusa"/>
    <w:link w:val="Cmsor3"/>
    <w:rsid w:val="002C5BBB"/>
    <w:rPr>
      <w:rFonts w:ascii="Times New Roman" w:eastAsia="Times New Roman" w:hAnsi="Times New Roman" w:cs="Times New Roman"/>
      <w:b/>
      <w:kern w:val="1"/>
      <w:sz w:val="24"/>
      <w:szCs w:val="20"/>
      <w:lang w:val="en-US"/>
    </w:rPr>
  </w:style>
  <w:style w:type="character" w:customStyle="1" w:styleId="Cmsor4Char">
    <w:name w:val="Címsor 4 Char"/>
    <w:basedOn w:val="Bekezdsalapbettpusa"/>
    <w:link w:val="Cmsor4"/>
    <w:rsid w:val="002C5BBB"/>
    <w:rPr>
      <w:rFonts w:ascii="Times New Roman" w:eastAsia="Times New Roman" w:hAnsi="Times New Roman" w:cs="Times New Roman"/>
      <w:b/>
      <w:szCs w:val="20"/>
    </w:rPr>
  </w:style>
  <w:style w:type="character" w:customStyle="1" w:styleId="Cmsor5Char">
    <w:name w:val="Címsor 5 Char"/>
    <w:basedOn w:val="Bekezdsalapbettpusa"/>
    <w:link w:val="Cmsor5"/>
    <w:rsid w:val="002C5BBB"/>
    <w:rPr>
      <w:rFonts w:ascii="Times New Roman" w:eastAsia="Times New Roman" w:hAnsi="Times New Roman" w:cs="Times New Roman"/>
      <w:szCs w:val="20"/>
    </w:rPr>
  </w:style>
  <w:style w:type="character" w:customStyle="1" w:styleId="Cmsor6Char">
    <w:name w:val="Címsor 6 Char"/>
    <w:basedOn w:val="Bekezdsalapbettpusa"/>
    <w:link w:val="Cmsor6"/>
    <w:rsid w:val="002C5BBB"/>
    <w:rPr>
      <w:rFonts w:ascii="Times New Roman" w:eastAsia="Times New Roman" w:hAnsi="Times New Roman" w:cs="Times New Roman"/>
      <w:i/>
      <w:szCs w:val="20"/>
    </w:rPr>
  </w:style>
  <w:style w:type="character" w:customStyle="1" w:styleId="Cmsor7Char">
    <w:name w:val="Címsor 7 Char"/>
    <w:basedOn w:val="Bekezdsalapbettpusa"/>
    <w:link w:val="Cmsor7"/>
    <w:rsid w:val="002C5BBB"/>
    <w:rPr>
      <w:rFonts w:ascii="Times New Roman" w:eastAsia="Times New Roman" w:hAnsi="Times New Roman" w:cs="Times New Roman"/>
      <w:i/>
      <w:szCs w:val="20"/>
    </w:rPr>
  </w:style>
  <w:style w:type="character" w:customStyle="1" w:styleId="Cmsor8Char">
    <w:name w:val="Címsor 8 Char"/>
    <w:basedOn w:val="Bekezdsalapbettpusa"/>
    <w:link w:val="Cmsor8"/>
    <w:rsid w:val="002C5BBB"/>
    <w:rPr>
      <w:rFonts w:ascii="Times New Roman" w:eastAsia="Times New Roman" w:hAnsi="Times New Roman" w:cs="Times New Roman"/>
      <w:b/>
      <w:i/>
      <w:szCs w:val="20"/>
    </w:rPr>
  </w:style>
  <w:style w:type="character" w:customStyle="1" w:styleId="Cmsor9Char">
    <w:name w:val="Címsor 9 Char"/>
    <w:basedOn w:val="Bekezdsalapbettpusa"/>
    <w:link w:val="Cmsor9"/>
    <w:rsid w:val="002C5BBB"/>
    <w:rPr>
      <w:rFonts w:ascii="Times New Roman" w:eastAsia="Times New Roman" w:hAnsi="Times New Roman" w:cs="Times New Roman"/>
      <w:b/>
      <w:i/>
      <w:szCs w:val="20"/>
    </w:rPr>
  </w:style>
  <w:style w:type="numbering" w:customStyle="1" w:styleId="Nemlista1">
    <w:name w:val="Nem lista1"/>
    <w:next w:val="Nemlista"/>
    <w:semiHidden/>
    <w:rsid w:val="002C5BBB"/>
  </w:style>
  <w:style w:type="character" w:styleId="Oldalszm">
    <w:name w:val="page number"/>
    <w:basedOn w:val="Bekezdsalapbettpusa"/>
    <w:rsid w:val="002C5BBB"/>
  </w:style>
  <w:style w:type="paragraph" w:styleId="lfej">
    <w:name w:val="header"/>
    <w:basedOn w:val="Norml"/>
    <w:link w:val="lfejChar"/>
    <w:uiPriority w:val="99"/>
    <w:rsid w:val="002C5BBB"/>
    <w:pPr>
      <w:tabs>
        <w:tab w:val="left" w:pos="567"/>
        <w:tab w:val="center" w:pos="4153"/>
        <w:tab w:val="right" w:pos="8306"/>
      </w:tabs>
      <w:suppressAutoHyphens/>
      <w:spacing w:after="0" w:line="260" w:lineRule="atLeast"/>
    </w:pPr>
    <w:rPr>
      <w:rFonts w:ascii="Helvetica" w:eastAsia="Times New Roman" w:hAnsi="Helvetica" w:cs="Times New Roman"/>
      <w:sz w:val="20"/>
      <w:szCs w:val="20"/>
    </w:rPr>
  </w:style>
  <w:style w:type="character" w:customStyle="1" w:styleId="lfejChar">
    <w:name w:val="Élőfej Char"/>
    <w:basedOn w:val="Bekezdsalapbettpusa"/>
    <w:link w:val="lfej"/>
    <w:uiPriority w:val="99"/>
    <w:rsid w:val="002C5BBB"/>
    <w:rPr>
      <w:rFonts w:ascii="Helvetica" w:eastAsia="Times New Roman" w:hAnsi="Helvetica" w:cs="Times New Roman"/>
      <w:sz w:val="20"/>
      <w:szCs w:val="20"/>
    </w:rPr>
  </w:style>
  <w:style w:type="paragraph" w:styleId="llb">
    <w:name w:val="footer"/>
    <w:basedOn w:val="Norml"/>
    <w:link w:val="llbChar"/>
    <w:rsid w:val="002C5BBB"/>
    <w:pPr>
      <w:tabs>
        <w:tab w:val="left" w:pos="567"/>
        <w:tab w:val="center" w:pos="4536"/>
        <w:tab w:val="center" w:pos="8930"/>
      </w:tabs>
      <w:suppressAutoHyphens/>
      <w:spacing w:after="0" w:line="260" w:lineRule="atLeast"/>
    </w:pPr>
    <w:rPr>
      <w:rFonts w:ascii="Helvetica" w:eastAsia="Times New Roman" w:hAnsi="Helvetica" w:cs="Times New Roman"/>
      <w:sz w:val="16"/>
      <w:szCs w:val="20"/>
    </w:rPr>
  </w:style>
  <w:style w:type="character" w:customStyle="1" w:styleId="llbChar">
    <w:name w:val="Élőláb Char"/>
    <w:basedOn w:val="Bekezdsalapbettpusa"/>
    <w:link w:val="llb"/>
    <w:rsid w:val="002C5BBB"/>
    <w:rPr>
      <w:rFonts w:ascii="Helvetica" w:eastAsia="Times New Roman" w:hAnsi="Helvetica" w:cs="Times New Roman"/>
      <w:sz w:val="16"/>
      <w:szCs w:val="20"/>
    </w:rPr>
  </w:style>
  <w:style w:type="character" w:styleId="Hiperhivatkozs">
    <w:name w:val="Hyperlink"/>
    <w:rsid w:val="002C5BBB"/>
    <w:rPr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semiHidden/>
    <w:rsid w:val="002C5BBB"/>
    <w:pPr>
      <w:suppressAutoHyphens/>
      <w:spacing w:after="0" w:line="260" w:lineRule="atLeast"/>
    </w:pPr>
    <w:rPr>
      <w:rFonts w:ascii="Times New Roman" w:eastAsia="Times New Roman" w:hAnsi="Times New Roman" w:cs="Times New Roman"/>
      <w:szCs w:val="20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2C5BBB"/>
    <w:rPr>
      <w:rFonts w:ascii="Times New Roman" w:eastAsia="Times New Roman" w:hAnsi="Times New Roman" w:cs="Times New Roman"/>
      <w:szCs w:val="20"/>
    </w:rPr>
  </w:style>
  <w:style w:type="paragraph" w:customStyle="1" w:styleId="EMEAEnBodyText">
    <w:name w:val="EMEA En Body Text"/>
    <w:basedOn w:val="Norml"/>
    <w:rsid w:val="002C5BBB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val="en-US"/>
    </w:rPr>
  </w:style>
  <w:style w:type="paragraph" w:styleId="Buborkszveg">
    <w:name w:val="Balloon Text"/>
    <w:basedOn w:val="Norml"/>
    <w:link w:val="BuborkszvegChar"/>
    <w:semiHidden/>
    <w:rsid w:val="002C5BBB"/>
    <w:pPr>
      <w:suppressAutoHyphens/>
      <w:spacing w:after="0" w:line="260" w:lineRule="exact"/>
    </w:pPr>
    <w:rPr>
      <w:rFonts w:ascii="Tahoma" w:eastAsia="Times New Roman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2C5BBB"/>
    <w:rPr>
      <w:rFonts w:ascii="Tahoma" w:eastAsia="Times New Roman" w:hAnsi="Tahoma" w:cs="Tahoma"/>
      <w:sz w:val="16"/>
      <w:szCs w:val="16"/>
    </w:rPr>
  </w:style>
  <w:style w:type="character" w:styleId="Mrltotthiperhivatkozs">
    <w:name w:val="FollowedHyperlink"/>
    <w:rsid w:val="002C5BBB"/>
    <w:rPr>
      <w:color w:val="800080"/>
      <w:u w:val="single"/>
    </w:rPr>
  </w:style>
  <w:style w:type="paragraph" w:customStyle="1" w:styleId="SPCTITEL2">
    <w:name w:val="SPC TITEL 2"/>
    <w:basedOn w:val="Norml"/>
    <w:rsid w:val="002C5BBB"/>
    <w:pPr>
      <w:keepNext/>
      <w:tabs>
        <w:tab w:val="left" w:pos="568"/>
        <w:tab w:val="left" w:pos="1701"/>
        <w:tab w:val="right" w:pos="9356"/>
      </w:tabs>
      <w:spacing w:before="120" w:after="120" w:line="240" w:lineRule="atLeast"/>
      <w:ind w:left="567" w:hanging="567"/>
      <w:jc w:val="both"/>
    </w:pPr>
    <w:rPr>
      <w:rFonts w:ascii="Arial" w:eastAsia="Times New Roman" w:hAnsi="Arial" w:cs="Times New Roman"/>
      <w:b/>
      <w:szCs w:val="20"/>
      <w:lang w:val="en-GB" w:eastAsia="de-DE"/>
    </w:rPr>
  </w:style>
  <w:style w:type="paragraph" w:customStyle="1" w:styleId="SPCTITEL1">
    <w:name w:val="SPC TITEL1"/>
    <w:basedOn w:val="Norml"/>
    <w:rsid w:val="002C5BBB"/>
    <w:pPr>
      <w:keepNext/>
      <w:tabs>
        <w:tab w:val="left" w:pos="568"/>
        <w:tab w:val="left" w:pos="1701"/>
        <w:tab w:val="right" w:pos="9356"/>
      </w:tabs>
      <w:spacing w:before="240" w:after="120" w:line="240" w:lineRule="atLeast"/>
      <w:ind w:left="567" w:hanging="567"/>
      <w:jc w:val="both"/>
    </w:pPr>
    <w:rPr>
      <w:rFonts w:ascii="Arial" w:eastAsia="Times New Roman" w:hAnsi="Arial" w:cs="Times New Roman"/>
      <w:b/>
      <w:caps/>
      <w:szCs w:val="20"/>
      <w:lang w:val="en-GB" w:eastAsia="de-DE"/>
    </w:rPr>
  </w:style>
  <w:style w:type="paragraph" w:customStyle="1" w:styleId="SPCText">
    <w:name w:val="SPC Text"/>
    <w:basedOn w:val="Norml"/>
    <w:rsid w:val="002C5BBB"/>
    <w:pPr>
      <w:spacing w:before="120" w:after="120" w:line="240" w:lineRule="atLeast"/>
      <w:ind w:left="567"/>
      <w:jc w:val="both"/>
    </w:pPr>
    <w:rPr>
      <w:rFonts w:ascii="Arial" w:eastAsia="Times New Roman" w:hAnsi="Arial" w:cs="Times New Roman"/>
      <w:sz w:val="20"/>
      <w:szCs w:val="20"/>
      <w:lang w:val="en-GB" w:eastAsia="de-DE"/>
    </w:rPr>
  </w:style>
  <w:style w:type="character" w:styleId="Kiemels">
    <w:name w:val="Emphasis"/>
    <w:uiPriority w:val="20"/>
    <w:qFormat/>
    <w:rsid w:val="002C5BBB"/>
    <w:rPr>
      <w:b/>
      <w:bCs/>
      <w:i w:val="0"/>
      <w:iCs w:val="0"/>
    </w:rPr>
  </w:style>
  <w:style w:type="paragraph" w:styleId="Cm">
    <w:name w:val="Title"/>
    <w:basedOn w:val="Norml"/>
    <w:link w:val="CmChar"/>
    <w:qFormat/>
    <w:rsid w:val="002C5BBB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CmChar">
    <w:name w:val="Cím Char"/>
    <w:basedOn w:val="Bekezdsalapbettpusa"/>
    <w:link w:val="Cm"/>
    <w:rsid w:val="002C5BBB"/>
    <w:rPr>
      <w:rFonts w:ascii="Times New Roman" w:eastAsia="Times New Roman" w:hAnsi="Times New Roman" w:cs="Times New Roman"/>
      <w:b/>
      <w:szCs w:val="20"/>
      <w:lang w:val="en-GB"/>
    </w:rPr>
  </w:style>
  <w:style w:type="table" w:styleId="Rcsostblzat">
    <w:name w:val="Table Grid"/>
    <w:basedOn w:val="Normltblzat"/>
    <w:rsid w:val="002C5BBB"/>
    <w:pPr>
      <w:suppressAutoHyphens/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semiHidden/>
    <w:rsid w:val="002C5BB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2C5BBB"/>
    <w:pPr>
      <w:suppressAutoHyphens/>
      <w:spacing w:after="0" w:line="260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2C5BBB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2C5BB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2C5BB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2C5BBB"/>
    <w:pPr>
      <w:spacing w:after="0" w:line="240" w:lineRule="auto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12</Pages>
  <Words>4286</Words>
  <Characters>29580</Characters>
  <Application>Microsoft Office Word</Application>
  <DocSecurity>0</DocSecurity>
  <Lines>246</Lines>
  <Paragraphs>67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Vanda Városi</dc:creator>
  <cp:keywords/>
  <dc:description/>
  <cp:lastModifiedBy>HU OGYI 49.1</cp:lastModifiedBy>
  <cp:revision>5</cp:revision>
  <dcterms:created xsi:type="dcterms:W3CDTF">2026-06-16T12:09:00Z</dcterms:created>
  <dcterms:modified xsi:type="dcterms:W3CDTF">2026-06-17T11:10:00Z</dcterms:modified>
</cp:coreProperties>
</file>